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sz w:val="36"/>
          <w:szCs w:val="36"/>
          <w:highlight w:val="none"/>
        </w:rPr>
      </w:pPr>
    </w:p>
    <w:p>
      <w:pPr>
        <w:autoSpaceDE w:val="0"/>
        <w:autoSpaceDN w:val="0"/>
        <w:adjustRightInd w:val="0"/>
        <w:spacing w:line="360" w:lineRule="auto"/>
        <w:jc w:val="center"/>
        <w:rPr>
          <w:rFonts w:hint="eastAsia" w:ascii="宋体" w:hAnsi="宋体" w:eastAsia="宋体" w:cs="宋体"/>
          <w:b/>
          <w:bCs/>
          <w:color w:val="auto"/>
          <w:spacing w:val="-11"/>
          <w:sz w:val="52"/>
          <w:szCs w:val="52"/>
          <w:highlight w:val="none"/>
          <w:lang w:val="zh-CN" w:eastAsia="zh-CN"/>
        </w:rPr>
      </w:pPr>
      <w:r>
        <w:rPr>
          <w:rFonts w:hint="eastAsia" w:hAnsi="宋体" w:cs="宋体"/>
          <w:b/>
          <w:bCs/>
          <w:color w:val="auto"/>
          <w:spacing w:val="-11"/>
          <w:sz w:val="44"/>
          <w:szCs w:val="44"/>
          <w:highlight w:val="none"/>
          <w:lang w:eastAsia="zh-CN"/>
        </w:rPr>
        <w:t>海太长江隧道北接线工程档案管理咨询服务项目</w:t>
      </w:r>
    </w:p>
    <w:p>
      <w:pPr>
        <w:autoSpaceDE w:val="0"/>
        <w:autoSpaceDN w:val="0"/>
        <w:adjustRightInd w:val="0"/>
        <w:spacing w:line="360" w:lineRule="auto"/>
        <w:jc w:val="center"/>
        <w:rPr>
          <w:rFonts w:ascii="宋体" w:hAnsi="宋体" w:cs="宋体"/>
          <w:b/>
          <w:bCs/>
          <w:color w:val="auto"/>
          <w:sz w:val="52"/>
          <w:szCs w:val="52"/>
          <w:highlight w:val="none"/>
          <w:lang w:val="zh-CN"/>
        </w:rPr>
      </w:pPr>
    </w:p>
    <w:p>
      <w:pPr>
        <w:tabs>
          <w:tab w:val="left" w:pos="6300"/>
        </w:tabs>
        <w:snapToGrid w:val="0"/>
        <w:spacing w:line="360" w:lineRule="auto"/>
        <w:jc w:val="center"/>
        <w:rPr>
          <w:rFonts w:hint="eastAsia" w:ascii="宋体" w:hAnsi="宋体" w:cs="宋体"/>
          <w:b/>
          <w:color w:val="auto"/>
          <w:w w:val="80"/>
          <w:sz w:val="96"/>
          <w:szCs w:val="96"/>
          <w:highlight w:val="none"/>
        </w:rPr>
      </w:pPr>
      <w:r>
        <w:rPr>
          <w:rFonts w:hint="eastAsia" w:ascii="宋体" w:hAnsi="宋体" w:cs="宋体"/>
          <w:b/>
          <w:color w:val="auto"/>
          <w:w w:val="80"/>
          <w:sz w:val="96"/>
          <w:szCs w:val="96"/>
          <w:highlight w:val="none"/>
        </w:rPr>
        <w:t>竞争性谈判文件</w:t>
      </w: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bookmarkStart w:id="6" w:name="_GoBack"/>
      <w:bookmarkEnd w:id="6"/>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jc w:val="center"/>
        <w:rPr>
          <w:rFonts w:ascii="宋体" w:hAnsi="宋体" w:cs="宋体"/>
          <w:color w:val="auto"/>
          <w:szCs w:val="21"/>
          <w:highlight w:val="none"/>
        </w:rPr>
      </w:pPr>
    </w:p>
    <w:tbl>
      <w:tblPr>
        <w:tblStyle w:val="19"/>
        <w:tblW w:w="0" w:type="auto"/>
        <w:jc w:val="center"/>
        <w:tblLayout w:type="fixed"/>
        <w:tblCellMar>
          <w:top w:w="0" w:type="dxa"/>
          <w:left w:w="108" w:type="dxa"/>
          <w:bottom w:w="0" w:type="dxa"/>
          <w:right w:w="108" w:type="dxa"/>
        </w:tblCellMar>
      </w:tblPr>
      <w:tblGrid>
        <w:gridCol w:w="1907"/>
        <w:gridCol w:w="6699"/>
      </w:tblGrid>
      <w:tr>
        <w:tblPrEx>
          <w:tblCellMar>
            <w:top w:w="0" w:type="dxa"/>
            <w:left w:w="108" w:type="dxa"/>
            <w:bottom w:w="0" w:type="dxa"/>
            <w:right w:w="108" w:type="dxa"/>
          </w:tblCellMar>
        </w:tblPrEx>
        <w:trPr>
          <w:trHeight w:val="573" w:hRule="atLeast"/>
          <w:jc w:val="center"/>
        </w:trPr>
        <w:tc>
          <w:tcPr>
            <w:tcW w:w="1907" w:type="dxa"/>
            <w:noWrap w:val="0"/>
            <w:vAlign w:val="top"/>
          </w:tcPr>
          <w:p>
            <w:pPr>
              <w:jc w:val="distribute"/>
              <w:rPr>
                <w:rFonts w:hint="eastAsia" w:ascii="宋体" w:hAnsi="宋体"/>
                <w:b/>
                <w:color w:val="auto"/>
                <w:kern w:val="0"/>
                <w:sz w:val="30"/>
                <w:szCs w:val="30"/>
                <w:highlight w:val="none"/>
              </w:rPr>
            </w:pPr>
            <w:r>
              <w:rPr>
                <w:rFonts w:hint="eastAsia" w:ascii="宋体" w:hAnsi="宋体"/>
                <w:b/>
                <w:color w:val="auto"/>
                <w:kern w:val="0"/>
                <w:sz w:val="30"/>
                <w:szCs w:val="30"/>
                <w:highlight w:val="none"/>
                <w:lang w:val="en-US" w:eastAsia="zh-CN"/>
              </w:rPr>
              <w:t>采  购</w:t>
            </w:r>
            <w:r>
              <w:rPr>
                <w:rFonts w:hint="eastAsia" w:ascii="宋体" w:hAnsi="宋体"/>
                <w:b/>
                <w:color w:val="auto"/>
                <w:kern w:val="0"/>
                <w:sz w:val="30"/>
                <w:szCs w:val="30"/>
                <w:highlight w:val="none"/>
              </w:rPr>
              <w:t xml:space="preserve">  人：</w:t>
            </w:r>
          </w:p>
        </w:tc>
        <w:tc>
          <w:tcPr>
            <w:tcW w:w="6699" w:type="dxa"/>
            <w:noWrap w:val="0"/>
            <w:vAlign w:val="top"/>
          </w:tcPr>
          <w:p>
            <w:pPr>
              <w:jc w:val="distribute"/>
              <w:rPr>
                <w:rFonts w:hint="eastAsia" w:ascii="宋体" w:hAnsi="宋体"/>
                <w:b/>
                <w:color w:val="auto"/>
                <w:kern w:val="0"/>
                <w:sz w:val="30"/>
                <w:szCs w:val="30"/>
                <w:highlight w:val="none"/>
              </w:rPr>
            </w:pPr>
            <w:r>
              <w:rPr>
                <w:rFonts w:hint="eastAsia" w:ascii="宋体" w:hAnsi="宋体"/>
                <w:b/>
                <w:color w:val="auto"/>
                <w:kern w:val="0"/>
                <w:sz w:val="30"/>
                <w:szCs w:val="30"/>
                <w:highlight w:val="none"/>
              </w:rPr>
              <w:t>南通市海太长江隧道北接线工程建设现场指挥部</w:t>
            </w:r>
          </w:p>
        </w:tc>
      </w:tr>
      <w:tr>
        <w:tblPrEx>
          <w:tblCellMar>
            <w:top w:w="0" w:type="dxa"/>
            <w:left w:w="108" w:type="dxa"/>
            <w:bottom w:w="0" w:type="dxa"/>
            <w:right w:w="108" w:type="dxa"/>
          </w:tblCellMar>
        </w:tblPrEx>
        <w:trPr>
          <w:trHeight w:val="543" w:hRule="atLeast"/>
          <w:jc w:val="center"/>
        </w:trPr>
        <w:tc>
          <w:tcPr>
            <w:tcW w:w="1907" w:type="dxa"/>
            <w:noWrap w:val="0"/>
            <w:vAlign w:val="top"/>
          </w:tcPr>
          <w:p>
            <w:pPr>
              <w:jc w:val="distribute"/>
              <w:rPr>
                <w:rFonts w:hint="eastAsia" w:ascii="宋体" w:hAnsi="宋体"/>
                <w:b/>
                <w:color w:val="auto"/>
                <w:kern w:val="0"/>
                <w:sz w:val="30"/>
                <w:szCs w:val="30"/>
                <w:highlight w:val="none"/>
              </w:rPr>
            </w:pPr>
            <w:r>
              <w:rPr>
                <w:rFonts w:hint="eastAsia" w:ascii="宋体" w:hAnsi="宋体"/>
                <w:b/>
                <w:color w:val="auto"/>
                <w:kern w:val="0"/>
                <w:sz w:val="30"/>
                <w:szCs w:val="30"/>
                <w:highlight w:val="none"/>
                <w:lang w:val="en-US" w:eastAsia="zh-CN"/>
              </w:rPr>
              <w:t>采购</w:t>
            </w:r>
            <w:r>
              <w:rPr>
                <w:rFonts w:hint="eastAsia" w:ascii="宋体" w:hAnsi="宋体"/>
                <w:b/>
                <w:color w:val="auto"/>
                <w:kern w:val="0"/>
                <w:sz w:val="30"/>
                <w:szCs w:val="30"/>
                <w:highlight w:val="none"/>
              </w:rPr>
              <w:t>代理：</w:t>
            </w:r>
          </w:p>
        </w:tc>
        <w:tc>
          <w:tcPr>
            <w:tcW w:w="6699" w:type="dxa"/>
            <w:noWrap w:val="0"/>
            <w:vAlign w:val="top"/>
          </w:tcPr>
          <w:p>
            <w:pPr>
              <w:jc w:val="distribute"/>
              <w:rPr>
                <w:rFonts w:hint="eastAsia" w:ascii="宋体" w:hAnsi="宋体"/>
                <w:b/>
                <w:color w:val="auto"/>
                <w:sz w:val="30"/>
                <w:szCs w:val="30"/>
                <w:highlight w:val="none"/>
              </w:rPr>
            </w:pPr>
            <w:r>
              <w:rPr>
                <w:rFonts w:hint="eastAsia" w:ascii="宋体" w:hAnsi="宋体"/>
                <w:b/>
                <w:color w:val="auto"/>
                <w:kern w:val="0"/>
                <w:sz w:val="30"/>
                <w:szCs w:val="30"/>
                <w:highlight w:val="none"/>
              </w:rPr>
              <w:t>中诚智信工程咨询集团股份有限公司</w:t>
            </w:r>
          </w:p>
        </w:tc>
      </w:tr>
    </w:tbl>
    <w:p>
      <w:pPr>
        <w:pStyle w:val="2"/>
        <w:ind w:left="0" w:leftChars="0" w:firstLine="630" w:firstLineChars="300"/>
        <w:rPr>
          <w:rFonts w:hint="eastAsia" w:eastAsia="宋体"/>
          <w:highlight w:val="none"/>
          <w:lang w:val="en-US" w:eastAsia="zh-CN"/>
        </w:rPr>
      </w:pPr>
    </w:p>
    <w:p>
      <w:pPr>
        <w:adjustRightInd w:val="0"/>
        <w:snapToGrid w:val="0"/>
        <w:spacing w:line="360" w:lineRule="auto"/>
        <w:jc w:val="center"/>
        <w:rPr>
          <w:rFonts w:ascii="宋体" w:hAnsi="宋体" w:cs="宋体"/>
          <w:b/>
          <w:bCs/>
          <w:color w:val="auto"/>
          <w:sz w:val="30"/>
          <w:szCs w:val="30"/>
          <w:highlight w:val="none"/>
        </w:rPr>
      </w:pPr>
      <w:r>
        <w:rPr>
          <w:rFonts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5</w:t>
      </w:r>
      <w:r>
        <w:rPr>
          <w:rFonts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10</w:t>
      </w:r>
      <w:r>
        <w:rPr>
          <w:rFonts w:hint="eastAsia" w:ascii="宋体" w:hAnsi="宋体" w:cs="宋体"/>
          <w:b/>
          <w:bCs/>
          <w:color w:val="auto"/>
          <w:sz w:val="30"/>
          <w:szCs w:val="30"/>
          <w:highlight w:val="none"/>
        </w:rPr>
        <w:t>月</w:t>
      </w:r>
    </w:p>
    <w:p>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w:t>
      </w:r>
      <w:r>
        <w:rPr>
          <w:rFonts w:ascii="宋体" w:hAnsi="宋体" w:cs="宋体"/>
          <w:b/>
          <w:bCs/>
          <w:color w:val="auto"/>
          <w:sz w:val="44"/>
          <w:szCs w:val="44"/>
          <w:highlight w:val="none"/>
          <w:lang w:val="zh-CN"/>
        </w:rPr>
        <w:t xml:space="preserve">   </w:t>
      </w:r>
      <w:r>
        <w:rPr>
          <w:rFonts w:hint="eastAsia" w:ascii="宋体" w:hAnsi="宋体" w:cs="宋体"/>
          <w:b/>
          <w:bCs/>
          <w:color w:val="auto"/>
          <w:sz w:val="44"/>
          <w:szCs w:val="44"/>
          <w:highlight w:val="none"/>
          <w:lang w:val="zh-CN"/>
        </w:rPr>
        <w:t>录</w:t>
      </w:r>
    </w:p>
    <w:p>
      <w:pPr>
        <w:autoSpaceDE w:val="0"/>
        <w:autoSpaceDN w:val="0"/>
        <w:adjustRightInd w:val="0"/>
        <w:spacing w:line="360" w:lineRule="auto"/>
        <w:ind w:firstLine="556"/>
        <w:rPr>
          <w:rFonts w:ascii="宋体" w:hAnsi="宋体" w:cs="宋体"/>
          <w:b/>
          <w:bCs/>
          <w:color w:val="auto"/>
          <w:sz w:val="32"/>
          <w:szCs w:val="32"/>
          <w:highlight w:val="none"/>
        </w:rPr>
      </w:pPr>
    </w:p>
    <w:p>
      <w:pPr>
        <w:autoSpaceDE w:val="0"/>
        <w:autoSpaceDN w:val="0"/>
        <w:adjustRightInd w:val="0"/>
        <w:spacing w:line="360" w:lineRule="auto"/>
        <w:ind w:firstLine="556"/>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第一部分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eastAsia="zh-CN"/>
        </w:rPr>
        <w:t>竞争性谈判公告</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第二部分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谈判须知</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第三部分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项目需求</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第四部分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谈判程序和内容</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第五部分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合同签订与验收付款</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第六部分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质疑提出和处理</w:t>
      </w:r>
    </w:p>
    <w:p>
      <w:pPr>
        <w:autoSpaceDE w:val="0"/>
        <w:autoSpaceDN w:val="0"/>
        <w:adjustRightInd w:val="0"/>
        <w:spacing w:line="360" w:lineRule="auto"/>
        <w:ind w:firstLine="556"/>
        <w:rPr>
          <w:rFonts w:ascii="宋体" w:hAnsi="宋体" w:cs="宋体"/>
          <w:b/>
          <w:bCs/>
          <w:color w:val="auto"/>
          <w:sz w:val="30"/>
          <w:szCs w:val="30"/>
          <w:highlight w:val="none"/>
        </w:rPr>
      </w:pPr>
      <w:r>
        <w:rPr>
          <w:rFonts w:hint="eastAsia" w:ascii="宋体" w:hAnsi="宋体" w:cs="宋体"/>
          <w:b/>
          <w:bCs/>
          <w:color w:val="auto"/>
          <w:sz w:val="30"/>
          <w:szCs w:val="30"/>
          <w:highlight w:val="none"/>
        </w:rPr>
        <w:t>第七部分</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响应文件组成</w:t>
      </w:r>
    </w:p>
    <w:p>
      <w:pPr>
        <w:tabs>
          <w:tab w:val="left" w:pos="7740"/>
        </w:tabs>
        <w:spacing w:line="360" w:lineRule="auto"/>
        <w:rPr>
          <w:rFonts w:ascii="宋体" w:hAnsi="宋体" w:cs="宋体"/>
          <w:b/>
          <w:color w:val="auto"/>
          <w:spacing w:val="2"/>
          <w:sz w:val="32"/>
          <w:szCs w:val="32"/>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rPr>
          <w:rFonts w:ascii="宋体" w:hAnsi="宋体" w:cs="宋体"/>
          <w:b/>
          <w:bCs/>
          <w:color w:val="auto"/>
          <w:sz w:val="36"/>
          <w:szCs w:val="36"/>
          <w:highlight w:val="none"/>
          <w:lang w:val="zh-CN"/>
        </w:rPr>
      </w:pPr>
    </w:p>
    <w:p>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第一部分</w:t>
      </w:r>
      <w:r>
        <w:rPr>
          <w:rFonts w:ascii="宋体" w:hAnsi="宋体" w:cs="宋体"/>
          <w:b/>
          <w:bCs/>
          <w:color w:val="auto"/>
          <w:sz w:val="36"/>
          <w:szCs w:val="36"/>
          <w:highlight w:val="none"/>
          <w:lang w:val="zh-CN"/>
        </w:rPr>
        <w:t xml:space="preserve">  </w:t>
      </w:r>
      <w:r>
        <w:rPr>
          <w:rFonts w:hint="eastAsia" w:ascii="宋体" w:hAnsi="宋体" w:cs="宋体"/>
          <w:b/>
          <w:bCs/>
          <w:color w:val="auto"/>
          <w:sz w:val="36"/>
          <w:szCs w:val="36"/>
          <w:highlight w:val="none"/>
          <w:lang w:val="zh-CN"/>
        </w:rPr>
        <w:t>竞争性谈判公告</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一、项目基本情况</w:t>
      </w:r>
    </w:p>
    <w:p>
      <w:pPr>
        <w:pStyle w:val="33"/>
        <w:snapToGrid w:val="0"/>
        <w:spacing w:line="360" w:lineRule="auto"/>
        <w:ind w:firstLine="508" w:firstLineChars="200"/>
        <w:contextualSpacing/>
        <w:rPr>
          <w:rFonts w:hint="eastAsia"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1.项目名称：海太长江隧道北接线工程档案管理咨询服务项目</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2.</w:t>
      </w:r>
      <w:r>
        <w:rPr>
          <w:rFonts w:hint="default" w:ascii="宋体" w:hAnsi="Times New Roman" w:eastAsia="宋体" w:cs="宋体"/>
          <w:color w:val="auto"/>
          <w:spacing w:val="7"/>
          <w:kern w:val="0"/>
          <w:sz w:val="24"/>
          <w:szCs w:val="24"/>
          <w:highlight w:val="none"/>
          <w:lang w:val="en-US" w:eastAsia="zh-CN" w:bidi="ar-SA"/>
        </w:rPr>
        <w:t>项目类型：服务</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3.</w:t>
      </w:r>
      <w:r>
        <w:rPr>
          <w:rFonts w:hint="default" w:ascii="宋体" w:hAnsi="Times New Roman" w:eastAsia="宋体" w:cs="宋体"/>
          <w:color w:val="auto"/>
          <w:spacing w:val="7"/>
          <w:kern w:val="0"/>
          <w:sz w:val="24"/>
          <w:szCs w:val="24"/>
          <w:highlight w:val="none"/>
          <w:lang w:val="en-US" w:eastAsia="zh-CN" w:bidi="ar-SA"/>
        </w:rPr>
        <w:t>所属行业：其他未列明行业</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4.</w:t>
      </w:r>
      <w:r>
        <w:rPr>
          <w:rFonts w:hint="default" w:ascii="宋体" w:hAnsi="Times New Roman" w:eastAsia="宋体" w:cs="宋体"/>
          <w:color w:val="auto"/>
          <w:spacing w:val="7"/>
          <w:kern w:val="0"/>
          <w:sz w:val="24"/>
          <w:szCs w:val="24"/>
          <w:highlight w:val="none"/>
          <w:lang w:val="en-US" w:eastAsia="zh-CN" w:bidi="ar-SA"/>
        </w:rPr>
        <w:t>预算金额：</w:t>
      </w:r>
      <w:r>
        <w:rPr>
          <w:rFonts w:hint="eastAsia" w:ascii="宋体" w:hAnsi="Times New Roman" w:eastAsia="宋体" w:cs="宋体"/>
          <w:color w:val="auto"/>
          <w:spacing w:val="7"/>
          <w:kern w:val="0"/>
          <w:sz w:val="24"/>
          <w:szCs w:val="24"/>
          <w:highlight w:val="none"/>
          <w:lang w:val="en-US" w:eastAsia="zh-CN" w:bidi="ar-SA"/>
        </w:rPr>
        <w:t>54万元</w:t>
      </w:r>
    </w:p>
    <w:p>
      <w:pPr>
        <w:pStyle w:val="33"/>
        <w:snapToGrid w:val="0"/>
        <w:spacing w:line="360" w:lineRule="auto"/>
        <w:ind w:firstLine="508" w:firstLineChars="200"/>
        <w:contextualSpacing/>
        <w:rPr>
          <w:rFonts w:hint="default" w:ascii="宋体" w:hAnsi="宋体" w:eastAsia="宋体" w:cs="宋体"/>
          <w:b w:val="0"/>
          <w:sz w:val="24"/>
          <w:szCs w:val="24"/>
          <w:highlight w:val="none"/>
          <w:lang w:val="en-US" w:eastAsia="zh-CN"/>
        </w:rPr>
      </w:pPr>
      <w:r>
        <w:rPr>
          <w:rFonts w:hint="default" w:ascii="宋体" w:hAnsi="Times New Roman" w:eastAsia="宋体" w:cs="宋体"/>
          <w:color w:val="auto"/>
          <w:spacing w:val="7"/>
          <w:kern w:val="0"/>
          <w:sz w:val="24"/>
          <w:szCs w:val="24"/>
          <w:highlight w:val="none"/>
          <w:lang w:val="en-US" w:eastAsia="zh-CN" w:bidi="ar-SA"/>
        </w:rPr>
        <w:t>最高限价：</w:t>
      </w:r>
      <w:r>
        <w:rPr>
          <w:rFonts w:hint="eastAsia" w:ascii="宋体" w:hAnsi="Times New Roman" w:eastAsia="宋体" w:cs="宋体"/>
          <w:color w:val="auto"/>
          <w:spacing w:val="7"/>
          <w:kern w:val="0"/>
          <w:sz w:val="24"/>
          <w:szCs w:val="24"/>
          <w:highlight w:val="none"/>
          <w:lang w:val="en-US" w:eastAsia="zh-CN" w:bidi="ar-SA"/>
        </w:rPr>
        <w:t>54万元</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5.采购需求：本项目分1个标包</w:t>
      </w:r>
      <w:r>
        <w:rPr>
          <w:rFonts w:hint="default" w:ascii="宋体" w:hAnsi="Times New Roman" w:eastAsia="宋体" w:cs="宋体"/>
          <w:color w:val="auto"/>
          <w:spacing w:val="7"/>
          <w:kern w:val="0"/>
          <w:sz w:val="24"/>
          <w:szCs w:val="24"/>
          <w:highlight w:val="none"/>
          <w:lang w:val="en-US" w:eastAsia="zh-CN" w:bidi="ar-SA"/>
        </w:rPr>
        <w:t>，</w:t>
      </w:r>
      <w:r>
        <w:rPr>
          <w:rFonts w:hint="eastAsia" w:ascii="宋体" w:eastAsia="宋体" w:cs="宋体"/>
          <w:b w:val="0"/>
          <w:bCs w:val="0"/>
          <w:color w:val="auto"/>
          <w:sz w:val="24"/>
          <w:highlight w:val="none"/>
          <w:lang w:val="en-US" w:eastAsia="zh-CN"/>
        </w:rPr>
        <w:t>即</w:t>
      </w:r>
      <w:r>
        <w:rPr>
          <w:rFonts w:hint="eastAsia" w:ascii="宋体" w:hAnsi="宋体" w:eastAsia="宋体" w:cs="宋体"/>
          <w:b w:val="0"/>
          <w:bCs w:val="0"/>
          <w:color w:val="auto"/>
          <w:sz w:val="24"/>
          <w:highlight w:val="none"/>
          <w:lang w:val="en-US" w:eastAsia="zh-CN"/>
        </w:rPr>
        <w:t>HTB-DAFW标包</w:t>
      </w:r>
      <w:r>
        <w:rPr>
          <w:rFonts w:hint="eastAsia" w:ascii="宋体" w:eastAsia="宋体" w:cs="宋体"/>
          <w:b w:val="0"/>
          <w:bCs w:val="0"/>
          <w:color w:val="auto"/>
          <w:sz w:val="24"/>
          <w:highlight w:val="none"/>
          <w:lang w:val="en-US" w:eastAsia="zh-CN"/>
        </w:rPr>
        <w:t>，具体要求：</w:t>
      </w:r>
      <w:r>
        <w:rPr>
          <w:rFonts w:hint="eastAsia" w:ascii="宋体" w:hAnsi="宋体" w:eastAsia="宋体" w:cs="宋体"/>
          <w:b w:val="0"/>
          <w:bCs w:val="0"/>
          <w:color w:val="auto"/>
          <w:sz w:val="24"/>
          <w:highlight w:val="none"/>
          <w:lang w:val="en-US" w:eastAsia="zh-CN"/>
        </w:rPr>
        <w:t>全过程服从指挥部领导，按指挥部的要求统一开展项目档案咨询服务工作；根据合同要求，为各参建单位档案管理工作进行全过程的业务支持及技术服务，同时接受并积极配合档案行政管理部门、项目上级主管部门及指挥部的业务指导、监督和检查</w:t>
      </w:r>
      <w:r>
        <w:rPr>
          <w:rFonts w:hint="eastAsia" w:ascii="宋体" w:eastAsia="宋体" w:cs="宋体"/>
          <w:b w:val="0"/>
          <w:bCs w:val="0"/>
          <w:color w:val="auto"/>
          <w:sz w:val="24"/>
          <w:highlight w:val="none"/>
          <w:lang w:val="en-US" w:eastAsia="zh-CN"/>
        </w:rPr>
        <w:t>，包括但不限于按照《高速公路建设项目档案管理规范（修订）》（DB32／T 1086-2022 ）（以下简称“新规范”）要求，指导所有参建单位编制项目竣工档案</w:t>
      </w:r>
      <w:r>
        <w:rPr>
          <w:rFonts w:hint="eastAsia" w:ascii="宋体" w:hAnsi="宋体" w:eastAsia="宋体" w:cs="宋体"/>
          <w:color w:val="auto"/>
          <w:sz w:val="24"/>
          <w:highlight w:val="none"/>
        </w:rPr>
        <w:t>。</w:t>
      </w:r>
      <w:r>
        <w:rPr>
          <w:rFonts w:hint="default" w:ascii="宋体" w:hAnsi="Times New Roman" w:eastAsia="宋体" w:cs="宋体"/>
          <w:color w:val="auto"/>
          <w:spacing w:val="7"/>
          <w:kern w:val="0"/>
          <w:sz w:val="24"/>
          <w:szCs w:val="24"/>
          <w:highlight w:val="none"/>
          <w:lang w:val="en-US" w:eastAsia="zh-CN" w:bidi="ar-SA"/>
        </w:rPr>
        <w:t>具体详见《第三部分项目需求》，请仔细研究。</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6.合同</w:t>
      </w:r>
      <w:r>
        <w:rPr>
          <w:rFonts w:hint="default" w:ascii="宋体" w:hAnsi="Times New Roman" w:eastAsia="宋体" w:cs="宋体"/>
          <w:color w:val="auto"/>
          <w:spacing w:val="7"/>
          <w:kern w:val="0"/>
          <w:sz w:val="24"/>
          <w:szCs w:val="24"/>
          <w:highlight w:val="none"/>
          <w:lang w:val="en-US" w:eastAsia="zh-CN" w:bidi="ar-SA"/>
        </w:rPr>
        <w:t>履行期：</w:t>
      </w:r>
      <w:r>
        <w:rPr>
          <w:rFonts w:hint="eastAsia" w:ascii="宋体" w:hAnsi="宋体" w:eastAsia="宋体" w:cs="宋体"/>
          <w:b w:val="0"/>
          <w:bCs w:val="0"/>
          <w:sz w:val="24"/>
          <w:highlight w:val="none"/>
          <w:lang w:val="en-US" w:eastAsia="zh-CN"/>
        </w:rPr>
        <w:t>从项目开工直至竣工验收后完成移交、报备结束。</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7.本项目不接受联合体响应。</w:t>
      </w:r>
    </w:p>
    <w:p>
      <w:pPr>
        <w:pStyle w:val="33"/>
        <w:snapToGrid w:val="0"/>
        <w:spacing w:line="360" w:lineRule="auto"/>
        <w:ind w:firstLine="508" w:firstLineChars="200"/>
        <w:contextualSpacing/>
        <w:rPr>
          <w:rFonts w:hint="default" w:ascii="宋体" w:hAnsi="Times New Roman" w:eastAsia="宋体" w:cs="宋体"/>
          <w:color w:val="auto"/>
          <w:spacing w:val="7"/>
          <w:kern w:val="0"/>
          <w:sz w:val="24"/>
          <w:szCs w:val="24"/>
          <w:highlight w:val="none"/>
          <w:lang w:val="en-US" w:eastAsia="zh-CN" w:bidi="ar-SA"/>
        </w:rPr>
      </w:pPr>
      <w:r>
        <w:rPr>
          <w:rFonts w:hint="eastAsia" w:ascii="宋体" w:hAnsi="Times New Roman" w:eastAsia="宋体" w:cs="宋体"/>
          <w:color w:val="auto"/>
          <w:spacing w:val="7"/>
          <w:kern w:val="0"/>
          <w:sz w:val="24"/>
          <w:szCs w:val="24"/>
          <w:highlight w:val="none"/>
          <w:lang w:val="en-US" w:eastAsia="zh-CN" w:bidi="ar-SA"/>
        </w:rPr>
        <w:t>8.本项目不允许分包。</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二、供应商资格要求</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r>
        <w:rPr>
          <w:rFonts w:hint="eastAsia" w:ascii="宋体" w:hAnsi="宋体" w:cs="宋体"/>
          <w:sz w:val="24"/>
          <w:szCs w:val="24"/>
          <w:highlight w:val="none"/>
          <w:lang w:val="en-US" w:eastAsia="zh-CN"/>
        </w:rPr>
        <w:t>无</w:t>
      </w:r>
      <w:r>
        <w:rPr>
          <w:rFonts w:hint="eastAsia" w:ascii="宋体" w:hAnsi="宋体" w:eastAsia="宋体" w:cs="宋体"/>
          <w:sz w:val="24"/>
          <w:szCs w:val="24"/>
          <w:highlight w:val="none"/>
        </w:rPr>
        <w:t>。</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完成过高速公路工程档案管理服务项目</w:t>
      </w:r>
      <w:r>
        <w:rPr>
          <w:rFonts w:hint="eastAsia" w:ascii="宋体" w:hAnsi="宋体" w:cs="宋体"/>
          <w:sz w:val="24"/>
          <w:szCs w:val="24"/>
          <w:highlight w:val="none"/>
          <w:lang w:eastAsia="zh-CN"/>
        </w:rPr>
        <w:t>。</w:t>
      </w:r>
    </w:p>
    <w:p>
      <w:pPr>
        <w:spacing w:line="360" w:lineRule="auto"/>
        <w:ind w:firstLine="48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拟投入本项目的项目负责人担任过已</w:t>
      </w:r>
      <w:r>
        <w:rPr>
          <w:rFonts w:hint="eastAsia" w:ascii="宋体" w:hAnsi="宋体" w:cs="宋体"/>
          <w:sz w:val="24"/>
          <w:szCs w:val="24"/>
          <w:highlight w:val="none"/>
          <w:lang w:eastAsia="zh-CN"/>
        </w:rPr>
        <w:t>完成</w:t>
      </w:r>
      <w:r>
        <w:rPr>
          <w:rFonts w:hint="eastAsia" w:ascii="宋体" w:hAnsi="宋体" w:eastAsia="宋体" w:cs="宋体"/>
          <w:sz w:val="24"/>
          <w:szCs w:val="24"/>
          <w:highlight w:val="none"/>
        </w:rPr>
        <w:t>高速公路工程档案管理服务项目</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项目负责人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必须为投标单位自有职工，出具</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为其缴纳的社保缴费证明。</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①社保缴纳证明材料需含缴费起止时间、缴费单位、缴费人员姓名并由社保机构加盖缴费证明专用章，社保机构官网上打印件与线下的盖章件具有同等效力，缴费单位须与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名称一致（</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下属不具备独立法人资格的分支机构缴纳的社保视为本单位）。若社保缴费证明材料中体现缴费类别的，则至少包含养老保险。</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出具的社保缴费证明时间段为近期连续3个月（2025年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月或2025年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月或2025年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p>
    <w:p>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）其他要求：</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拟投入本项目的驻场人员必须为投标单位自有职工，出具</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为其缴纳的社保缴费证明，具体要求同项目负责人。</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响应文件递交截止日当天，在“信用中国”网站（www.creditchina.gov.cn）查询，无被列入失信被执行人、重大税收违法案件当事人名单、政府采购严重失信行为记录名单及其他不符合《中华人民共和国政府采购法》第二十二条规定条件的信用记录。（投标响应文件中无需提供证明材料，以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 xml:space="preserve">现场核查为准）。           </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）单位负责人为同一人或者存在直接控股、管理关系的不同供应商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不得参加同一合同项下的政府采购活动。若同时参加同一合同项下的政府采购活动，则相关供应商的投标均做</w:t>
      </w:r>
      <w:r>
        <w:rPr>
          <w:rFonts w:hint="eastAsia" w:ascii="宋体" w:hAnsi="宋体" w:cs="宋体"/>
          <w:sz w:val="24"/>
          <w:szCs w:val="24"/>
          <w:highlight w:val="none"/>
          <w:lang w:eastAsia="zh-CN"/>
        </w:rPr>
        <w:t>无效响应</w:t>
      </w:r>
      <w:r>
        <w:rPr>
          <w:rFonts w:hint="eastAsia" w:ascii="宋体" w:hAnsi="宋体" w:eastAsia="宋体" w:cs="宋体"/>
          <w:sz w:val="24"/>
          <w:szCs w:val="24"/>
          <w:highlight w:val="none"/>
        </w:rPr>
        <w:t>处理。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注：请供应商认真对照资格要求，如不符合要求，无意或故意参与的，所产生的一切后果由供应商承担。对提供虚假材料的供应商作无效标处理，</w:t>
      </w:r>
      <w:r>
        <w:rPr>
          <w:rFonts w:hint="eastAsia" w:ascii="宋体" w:hAnsi="宋体"/>
          <w:b/>
          <w:color w:val="auto"/>
          <w:sz w:val="24"/>
          <w:highlight w:val="none"/>
          <w:lang w:val="zh-CN"/>
        </w:rPr>
        <w:t>将报</w:t>
      </w:r>
      <w:r>
        <w:rPr>
          <w:rFonts w:hint="eastAsia" w:ascii="宋体" w:hAnsi="宋体" w:cs="宋体"/>
          <w:b/>
          <w:bCs/>
          <w:color w:val="auto"/>
          <w:sz w:val="24"/>
          <w:highlight w:val="none"/>
        </w:rPr>
        <w:t>相关主管部门后将其列入黑名单，视情形在相关网站上公示。</w:t>
      </w:r>
      <w:r>
        <w:rPr>
          <w:rFonts w:ascii="宋体" w:hAnsi="宋体" w:cs="宋体"/>
          <w:b/>
          <w:bCs/>
          <w:color w:val="auto"/>
          <w:sz w:val="24"/>
          <w:highlight w:val="none"/>
        </w:rPr>
        <w:t>供应商应依照规定提交各类声明函、承诺函，不再同时提供原件备查或提供有关部门出具的相关证明文件。但中标或成交供应商，应</w:t>
      </w:r>
      <w:r>
        <w:rPr>
          <w:rFonts w:hint="eastAsia" w:ascii="宋体" w:hAnsi="宋体" w:cs="宋体"/>
          <w:b/>
          <w:bCs/>
          <w:color w:val="auto"/>
          <w:sz w:val="24"/>
          <w:highlight w:val="none"/>
        </w:rPr>
        <w:t>做好提交声明函、承诺函相应原件的核查准备</w:t>
      </w:r>
      <w:r>
        <w:rPr>
          <w:rFonts w:ascii="宋体" w:hAnsi="宋体" w:cs="宋体"/>
          <w:b/>
          <w:bCs/>
          <w:color w:val="auto"/>
          <w:sz w:val="24"/>
          <w:highlight w:val="none"/>
        </w:rPr>
        <w:t>；核查后发现虚假或违背承诺的，依照相关法律法规规定处理</w:t>
      </w:r>
      <w:r>
        <w:rPr>
          <w:rFonts w:hint="eastAsia" w:ascii="宋体" w:hAnsi="宋体" w:cs="宋体"/>
          <w:b/>
          <w:bCs/>
          <w:color w:val="auto"/>
          <w:sz w:val="24"/>
          <w:highlight w:val="none"/>
        </w:rPr>
        <w:t>。</w:t>
      </w:r>
    </w:p>
    <w:p>
      <w:pPr>
        <w:widowControl/>
        <w:shd w:val="clear" w:color="auto" w:fill="FFFFFF"/>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三、获取谈判文件</w:t>
      </w:r>
    </w:p>
    <w:p>
      <w:pPr>
        <w:snapToGrid w:val="0"/>
        <w:spacing w:line="360" w:lineRule="auto"/>
        <w:ind w:firstLine="508" w:firstLineChars="200"/>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1.</w:t>
      </w:r>
      <w:r>
        <w:rPr>
          <w:rFonts w:hint="eastAsia" w:ascii="宋体" w:hAnsi="宋体" w:cs="宋体"/>
          <w:color w:val="auto"/>
          <w:spacing w:val="7"/>
          <w:kern w:val="0"/>
          <w:sz w:val="24"/>
          <w:highlight w:val="none"/>
        </w:rPr>
        <w:t>公告发布媒介：南通市交通运输局官网（http://jtysj.nantong.gov.cn/）。</w:t>
      </w:r>
    </w:p>
    <w:p>
      <w:pPr>
        <w:snapToGrid w:val="0"/>
        <w:spacing w:line="360" w:lineRule="auto"/>
        <w:ind w:firstLine="508" w:firstLineChars="200"/>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2.</w:t>
      </w:r>
      <w:r>
        <w:rPr>
          <w:rFonts w:hint="eastAsia" w:ascii="宋体" w:hAnsi="宋体" w:cs="宋体"/>
          <w:color w:val="auto"/>
          <w:spacing w:val="7"/>
          <w:kern w:val="0"/>
          <w:sz w:val="24"/>
          <w:highlight w:val="none"/>
        </w:rPr>
        <w:t>预约时间：自本公告上网发布之日起至2025年</w:t>
      </w:r>
      <w:r>
        <w:rPr>
          <w:rFonts w:hint="eastAsia" w:ascii="宋体" w:hAnsi="宋体" w:cs="宋体"/>
          <w:color w:val="auto"/>
          <w:spacing w:val="7"/>
          <w:kern w:val="0"/>
          <w:sz w:val="24"/>
          <w:highlight w:val="none"/>
          <w:lang w:val="en-US" w:eastAsia="zh-CN"/>
        </w:rPr>
        <w:t>10</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lang w:val="en-US" w:eastAsia="zh-CN"/>
        </w:rPr>
        <w:t>30</w:t>
      </w:r>
      <w:r>
        <w:rPr>
          <w:rFonts w:hint="eastAsia" w:ascii="宋体" w:hAnsi="宋体" w:cs="宋体"/>
          <w:color w:val="auto"/>
          <w:spacing w:val="7"/>
          <w:kern w:val="0"/>
          <w:sz w:val="24"/>
          <w:highlight w:val="none"/>
        </w:rPr>
        <w:t>日，每日工作时间：上午9:00至11:30整，下午13:30至17:30整（北京时间，双休、节假日除外）。</w:t>
      </w:r>
    </w:p>
    <w:p>
      <w:pPr>
        <w:snapToGrid w:val="0"/>
        <w:spacing w:line="360" w:lineRule="auto"/>
        <w:ind w:firstLine="508" w:firstLineChars="200"/>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3.</w:t>
      </w:r>
      <w:r>
        <w:rPr>
          <w:rFonts w:hint="eastAsia" w:ascii="宋体" w:hAnsi="宋体" w:cs="宋体"/>
          <w:color w:val="auto"/>
          <w:spacing w:val="7"/>
          <w:kern w:val="0"/>
          <w:sz w:val="24"/>
          <w:highlight w:val="none"/>
        </w:rPr>
        <w:t>预约方式：凡符合资格要求并有意愿参加本项目竞谈的供应商，请如实填写《申请函》（格式见本项目公告附件）并加盖公章，发彩色扫描件至邮箱（</w:t>
      </w:r>
      <w:r>
        <w:rPr>
          <w:rFonts w:hint="eastAsia" w:ascii="宋体" w:hAnsi="宋体" w:cs="宋体"/>
          <w:color w:val="auto"/>
          <w:spacing w:val="7"/>
          <w:kern w:val="0"/>
          <w:sz w:val="24"/>
          <w:highlight w:val="none"/>
          <w:lang w:eastAsia="zh-CN"/>
        </w:rPr>
        <w:t>szzcjyb@126.com</w:t>
      </w:r>
      <w:r>
        <w:rPr>
          <w:rFonts w:hint="eastAsia" w:ascii="宋体" w:hAnsi="宋体" w:cs="宋体"/>
          <w:color w:val="auto"/>
          <w:spacing w:val="7"/>
          <w:kern w:val="0"/>
          <w:sz w:val="24"/>
          <w:highlight w:val="none"/>
        </w:rPr>
        <w:t>）中，并致电采购人确认邮件送达，确认预约是否成功。</w:t>
      </w:r>
    </w:p>
    <w:p>
      <w:pPr>
        <w:snapToGrid w:val="0"/>
        <w:spacing w:line="360" w:lineRule="auto"/>
        <w:ind w:firstLine="508" w:firstLineChars="200"/>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采购人联系人：</w:t>
      </w:r>
      <w:r>
        <w:rPr>
          <w:rFonts w:hint="eastAsia" w:ascii="宋体" w:hAnsi="宋体" w:cs="宋体"/>
          <w:color w:val="auto"/>
          <w:spacing w:val="7"/>
          <w:kern w:val="0"/>
          <w:sz w:val="24"/>
          <w:highlight w:val="none"/>
          <w:lang w:val="en-US" w:eastAsia="zh-CN"/>
        </w:rPr>
        <w:t>严工</w:t>
      </w:r>
      <w:r>
        <w:rPr>
          <w:rFonts w:hint="eastAsia" w:ascii="宋体" w:hAnsi="宋体" w:cs="宋体"/>
          <w:color w:val="auto"/>
          <w:spacing w:val="7"/>
          <w:kern w:val="0"/>
          <w:sz w:val="24"/>
          <w:highlight w:val="none"/>
        </w:rPr>
        <w:t>，联系电话：15851264972。</w:t>
      </w:r>
    </w:p>
    <w:p>
      <w:pPr>
        <w:snapToGrid w:val="0"/>
        <w:spacing w:line="360" w:lineRule="auto"/>
        <w:ind w:firstLine="508" w:firstLineChars="200"/>
        <w:contextualSpacing/>
        <w:rPr>
          <w:rFonts w:hint="eastAsia" w:ascii="宋体" w:hAnsi="宋体" w:cs="宋体"/>
          <w:color w:val="auto"/>
          <w:spacing w:val="7"/>
          <w:kern w:val="0"/>
          <w:sz w:val="24"/>
          <w:highlight w:val="none"/>
          <w:lang w:eastAsia="zh-CN"/>
        </w:rPr>
      </w:pPr>
      <w:r>
        <w:rPr>
          <w:rFonts w:hint="eastAsia" w:ascii="宋体" w:hAnsi="宋体" w:cs="宋体"/>
          <w:color w:val="auto"/>
          <w:spacing w:val="7"/>
          <w:kern w:val="0"/>
          <w:sz w:val="24"/>
          <w:highlight w:val="none"/>
        </w:rPr>
        <w:t>注：未按上述要求进行预约的，视为放弃本项目谈判。</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四、谈判响应文件递交</w:t>
      </w:r>
    </w:p>
    <w:p>
      <w:pPr>
        <w:pageBreakBefore w:val="0"/>
        <w:widowControl w:val="0"/>
        <w:kinsoku/>
        <w:wordWrap/>
        <w:overflowPunct/>
        <w:topLinePunct w:val="0"/>
        <w:autoSpaceDE/>
        <w:autoSpaceDN/>
        <w:bidi w:val="0"/>
        <w:snapToGrid w:val="0"/>
        <w:spacing w:line="336" w:lineRule="auto"/>
        <w:ind w:left="239" w:leftChars="114" w:firstLine="240" w:firstLineChars="1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谈判响应文件统一在谈判会上递交，文件递交的截止时间为</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31</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0分</w:t>
      </w:r>
      <w:r>
        <w:rPr>
          <w:rFonts w:hint="eastAsia" w:ascii="宋体" w:hAnsi="宋体" w:eastAsia="宋体" w:cs="宋体"/>
          <w:sz w:val="24"/>
          <w:szCs w:val="24"/>
          <w:highlight w:val="none"/>
        </w:rPr>
        <w:t>。文件递交地点：</w:t>
      </w:r>
      <w:r>
        <w:rPr>
          <w:rFonts w:hint="eastAsia" w:ascii="宋体" w:hAnsi="宋体" w:eastAsia="宋体" w:cs="宋体"/>
          <w:sz w:val="24"/>
          <w:szCs w:val="24"/>
          <w:highlight w:val="none"/>
          <w:u w:val="single"/>
          <w:lang w:val="en-US" w:eastAsia="zh-CN"/>
        </w:rPr>
        <w:t>南通市交通运输局1</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lang w:val="en-US" w:eastAsia="zh-CN"/>
        </w:rPr>
        <w:t>楼</w:t>
      </w:r>
      <w:r>
        <w:rPr>
          <w:rFonts w:hint="eastAsia" w:ascii="宋体" w:hAnsi="宋体" w:cs="宋体"/>
          <w:sz w:val="24"/>
          <w:szCs w:val="24"/>
          <w:highlight w:val="none"/>
          <w:u w:val="single"/>
          <w:lang w:val="en-US" w:eastAsia="zh-CN"/>
        </w:rPr>
        <w:t>东</w:t>
      </w:r>
      <w:r>
        <w:rPr>
          <w:rFonts w:hint="eastAsia" w:ascii="宋体" w:hAnsi="宋体" w:eastAsia="宋体" w:cs="宋体"/>
          <w:sz w:val="24"/>
          <w:szCs w:val="24"/>
          <w:highlight w:val="none"/>
          <w:u w:val="single"/>
          <w:lang w:val="en-US" w:eastAsia="zh-CN"/>
        </w:rPr>
        <w:t>会议室</w:t>
      </w:r>
      <w:r>
        <w:rPr>
          <w:rFonts w:hint="eastAsia" w:ascii="宋体" w:hAnsi="宋体" w:eastAsia="宋体" w:cs="宋体"/>
          <w:sz w:val="24"/>
          <w:szCs w:val="24"/>
          <w:highlight w:val="none"/>
        </w:rPr>
        <w:t>。逾期送达的或者未送达指定地点的谈判响应文件，</w:t>
      </w:r>
      <w:r>
        <w:rPr>
          <w:rFonts w:hint="eastAsia" w:ascii="宋体" w:hAnsi="宋体" w:eastAsia="宋体" w:cs="宋体"/>
          <w:sz w:val="24"/>
          <w:szCs w:val="24"/>
          <w:highlight w:val="none"/>
          <w:lang w:eastAsia="zh-CN"/>
        </w:rPr>
        <w:t>发包人</w:t>
      </w:r>
      <w:r>
        <w:rPr>
          <w:rFonts w:hint="eastAsia" w:ascii="宋体" w:hAnsi="宋体" w:eastAsia="宋体" w:cs="宋体"/>
          <w:sz w:val="24"/>
          <w:szCs w:val="24"/>
          <w:highlight w:val="none"/>
        </w:rPr>
        <w:t>不予受理。</w:t>
      </w:r>
    </w:p>
    <w:p>
      <w:pPr>
        <w:widowControl/>
        <w:snapToGrid w:val="0"/>
        <w:spacing w:line="360" w:lineRule="auto"/>
        <w:ind w:firstLine="480" w:firstLineChars="200"/>
        <w:contextualSpacing/>
        <w:rPr>
          <w:rFonts w:hint="eastAsia" w:cs="宋体" w:asciiTheme="minorEastAsia" w:hAnsiTheme="minorEastAsia" w:eastAsiaTheme="minorEastAsia"/>
          <w:color w:val="auto"/>
          <w:spacing w:val="7"/>
          <w:kern w:val="0"/>
          <w:sz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定于本项目竞标截止同一时间在上述竞标地点公开开标，竞标人应派法定代表人或其授权代理人</w:t>
      </w:r>
      <w:r>
        <w:rPr>
          <w:rFonts w:hint="eastAsia" w:ascii="宋体" w:hAnsi="宋体" w:cs="宋体"/>
          <w:sz w:val="24"/>
          <w:szCs w:val="24"/>
          <w:highlight w:val="none"/>
          <w:lang w:eastAsia="zh-CN"/>
        </w:rPr>
        <w:t>应</w:t>
      </w:r>
      <w:r>
        <w:rPr>
          <w:rFonts w:hint="eastAsia" w:ascii="宋体" w:hAnsi="宋体" w:eastAsia="宋体" w:cs="宋体"/>
          <w:sz w:val="24"/>
          <w:szCs w:val="24"/>
          <w:highlight w:val="none"/>
        </w:rPr>
        <w:t>携带有效身份证明出席。</w:t>
      </w:r>
    </w:p>
    <w:p>
      <w:pPr>
        <w:widowControl/>
        <w:snapToGrid w:val="0"/>
        <w:spacing w:line="360" w:lineRule="auto"/>
        <w:ind w:firstLine="510" w:firstLineChars="200"/>
        <w:contextualSpacing/>
        <w:rPr>
          <w:rFonts w:ascii="宋体" w:hAnsi="宋体" w:cs="宋体"/>
          <w:b/>
          <w:bCs/>
          <w:color w:val="auto"/>
          <w:spacing w:val="7"/>
          <w:kern w:val="0"/>
          <w:sz w:val="24"/>
          <w:highlight w:val="none"/>
        </w:rPr>
      </w:pPr>
      <w:r>
        <w:rPr>
          <w:rFonts w:hint="eastAsia" w:ascii="宋体" w:hAnsi="宋体" w:cs="宋体"/>
          <w:b/>
          <w:bCs/>
          <w:color w:val="auto"/>
          <w:spacing w:val="7"/>
          <w:kern w:val="0"/>
          <w:sz w:val="24"/>
          <w:highlight w:val="none"/>
          <w:lang w:val="en-US" w:eastAsia="zh-CN"/>
        </w:rPr>
        <w:t>五</w:t>
      </w:r>
      <w:r>
        <w:rPr>
          <w:rFonts w:hint="eastAsia" w:ascii="宋体" w:hAnsi="宋体" w:cs="宋体"/>
          <w:b/>
          <w:bCs/>
          <w:color w:val="auto"/>
          <w:spacing w:val="7"/>
          <w:kern w:val="0"/>
          <w:sz w:val="24"/>
          <w:highlight w:val="none"/>
        </w:rPr>
        <w:t>、谈判响应文件开启</w:t>
      </w:r>
    </w:p>
    <w:p>
      <w:pPr>
        <w:snapToGrid w:val="0"/>
        <w:spacing w:line="360" w:lineRule="auto"/>
        <w:ind w:firstLine="508" w:firstLineChars="200"/>
        <w:contextualSpacing/>
        <w:rPr>
          <w:rFonts w:cs="宋体" w:asciiTheme="minorEastAsia" w:hAnsiTheme="minorEastAsia" w:eastAsiaTheme="minorEastAsia"/>
          <w:color w:val="auto"/>
          <w:spacing w:val="7"/>
          <w:kern w:val="0"/>
          <w:sz w:val="24"/>
          <w:highlight w:val="none"/>
        </w:rPr>
      </w:pPr>
      <w:r>
        <w:rPr>
          <w:rFonts w:hint="eastAsia" w:cs="宋体" w:asciiTheme="minorEastAsia" w:hAnsiTheme="minorEastAsia" w:eastAsiaTheme="minorEastAsia"/>
          <w:color w:val="auto"/>
          <w:spacing w:val="7"/>
          <w:kern w:val="0"/>
          <w:sz w:val="24"/>
          <w:highlight w:val="none"/>
        </w:rPr>
        <w:t>时间：</w:t>
      </w:r>
      <w:r>
        <w:rPr>
          <w:rFonts w:hint="eastAsia" w:cs="宋体" w:asciiTheme="minorEastAsia" w:hAnsiTheme="minorEastAsia" w:eastAsiaTheme="minorEastAsia"/>
          <w:color w:val="auto"/>
          <w:kern w:val="0"/>
          <w:sz w:val="24"/>
          <w:highlight w:val="none"/>
        </w:rPr>
        <w:t>同谈判响应文件递交截止时间</w:t>
      </w:r>
    </w:p>
    <w:p>
      <w:pPr>
        <w:snapToGrid w:val="0"/>
        <w:spacing w:line="360" w:lineRule="auto"/>
        <w:ind w:firstLine="508" w:firstLineChars="200"/>
        <w:contextualSpacing/>
        <w:rPr>
          <w:rFonts w:ascii="宋体" w:hAnsi="宋体" w:cs="宋体"/>
          <w:b/>
          <w:color w:val="auto"/>
          <w:spacing w:val="7"/>
          <w:kern w:val="0"/>
          <w:sz w:val="24"/>
          <w:highlight w:val="none"/>
        </w:rPr>
      </w:pPr>
      <w:r>
        <w:rPr>
          <w:rFonts w:hint="eastAsia" w:cs="宋体" w:asciiTheme="minorEastAsia" w:hAnsiTheme="minorEastAsia" w:eastAsiaTheme="minorEastAsia"/>
          <w:color w:val="auto"/>
          <w:spacing w:val="7"/>
          <w:kern w:val="0"/>
          <w:sz w:val="24"/>
          <w:highlight w:val="none"/>
        </w:rPr>
        <w:t>地点：</w:t>
      </w:r>
      <w:r>
        <w:rPr>
          <w:rFonts w:hint="eastAsia" w:cs="宋体" w:asciiTheme="minorEastAsia" w:hAnsiTheme="minorEastAsia" w:eastAsiaTheme="minorEastAsia"/>
          <w:color w:val="auto"/>
          <w:kern w:val="0"/>
          <w:sz w:val="24"/>
          <w:highlight w:val="none"/>
        </w:rPr>
        <w:t>同谈判响应文件递交截止</w:t>
      </w:r>
      <w:r>
        <w:rPr>
          <w:rFonts w:hint="eastAsia" w:cs="宋体" w:asciiTheme="minorEastAsia" w:hAnsiTheme="minorEastAsia" w:eastAsiaTheme="minorEastAsia"/>
          <w:color w:val="auto"/>
          <w:kern w:val="0"/>
          <w:sz w:val="24"/>
          <w:highlight w:val="none"/>
          <w:lang w:val="en-US" w:eastAsia="zh-CN"/>
        </w:rPr>
        <w:t>地点</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lang w:val="en-US" w:eastAsia="zh-CN"/>
        </w:rPr>
        <w:t>六</w:t>
      </w:r>
      <w:r>
        <w:rPr>
          <w:rFonts w:hint="eastAsia" w:ascii="宋体" w:hAnsi="宋体" w:cs="宋体"/>
          <w:b/>
          <w:color w:val="auto"/>
          <w:spacing w:val="7"/>
          <w:kern w:val="0"/>
          <w:sz w:val="24"/>
          <w:highlight w:val="none"/>
        </w:rPr>
        <w:t>、</w:t>
      </w:r>
      <w:r>
        <w:rPr>
          <w:rFonts w:ascii="宋体" w:hAnsi="宋体" w:cs="宋体"/>
          <w:b/>
          <w:color w:val="auto"/>
          <w:spacing w:val="7"/>
          <w:kern w:val="0"/>
          <w:sz w:val="24"/>
          <w:highlight w:val="none"/>
        </w:rPr>
        <w:t>公告期限</w:t>
      </w:r>
    </w:p>
    <w:p>
      <w:pPr>
        <w:snapToGrid w:val="0"/>
        <w:spacing w:line="360" w:lineRule="auto"/>
        <w:ind w:firstLine="508" w:firstLineChars="200"/>
        <w:contextualSpacing/>
        <w:rPr>
          <w:rFonts w:hint="eastAsia" w:ascii="宋体" w:hAnsi="宋体" w:eastAsia="宋体" w:cs="宋体"/>
          <w:color w:val="auto"/>
          <w:spacing w:val="7"/>
          <w:kern w:val="0"/>
          <w:sz w:val="24"/>
          <w:highlight w:val="none"/>
          <w:lang w:val="en-US" w:eastAsia="zh-CN"/>
        </w:rPr>
      </w:pPr>
      <w:r>
        <w:rPr>
          <w:rFonts w:hint="eastAsia" w:ascii="宋体" w:hAnsi="宋体" w:cs="宋体"/>
          <w:color w:val="auto"/>
          <w:spacing w:val="7"/>
          <w:kern w:val="0"/>
          <w:sz w:val="24"/>
          <w:highlight w:val="none"/>
        </w:rPr>
        <w:t>自本公告发布之日起3个工作日</w:t>
      </w:r>
      <w:r>
        <w:rPr>
          <w:rFonts w:ascii="宋体" w:hAnsi="宋体" w:cs="宋体"/>
          <w:color w:val="auto"/>
          <w:spacing w:val="7"/>
          <w:kern w:val="0"/>
          <w:sz w:val="24"/>
          <w:highlight w:val="none"/>
        </w:rPr>
        <w:t>。</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lang w:val="en-US" w:eastAsia="zh-CN"/>
        </w:rPr>
        <w:t>七</w:t>
      </w:r>
      <w:r>
        <w:rPr>
          <w:rFonts w:hint="eastAsia" w:ascii="宋体" w:hAnsi="宋体" w:cs="宋体"/>
          <w:b/>
          <w:color w:val="auto"/>
          <w:spacing w:val="7"/>
          <w:kern w:val="0"/>
          <w:sz w:val="24"/>
          <w:highlight w:val="none"/>
        </w:rPr>
        <w:t>、公告媒介</w:t>
      </w:r>
    </w:p>
    <w:p>
      <w:pPr>
        <w:spacing w:line="360" w:lineRule="auto"/>
        <w:ind w:firstLine="480" w:firstLineChars="200"/>
        <w:jc w:val="left"/>
        <w:rPr>
          <w:rFonts w:hint="eastAsia" w:ascii="宋体" w:hAnsi="Times New Roman" w:eastAsia="宋体" w:cs="宋体"/>
          <w:color w:val="auto"/>
          <w:sz w:val="24"/>
          <w:highlight w:val="none"/>
        </w:rPr>
      </w:pPr>
      <w:r>
        <w:rPr>
          <w:rFonts w:hint="eastAsia" w:ascii="宋体" w:cs="宋体"/>
          <w:color w:val="auto"/>
          <w:sz w:val="24"/>
          <w:highlight w:val="none"/>
        </w:rPr>
        <w:t>本次竞争性谈判公告发布在南通市交通运输局网站（网址：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http://jtysj.nantong.gov.cn/）上。南通市交通运输局网站是本项目竞争性谈判公告、补遗书、谈判文件澄清、成交结果公告等采购信息约定的唯一公开发布媒介。</w:t>
      </w:r>
      <w:r>
        <w:rPr>
          <w:rFonts w:hint="eastAsia" w:ascii="宋体" w:hAnsi="Times New Roman" w:eastAsia="宋体" w:cs="宋体"/>
          <w:color w:val="auto"/>
          <w:sz w:val="24"/>
          <w:highlight w:val="none"/>
        </w:rPr>
        <w:fldChar w:fldCharType="end"/>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lang w:val="en-US" w:eastAsia="zh-CN"/>
        </w:rPr>
        <w:t>八</w:t>
      </w:r>
      <w:r>
        <w:rPr>
          <w:rFonts w:hint="eastAsia" w:ascii="宋体" w:hAnsi="宋体" w:cs="宋体"/>
          <w:b/>
          <w:color w:val="auto"/>
          <w:spacing w:val="7"/>
          <w:kern w:val="0"/>
          <w:sz w:val="24"/>
          <w:highlight w:val="none"/>
        </w:rPr>
        <w:t>、其他补充事宜、其他补充事宜</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ascii="宋体" w:hAnsi="宋体" w:cs="宋体"/>
          <w:color w:val="auto"/>
          <w:spacing w:val="7"/>
          <w:kern w:val="0"/>
          <w:sz w:val="24"/>
          <w:highlight w:val="none"/>
        </w:rPr>
        <w:t>1</w:t>
      </w:r>
      <w:r>
        <w:rPr>
          <w:rFonts w:hint="eastAsia" w:ascii="宋体" w:hAnsi="宋体" w:cs="宋体"/>
          <w:color w:val="auto"/>
          <w:spacing w:val="7"/>
          <w:kern w:val="0"/>
          <w:sz w:val="24"/>
          <w:highlight w:val="none"/>
        </w:rPr>
        <w:t>.</w:t>
      </w:r>
      <w:r>
        <w:rPr>
          <w:rFonts w:ascii="宋体" w:hAnsi="宋体" w:cs="宋体"/>
          <w:color w:val="auto"/>
          <w:spacing w:val="7"/>
          <w:kern w:val="0"/>
          <w:sz w:val="24"/>
          <w:highlight w:val="none"/>
        </w:rPr>
        <w:t>谈判保证金：本项目不设谈判保证金</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ascii="宋体" w:hAnsi="宋体" w:cs="宋体"/>
          <w:color w:val="auto"/>
          <w:spacing w:val="7"/>
          <w:kern w:val="0"/>
          <w:sz w:val="24"/>
          <w:highlight w:val="none"/>
        </w:rPr>
        <w:t>2</w:t>
      </w:r>
      <w:r>
        <w:rPr>
          <w:rFonts w:hint="eastAsia" w:ascii="宋体" w:hAnsi="宋体" w:cs="宋体"/>
          <w:color w:val="auto"/>
          <w:spacing w:val="7"/>
          <w:kern w:val="0"/>
          <w:sz w:val="24"/>
          <w:highlight w:val="none"/>
        </w:rPr>
        <w:t>.</w:t>
      </w:r>
      <w:r>
        <w:rPr>
          <w:rFonts w:ascii="宋体" w:hAnsi="宋体" w:cs="宋体"/>
          <w:color w:val="auto"/>
          <w:spacing w:val="7"/>
          <w:kern w:val="0"/>
          <w:sz w:val="24"/>
          <w:highlight w:val="none"/>
        </w:rPr>
        <w:t>项目谈判活动模式：纸质文件，现场谈判。</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lang w:val="en-US" w:eastAsia="zh-CN"/>
        </w:rPr>
        <w:t>九</w:t>
      </w:r>
      <w:r>
        <w:rPr>
          <w:rFonts w:hint="eastAsia" w:ascii="宋体" w:hAnsi="宋体" w:cs="宋体"/>
          <w:b/>
          <w:color w:val="auto"/>
          <w:spacing w:val="7"/>
          <w:kern w:val="0"/>
          <w:sz w:val="24"/>
          <w:highlight w:val="none"/>
        </w:rPr>
        <w:t>、凡对本次采购提出询问，请按以下方式联系。</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招标人：南通市海太长江隧道北接线工程建设现场指挥部</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址：南通市海门区滨江街道东洲河路666号9号楼</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 系 人：王警辉</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话：13773667221</w:t>
      </w:r>
    </w:p>
    <w:p>
      <w:pPr>
        <w:widowControl/>
        <w:shd w:val="clear" w:color="auto" w:fill="FFFFFF"/>
        <w:spacing w:line="360" w:lineRule="auto"/>
        <w:ind w:firstLine="480" w:firstLineChars="200"/>
        <w:rPr>
          <w:rFonts w:hint="eastAsia" w:ascii="宋体" w:hAnsi="宋体" w:cs="宋体"/>
          <w:color w:val="auto"/>
          <w:sz w:val="24"/>
          <w:highlight w:val="none"/>
        </w:rPr>
      </w:pP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招标代理：中诚智信工程咨询集团股份有限公司</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址：苏州市高新区科技城潇湘路99号诚来智大楼5楼</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 系 人：邱海峰、吕俊峰</w:t>
      </w:r>
    </w:p>
    <w:p>
      <w:pPr>
        <w:widowControl/>
        <w:shd w:val="clear" w:color="auto" w:fill="FFFFFF"/>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话：18036206278（邱海峰），18550663166（吕俊峰）</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E-mail</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szzcjyb@126.com</w:t>
      </w:r>
    </w:p>
    <w:p>
      <w:pPr>
        <w:widowControl/>
        <w:shd w:val="clear" w:color="auto" w:fill="FFFFFF"/>
        <w:wordWrap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p>
    <w:p>
      <w:pPr>
        <w:widowControl/>
        <w:jc w:val="left"/>
        <w:rPr>
          <w:rFonts w:ascii="宋体" w:hAnsi="宋体"/>
          <w:kern w:val="0"/>
          <w:sz w:val="28"/>
          <w:szCs w:val="28"/>
          <w:highlight w:val="none"/>
        </w:rPr>
      </w:pPr>
      <w:r>
        <w:rPr>
          <w:rFonts w:ascii="宋体" w:hAnsi="宋体"/>
          <w:color w:val="auto"/>
          <w:kern w:val="0"/>
          <w:sz w:val="28"/>
          <w:szCs w:val="28"/>
          <w:highlight w:val="none"/>
        </w:rPr>
        <w:br w:type="page"/>
      </w:r>
      <w:r>
        <w:rPr>
          <w:rFonts w:hint="eastAsia" w:ascii="宋体" w:hAnsi="宋体"/>
          <w:kern w:val="0"/>
          <w:sz w:val="28"/>
          <w:szCs w:val="28"/>
          <w:highlight w:val="none"/>
        </w:rPr>
        <w:t>附件</w:t>
      </w:r>
    </w:p>
    <w:p>
      <w:pPr>
        <w:spacing w:line="420" w:lineRule="exact"/>
        <w:jc w:val="center"/>
        <w:rPr>
          <w:rFonts w:ascii="宋体" w:hAnsi="宋体"/>
          <w:b/>
          <w:kern w:val="0"/>
          <w:sz w:val="32"/>
          <w:szCs w:val="20"/>
          <w:highlight w:val="none"/>
        </w:rPr>
      </w:pPr>
      <w:r>
        <w:rPr>
          <w:rFonts w:hint="eastAsia" w:ascii="宋体" w:hAnsi="宋体"/>
          <w:b/>
          <w:kern w:val="0"/>
          <w:sz w:val="32"/>
          <w:szCs w:val="20"/>
          <w:highlight w:val="none"/>
        </w:rPr>
        <w:t>申请函</w:t>
      </w:r>
    </w:p>
    <w:p>
      <w:pPr>
        <w:spacing w:line="420" w:lineRule="exact"/>
        <w:jc w:val="left"/>
        <w:rPr>
          <w:rFonts w:ascii="宋体" w:hAnsi="宋体"/>
          <w:b/>
          <w:kern w:val="0"/>
          <w:sz w:val="32"/>
          <w:szCs w:val="20"/>
          <w:highlight w:val="none"/>
        </w:rPr>
      </w:pPr>
    </w:p>
    <w:p>
      <w:pPr>
        <w:adjustRightInd w:val="0"/>
        <w:snapToGrid w:val="0"/>
        <w:spacing w:line="360" w:lineRule="auto"/>
        <w:jc w:val="left"/>
        <w:rPr>
          <w:rFonts w:ascii="宋体" w:hAnsi="宋体"/>
          <w:b/>
          <w:kern w:val="0"/>
          <w:sz w:val="24"/>
          <w:highlight w:val="none"/>
          <w:u w:val="single"/>
        </w:rPr>
      </w:pPr>
      <w:r>
        <w:rPr>
          <w:rFonts w:hint="eastAsia" w:ascii="宋体" w:hAnsi="宋体"/>
          <w:b/>
          <w:kern w:val="0"/>
          <w:sz w:val="24"/>
          <w:highlight w:val="none"/>
        </w:rPr>
        <w:t>致：</w:t>
      </w:r>
      <w:r>
        <w:rPr>
          <w:rFonts w:hint="eastAsia" w:ascii="宋体" w:hAnsi="宋体" w:cs="宋体"/>
          <w:b/>
          <w:spacing w:val="7"/>
          <w:kern w:val="0"/>
          <w:sz w:val="24"/>
          <w:highlight w:val="none"/>
          <w:u w:val="single"/>
        </w:rPr>
        <w:t>（采购人名称）</w:t>
      </w:r>
    </w:p>
    <w:p>
      <w:pPr>
        <w:widowControl/>
        <w:shd w:val="clear" w:color="auto" w:fill="FFFFFF"/>
        <w:adjustRightInd w:val="0"/>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我公司已获悉贵单位发出的</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竞争性谈判</w:t>
      </w:r>
      <w:r>
        <w:rPr>
          <w:rFonts w:hint="eastAsia" w:ascii="宋体" w:hAnsi="宋体" w:cs="宋体"/>
          <w:spacing w:val="7"/>
          <w:kern w:val="0"/>
          <w:sz w:val="24"/>
          <w:highlight w:val="none"/>
        </w:rPr>
        <w:t>公告</w:t>
      </w:r>
      <w:r>
        <w:rPr>
          <w:rFonts w:hint="eastAsia" w:ascii="宋体" w:hAnsi="宋体"/>
          <w:kern w:val="0"/>
          <w:sz w:val="24"/>
          <w:highlight w:val="none"/>
        </w:rPr>
        <w:t>，经研究，我单位拟参加本项目，现申请获取</w:t>
      </w:r>
      <w:r>
        <w:rPr>
          <w:rFonts w:hint="eastAsia" w:ascii="宋体" w:hAnsi="宋体"/>
          <w:sz w:val="24"/>
          <w:highlight w:val="none"/>
          <w:u w:val="none"/>
          <w:lang w:val="en-US" w:eastAsia="zh-CN"/>
        </w:rPr>
        <w:t>竞争性谈判</w:t>
      </w:r>
      <w:r>
        <w:rPr>
          <w:rFonts w:hint="eastAsia" w:ascii="宋体" w:hAnsi="宋体"/>
          <w:kern w:val="0"/>
          <w:sz w:val="24"/>
          <w:highlight w:val="none"/>
        </w:rPr>
        <w:t>文件。</w:t>
      </w:r>
    </w:p>
    <w:p>
      <w:pPr>
        <w:adjustRightInd w:val="0"/>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联系人：</w:t>
      </w:r>
      <w:r>
        <w:rPr>
          <w:rFonts w:ascii="宋体" w:hAnsi="宋体" w:cs="宋体"/>
          <w:spacing w:val="7"/>
          <w:kern w:val="0"/>
          <w:sz w:val="24"/>
          <w:highlight w:val="none"/>
          <w:u w:val="single"/>
        </w:rPr>
        <w:t xml:space="preserve">   </w:t>
      </w:r>
    </w:p>
    <w:p>
      <w:pPr>
        <w:adjustRightInd w:val="0"/>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联系电话：</w:t>
      </w:r>
      <w:r>
        <w:rPr>
          <w:rFonts w:ascii="宋体" w:hAnsi="宋体" w:cs="宋体"/>
          <w:spacing w:val="7"/>
          <w:kern w:val="0"/>
          <w:sz w:val="24"/>
          <w:highlight w:val="none"/>
          <w:u w:val="single"/>
        </w:rPr>
        <w:t xml:space="preserve">   </w:t>
      </w:r>
    </w:p>
    <w:p>
      <w:pPr>
        <w:adjustRightInd w:val="0"/>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E-MAIL地址：</w:t>
      </w:r>
      <w:r>
        <w:rPr>
          <w:rFonts w:ascii="宋体" w:hAnsi="宋体" w:cs="宋体"/>
          <w:spacing w:val="7"/>
          <w:kern w:val="0"/>
          <w:sz w:val="24"/>
          <w:highlight w:val="none"/>
          <w:u w:val="single"/>
        </w:rPr>
        <w:t xml:space="preserve">   </w:t>
      </w:r>
    </w:p>
    <w:p>
      <w:pPr>
        <w:adjustRightInd w:val="0"/>
        <w:snapToGrid w:val="0"/>
        <w:spacing w:line="360" w:lineRule="auto"/>
        <w:jc w:val="left"/>
        <w:rPr>
          <w:rFonts w:ascii="宋体" w:hAnsi="宋体" w:cs="宋体"/>
          <w:kern w:val="0"/>
          <w:sz w:val="24"/>
          <w:highlight w:val="none"/>
          <w:lang w:val="zh-CN"/>
        </w:rPr>
      </w:pPr>
    </w:p>
    <w:p>
      <w:pPr>
        <w:adjustRightInd w:val="0"/>
        <w:snapToGrid w:val="0"/>
        <w:spacing w:line="360" w:lineRule="auto"/>
        <w:ind w:firstLine="6960" w:firstLineChars="2900"/>
        <w:jc w:val="left"/>
        <w:rPr>
          <w:rFonts w:ascii="宋体" w:hAnsi="宋体" w:cs="宋体"/>
          <w:kern w:val="0"/>
          <w:sz w:val="24"/>
          <w:highlight w:val="none"/>
          <w:u w:val="single"/>
          <w:lang w:val="zh-CN"/>
        </w:rPr>
      </w:pPr>
      <w:r>
        <w:rPr>
          <w:rFonts w:hint="eastAsia" w:ascii="宋体" w:hAnsi="宋体" w:cs="宋体"/>
          <w:kern w:val="0"/>
          <w:sz w:val="24"/>
          <w:highlight w:val="none"/>
          <w:lang w:val="zh-CN"/>
        </w:rPr>
        <w:t>单位：</w:t>
      </w:r>
      <w:r>
        <w:rPr>
          <w:rFonts w:hint="eastAsia" w:ascii="宋体" w:hAnsi="宋体" w:cs="宋体"/>
          <w:kern w:val="0"/>
          <w:sz w:val="24"/>
          <w:highlight w:val="none"/>
          <w:u w:val="single"/>
          <w:lang w:val="zh-CN"/>
        </w:rPr>
        <w:t xml:space="preserve"> （盖章）                 </w:t>
      </w:r>
    </w:p>
    <w:p>
      <w:pPr>
        <w:jc w:val="right"/>
        <w:rPr>
          <w:rFonts w:hint="eastAsia" w:ascii="宋体" w:hAnsi="宋体" w:cs="宋体"/>
          <w:kern w:val="0"/>
          <w:sz w:val="24"/>
          <w:highlight w:val="none"/>
          <w:lang w:val="zh-CN"/>
        </w:rPr>
      </w:pPr>
      <w:r>
        <w:rPr>
          <w:rFonts w:ascii="宋体" w:hAnsi="宋体" w:cs="宋体"/>
          <w:spacing w:val="7"/>
          <w:kern w:val="0"/>
          <w:sz w:val="24"/>
          <w:highlight w:val="none"/>
          <w:u w:val="single"/>
        </w:rPr>
        <w:t xml:space="preserve">   </w:t>
      </w:r>
      <w:r>
        <w:rPr>
          <w:rFonts w:hint="eastAsia" w:ascii="宋体" w:hAnsi="宋体" w:cs="宋体"/>
          <w:kern w:val="0"/>
          <w:sz w:val="24"/>
          <w:highlight w:val="none"/>
          <w:lang w:val="zh-CN"/>
        </w:rPr>
        <w:t>年</w:t>
      </w:r>
      <w:r>
        <w:rPr>
          <w:rFonts w:ascii="宋体" w:hAnsi="宋体" w:cs="宋体"/>
          <w:spacing w:val="7"/>
          <w:kern w:val="0"/>
          <w:sz w:val="24"/>
          <w:highlight w:val="none"/>
          <w:u w:val="single"/>
        </w:rPr>
        <w:t xml:space="preserve">   </w:t>
      </w:r>
      <w:r>
        <w:rPr>
          <w:rFonts w:hint="eastAsia" w:ascii="宋体" w:hAnsi="宋体" w:cs="宋体"/>
          <w:kern w:val="0"/>
          <w:sz w:val="24"/>
          <w:highlight w:val="none"/>
          <w:lang w:val="zh-CN"/>
        </w:rPr>
        <w:t>月</w:t>
      </w:r>
      <w:r>
        <w:rPr>
          <w:rFonts w:ascii="宋体" w:hAnsi="宋体" w:cs="宋体"/>
          <w:spacing w:val="7"/>
          <w:kern w:val="0"/>
          <w:sz w:val="24"/>
          <w:highlight w:val="none"/>
          <w:u w:val="single"/>
        </w:rPr>
        <w:t xml:space="preserve">   </w:t>
      </w:r>
      <w:r>
        <w:rPr>
          <w:rFonts w:hint="eastAsia" w:ascii="宋体" w:hAnsi="宋体" w:cs="宋体"/>
          <w:kern w:val="0"/>
          <w:sz w:val="24"/>
          <w:highlight w:val="none"/>
          <w:lang w:val="zh-CN"/>
        </w:rPr>
        <w:t>日</w:t>
      </w:r>
    </w:p>
    <w:p>
      <w:pPr>
        <w:rPr>
          <w:rFonts w:hint="eastAsia" w:ascii="宋体" w:hAnsi="宋体" w:cs="宋体"/>
          <w:kern w:val="0"/>
          <w:sz w:val="24"/>
          <w:highlight w:val="none"/>
          <w:lang w:val="zh-CN"/>
        </w:rPr>
      </w:pPr>
    </w:p>
    <w:p>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第二部分</w:t>
      </w:r>
      <w:r>
        <w:rPr>
          <w:rFonts w:ascii="宋体" w:hAnsi="宋体" w:cs="宋体"/>
          <w:b/>
          <w:bCs/>
          <w:color w:val="auto"/>
          <w:sz w:val="36"/>
          <w:szCs w:val="36"/>
          <w:highlight w:val="none"/>
          <w:lang w:val="zh-CN"/>
        </w:rPr>
        <w:t xml:space="preserve"> </w:t>
      </w:r>
      <w:r>
        <w:rPr>
          <w:rFonts w:hint="eastAsia" w:ascii="宋体" w:hAnsi="宋体" w:cs="宋体"/>
          <w:b/>
          <w:bCs/>
          <w:color w:val="auto"/>
          <w:sz w:val="36"/>
          <w:szCs w:val="36"/>
          <w:highlight w:val="none"/>
          <w:lang w:val="zh-CN"/>
        </w:rPr>
        <w:t>谈判须知</w:t>
      </w:r>
    </w:p>
    <w:p>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pPr>
        <w:autoSpaceDE w:val="0"/>
        <w:autoSpaceDN w:val="0"/>
        <w:adjustRightIn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ascii="宋体" w:hAnsi="宋体" w:cs="宋体"/>
          <w:color w:val="auto"/>
          <w:sz w:val="24"/>
          <w:highlight w:val="none"/>
          <w:lang w:val="zh-CN"/>
        </w:rPr>
        <w:t>.</w:t>
      </w:r>
      <w:r>
        <w:rPr>
          <w:rFonts w:hint="eastAsia" w:ascii="宋体" w:hAnsi="宋体" w:cs="宋体"/>
          <w:color w:val="auto"/>
          <w:sz w:val="24"/>
          <w:highlight w:val="none"/>
        </w:rPr>
        <w:t>本竞争性谈判文件仅适用于采购人组织的竞争性谈判采购活动。</w:t>
      </w:r>
    </w:p>
    <w:p>
      <w:pPr>
        <w:autoSpaceDE w:val="0"/>
        <w:autoSpaceDN w:val="0"/>
        <w:adjustRightIn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hint="eastAsia" w:ascii="宋体" w:hAnsi="宋体" w:cs="宋体"/>
          <w:color w:val="auto"/>
          <w:sz w:val="24"/>
          <w:highlight w:val="none"/>
        </w:rPr>
        <w:t>竞争性谈判活动及因本次谈判产生的合同受中国法律制约和保护。</w:t>
      </w:r>
    </w:p>
    <w:p>
      <w:pPr>
        <w:snapToGrid w:val="0"/>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3</w:t>
      </w:r>
      <w:r>
        <w:rPr>
          <w:rFonts w:ascii="宋体" w:hAnsi="宋体" w:cs="宋体"/>
          <w:color w:val="auto"/>
          <w:sz w:val="24"/>
          <w:highlight w:val="none"/>
          <w:lang w:val="zh-CN"/>
        </w:rPr>
        <w:t>.</w:t>
      </w:r>
      <w:r>
        <w:rPr>
          <w:rFonts w:hint="eastAsia" w:ascii="宋体" w:hAnsi="宋体" w:cs="宋体"/>
          <w:bCs/>
          <w:color w:val="auto"/>
          <w:sz w:val="24"/>
          <w:highlight w:val="none"/>
        </w:rPr>
        <w:t>竞争性谈判文件的解释权属于采购人。</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rPr>
        <w:t>4</w:t>
      </w:r>
      <w:r>
        <w:rPr>
          <w:rFonts w:ascii="宋体" w:hAnsi="宋体" w:cs="宋体"/>
          <w:color w:val="auto"/>
          <w:sz w:val="24"/>
          <w:highlight w:val="none"/>
          <w:lang w:val="zh-CN"/>
        </w:rPr>
        <w:t>.</w:t>
      </w:r>
      <w:r>
        <w:rPr>
          <w:rFonts w:hint="eastAsia" w:ascii="宋体" w:hAnsi="宋体" w:cs="宋体"/>
          <w:color w:val="auto"/>
          <w:sz w:val="24"/>
          <w:highlight w:val="none"/>
        </w:rPr>
        <w:t>供应商下载谈判文件后，应仔细检查谈判文件的所有内容。如内容中有页码短缺、资格要求以及任何设置有不合理的条件对供应商实行差别待遇或者歧视待遇的，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供应商下载谈判</w:t>
      </w:r>
      <w:r>
        <w:rPr>
          <w:rFonts w:hint="eastAsia" w:ascii="宋体" w:hAnsi="宋体" w:cs="宋体"/>
          <w:color w:val="auto"/>
          <w:sz w:val="24"/>
          <w:highlight w:val="none"/>
        </w:rPr>
        <w:t>文件后，应在谈判文件发布后的</w:t>
      </w:r>
      <w:r>
        <w:rPr>
          <w:rFonts w:ascii="宋体" w:hAnsi="宋体" w:cs="宋体"/>
          <w:b/>
          <w:color w:val="auto"/>
          <w:sz w:val="24"/>
          <w:highlight w:val="none"/>
          <w:lang w:val="zh-CN"/>
        </w:rPr>
        <w:t>3日内以书面形式向采购人提出询问或疑问</w:t>
      </w:r>
      <w:r>
        <w:rPr>
          <w:rFonts w:hint="eastAsia" w:ascii="宋体" w:hAnsi="宋体" w:cs="宋体"/>
          <w:color w:val="auto"/>
          <w:sz w:val="24"/>
          <w:highlight w:val="none"/>
          <w:lang w:val="zh-CN"/>
        </w:rPr>
        <w:t>，未在规定的</w:t>
      </w:r>
      <w:r>
        <w:rPr>
          <w:rFonts w:ascii="宋体" w:hAnsi="宋体" w:cs="宋体"/>
          <w:color w:val="auto"/>
          <w:sz w:val="24"/>
          <w:highlight w:val="none"/>
          <w:lang w:val="zh-CN"/>
        </w:rPr>
        <w:t>3日内提出询问或疑问的，视同供应商理解并接受本谈判文件所有内容，并由此引起的损失自负。</w:t>
      </w:r>
      <w:r>
        <w:rPr>
          <w:rFonts w:hint="eastAsia" w:ascii="宋体" w:hAnsi="宋体" w:cs="宋体"/>
          <w:b/>
          <w:color w:val="auto"/>
          <w:sz w:val="24"/>
          <w:highlight w:val="none"/>
        </w:rPr>
        <w:t>非书面形式的不作为日后质疑提出的依据。</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6.</w:t>
      </w:r>
      <w:r>
        <w:rPr>
          <w:rFonts w:hint="eastAsia" w:ascii="宋体" w:hAnsi="宋体" w:cs="宋体"/>
          <w:color w:val="auto"/>
          <w:sz w:val="24"/>
          <w:highlight w:val="none"/>
        </w:rPr>
        <w:t>供应商在谈判开始前自行踏勘现场，供应商务必自行认真踏勘现场条件，进一步获取所需信息，一旦成交不得对现场条件提出额外要求，不得要求增加费用，采购人可视情组织答疑会。</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二、谈判文件的澄清、修改、答疑</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w:t>
      </w:r>
      <w:r>
        <w:rPr>
          <w:rFonts w:ascii="宋体" w:hAnsi="宋体" w:cs="宋体"/>
          <w:color w:val="auto"/>
          <w:sz w:val="24"/>
          <w:highlight w:val="none"/>
          <w:lang w:val="zh-CN"/>
        </w:rPr>
        <w:t>.</w:t>
      </w:r>
      <w:r>
        <w:rPr>
          <w:rFonts w:hint="eastAsia" w:ascii="宋体" w:hAnsi="宋体" w:cs="宋体"/>
          <w:color w:val="auto"/>
          <w:sz w:val="24"/>
          <w:highlight w:val="none"/>
        </w:rPr>
        <w:t>采购人有权对发出的谈判文件进行必要的澄清、修改或补充。</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hint="eastAsia" w:ascii="宋体" w:hAnsi="宋体" w:cs="宋体"/>
          <w:color w:val="auto"/>
          <w:sz w:val="24"/>
          <w:highlight w:val="none"/>
        </w:rPr>
        <w:t>谈判文件的澄清、修改、补充等内容均以书面明确的形式发布，并以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3</w:t>
      </w:r>
      <w:r>
        <w:rPr>
          <w:rFonts w:ascii="宋体" w:hAnsi="宋体" w:cs="宋体"/>
          <w:color w:val="auto"/>
          <w:sz w:val="24"/>
          <w:highlight w:val="none"/>
          <w:lang w:val="zh-CN"/>
        </w:rPr>
        <w:t>.</w:t>
      </w:r>
      <w:r>
        <w:rPr>
          <w:rFonts w:hint="eastAsia" w:ascii="宋体" w:hAnsi="宋体" w:cs="宋体"/>
          <w:color w:val="auto"/>
          <w:sz w:val="24"/>
          <w:highlight w:val="none"/>
        </w:rPr>
        <w:t>采购人对谈判文件的澄清、修改将构成谈判文件的一部分，对响应谈判的供应商具有约束力。</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4</w:t>
      </w:r>
      <w:r>
        <w:rPr>
          <w:rFonts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w:t>
      </w:r>
      <w:r>
        <w:rPr>
          <w:rFonts w:ascii="宋体" w:hAnsi="宋体" w:cs="宋体"/>
          <w:color w:val="auto"/>
          <w:sz w:val="24"/>
          <w:highlight w:val="none"/>
        </w:rPr>
        <w:t>3日前，发布澄清或者修改公告，不足3日的</w:t>
      </w:r>
      <w:r>
        <w:rPr>
          <w:rFonts w:hint="eastAsia" w:ascii="宋体" w:hAnsi="宋体" w:cs="宋体"/>
          <w:color w:val="auto"/>
          <w:sz w:val="24"/>
          <w:highlight w:val="none"/>
          <w:lang w:eastAsia="zh-CN"/>
        </w:rPr>
        <w:t>，应</w:t>
      </w:r>
      <w:r>
        <w:rPr>
          <w:rFonts w:ascii="宋体" w:hAnsi="宋体" w:cs="宋体"/>
          <w:color w:val="auto"/>
          <w:sz w:val="24"/>
          <w:highlight w:val="none"/>
        </w:rPr>
        <w:t>当顺延提交响应文件接收截止时间。</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5</w:t>
      </w:r>
      <w:r>
        <w:rPr>
          <w:rFonts w:ascii="宋体" w:hAnsi="宋体" w:cs="宋体"/>
          <w:color w:val="auto"/>
          <w:sz w:val="24"/>
          <w:highlight w:val="none"/>
          <w:lang w:val="zh-CN"/>
        </w:rPr>
        <w:t>.</w:t>
      </w:r>
      <w:r>
        <w:rPr>
          <w:rFonts w:hint="eastAsia" w:ascii="宋体" w:hAnsi="宋体" w:cs="宋体"/>
          <w:color w:val="auto"/>
          <w:sz w:val="24"/>
          <w:highlight w:val="none"/>
        </w:rPr>
        <w:t>除非采购人以书面的形式对谈判文件作出澄清、修改及补充，供应商由于对谈判文件的任何推论和误解以及采购人对有关问题的口头解释所造成的后果，均由供应商自负。</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6</w:t>
      </w:r>
      <w:r>
        <w:rPr>
          <w:rFonts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采购人视情况组织答疑会。如有产生答疑且对谈判文件内容有修改，采购人将按照本须知有关规定，以书面方式发出。</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三、谈判项目涉及到的现场勘察</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w:t>
      </w:r>
      <w:r>
        <w:rPr>
          <w:rFonts w:ascii="宋体" w:hAnsi="宋体" w:cs="宋体"/>
          <w:color w:val="auto"/>
          <w:sz w:val="24"/>
          <w:highlight w:val="none"/>
          <w:lang w:val="zh-CN"/>
        </w:rPr>
        <w:t>.</w:t>
      </w:r>
      <w:r>
        <w:rPr>
          <w:rFonts w:hint="eastAsia" w:ascii="宋体" w:hAnsi="宋体" w:cs="宋体"/>
          <w:color w:val="auto"/>
          <w:sz w:val="24"/>
          <w:highlight w:val="none"/>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3</w:t>
      </w:r>
      <w:r>
        <w:rPr>
          <w:rFonts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4</w:t>
      </w:r>
      <w:r>
        <w:rPr>
          <w:rFonts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keepNext/>
        <w:keepLines/>
        <w:adjustRightInd w:val="0"/>
        <w:snapToGrid w:val="0"/>
        <w:spacing w:line="360" w:lineRule="auto"/>
        <w:ind w:firstLine="482" w:firstLineChars="200"/>
        <w:outlineLvl w:val="2"/>
        <w:rPr>
          <w:rFonts w:hint="eastAsia" w:ascii="宋体" w:hAnsi="宋体" w:eastAsia="宋体"/>
          <w:b/>
          <w:bCs/>
          <w:color w:val="auto"/>
          <w:kern w:val="0"/>
          <w:sz w:val="24"/>
          <w:highlight w:val="none"/>
          <w:lang w:eastAsia="zh-CN"/>
        </w:rPr>
      </w:pPr>
      <w:r>
        <w:rPr>
          <w:rFonts w:hint="eastAsia" w:ascii="宋体" w:hAnsi="宋体" w:cs="宋体"/>
          <w:b/>
          <w:bCs/>
          <w:color w:val="auto"/>
          <w:sz w:val="24"/>
          <w:highlight w:val="none"/>
          <w:lang w:val="zh-CN"/>
        </w:rPr>
        <w:t>四、响应文件的编写、密封及标记</w:t>
      </w:r>
    </w:p>
    <w:p>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 xml:space="preserve">1.供应商按“第七部分 </w:t>
      </w:r>
      <w:r>
        <w:rPr>
          <w:rFonts w:hint="eastAsia" w:ascii="宋体" w:hAnsi="宋体" w:cs="宋体"/>
          <w:color w:val="auto"/>
          <w:sz w:val="24"/>
          <w:highlight w:val="none"/>
          <w:lang w:val="zh-CN"/>
        </w:rPr>
        <w:t>响应文件组成”要求编写响应文件。但表格可以按同样格式扩展。除另有规定者外，谈判响应人不得修改。</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2.响应文件规格幅面A4纸（图纸等除外）。</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3.按照谈判文件所规定的内容顺序，统一编制目录，逐页编码，由于编排混乱导致投标文件被误读或查找不到，其责任应当由供应商承担；牢固装订成册，不允许使用活页夹、拉杆夹、文件夹、塑料方便式书脊（插入式或穿孔式）装订。</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4.响应文件不得行间插字、涂改、增删，如修改错漏处，须经响应文件签署人签字并加盖公章。</w:t>
      </w:r>
    </w:p>
    <w:p>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仿宋_GB2312"/>
          <w:color w:val="auto"/>
          <w:sz w:val="24"/>
          <w:highlight w:val="none"/>
          <w:lang w:val="zh-CN"/>
        </w:rPr>
        <w:t>价格</w:t>
      </w:r>
      <w:r>
        <w:rPr>
          <w:rFonts w:hint="eastAsia" w:ascii="宋体" w:hAnsi="宋体" w:cs="宋体"/>
          <w:color w:val="auto"/>
          <w:sz w:val="24"/>
          <w:highlight w:val="none"/>
          <w:lang w:val="zh-CN"/>
        </w:rPr>
        <w:t>响应文件、</w:t>
      </w:r>
      <w:r>
        <w:rPr>
          <w:rFonts w:hint="eastAsia" w:ascii="宋体" w:hAnsi="宋体" w:cs="宋体"/>
          <w:color w:val="auto"/>
          <w:sz w:val="24"/>
          <w:highlight w:val="none"/>
        </w:rPr>
        <w:t>③</w:t>
      </w:r>
      <w:r>
        <w:rPr>
          <w:rFonts w:hint="eastAsia" w:ascii="宋体" w:hAnsi="宋体" w:cs="宋体"/>
          <w:color w:val="auto"/>
          <w:sz w:val="24"/>
          <w:highlight w:val="none"/>
          <w:lang w:val="zh-CN"/>
        </w:rPr>
        <w:t>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w:t>
      </w:r>
      <w:r>
        <w:rPr>
          <w:rFonts w:ascii="宋体" w:hAnsi="宋体" w:cs="宋体"/>
          <w:color w:val="auto"/>
          <w:sz w:val="24"/>
          <w:highlight w:val="none"/>
        </w:rPr>
        <w:t>3</w:t>
      </w:r>
      <w:r>
        <w:rPr>
          <w:rFonts w:hint="eastAsia" w:ascii="宋体" w:hAnsi="宋体" w:cs="宋体"/>
          <w:color w:val="auto"/>
          <w:sz w:val="24"/>
          <w:highlight w:val="none"/>
          <w:lang w:val="zh-CN"/>
        </w:rPr>
        <w:t>部分组成（以下由文件序号代称）。</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2.纸质响应文件均为一式叁份，其中“正本”壹份和“副本”贰份。电子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w:t>
      </w:r>
      <w:r>
        <w:rPr>
          <w:rFonts w:ascii="宋体" w:hAnsi="宋体" w:cs="宋体"/>
          <w:color w:val="auto"/>
          <w:sz w:val="24"/>
          <w:highlight w:val="none"/>
          <w:lang w:val="zh-CN"/>
        </w:rPr>
        <w:t>1份（具体要求详见第七部分响应文件组成）</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3.在每份纸质响应文件上要明确标注项目名称、对应的响应文件名称、供应商的全称、日期、“正本</w:t>
      </w:r>
      <w:r>
        <w:rPr>
          <w:rFonts w:hint="eastAsia" w:ascii="宋体" w:hAnsi="宋体" w:cs="宋体"/>
          <w:color w:val="auto"/>
          <w:sz w:val="24"/>
          <w:highlight w:val="none"/>
          <w:lang w:val="zh-CN"/>
        </w:rPr>
        <w:t>”“</w:t>
      </w:r>
      <w:r>
        <w:rPr>
          <w:rFonts w:ascii="宋体" w:hAnsi="宋体" w:cs="宋体"/>
          <w:color w:val="auto"/>
          <w:sz w:val="24"/>
          <w:highlight w:val="none"/>
          <w:lang w:val="zh-CN"/>
        </w:rPr>
        <w:t>副本”字样。“正本”和“副本”若有差异，概以“正本”为准。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4.响应文件中的所有“正本”，其正文内容须按谈判文件要求由供应商法定代表人或被授权人签字（或盖章）并加盖单位公章。“副本”可复印，但须加盖单位公章。</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5.电子版响应文件</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价格响应文件签字盖章后纸质版响应文件的扫描件，全部内容均存入一份③</w:t>
      </w:r>
      <w:r>
        <w:rPr>
          <w:rFonts w:ascii="宋体" w:hAnsi="宋体" w:cs="宋体"/>
          <w:color w:val="auto"/>
          <w:sz w:val="24"/>
          <w:highlight w:val="none"/>
          <w:lang w:val="zh-CN"/>
        </w:rPr>
        <w:t>U盘即可。</w:t>
      </w:r>
    </w:p>
    <w:p>
      <w:pPr>
        <w:autoSpaceDE w:val="0"/>
        <w:autoSpaceDN w:val="0"/>
        <w:adjustRightInd w:val="0"/>
        <w:snapToGrid w:val="0"/>
        <w:spacing w:line="360" w:lineRule="auto"/>
        <w:ind w:firstLine="482"/>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（三）响应文件的递交</w:t>
      </w:r>
    </w:p>
    <w:p>
      <w:pPr>
        <w:autoSpaceDE w:val="0"/>
        <w:autoSpaceDN w:val="0"/>
        <w:adjustRightInd w:val="0"/>
        <w:snapToGrid w:val="0"/>
        <w:spacing w:line="360" w:lineRule="auto"/>
        <w:ind w:firstLine="482"/>
        <w:rPr>
          <w:rFonts w:ascii="宋体" w:hAnsi="宋体" w:cs="宋体"/>
          <w:b/>
          <w:bCs/>
          <w:color w:val="auto"/>
          <w:sz w:val="24"/>
          <w:highlight w:val="none"/>
          <w:u w:val="double"/>
          <w:lang w:val="zh-CN"/>
        </w:rPr>
      </w:pPr>
      <w:r>
        <w:rPr>
          <w:rFonts w:ascii="宋体" w:hAnsi="宋体" w:cs="宋体"/>
          <w:color w:val="auto"/>
          <w:sz w:val="24"/>
          <w:highlight w:val="none"/>
          <w:lang w:val="zh-CN"/>
        </w:rPr>
        <w:t>1</w:t>
      </w:r>
      <w:r>
        <w:rPr>
          <w:rFonts w:hint="eastAsia" w:ascii="宋体" w:hAnsi="宋体" w:cs="宋体"/>
          <w:color w:val="auto"/>
          <w:sz w:val="24"/>
          <w:highlight w:val="none"/>
          <w:lang w:val="zh-CN"/>
        </w:rPr>
        <w:t>.</w:t>
      </w:r>
      <w:r>
        <w:rPr>
          <w:rFonts w:ascii="宋体" w:hAnsi="宋体" w:cs="宋体"/>
          <w:color w:val="auto"/>
          <w:sz w:val="24"/>
          <w:highlight w:val="none"/>
          <w:lang w:val="zh-CN"/>
        </w:rPr>
        <w:t>供应商须将本项目响应文件：</w:t>
      </w:r>
      <w:r>
        <w:rPr>
          <w:rFonts w:hint="eastAsia" w:ascii="宋体" w:hAnsi="宋体" w:cs="宋体"/>
          <w:b/>
          <w:bCs/>
          <w:color w:val="auto"/>
          <w:sz w:val="24"/>
          <w:highlight w:val="none"/>
          <w:u w:val="double"/>
          <w:lang w:val="zh-CN"/>
        </w:rPr>
        <w:fldChar w:fldCharType="begin"/>
      </w:r>
      <w:r>
        <w:rPr>
          <w:rFonts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单独密封；③密封至</w:t>
      </w:r>
      <w:r>
        <w:rPr>
          <w:rFonts w:hint="eastAsia" w:ascii="宋体" w:hAnsi="宋体" w:cs="宋体"/>
          <w:b/>
          <w:bCs/>
          <w:color w:val="auto"/>
          <w:sz w:val="24"/>
          <w:highlight w:val="none"/>
          <w:u w:val="double"/>
          <w:lang w:val="zh-CN"/>
        </w:rPr>
        <w:fldChar w:fldCharType="begin"/>
      </w:r>
      <w:r>
        <w:rPr>
          <w:rFonts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的封袋内。</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2.供应商可将响应文件正副本统一密封或分别密封，如正本和副本分别密封的，应在封袋或封箱上标明正、副本字样。</w:t>
      </w:r>
    </w:p>
    <w:p>
      <w:pPr>
        <w:autoSpaceDE w:val="0"/>
        <w:autoSpaceDN w:val="0"/>
        <w:adjustRightInd w:val="0"/>
        <w:snapToGrid w:val="0"/>
        <w:spacing w:line="360" w:lineRule="auto"/>
        <w:ind w:firstLine="480" w:firstLineChars="200"/>
        <w:jc w:val="left"/>
        <w:rPr>
          <w:rFonts w:ascii="宋体" w:hAnsi="宋体" w:cs="宋体"/>
          <w:b/>
          <w:bCs/>
          <w:color w:val="auto"/>
          <w:sz w:val="24"/>
          <w:highlight w:val="none"/>
          <w:u w:val="double"/>
          <w:lang w:val="zh-CN"/>
        </w:rPr>
      </w:pPr>
      <w:r>
        <w:rPr>
          <w:rFonts w:hint="eastAsia" w:cs="宋体" w:asciiTheme="minorEastAsia" w:hAnsiTheme="minorEastAsia" w:eastAsiaTheme="minorEastAsia"/>
          <w:color w:val="auto"/>
          <w:sz w:val="24"/>
          <w:highlight w:val="none"/>
          <w:lang w:val="zh-CN"/>
        </w:rPr>
        <w:t>3.</w:t>
      </w:r>
      <w:r>
        <w:rPr>
          <w:rFonts w:cs="宋体" w:asciiTheme="minorEastAsia" w:hAnsiTheme="minorEastAsia" w:eastAsiaTheme="minorEastAsia"/>
          <w:color w:val="auto"/>
          <w:sz w:val="24"/>
          <w:highlight w:val="none"/>
          <w:lang w:val="zh-CN"/>
        </w:rPr>
        <w:t>密封后，应在每一密封的响应文件上明确标注</w:t>
      </w:r>
      <w:r>
        <w:rPr>
          <w:rFonts w:hint="eastAsia" w:ascii="宋体" w:hAnsi="宋体" w:cs="宋体"/>
          <w:b/>
          <w:bCs/>
          <w:color w:val="auto"/>
          <w:sz w:val="24"/>
          <w:highlight w:val="none"/>
          <w:u w:val="double"/>
          <w:lang w:val="zh-CN"/>
        </w:rPr>
        <w:t>谈判项目名称、响应文件各自对应的名称、供应商的全称及日期。</w:t>
      </w:r>
    </w:p>
    <w:p>
      <w:pPr>
        <w:autoSpaceDE w:val="0"/>
        <w:autoSpaceDN w:val="0"/>
        <w:adjustRightInd w:val="0"/>
        <w:snapToGrid w:val="0"/>
        <w:spacing w:line="360" w:lineRule="auto"/>
        <w:ind w:firstLine="482"/>
        <w:rPr>
          <w:rFonts w:ascii="宋体" w:hAnsi="宋体" w:cs="宋体"/>
          <w:b/>
          <w:bCs/>
          <w:color w:val="auto"/>
          <w:sz w:val="24"/>
          <w:highlight w:val="none"/>
          <w:u w:val="double"/>
          <w:lang w:val="zh-CN"/>
        </w:rPr>
      </w:pPr>
      <w:r>
        <w:rPr>
          <w:rFonts w:hint="eastAsia" w:ascii="宋体" w:hAnsi="宋体" w:cs="宋体"/>
          <w:b/>
          <w:bCs/>
          <w:color w:val="auto"/>
          <w:sz w:val="24"/>
          <w:highlight w:val="none"/>
          <w:u w:val="double"/>
          <w:lang w:val="zh-CN"/>
        </w:rPr>
        <w:t>4.</w:t>
      </w:r>
      <w:r>
        <w:rPr>
          <w:rFonts w:ascii="宋体" w:hAnsi="宋体" w:cs="宋体"/>
          <w:b/>
          <w:bCs/>
          <w:color w:val="auto"/>
          <w:sz w:val="24"/>
          <w:highlight w:val="none"/>
          <w:u w:val="double"/>
          <w:lang w:val="zh-CN"/>
        </w:rPr>
        <w:t>在边缝处加盖供应商公章或骑缝签字。</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5.采购人将拒绝接收未按照竞争性谈判文件要求密封的响应文件。</w:t>
      </w:r>
    </w:p>
    <w:p>
      <w:pPr>
        <w:autoSpaceDE w:val="0"/>
        <w:autoSpaceDN w:val="0"/>
        <w:adjustRightInd w:val="0"/>
        <w:snapToGrid w:val="0"/>
        <w:spacing w:line="360" w:lineRule="auto"/>
        <w:ind w:firstLine="482"/>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【特别提醒】响应文件中的</w:t>
      </w:r>
      <w:r>
        <w:rPr>
          <w:rFonts w:hint="eastAsia" w:ascii="宋体" w:hAnsi="宋体" w:cs="宋体"/>
          <w:color w:val="auto"/>
          <w:sz w:val="24"/>
          <w:highlight w:val="none"/>
          <w:lang w:val="zh-CN"/>
        </w:rPr>
        <w:fldChar w:fldCharType="begin"/>
      </w:r>
      <w:r>
        <w:rPr>
          <w:rFonts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均不得含有报价响应文件中报价表（报价单）内的任何项目价格，否则作无效响应处理。</w:t>
      </w:r>
    </w:p>
    <w:p>
      <w:pPr>
        <w:autoSpaceDE w:val="0"/>
        <w:autoSpaceDN w:val="0"/>
        <w:adjustRightInd w:val="0"/>
        <w:snapToGrid w:val="0"/>
        <w:spacing w:line="360" w:lineRule="auto"/>
        <w:ind w:firstLine="482"/>
        <w:rPr>
          <w:rFonts w:ascii="宋体" w:hAnsi="宋体" w:cs="宋体"/>
          <w:b/>
          <w:bCs/>
          <w:color w:val="auto"/>
          <w:sz w:val="24"/>
          <w:highlight w:val="none"/>
          <w:lang w:val="zh-CN"/>
        </w:rPr>
      </w:pPr>
      <w:r>
        <w:rPr>
          <w:rFonts w:hint="eastAsia" w:ascii="宋体" w:hAnsi="宋体" w:cs="宋体"/>
          <w:b/>
          <w:bCs/>
          <w:color w:val="auto"/>
          <w:sz w:val="24"/>
          <w:highlight w:val="none"/>
          <w:lang w:val="zh-CN"/>
        </w:rPr>
        <w:t>（四）谈判</w:t>
      </w:r>
      <w:r>
        <w:rPr>
          <w:rFonts w:ascii="宋体" w:hAnsi="宋体" w:cs="宋体"/>
          <w:b/>
          <w:bCs/>
          <w:color w:val="auto"/>
          <w:sz w:val="24"/>
          <w:highlight w:val="none"/>
          <w:lang w:val="zh-CN"/>
        </w:rPr>
        <w:t>响应有效期</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谈判</w:t>
      </w:r>
      <w:r>
        <w:rPr>
          <w:rFonts w:ascii="宋体" w:hAnsi="宋体" w:cs="仿宋_GB2312"/>
          <w:color w:val="auto"/>
          <w:sz w:val="24"/>
          <w:highlight w:val="none"/>
        </w:rPr>
        <w:t>响应有效期为</w:t>
      </w:r>
      <w:r>
        <w:rPr>
          <w:rFonts w:hint="eastAsia" w:ascii="宋体" w:hAnsi="宋体" w:cs="仿宋_GB2312"/>
          <w:color w:val="auto"/>
          <w:sz w:val="24"/>
          <w:highlight w:val="none"/>
        </w:rPr>
        <w:t>采购</w:t>
      </w:r>
      <w:r>
        <w:rPr>
          <w:rFonts w:hint="eastAsia" w:ascii="宋体" w:hAnsi="宋体" w:cs="仿宋_GB2312"/>
          <w:color w:val="auto"/>
          <w:sz w:val="24"/>
          <w:highlight w:val="none"/>
          <w:lang w:val="en-US" w:eastAsia="zh-CN"/>
        </w:rPr>
        <w:t>人</w:t>
      </w:r>
      <w:r>
        <w:rPr>
          <w:rFonts w:ascii="宋体" w:hAnsi="宋体" w:cs="仿宋_GB2312"/>
          <w:color w:val="auto"/>
          <w:sz w:val="24"/>
          <w:highlight w:val="none"/>
        </w:rPr>
        <w:t>规定的响应文件提交截止时间后</w:t>
      </w:r>
      <w:r>
        <w:rPr>
          <w:rFonts w:hint="eastAsia" w:ascii="宋体" w:hAnsi="宋体" w:cs="仿宋_GB2312"/>
          <w:b/>
          <w:color w:val="auto"/>
          <w:sz w:val="24"/>
          <w:highlight w:val="none"/>
        </w:rPr>
        <w:t>四十五</w:t>
      </w:r>
      <w:r>
        <w:rPr>
          <w:rFonts w:ascii="宋体" w:hAnsi="宋体" w:cs="仿宋_GB2312"/>
          <w:b/>
          <w:color w:val="auto"/>
          <w:sz w:val="24"/>
          <w:highlight w:val="none"/>
        </w:rPr>
        <w:t>（45）</w:t>
      </w:r>
      <w:r>
        <w:rPr>
          <w:rFonts w:ascii="宋体" w:hAnsi="宋体" w:cs="仿宋_GB2312"/>
          <w:color w:val="auto"/>
          <w:sz w:val="24"/>
          <w:highlight w:val="none"/>
        </w:rPr>
        <w:t>天。</w:t>
      </w:r>
      <w:r>
        <w:rPr>
          <w:rFonts w:hint="eastAsia" w:ascii="宋体" w:hAnsi="宋体" w:cs="仿宋_GB2312"/>
          <w:color w:val="auto"/>
          <w:sz w:val="24"/>
          <w:highlight w:val="none"/>
        </w:rPr>
        <w:t>谈判</w:t>
      </w:r>
      <w:r>
        <w:rPr>
          <w:rFonts w:ascii="宋体" w:hAnsi="宋体" w:cs="仿宋_GB2312"/>
          <w:color w:val="auto"/>
          <w:sz w:val="24"/>
          <w:highlight w:val="none"/>
        </w:rPr>
        <w:t>响应有效期比规定短的将被视为非实质性响应而予以拒绝。</w:t>
      </w:r>
    </w:p>
    <w:p>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五、谈判报价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1.本项目不接受任何有选择的报价。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2.谈判报价均以人民币为报价的币种。</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3.谈判报价出现前后不一致的，按照下列规定修正：</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1）响应文件中开标一览表（报价表）内容与响应文件中相应内容不一致的，以开标一览表（报价表）为准；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2）大写金额和小写金额不一致的，以大写金额为准；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3）单价金额小数点或者百分比有明显错位的，以开标一览表（报价表）的总价为准，并修改单价；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4）总价金额与按单价汇总金额不一致的，以单价金额计算结果为准。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4.报价方式及要求：</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cs="宋体"/>
          <w:color w:val="auto"/>
          <w:sz w:val="24"/>
          <w:highlight w:val="none"/>
        </w:rPr>
        <w:t>（1）</w:t>
      </w:r>
      <w:r>
        <w:rPr>
          <w:rFonts w:hint="eastAsia" w:ascii="宋体" w:hAnsi="宋体" w:eastAsia="宋体" w:cs="宋体"/>
          <w:color w:val="000000"/>
          <w:sz w:val="24"/>
          <w:szCs w:val="22"/>
          <w:highlight w:val="none"/>
          <w:vertAlign w:val="baseline"/>
          <w:lang w:val="en-US" w:bidi="zh-CN"/>
        </w:rPr>
        <w:t>本项目</w:t>
      </w:r>
      <w:r>
        <w:rPr>
          <w:rFonts w:hint="eastAsia" w:ascii="宋体" w:eastAsia="宋体" w:cs="宋体"/>
          <w:b w:val="0"/>
          <w:sz w:val="24"/>
          <w:szCs w:val="24"/>
          <w:highlight w:val="none"/>
          <w:lang w:val="en-US" w:eastAsia="zh-CN"/>
        </w:rPr>
        <w:t>最高限价</w:t>
      </w:r>
      <w:r>
        <w:rPr>
          <w:rFonts w:hint="eastAsia" w:ascii="宋体" w:hAnsi="宋体" w:eastAsia="宋体" w:cs="宋体"/>
          <w:b w:val="0"/>
          <w:sz w:val="24"/>
          <w:szCs w:val="24"/>
          <w:highlight w:val="none"/>
          <w:lang w:val="en-US" w:eastAsia="zh-CN"/>
        </w:rPr>
        <w:t>为</w:t>
      </w:r>
      <w:r>
        <w:rPr>
          <w:rFonts w:hint="eastAsia" w:ascii="宋体" w:eastAsia="宋体" w:cs="宋体"/>
          <w:b w:val="0"/>
          <w:sz w:val="24"/>
          <w:szCs w:val="24"/>
          <w:highlight w:val="none"/>
          <w:lang w:val="en-US" w:eastAsia="zh-CN"/>
        </w:rPr>
        <w:t>54万元</w:t>
      </w:r>
      <w:r>
        <w:rPr>
          <w:rFonts w:hint="eastAsia" w:ascii="宋体" w:hAnsi="宋体" w:eastAsia="宋体" w:cs="宋体"/>
          <w:b w:val="0"/>
          <w:sz w:val="24"/>
          <w:szCs w:val="24"/>
          <w:highlight w:val="none"/>
          <w:lang w:val="en-US" w:eastAsia="zh-CN"/>
        </w:rPr>
        <w:t>，报价超过最高限价的为</w:t>
      </w:r>
      <w:r>
        <w:rPr>
          <w:rFonts w:hint="eastAsia" w:ascii="宋体" w:eastAsia="宋体" w:cs="宋体"/>
          <w:b w:val="0"/>
          <w:sz w:val="24"/>
          <w:szCs w:val="24"/>
          <w:highlight w:val="none"/>
          <w:lang w:val="en-US" w:eastAsia="zh-CN"/>
        </w:rPr>
        <w:t>无效响应</w:t>
      </w:r>
      <w:r>
        <w:rPr>
          <w:rFonts w:hint="eastAsia" w:ascii="宋体" w:hAnsi="宋体" w:eastAsia="宋体" w:cs="宋体"/>
          <w:b w:val="0"/>
          <w:sz w:val="24"/>
          <w:szCs w:val="24"/>
          <w:highlight w:val="none"/>
          <w:lang w:val="en-US" w:eastAsia="zh-CN"/>
        </w:rPr>
        <w:t>。</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（2）本项目为总价合同。</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3</w:t>
      </w: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的投标价，应是</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完成本项目所有工作内容和提交成果、通过相关部门验收并移交的全部费用。投标报价应视为已包括：人工（含各类津贴）、现场费用、差旅费用、交通工具及使用费、培训费、耗材、设备、招标代理费、公司取费、税金、利润、验收、论文发表、视频拍摄等一切与完成本项目相关的费用。供应商应详细阅读谈判文件的全部内容，根据项目需求，准确制定相关工作方案等，必须对本项目全部进行报价，若有漏项，视同对本项目的优惠。不按谈判文件的要求提供响应文件，导致报价无效，按无效响应处理。供应商的任何错漏、优惠、竞争性报价不得作为减轻责任、减少服务、增加收费、降低服务质量的理由。供应商报价除包含谈判文件中列明的项目外，还应包括谈判文件中未列明但在合同履行过程中须完成的项目。</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4</w:t>
      </w:r>
      <w:r>
        <w:rPr>
          <w:rFonts w:hint="eastAsia" w:ascii="宋体" w:hAnsi="宋体" w:eastAsia="宋体" w:cs="宋体"/>
          <w:b w:val="0"/>
          <w:sz w:val="24"/>
          <w:szCs w:val="24"/>
          <w:highlight w:val="none"/>
          <w:lang w:val="en-US" w:eastAsia="zh-CN"/>
        </w:rPr>
        <w:t>）在合同实施期间，合同价为包干费用，不随国家政策或法规、标准及市场因素的变化而进行调整。合同执行期间，办理交竣工验收手续时，相关主管部门有新增工作内容的，服务单位需按要求完成，包干费用不予增加或调整，</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在报价时应予充分考虑。</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5</w:t>
      </w: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应为投入的工作人员进行必要的安全教育，配备必要的安全装备，并为相关现场服务人员投保并承担费用，相关费用在投标报价中充分考虑。</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6</w:t>
      </w:r>
      <w:r>
        <w:rPr>
          <w:rFonts w:hint="eastAsia" w:ascii="宋体" w:hAnsi="宋体" w:eastAsia="宋体" w:cs="宋体"/>
          <w:b w:val="0"/>
          <w:sz w:val="24"/>
          <w:szCs w:val="24"/>
          <w:highlight w:val="none"/>
          <w:lang w:val="en-US" w:eastAsia="zh-CN"/>
        </w:rPr>
        <w:t>）服务单位在中标后需按发包人要求及项目实际需要，投入足够的人员技术力量，保证项目能按期完成，由此所发生的一切相关费用均由</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承担，</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在投标报价时应予充分考虑。</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7</w:t>
      </w:r>
      <w:r>
        <w:rPr>
          <w:rFonts w:hint="eastAsia" w:ascii="宋体" w:hAnsi="宋体" w:eastAsia="宋体" w:cs="宋体"/>
          <w:b w:val="0"/>
          <w:sz w:val="24"/>
          <w:szCs w:val="24"/>
          <w:highlight w:val="none"/>
          <w:lang w:val="en-US" w:eastAsia="zh-CN"/>
        </w:rPr>
        <w:t>）根据招标内容，本项目服务单位除了为发包人提供档案管理服务外，还需为本项目涉及的参建单位提供培训、指导等相关服务，主要参建单位包括路基4家，路面1家，预制1家，其余参建单位包括质安中心、总监办、绿色中心等参与项目建设阶段的各施工、监理单位。</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8</w:t>
      </w:r>
      <w:r>
        <w:rPr>
          <w:rFonts w:hint="eastAsia" w:ascii="宋体" w:hAnsi="宋体" w:eastAsia="宋体" w:cs="宋体"/>
          <w:b w:val="0"/>
          <w:sz w:val="24"/>
          <w:szCs w:val="24"/>
          <w:highlight w:val="none"/>
          <w:lang w:val="en-US" w:eastAsia="zh-CN"/>
        </w:rPr>
        <w:t>）根据要求，协助指挥部完成论文发表所涉及的版面费（版权费）、按指挥部要求进行视频拍摄培训（档案类短视频）、交工及竣工视频资料拍摄等全部费用均包含在投标总价中，由此所发生的一切相关费用均由</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承担，</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在投标报价时应予充分考虑。</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9</w:t>
      </w: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响应</w:t>
      </w:r>
      <w:r>
        <w:rPr>
          <w:rFonts w:hint="eastAsia" w:ascii="宋体" w:hAnsi="宋体" w:eastAsia="宋体" w:cs="宋体"/>
          <w:b w:val="0"/>
          <w:sz w:val="24"/>
          <w:szCs w:val="24"/>
          <w:highlight w:val="none"/>
          <w:lang w:val="en-US" w:eastAsia="zh-CN"/>
        </w:rPr>
        <w:t>文件中只允许有一个报价，发包人不接受选择性报价。若出现两个或两个以上的报价，则该</w:t>
      </w:r>
      <w:r>
        <w:rPr>
          <w:rFonts w:hint="eastAsia" w:ascii="宋体" w:eastAsia="宋体" w:cs="宋体"/>
          <w:b w:val="0"/>
          <w:sz w:val="24"/>
          <w:szCs w:val="24"/>
          <w:highlight w:val="none"/>
          <w:lang w:val="en-US" w:eastAsia="zh-CN"/>
        </w:rPr>
        <w:t>响应</w:t>
      </w:r>
      <w:r>
        <w:rPr>
          <w:rFonts w:hint="eastAsia" w:ascii="宋体" w:hAnsi="宋体" w:eastAsia="宋体" w:cs="宋体"/>
          <w:b w:val="0"/>
          <w:sz w:val="24"/>
          <w:szCs w:val="24"/>
          <w:highlight w:val="none"/>
          <w:lang w:val="en-US" w:eastAsia="zh-CN"/>
        </w:rPr>
        <w:t>文件将被否决。</w:t>
      </w:r>
    </w:p>
    <w:p>
      <w:pPr>
        <w:pStyle w:val="33"/>
        <w:snapToGrid w:val="0"/>
        <w:spacing w:line="360" w:lineRule="auto"/>
        <w:ind w:firstLine="480" w:firstLineChars="200"/>
        <w:contextualSpacing/>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w:t>
      </w:r>
      <w:r>
        <w:rPr>
          <w:rFonts w:hint="eastAsia" w:ascii="宋体" w:eastAsia="宋体" w:cs="宋体"/>
          <w:b w:val="0"/>
          <w:sz w:val="24"/>
          <w:szCs w:val="24"/>
          <w:highlight w:val="none"/>
          <w:lang w:val="en-US" w:eastAsia="zh-CN"/>
        </w:rPr>
        <w:t>10</w:t>
      </w:r>
      <w:r>
        <w:rPr>
          <w:rFonts w:hint="eastAsia" w:ascii="宋体" w:hAnsi="宋体" w:eastAsia="宋体" w:cs="宋体"/>
          <w:b w:val="0"/>
          <w:sz w:val="24"/>
          <w:szCs w:val="24"/>
          <w:highlight w:val="none"/>
          <w:lang w:val="en-US" w:eastAsia="zh-CN"/>
        </w:rPr>
        <w:t>）本项目不接受调价函。</w:t>
      </w:r>
    </w:p>
    <w:p>
      <w:pPr>
        <w:pStyle w:val="33"/>
        <w:snapToGrid w:val="0"/>
        <w:spacing w:line="360" w:lineRule="auto"/>
        <w:ind w:firstLine="480" w:firstLineChars="200"/>
        <w:contextualSpacing/>
        <w:rPr>
          <w:rFonts w:hint="default"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（1</w:t>
      </w:r>
      <w:r>
        <w:rPr>
          <w:rFonts w:hint="eastAsia" w:ascii="宋体" w:eastAsia="宋体" w:cs="宋体"/>
          <w:b w:val="0"/>
          <w:sz w:val="24"/>
          <w:szCs w:val="24"/>
          <w:highlight w:val="none"/>
          <w:lang w:val="en-US" w:eastAsia="zh-CN"/>
        </w:rPr>
        <w:t>1</w:t>
      </w:r>
      <w:r>
        <w:rPr>
          <w:rFonts w:hint="eastAsia" w:ascii="宋体" w:hAnsi="宋体" w:eastAsia="宋体" w:cs="宋体"/>
          <w:b w:val="0"/>
          <w:sz w:val="24"/>
          <w:szCs w:val="24"/>
          <w:highlight w:val="none"/>
          <w:lang w:val="en-US" w:eastAsia="zh-CN"/>
        </w:rPr>
        <w:t>）本项目招标代理服务费用由中标人承担，该费用不单独计列，计入</w:t>
      </w:r>
      <w:r>
        <w:rPr>
          <w:rFonts w:hint="eastAsia" w:ascii="宋体" w:eastAsia="宋体" w:cs="宋体"/>
          <w:b w:val="0"/>
          <w:sz w:val="24"/>
          <w:szCs w:val="24"/>
          <w:highlight w:val="none"/>
          <w:lang w:val="en-US" w:eastAsia="zh-CN"/>
        </w:rPr>
        <w:t>供应商</w:t>
      </w:r>
      <w:r>
        <w:rPr>
          <w:rFonts w:hint="eastAsia" w:ascii="宋体" w:hAnsi="宋体" w:eastAsia="宋体" w:cs="宋体"/>
          <w:b w:val="0"/>
          <w:sz w:val="24"/>
          <w:szCs w:val="24"/>
          <w:highlight w:val="none"/>
          <w:lang w:val="en-US" w:eastAsia="zh-CN"/>
        </w:rPr>
        <w:t>合同总价中。中标人在领取中标通知书后7天内，向招标代理机构一次性支付。招标代理服务费的收费标准按国家发展改革委《招标代理服务收费管理暂行办法》、《关于招标代理服务费有关问题的通知》以及《国家发改委关于降低部分建设项目收费标准规范收费行为等有关问题的通知》规定标准费用的80%进行计算。（按该折扣率标准计算后单标段代理费不足0.8万元的，按0.8万元计）。</w:t>
      </w:r>
    </w:p>
    <w:p>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六、响应文件及谈判费用</w:t>
      </w:r>
    </w:p>
    <w:p>
      <w:pPr>
        <w:pStyle w:val="33"/>
        <w:snapToGrid w:val="0"/>
        <w:spacing w:line="360" w:lineRule="auto"/>
        <w:ind w:firstLine="494"/>
        <w:contextualSpacing/>
        <w:rPr>
          <w:rFonts w:ascii="宋体" w:eastAsia="宋体" w:cs="宋体"/>
          <w:color w:val="auto"/>
          <w:sz w:val="24"/>
          <w:szCs w:val="24"/>
          <w:highlight w:val="none"/>
        </w:rPr>
      </w:pPr>
      <w:r>
        <w:rPr>
          <w:rFonts w:ascii="宋体" w:eastAsia="宋体" w:cs="宋体"/>
          <w:color w:val="auto"/>
          <w:sz w:val="24"/>
          <w:szCs w:val="24"/>
          <w:highlight w:val="none"/>
        </w:rPr>
        <w:t>1</w:t>
      </w:r>
      <w:r>
        <w:rPr>
          <w:rFonts w:ascii="宋体" w:eastAsia="宋体" w:cs="宋体"/>
          <w:color w:val="auto"/>
          <w:sz w:val="24"/>
          <w:highlight w:val="none"/>
          <w:lang w:val="zh-CN"/>
        </w:rPr>
        <w:t>.</w:t>
      </w:r>
      <w:r>
        <w:rPr>
          <w:rFonts w:hint="eastAsia" w:ascii="宋体" w:eastAsia="宋体" w:cs="宋体"/>
          <w:color w:val="auto"/>
          <w:sz w:val="24"/>
          <w:szCs w:val="24"/>
          <w:highlight w:val="none"/>
        </w:rPr>
        <w:t>谈判程序顺利进行后，除供应商的原件可退回外，其余所有的响应文件都将作为档案保存，不论成交与否，均不退回（未拆封的除外）。</w:t>
      </w:r>
    </w:p>
    <w:p>
      <w:pPr>
        <w:pStyle w:val="33"/>
        <w:snapToGrid w:val="0"/>
        <w:spacing w:line="360" w:lineRule="auto"/>
        <w:ind w:firstLine="494"/>
        <w:contextualSpacing/>
        <w:rPr>
          <w:rFonts w:ascii="宋体" w:eastAsia="宋体" w:cs="宋体"/>
          <w:color w:val="auto"/>
          <w:sz w:val="24"/>
          <w:szCs w:val="24"/>
          <w:highlight w:val="none"/>
        </w:rPr>
      </w:pPr>
      <w:r>
        <w:rPr>
          <w:rFonts w:ascii="宋体" w:eastAsia="宋体" w:cs="宋体"/>
          <w:color w:val="auto"/>
          <w:sz w:val="24"/>
          <w:szCs w:val="24"/>
          <w:highlight w:val="none"/>
        </w:rPr>
        <w:t>2</w:t>
      </w:r>
      <w:r>
        <w:rPr>
          <w:rFonts w:ascii="宋体" w:eastAsia="宋体" w:cs="宋体"/>
          <w:color w:val="auto"/>
          <w:sz w:val="24"/>
          <w:highlight w:val="none"/>
          <w:lang w:val="zh-CN"/>
        </w:rPr>
        <w:t>.</w:t>
      </w:r>
      <w:r>
        <w:rPr>
          <w:rFonts w:hint="eastAsia" w:ascii="宋体" w:eastAsia="宋体" w:cs="宋体"/>
          <w:color w:val="auto"/>
          <w:sz w:val="24"/>
          <w:szCs w:val="24"/>
          <w:highlight w:val="none"/>
        </w:rPr>
        <w:t>供应商承担参与谈判可能发生的全部费用，参加项目谈判的供应商自行承担与本次项目谈判有关的全部费用，采购人在任何情况下均无义务和责任承担这些费用。</w:t>
      </w:r>
    </w:p>
    <w:p>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本项目不设谈判保证金。</w:t>
      </w:r>
    </w:p>
    <w:p>
      <w:pPr>
        <w:adjustRightInd w:val="0"/>
        <w:snapToGrid w:val="0"/>
        <w:spacing w:line="360" w:lineRule="auto"/>
        <w:ind w:firstLine="463" w:firstLineChars="19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八、履约保证金</w:t>
      </w:r>
    </w:p>
    <w:p>
      <w:pPr>
        <w:spacing w:line="360" w:lineRule="auto"/>
        <w:ind w:firstLine="480"/>
        <w:jc w:val="left"/>
        <w:rPr>
          <w:rFonts w:hint="eastAsia" w:ascii="宋体" w:hAnsi="宋体" w:cs="宋体"/>
          <w:b w:val="0"/>
          <w:bCs w:val="0"/>
          <w:color w:val="auto"/>
          <w:sz w:val="24"/>
          <w:highlight w:val="none"/>
        </w:rPr>
      </w:pPr>
      <w:bookmarkStart w:id="0" w:name="OLE_LINK26"/>
      <w:bookmarkStart w:id="1" w:name="OLE_LINK13"/>
      <w:r>
        <w:rPr>
          <w:rFonts w:hint="eastAsia" w:ascii="宋体" w:hAnsi="宋体" w:cs="宋体"/>
          <w:b w:val="0"/>
          <w:bCs w:val="0"/>
          <w:color w:val="auto"/>
          <w:sz w:val="24"/>
          <w:highlight w:val="none"/>
        </w:rPr>
        <w:t>履约保证金的形式：不限。</w:t>
      </w:r>
    </w:p>
    <w:p>
      <w:pPr>
        <w:spacing w:line="360" w:lineRule="auto"/>
        <w:ind w:firstLine="48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履约保证金金额：10%签约合同价，</w:t>
      </w:r>
    </w:p>
    <w:p>
      <w:pPr>
        <w:spacing w:line="360" w:lineRule="auto"/>
        <w:ind w:firstLine="480"/>
        <w:jc w:val="left"/>
        <w:rPr>
          <w:rFonts w:hint="eastAsia" w:ascii="宋体" w:hAnsi="宋体" w:eastAsia="宋体" w:cs="宋体"/>
          <w:sz w:val="24"/>
          <w:szCs w:val="24"/>
          <w:highlight w:val="none"/>
        </w:rPr>
      </w:pPr>
      <w:r>
        <w:rPr>
          <w:rFonts w:hint="eastAsia" w:ascii="宋体" w:hAnsi="宋体" w:cs="宋体"/>
          <w:b w:val="0"/>
          <w:bCs w:val="0"/>
          <w:color w:val="auto"/>
          <w:sz w:val="24"/>
          <w:highlight w:val="none"/>
        </w:rPr>
        <w:t>履约保证金提交至招标人开户银行的账号</w:t>
      </w:r>
      <w:r>
        <w:rPr>
          <w:rFonts w:hint="eastAsia" w:ascii="宋体" w:hAnsi="宋体" w:eastAsia="宋体" w:cs="宋体"/>
          <w:sz w:val="24"/>
          <w:szCs w:val="24"/>
          <w:highlight w:val="none"/>
        </w:rPr>
        <w:t>。</w:t>
      </w:r>
    </w:p>
    <w:bookmarkEnd w:id="0"/>
    <w:bookmarkEnd w:id="1"/>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九、分包</w:t>
      </w:r>
    </w:p>
    <w:p>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pacing w:val="7"/>
          <w:kern w:val="0"/>
          <w:sz w:val="24"/>
          <w:highlight w:val="none"/>
          <w:u w:val="single"/>
        </w:rPr>
        <w:t>不允许</w:t>
      </w:r>
      <w:r>
        <w:rPr>
          <w:rFonts w:hint="eastAsia" w:ascii="宋体" w:hAnsi="宋体" w:cs="宋体"/>
          <w:color w:val="auto"/>
          <w:spacing w:val="7"/>
          <w:kern w:val="0"/>
          <w:sz w:val="24"/>
          <w:highlight w:val="none"/>
        </w:rPr>
        <w:t>分包。</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十、未尽事宜</w:t>
      </w:r>
    </w:p>
    <w:p>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参照《中华人民共和国政府采购法》、《政府采购非招标采购方式管理办法》及其他有关法律法</w:t>
      </w:r>
      <w:r>
        <w:rPr>
          <w:rFonts w:hint="eastAsia" w:ascii="宋体" w:hAnsi="宋体" w:cs="宋体"/>
          <w:color w:val="auto"/>
          <w:sz w:val="24"/>
          <w:highlight w:val="none"/>
          <w:lang w:eastAsia="zh-CN"/>
        </w:rPr>
        <w:t>规和</w:t>
      </w:r>
      <w:r>
        <w:rPr>
          <w:rFonts w:hint="eastAsia" w:ascii="宋体" w:hAnsi="宋体" w:cs="宋体"/>
          <w:color w:val="auto"/>
          <w:sz w:val="24"/>
          <w:highlight w:val="none"/>
        </w:rPr>
        <w:t>规范性文件的规定执行。</w:t>
      </w:r>
    </w:p>
    <w:p>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w:t>
      </w:r>
      <w:r>
        <w:rPr>
          <w:rFonts w:ascii="宋体" w:hAnsi="宋体" w:cs="宋体"/>
          <w:b/>
          <w:bCs/>
          <w:color w:val="auto"/>
          <w:sz w:val="36"/>
          <w:szCs w:val="36"/>
          <w:highlight w:val="none"/>
          <w:lang w:val="zh-CN"/>
        </w:rPr>
        <w:t xml:space="preserve"> </w:t>
      </w:r>
      <w:r>
        <w:rPr>
          <w:rFonts w:hint="eastAsia" w:ascii="宋体" w:hAnsi="宋体" w:cs="宋体"/>
          <w:b/>
          <w:bCs/>
          <w:color w:val="auto"/>
          <w:sz w:val="36"/>
          <w:szCs w:val="36"/>
          <w:highlight w:val="none"/>
          <w:lang w:val="zh-CN"/>
        </w:rPr>
        <w:t>项目需求</w:t>
      </w:r>
    </w:p>
    <w:p>
      <w:pPr>
        <w:pStyle w:val="33"/>
        <w:snapToGrid w:val="0"/>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default" w:ascii="宋体" w:hAnsi="宋体" w:eastAsia="宋体" w:cs="宋体"/>
          <w:color w:val="auto"/>
          <w:sz w:val="24"/>
          <w:szCs w:val="24"/>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360" w:lineRule="auto"/>
        <w:ind w:firstLine="480" w:firstLineChars="200"/>
        <w:jc w:val="both"/>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海太过江通道是《长江干线过江通道布局规划（2020-2035）年》中明确2025年前建设的公铁复合型过江通道项目，海太长江隧道北接线位于海门境内，项目全长15.724公里，全线共设置1处枢纽、2处互通，1处服务区。项目总概算82.09亿元（不含涉铁段建安费），其中建安费36.53亿元（不含涉铁段）。</w:t>
      </w:r>
    </w:p>
    <w:p>
      <w:pPr>
        <w:pStyle w:val="33"/>
        <w:snapToGrid w:val="0"/>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w:t>
      </w:r>
      <w:r>
        <w:rPr>
          <w:rFonts w:hint="default" w:ascii="宋体" w:hAnsi="宋体" w:eastAsia="宋体" w:cs="宋体"/>
          <w:color w:val="auto"/>
          <w:sz w:val="24"/>
          <w:szCs w:val="24"/>
          <w:highlight w:val="none"/>
          <w:lang w:val="en-US" w:eastAsia="zh-CN"/>
        </w:rPr>
        <w:t>内容</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海太长江隧道北接线工程档案管理咨询服务项目共划分1个标段，即HTB-DAFW标段，招标内容如下：</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全过程服从指挥部领导，按指挥部的要求统一开展项目档案咨询服务工作；根据合同要求，为各参建单位档案管理工作进行全过程的业务支持及技术服务，同时接受并积极配合档案行政管理部门、项目上级主管部门及指挥部的业务指导、监督和检查。工作内容包括（但不限于）：</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(1)协助起草《海太长江隧道北接线工程项目竣工文件编制办法》，协助指挥部做好草拟项目档案管理各项规章制度、组建档案管理网络等管理工作；</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(2)协助起草档案管理工作通知、通报、指令等文件；</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(3)熟练使用项目提供的档案管理系统软件。</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(4)负责在各参建单位档案人员到岗后、分项工程开工前、单位工程实体完工后等重要工程节点，对所有参建单位档案管理人员进行业务培训；具体培训次数、方式由指挥部确定；</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(5)按照《高速公路建设项目档案管理规范（修订）》（DB32／T 1086-2022 ）（以下简称“新规范”）要求，指导所有参建单位编制项目竣工档案；具体指导频率、方式由指挥部确定；</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(6)配合指挥部组织检查各参建单位所有文件资料的系统性、完整性、准确性，且每次检查结束后，负责草拟书面检查通报；具体检查次数、时间由指挥部确定；</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负责本项目的立项审批类、设计审批类、工程管理类、交（竣）工验收类、工程招投标及合同文件类、资金管理类、课题研究类、特殊载体类整理归档；负责指挥部项目文书档案、项目廉洁档案的整理归档工作以及以上文件的电子档案；</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按照《新规范》附录G要求，负责对指挥部电子原文及数字化文件范围内的文件进行处理，包含文件扫描和原文挂接工作，扫描格式通常为黑白TIFF/PDF/JPEG格式，扫描分辨率不小于300dpi且应进行必要的纠偏、裁边、去污处理，保证扫描后图像清晰、完整；图纸以及具有高精度使用需要的档案，扫描分辨率不小于600dpi；</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负责项目档号编排及案卷总目录编制；负责对全部项目档案案卷目录进行汇总及数据备份；服务期间须配置相适应的在线存储设备，定时定期对电子档案进行备份与检查，同时要求配备本项目专用电脑、扫描仪和专用硬盘，实时进行数据汇总和备份；</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(10)负责开展档案专项活动，包括但不限于档案专题培训等，配合完成用于交（竣）工验收的档案视频拍摄及修改，配合做好档案信息系统数据提供，配合做好项目档案相关科技创新工作；</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(11)项目交（竣）工验收、重要节点检查前，加强对所有案卷的案卷封面、卷内目录、备考表等填写是否正确进行核查，完成指挥部案卷装订、装盒、上架、移交等工作，同时提供相应耗材；</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(12)协助指挥部进行交（竣）工阶段的档案专项验收，同时准备项目档案管理工作的汇报材料；</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(13)配合工程审计过程中的实体档案调阅工作；全程协助做好档案“八防”及保密工作；</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(14)负责工程缺陷责任期内指挥部产生资料的整理归档和指导施工单位在此期间产生资料的归档；</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(15)负责在项目竣工档案移交手续办结后，及时将项目档案移交清册及项目电子档案报备主管部门；</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(16)负责完成指挥部安排的其他工作，同时签订保密协议，保守项目的商业秘密和知识产权。</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2.3服务方式及要求</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(1)派驻1名有高速公路档案管理经验的档案管理人员提供驻场服务（每月不少于22天）至交工验收结束，未经指挥部同意，不得随意更换，否则，按3万元/人次的标准收取违约金；</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(2)指挥部将对本项目档案资料实行分阶段集中整理；</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(3)办公设备、耗材、交通等费用自理；</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(4)服务期间接受指挥部工作管理、监督和考核；</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(5)服务期间协助指挥部完成不少于2份论文发表，确保最终成果无版权问题；</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(6)服务期间按指挥部要求进行视频拍摄培训（档案类短视频）；</w:t>
      </w:r>
    </w:p>
    <w:p>
      <w:pPr>
        <w:pStyle w:val="33"/>
        <w:snapToGrid w:val="0"/>
        <w:spacing w:line="360" w:lineRule="auto"/>
        <w:ind w:firstLine="480" w:firstLineChars="200"/>
        <w:contextualSpacing/>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(7)服务期间按指挥部要求配合完成不少于8分钟的交工及竣工视频资料拍摄；</w:t>
      </w:r>
    </w:p>
    <w:p>
      <w:pPr>
        <w:pStyle w:val="33"/>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(8)其他未尽事宜，将在签订合同时共同约定。</w:t>
      </w:r>
    </w:p>
    <w:p>
      <w:pPr>
        <w:pStyle w:val="33"/>
        <w:snapToGrid w:val="0"/>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eastAsia="宋体" w:cs="宋体"/>
          <w:color w:val="auto"/>
          <w:sz w:val="24"/>
          <w:szCs w:val="24"/>
          <w:highlight w:val="none"/>
          <w:lang w:val="en-US" w:eastAsia="zh-CN"/>
        </w:rPr>
        <w:t>合同履行期限</w:t>
      </w:r>
    </w:p>
    <w:p>
      <w:pPr>
        <w:pStyle w:val="33"/>
        <w:snapToGrid w:val="0"/>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sz w:val="24"/>
          <w:highlight w:val="none"/>
          <w:lang w:val="en-US" w:eastAsia="zh-CN"/>
        </w:rPr>
        <w:t>从项目开工直至竣工验收后完成移交、报备结束。</w:t>
      </w:r>
    </w:p>
    <w:p>
      <w:pPr>
        <w:pStyle w:val="33"/>
        <w:snapToGrid w:val="0"/>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支付方式</w:t>
      </w:r>
    </w:p>
    <w:p>
      <w:pPr>
        <w:numPr>
          <w:ilvl w:val="-1"/>
          <w:numId w:val="0"/>
        </w:numPr>
        <w:spacing w:beforeLines="0" w:line="360" w:lineRule="auto"/>
        <w:ind w:firstLine="508" w:firstLineChars="200"/>
        <w:jc w:val="left"/>
        <w:rPr>
          <w:rFonts w:hint="eastAsia" w:ascii="宋体" w:hAnsi="宋体" w:cs="宋体"/>
          <w:color w:val="auto"/>
          <w:spacing w:val="7"/>
          <w:kern w:val="0"/>
          <w:sz w:val="24"/>
          <w:highlight w:val="none"/>
          <w:lang w:val="en-US" w:eastAsia="zh-CN"/>
        </w:rPr>
      </w:pPr>
      <w:r>
        <w:rPr>
          <w:rFonts w:hint="eastAsia" w:ascii="宋体" w:hAnsi="宋体" w:cs="宋体"/>
          <w:color w:val="auto"/>
          <w:spacing w:val="7"/>
          <w:kern w:val="0"/>
          <w:sz w:val="24"/>
          <w:highlight w:val="none"/>
          <w:lang w:val="en-US" w:eastAsia="zh-CN"/>
        </w:rPr>
        <w:t>每12个月支付一次，共两次，每次各支付25%，由五家主要施工单位（HM-1标、HM-2标、HM-3标、HM-4标、预制标）及总监办按照各自承担费用等比例支付；所有标段均招标完成后明确各标段承担费用，档案交工验收合格且论文发表见刊后支付至中标合同价的80%，由所有标段均支付至承担费用的80%；档案竣工验收合格并移交后一个月内所有标段均一次性付清余款。</w:t>
      </w:r>
    </w:p>
    <w:p>
      <w:pPr>
        <w:numPr>
          <w:ilvl w:val="-1"/>
          <w:numId w:val="0"/>
        </w:numPr>
        <w:spacing w:beforeLines="0" w:line="360" w:lineRule="auto"/>
        <w:ind w:firstLine="508" w:firstLineChars="200"/>
        <w:jc w:val="left"/>
        <w:rPr>
          <w:rFonts w:hint="default" w:ascii="宋体" w:hAnsi="宋体" w:cs="宋体"/>
          <w:color w:val="auto"/>
          <w:spacing w:val="7"/>
          <w:kern w:val="0"/>
          <w:sz w:val="24"/>
          <w:highlight w:val="none"/>
          <w:lang w:val="en-US" w:eastAsia="zh-CN"/>
        </w:rPr>
      </w:pPr>
      <w:r>
        <w:rPr>
          <w:rFonts w:hint="eastAsia" w:ascii="宋体" w:hAnsi="宋体" w:cs="宋体"/>
          <w:color w:val="auto"/>
          <w:spacing w:val="7"/>
          <w:kern w:val="0"/>
          <w:sz w:val="24"/>
          <w:highlight w:val="none"/>
          <w:lang w:val="en-US" w:eastAsia="zh-CN"/>
        </w:rPr>
        <w:t>注：①每次付款前乙方须提供材料证明完成当期对应工作内容后方可申请，否则不予支付。</w:t>
      </w:r>
    </w:p>
    <w:p>
      <w:pPr>
        <w:numPr>
          <w:ilvl w:val="-1"/>
          <w:numId w:val="0"/>
        </w:numPr>
        <w:spacing w:beforeLines="0" w:line="360" w:lineRule="auto"/>
        <w:ind w:firstLine="508" w:firstLineChars="200"/>
        <w:jc w:val="left"/>
        <w:rPr>
          <w:rFonts w:hint="eastAsia" w:ascii="宋体" w:hAnsi="宋体" w:eastAsia="宋体" w:cs="宋体"/>
          <w:color w:val="auto"/>
          <w:kern w:val="0"/>
          <w:sz w:val="24"/>
          <w:highlight w:val="none"/>
          <w:u w:val="none"/>
          <w:lang w:val="en-US" w:eastAsia="zh-CN"/>
        </w:rPr>
      </w:pPr>
      <w:r>
        <w:rPr>
          <w:rFonts w:hint="eastAsia" w:ascii="宋体" w:hAnsi="宋体" w:cs="宋体"/>
          <w:color w:val="auto"/>
          <w:spacing w:val="7"/>
          <w:kern w:val="0"/>
          <w:sz w:val="24"/>
          <w:highlight w:val="none"/>
          <w:lang w:val="en-US" w:eastAsia="zh-CN"/>
        </w:rPr>
        <w:t>②乙方应分别与甲方指定的参建单位签署补充协议，参建单位将按合同补充协议约定进行支付，每次付款前，乙方提前向甲方确定开票金额并按不同参建单位信息分别开具相应金额发票及提供相关付款申请资料，否则甲方、参建单位可以拒绝付款。</w:t>
      </w:r>
    </w:p>
    <w:p>
      <w:pPr>
        <w:rPr>
          <w:rFonts w:hint="eastAsia" w:ascii="宋体" w:hAnsi="宋体" w:cs="宋体"/>
          <w:b/>
          <w:bCs/>
          <w:color w:val="auto"/>
          <w:sz w:val="36"/>
          <w:szCs w:val="36"/>
          <w:highlight w:val="none"/>
          <w:lang w:val="zh-CN"/>
        </w:rPr>
      </w:pPr>
    </w:p>
    <w:p>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pPr>
        <w:adjustRightInd w:val="0"/>
        <w:snapToGrid w:val="0"/>
        <w:spacing w:line="360" w:lineRule="auto"/>
        <w:ind w:firstLine="723" w:firstLineChars="200"/>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w:t>
      </w:r>
      <w:r>
        <w:rPr>
          <w:rFonts w:ascii="宋体" w:hAnsi="宋体" w:cs="宋体"/>
          <w:b/>
          <w:bCs/>
          <w:color w:val="auto"/>
          <w:sz w:val="36"/>
          <w:szCs w:val="36"/>
          <w:highlight w:val="none"/>
          <w:lang w:val="zh-CN"/>
        </w:rPr>
        <w:t xml:space="preserve">  </w:t>
      </w:r>
      <w:r>
        <w:rPr>
          <w:rFonts w:hint="eastAsia" w:ascii="宋体" w:hAnsi="宋体" w:cs="宋体"/>
          <w:b/>
          <w:bCs/>
          <w:color w:val="auto"/>
          <w:sz w:val="36"/>
          <w:szCs w:val="36"/>
          <w:highlight w:val="none"/>
          <w:lang w:val="zh-CN"/>
        </w:rPr>
        <w:t>评审程序和内容</w:t>
      </w:r>
    </w:p>
    <w:p>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一、采购人组织谈判活动</w:t>
      </w:r>
    </w:p>
    <w:p>
      <w:pPr>
        <w:pStyle w:val="33"/>
        <w:snapToGrid w:val="0"/>
        <w:spacing w:line="360" w:lineRule="auto"/>
        <w:ind w:firstLine="482" w:firstLineChars="200"/>
        <w:contextualSpacing/>
        <w:rPr>
          <w:rFonts w:ascii="宋体" w:eastAsia="宋体" w:cs="宋体"/>
          <w:b/>
          <w:color w:val="auto"/>
          <w:kern w:val="0"/>
          <w:sz w:val="24"/>
          <w:szCs w:val="24"/>
          <w:highlight w:val="none"/>
          <w:lang w:val="zh-CN"/>
        </w:rPr>
      </w:pPr>
      <w:r>
        <w:rPr>
          <w:rFonts w:ascii="宋体" w:eastAsia="宋体" w:cs="宋体"/>
          <w:b/>
          <w:color w:val="auto"/>
          <w:kern w:val="0"/>
          <w:sz w:val="24"/>
          <w:szCs w:val="24"/>
          <w:highlight w:val="none"/>
          <w:lang w:val="zh-CN"/>
        </w:rPr>
        <w:t>1.成立竞争性谈判小组。</w:t>
      </w:r>
    </w:p>
    <w:p>
      <w:pPr>
        <w:pStyle w:val="33"/>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谈判小组由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w:t>
      </w:r>
      <w:r>
        <w:rPr>
          <w:rFonts w:ascii="宋体" w:eastAsia="宋体" w:cs="宋体"/>
          <w:color w:val="auto"/>
          <w:kern w:val="0"/>
          <w:sz w:val="24"/>
          <w:szCs w:val="24"/>
          <w:highlight w:val="none"/>
        </w:rPr>
        <w:t>3人或以上单数组成。</w:t>
      </w:r>
    </w:p>
    <w:p>
      <w:pPr>
        <w:pStyle w:val="33"/>
        <w:snapToGrid w:val="0"/>
        <w:spacing w:line="360" w:lineRule="auto"/>
        <w:ind w:firstLine="482" w:firstLineChars="200"/>
        <w:contextualSpacing/>
        <w:rPr>
          <w:rFonts w:ascii="宋体" w:eastAsia="宋体" w:cs="宋体"/>
          <w:b/>
          <w:color w:val="auto"/>
          <w:kern w:val="0"/>
          <w:sz w:val="24"/>
          <w:szCs w:val="24"/>
          <w:highlight w:val="none"/>
          <w:lang w:val="zh-CN"/>
        </w:rPr>
      </w:pPr>
      <w:r>
        <w:rPr>
          <w:rFonts w:ascii="宋体" w:eastAsia="宋体" w:cs="宋体"/>
          <w:b/>
          <w:color w:val="auto"/>
          <w:kern w:val="0"/>
          <w:sz w:val="24"/>
          <w:szCs w:val="24"/>
          <w:highlight w:val="none"/>
          <w:lang w:val="zh-CN"/>
        </w:rPr>
        <w:t>2</w:t>
      </w:r>
      <w:r>
        <w:rPr>
          <w:rFonts w:hint="eastAsia" w:ascii="宋体" w:eastAsia="宋体" w:cs="宋体"/>
          <w:b/>
          <w:color w:val="auto"/>
          <w:kern w:val="0"/>
          <w:sz w:val="24"/>
          <w:szCs w:val="24"/>
          <w:highlight w:val="none"/>
          <w:lang w:val="zh-CN"/>
        </w:rPr>
        <w:t>.</w:t>
      </w:r>
      <w:r>
        <w:rPr>
          <w:rFonts w:ascii="宋体" w:eastAsia="宋体" w:cs="宋体"/>
          <w:b/>
          <w:color w:val="auto"/>
          <w:kern w:val="0"/>
          <w:sz w:val="24"/>
          <w:szCs w:val="24"/>
          <w:highlight w:val="none"/>
          <w:lang w:val="zh-CN"/>
        </w:rPr>
        <w:t>竞争性谈判小组的职责</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确认或者制定谈判文件；从符合相应资格条件的供应商名单中确定不少于</w:t>
      </w:r>
      <w:r>
        <w:rPr>
          <w:rFonts w:ascii="宋体" w:eastAsia="宋体" w:cs="宋体"/>
          <w:color w:val="auto"/>
          <w:kern w:val="0"/>
          <w:sz w:val="24"/>
          <w:szCs w:val="24"/>
          <w:highlight w:val="none"/>
          <w:lang w:val="zh-CN"/>
        </w:rPr>
        <w:t>3家的供应商参加谈判；审查供应商的响应文件并作出评价；要求供应商解释或者澄清其响应文件；编写评审报告；告知采购人在评审过程中发现的供应商的违法违规行为。</w:t>
      </w:r>
    </w:p>
    <w:p>
      <w:pPr>
        <w:pStyle w:val="33"/>
        <w:snapToGrid w:val="0"/>
        <w:spacing w:line="360" w:lineRule="auto"/>
        <w:ind w:firstLine="482" w:firstLineChars="200"/>
        <w:contextualSpacing/>
        <w:rPr>
          <w:rFonts w:ascii="宋体" w:eastAsia="宋体" w:cs="宋体"/>
          <w:b/>
          <w:color w:val="auto"/>
          <w:kern w:val="0"/>
          <w:sz w:val="24"/>
          <w:szCs w:val="24"/>
          <w:highlight w:val="none"/>
          <w:lang w:val="zh-CN"/>
        </w:rPr>
      </w:pPr>
      <w:r>
        <w:rPr>
          <w:rFonts w:ascii="宋体" w:eastAsia="宋体" w:cs="宋体"/>
          <w:b/>
          <w:color w:val="auto"/>
          <w:kern w:val="0"/>
          <w:sz w:val="24"/>
          <w:szCs w:val="24"/>
          <w:highlight w:val="none"/>
          <w:lang w:val="zh-CN"/>
        </w:rPr>
        <w:t>3</w:t>
      </w:r>
      <w:r>
        <w:rPr>
          <w:rFonts w:hint="eastAsia" w:ascii="宋体" w:eastAsia="宋体" w:cs="宋体"/>
          <w:b/>
          <w:color w:val="auto"/>
          <w:kern w:val="0"/>
          <w:sz w:val="24"/>
          <w:szCs w:val="24"/>
          <w:highlight w:val="none"/>
          <w:lang w:val="zh-CN"/>
        </w:rPr>
        <w:t>.</w:t>
      </w:r>
      <w:r>
        <w:rPr>
          <w:rFonts w:ascii="宋体" w:eastAsia="宋体" w:cs="宋体"/>
          <w:b/>
          <w:color w:val="auto"/>
          <w:kern w:val="0"/>
          <w:sz w:val="24"/>
          <w:szCs w:val="24"/>
          <w:highlight w:val="none"/>
          <w:lang w:val="zh-CN"/>
        </w:rPr>
        <w:t>竞争性谈判小组成员的义务</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pPr>
        <w:pStyle w:val="33"/>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二、供应商参加谈判活动</w:t>
      </w:r>
    </w:p>
    <w:p>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供应商的法定代表人或被授权人须持身份证准时参加谈判。</w:t>
      </w:r>
    </w:p>
    <w:p>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三、谈判的原则及方法</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1</w:t>
      </w:r>
      <w:r>
        <w:rPr>
          <w:rFonts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谈判小组成员应当按照客观、公正、审慎的原则，根据谈判文件规定的评审程序、评审方法和评审标准进行独立评审。未实质性响应谈判</w:t>
      </w:r>
      <w:r>
        <w:rPr>
          <w:rFonts w:hint="eastAsia" w:ascii="宋体" w:eastAsia="宋体" w:cs="宋体"/>
          <w:color w:val="auto"/>
          <w:kern w:val="0"/>
          <w:sz w:val="24"/>
          <w:szCs w:val="24"/>
          <w:highlight w:val="none"/>
        </w:rPr>
        <w:t>文件的响应文件按无效响应处理，谈判小组应当告知提交响应文件的供应商。</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33"/>
        <w:tabs>
          <w:tab w:val="left" w:pos="1890"/>
        </w:tabs>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b w:val="0"/>
          <w:bCs w:val="0"/>
          <w:color w:val="auto"/>
          <w:kern w:val="0"/>
          <w:sz w:val="24"/>
          <w:szCs w:val="24"/>
          <w:highlight w:val="none"/>
          <w:lang w:val="zh-CN"/>
        </w:rPr>
        <w:t>2.</w:t>
      </w:r>
      <w:r>
        <w:rPr>
          <w:rFonts w:hint="eastAsia" w:ascii="宋体" w:eastAsia="宋体" w:cs="宋体"/>
          <w:b w:val="0"/>
          <w:bCs w:val="0"/>
          <w:color w:val="auto"/>
          <w:kern w:val="0"/>
          <w:sz w:val="24"/>
          <w:szCs w:val="24"/>
          <w:highlight w:val="none"/>
          <w:lang w:val="zh-CN"/>
        </w:rPr>
        <w:t>谈判小</w:t>
      </w:r>
      <w:r>
        <w:rPr>
          <w:rFonts w:hint="eastAsia" w:ascii="宋体" w:eastAsia="宋体" w:cs="宋体"/>
          <w:color w:val="auto"/>
          <w:kern w:val="0"/>
          <w:sz w:val="24"/>
          <w:szCs w:val="24"/>
          <w:highlight w:val="none"/>
          <w:lang w:val="zh-CN"/>
        </w:rPr>
        <w:t>组所有成员应当集中与单一供应商分别进行谈判，并给予所有参加谈判的供应商平等的谈判机会。</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3</w:t>
      </w:r>
      <w:r>
        <w:rPr>
          <w:rFonts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对谈判文件作出的实质性变动是谈判文件的有效组成部分，谈判小组应当及时以书面形式同时通知所有参加谈判的供应商。</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4</w:t>
      </w:r>
      <w:r>
        <w:rPr>
          <w:rFonts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谈判文件能够详细列明采购标的的技术、服务要求的，谈判结束后，谈判小组应当要求所有实质性响应的供应商在规定时间内提交最后报价，提交最后报价的供应商不得少于</w:t>
      </w:r>
      <w:r>
        <w:rPr>
          <w:rFonts w:ascii="宋体" w:eastAsia="宋体" w:cs="宋体"/>
          <w:color w:val="auto"/>
          <w:kern w:val="0"/>
          <w:sz w:val="24"/>
          <w:szCs w:val="24"/>
          <w:highlight w:val="none"/>
          <w:lang w:val="zh-CN"/>
        </w:rPr>
        <w:t>3家。</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谈判文件不能详细列明采购标的技术、服务要求，需经谈判由供应商提供最终设计方案或解决方案的，谈判结束后，谈判小组应当按照少数服从多数的原则投票推荐</w:t>
      </w:r>
      <w:r>
        <w:rPr>
          <w:rFonts w:ascii="宋体" w:eastAsia="宋体" w:cs="宋体"/>
          <w:color w:val="auto"/>
          <w:kern w:val="0"/>
          <w:sz w:val="24"/>
          <w:szCs w:val="24"/>
          <w:highlight w:val="none"/>
          <w:lang w:val="zh-CN"/>
        </w:rPr>
        <w:t>3家及以上供应商的设计方案或者解决方案，并要求其在规定时间内提交最后报价。</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市场竞争不充分的科研项目，以及需要扶持的科技成果转化项目，提交最后报价的供应商可以是</w:t>
      </w:r>
      <w:r>
        <w:rPr>
          <w:rFonts w:ascii="宋体" w:eastAsia="宋体" w:cs="宋体"/>
          <w:color w:val="auto"/>
          <w:kern w:val="0"/>
          <w:sz w:val="24"/>
          <w:szCs w:val="24"/>
          <w:highlight w:val="none"/>
          <w:lang w:val="zh-CN"/>
        </w:rPr>
        <w:t>2家。</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5.最后报价是供应商响应文件的有效组成部分。</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6.对于在谈判顺利开始后至最终报价前，根据谈判情况退出谈判的供应商，须以书面形式说明退出谈判的原因，经谈判小组同意可以退出谈判。</w:t>
      </w:r>
    </w:p>
    <w:p>
      <w:pPr>
        <w:pStyle w:val="33"/>
        <w:snapToGrid w:val="0"/>
        <w:spacing w:line="360" w:lineRule="auto"/>
        <w:ind w:firstLine="480" w:firstLineChars="200"/>
        <w:contextualSpacing/>
        <w:rPr>
          <w:rFonts w:ascii="宋体" w:eastAsia="宋体" w:cs="宋体"/>
          <w:color w:val="auto"/>
          <w:kern w:val="0"/>
          <w:sz w:val="24"/>
          <w:szCs w:val="24"/>
          <w:highlight w:val="none"/>
          <w:lang w:val="zh-CN"/>
        </w:rPr>
      </w:pPr>
      <w:r>
        <w:rPr>
          <w:rFonts w:ascii="宋体" w:eastAsia="宋体" w:cs="宋体"/>
          <w:color w:val="auto"/>
          <w:kern w:val="0"/>
          <w:sz w:val="24"/>
          <w:szCs w:val="24"/>
          <w:highlight w:val="none"/>
          <w:lang w:val="zh-CN"/>
        </w:rPr>
        <w:t>7.谈判时间由谈判小组掌握。</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四、评审步骤</w:t>
      </w:r>
    </w:p>
    <w:p>
      <w:pPr>
        <w:snapToGri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1</w:t>
      </w:r>
      <w:r>
        <w:rPr>
          <w:rFonts w:hint="eastAsia" w:ascii="宋体" w:hAnsi="宋体" w:cs="宋体"/>
          <w:color w:val="auto"/>
          <w:sz w:val="24"/>
          <w:highlight w:val="none"/>
          <w:lang w:val="zh-CN"/>
        </w:rPr>
        <w:t>.</w:t>
      </w:r>
      <w:r>
        <w:rPr>
          <w:rFonts w:ascii="宋体" w:hAnsi="宋体" w:cs="宋体"/>
          <w:color w:val="auto"/>
          <w:sz w:val="24"/>
          <w:highlight w:val="none"/>
          <w:lang w:val="zh-CN"/>
        </w:rPr>
        <w:t>谈判小组首先对竞谈响应人的资格进行符合性审查，通过审查的竞谈响应人方可进入谈判报价阶段；</w:t>
      </w:r>
    </w:p>
    <w:p>
      <w:pPr>
        <w:snapToGri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2</w:t>
      </w:r>
      <w:r>
        <w:rPr>
          <w:rFonts w:hint="eastAsia" w:ascii="宋体" w:hAnsi="宋体" w:cs="宋体"/>
          <w:color w:val="auto"/>
          <w:sz w:val="24"/>
          <w:highlight w:val="none"/>
          <w:lang w:val="zh-CN"/>
        </w:rPr>
        <w:t>.</w:t>
      </w:r>
      <w:r>
        <w:rPr>
          <w:rFonts w:ascii="宋体" w:hAnsi="宋体" w:cs="宋体"/>
          <w:color w:val="auto"/>
          <w:sz w:val="24"/>
          <w:highlight w:val="none"/>
          <w:lang w:val="zh-CN"/>
        </w:rPr>
        <w:t>竞谈响应人的首轮竞谈价低于竞谈限价的为有效报价；</w:t>
      </w:r>
    </w:p>
    <w:p>
      <w:pPr>
        <w:snapToGri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3</w:t>
      </w:r>
      <w:r>
        <w:rPr>
          <w:rFonts w:hint="eastAsia" w:ascii="宋体" w:hAnsi="宋体" w:cs="宋体"/>
          <w:color w:val="auto"/>
          <w:sz w:val="24"/>
          <w:highlight w:val="none"/>
          <w:lang w:val="zh-CN"/>
        </w:rPr>
        <w:t>.</w:t>
      </w:r>
      <w:r>
        <w:rPr>
          <w:rFonts w:ascii="宋体" w:hAnsi="宋体" w:cs="宋体"/>
          <w:color w:val="auto"/>
          <w:sz w:val="24"/>
          <w:highlight w:val="none"/>
          <w:lang w:val="zh-CN"/>
        </w:rPr>
        <w:t>本项目采用二轮谈判，递交的谈判响应文件中的内容为首轮谈判，现场进行一轮谈判（即为二轮）。除非在谈判中谈判小组对采购人需求内容作了调整增加，或对采购内容作了实质性变更，否则采购人不接受供应商高于自己前一轮的谈判报价。</w:t>
      </w:r>
    </w:p>
    <w:p>
      <w:pPr>
        <w:snapToGrid w:val="0"/>
        <w:spacing w:line="360" w:lineRule="auto"/>
        <w:ind w:firstLine="480" w:firstLineChars="200"/>
        <w:rPr>
          <w:rFonts w:ascii="宋体" w:hAnsi="宋体" w:cs="宋体"/>
          <w:b/>
          <w:bCs/>
          <w:color w:val="auto"/>
          <w:sz w:val="24"/>
          <w:highlight w:val="none"/>
          <w:lang w:val="zh-CN"/>
        </w:rPr>
      </w:pPr>
      <w:r>
        <w:rPr>
          <w:rFonts w:ascii="宋体" w:hAnsi="宋体" w:cs="宋体"/>
          <w:color w:val="auto"/>
          <w:sz w:val="24"/>
          <w:highlight w:val="none"/>
          <w:lang w:val="zh-CN"/>
        </w:rPr>
        <w:t>4</w:t>
      </w:r>
      <w:r>
        <w:rPr>
          <w:rFonts w:hint="eastAsia" w:ascii="宋体" w:hAnsi="宋体" w:cs="宋体"/>
          <w:color w:val="auto"/>
          <w:sz w:val="24"/>
          <w:highlight w:val="none"/>
          <w:lang w:val="zh-CN"/>
        </w:rPr>
        <w:t>.</w:t>
      </w:r>
      <w:r>
        <w:rPr>
          <w:rFonts w:ascii="宋体" w:hAnsi="宋体" w:cs="宋体"/>
          <w:color w:val="auto"/>
          <w:sz w:val="24"/>
          <w:highlight w:val="none"/>
          <w:lang w:val="zh-CN"/>
        </w:rPr>
        <w:t>所有最终有效报价中的最低报价为</w:t>
      </w:r>
      <w:r>
        <w:rPr>
          <w:rFonts w:hint="eastAsia" w:ascii="宋体" w:hAnsi="宋体" w:cs="宋体"/>
          <w:color w:val="auto"/>
          <w:sz w:val="24"/>
          <w:highlight w:val="none"/>
          <w:lang w:val="zh-CN"/>
        </w:rPr>
        <w:t>成交</w:t>
      </w:r>
      <w:r>
        <w:rPr>
          <w:rFonts w:ascii="宋体" w:hAnsi="宋体" w:cs="宋体"/>
          <w:color w:val="auto"/>
          <w:sz w:val="24"/>
          <w:highlight w:val="none"/>
          <w:lang w:val="zh-CN"/>
        </w:rPr>
        <w:t>价，若报价相同时，则由谈判小组</w:t>
      </w:r>
      <w:r>
        <w:rPr>
          <w:rFonts w:hint="eastAsia" w:ascii="宋体" w:hAnsi="宋体" w:cs="宋体"/>
          <w:color w:val="auto"/>
          <w:sz w:val="24"/>
          <w:highlight w:val="none"/>
          <w:lang w:val="en-US" w:eastAsia="zh-CN"/>
        </w:rPr>
        <w:t>抽签</w:t>
      </w:r>
      <w:r>
        <w:rPr>
          <w:rFonts w:ascii="宋体" w:hAnsi="宋体" w:cs="宋体"/>
          <w:color w:val="auto"/>
          <w:sz w:val="24"/>
          <w:highlight w:val="none"/>
          <w:lang w:val="zh-CN"/>
        </w:rPr>
        <w:t>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政府采购政策功能落实</w:t>
      </w:r>
    </w:p>
    <w:p>
      <w:pPr>
        <w:snapToGrid w:val="0"/>
        <w:spacing w:line="360" w:lineRule="auto"/>
        <w:ind w:firstLine="555"/>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本项目不执行。</w:t>
      </w:r>
    </w:p>
    <w:p>
      <w:pPr>
        <w:autoSpaceDE w:val="0"/>
        <w:autoSpaceDN w:val="0"/>
        <w:adjustRightInd w:val="0"/>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w:t>
      </w:r>
      <w:r>
        <w:rPr>
          <w:rFonts w:hint="eastAsia" w:ascii="宋体" w:hAnsi="宋体" w:cs="宋体"/>
          <w:b/>
          <w:color w:val="auto"/>
          <w:sz w:val="24"/>
          <w:highlight w:val="none"/>
          <w:lang w:val="zh-CN"/>
        </w:rPr>
        <w:t>评定方法</w:t>
      </w:r>
    </w:p>
    <w:p>
      <w:pPr>
        <w:autoSpaceDE w:val="0"/>
        <w:autoSpaceDN w:val="0"/>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谈判小组在提交最后报价的供应商中，根据质量和服务均能满足采购文件实质性响应要求且最后报价最低的原则确定成交供应商，并编写评审报告。</w:t>
      </w:r>
    </w:p>
    <w:p>
      <w:pPr>
        <w:autoSpaceDE w:val="0"/>
        <w:autoSpaceDN w:val="0"/>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zh-CN"/>
        </w:rPr>
        <w:t>如成交供应商拒绝与采购人签订合同的，采购人可以按照评审报告推荐的成交候选人名单排序，确定下一候选人为成交供应商，也可以重新开展采购活动。</w:t>
      </w:r>
    </w:p>
    <w:p>
      <w:pPr>
        <w:adjustRightInd/>
        <w:snapToGrid/>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2、评审过程异常低价的审查</w:t>
      </w:r>
    </w:p>
    <w:p>
      <w:pPr>
        <w:adjustRightInd/>
        <w:snapToGrid/>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评审过程中出现下列情形之一的，</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应当启动异常低价投标（响应）审查程序：</w:t>
      </w:r>
    </w:p>
    <w:p>
      <w:pPr>
        <w:adjustRightInd/>
        <w:snapToGrid/>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投标（响应）报价低于采购项目预算50%的，即投标（响应）报价&lt;采购项目预算×50%</w:t>
      </w:r>
      <w:r>
        <w:rPr>
          <w:rFonts w:hint="eastAsia" w:ascii="宋体" w:hAnsi="宋体" w:eastAsia="宋体" w:cs="宋体"/>
          <w:color w:val="auto"/>
          <w:sz w:val="24"/>
          <w:szCs w:val="24"/>
          <w:highlight w:val="none"/>
          <w:lang w:eastAsia="zh-CN"/>
        </w:rPr>
        <w:t>；</w:t>
      </w:r>
    </w:p>
    <w:p>
      <w:pPr>
        <w:adjustRightInd/>
        <w:snapToGrid/>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r>
        <w:rPr>
          <w:rFonts w:hint="eastAsia" w:ascii="宋体" w:hAnsi="宋体" w:eastAsia="宋体" w:cs="宋体"/>
          <w:color w:val="auto"/>
          <w:sz w:val="24"/>
          <w:szCs w:val="24"/>
          <w:highlight w:val="none"/>
          <w:lang w:eastAsia="zh-CN"/>
        </w:rPr>
        <w:t>；</w:t>
      </w:r>
    </w:p>
    <w:p>
      <w:pPr>
        <w:adjustRightInd/>
        <w:snapToGrid/>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认定的供应商报价过低、有可能影响产品质量或者不能诚信履约的其他情形。</w:t>
      </w:r>
    </w:p>
    <w:p>
      <w:pPr>
        <w:adjustRightInd/>
        <w:snapToGrid/>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启动异常低价投标（响应）审查</w:t>
      </w:r>
    </w:p>
    <w:p>
      <w:pPr>
        <w:autoSpaceDE w:val="0"/>
        <w:autoSpaceDN w:val="0"/>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应当将其作为</w:t>
      </w:r>
      <w:r>
        <w:rPr>
          <w:rFonts w:hint="eastAsia" w:ascii="宋体" w:hAnsi="宋体" w:cs="宋体"/>
          <w:color w:val="auto"/>
          <w:sz w:val="24"/>
          <w:szCs w:val="24"/>
          <w:highlight w:val="none"/>
          <w:lang w:eastAsia="zh-CN"/>
        </w:rPr>
        <w:t>无效响应</w:t>
      </w:r>
      <w:r>
        <w:rPr>
          <w:rFonts w:hint="eastAsia" w:ascii="宋体" w:hAnsi="宋体" w:eastAsia="宋体" w:cs="宋体"/>
          <w:color w:val="auto"/>
          <w:sz w:val="24"/>
          <w:szCs w:val="24"/>
          <w:highlight w:val="none"/>
        </w:rPr>
        <w:t>（响应）处理。审查相关情况应当在评审报告中进行记录。</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w:t>
      </w:r>
      <w:r>
        <w:rPr>
          <w:rFonts w:ascii="宋体" w:hAnsi="宋体" w:cs="宋体"/>
          <w:b/>
          <w:color w:val="auto"/>
          <w:sz w:val="24"/>
          <w:highlight w:val="none"/>
        </w:rPr>
        <w:t>被认定为未实质性响应谈判文件的响应文件的情形</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.1出现下列情形之一的，作无效响应处理。</w:t>
      </w:r>
      <w:r>
        <w:rPr>
          <w:rFonts w:ascii="宋体" w:hAnsi="宋体" w:cs="宋体"/>
          <w:color w:val="auto"/>
          <w:sz w:val="24"/>
          <w:highlight w:val="none"/>
        </w:rPr>
        <w:tab/>
      </w:r>
      <w:r>
        <w:rPr>
          <w:rFonts w:ascii="宋体" w:hAnsi="宋体" w:cs="宋体"/>
          <w:color w:val="auto"/>
          <w:sz w:val="24"/>
          <w:highlight w:val="none"/>
        </w:rPr>
        <w:tab/>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.1.1</w:t>
      </w:r>
      <w:r>
        <w:rPr>
          <w:rFonts w:hint="eastAsia" w:cs="宋体" w:asciiTheme="minorEastAsia" w:hAnsiTheme="minorEastAsia" w:eastAsiaTheme="minorEastAsia"/>
          <w:color w:val="auto"/>
          <w:sz w:val="24"/>
          <w:highlight w:val="none"/>
        </w:rPr>
        <w:t>响应文件未按谈判文件要求装订、密封、签署、盖章的</w:t>
      </w:r>
      <w:r>
        <w:rPr>
          <w:rFonts w:ascii="宋体" w:hAnsi="宋体" w:cs="宋体"/>
          <w:color w:val="auto"/>
          <w:sz w:val="24"/>
          <w:highlight w:val="none"/>
        </w:rPr>
        <w:t>。</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同一供应商提交两个（含两个）以上不同的响应报价的。</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3</w:t>
      </w:r>
      <w:r>
        <w:rPr>
          <w:rFonts w:ascii="宋体" w:hAnsi="宋体" w:cs="宋体"/>
          <w:color w:val="auto"/>
          <w:sz w:val="24"/>
          <w:highlight w:val="none"/>
        </w:rPr>
        <w:t xml:space="preserve">不具备谈判文件中规定的资格要求的。 </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4</w:t>
      </w:r>
      <w:r>
        <w:rPr>
          <w:rFonts w:ascii="宋体" w:hAnsi="宋体" w:cs="宋体"/>
          <w:color w:val="auto"/>
          <w:sz w:val="24"/>
          <w:highlight w:val="none"/>
        </w:rPr>
        <w:t xml:space="preserve">响应报价超过了采购预算或最高限价的。 </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5</w:t>
      </w:r>
      <w:r>
        <w:rPr>
          <w:rFonts w:ascii="宋体" w:hAnsi="宋体" w:cs="宋体"/>
          <w:color w:val="auto"/>
          <w:sz w:val="24"/>
          <w:highlight w:val="none"/>
        </w:rPr>
        <w:t>不符合法律、法规和谈判文件中规定的其他实质性要求的。</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6</w:t>
      </w:r>
      <w:r>
        <w:rPr>
          <w:rFonts w:ascii="宋体" w:hAnsi="宋体" w:cs="宋体"/>
          <w:color w:val="auto"/>
          <w:sz w:val="24"/>
          <w:highlight w:val="none"/>
        </w:rPr>
        <w:t>响应文件含有采购人不能接受的附加条件的。</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7</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w:t>
      </w:r>
      <w:r>
        <w:rPr>
          <w:rFonts w:hint="eastAsia" w:ascii="宋体" w:hAnsi="宋体" w:eastAsia="宋体" w:cs="宋体"/>
          <w:color w:val="auto"/>
          <w:sz w:val="24"/>
          <w:szCs w:val="24"/>
          <w:highlight w:val="none"/>
          <w:lang w:val="en-US" w:eastAsia="zh-CN"/>
        </w:rPr>
        <w:t>有可能影响产品质量或者不能诚信履约的其他情形。谈判小组将启动异常低价投标（响应）审查程序。谈判小组要求相关供应商在评标现场合理的时间内，提供项目具体成本测算等与报价合理性相关的书面说明及相关证明材料，对投标（响应）价格作出解释，由谈判小组结合同类产品在主要电商平台的价格、该</w:t>
      </w:r>
      <w:r>
        <w:rPr>
          <w:rFonts w:hint="eastAsia" w:ascii="宋体" w:hAnsi="宋体" w:eastAsia="宋体" w:cs="宋体"/>
          <w:color w:val="auto"/>
          <w:sz w:val="24"/>
          <w:szCs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eastAsia="宋体" w:cs="宋体"/>
          <w:color w:val="auto"/>
          <w:sz w:val="24"/>
          <w:szCs w:val="24"/>
          <w:highlight w:val="none"/>
          <w:lang w:val="en-US" w:eastAsia="zh-CN"/>
        </w:rPr>
        <w:t>谈判小组</w:t>
      </w:r>
      <w:r>
        <w:rPr>
          <w:rFonts w:hint="eastAsia" w:ascii="宋体" w:hAnsi="宋体" w:eastAsia="宋体" w:cs="宋体"/>
          <w:color w:val="auto"/>
          <w:sz w:val="24"/>
          <w:szCs w:val="24"/>
          <w:highlight w:val="none"/>
        </w:rPr>
        <w:t>应当将其作为</w:t>
      </w:r>
      <w:r>
        <w:rPr>
          <w:rFonts w:hint="eastAsia" w:ascii="宋体" w:hAnsi="宋体" w:cs="宋体"/>
          <w:color w:val="auto"/>
          <w:sz w:val="24"/>
          <w:szCs w:val="24"/>
          <w:highlight w:val="none"/>
          <w:lang w:eastAsia="zh-CN"/>
        </w:rPr>
        <w:t>无效响应</w:t>
      </w:r>
      <w:r>
        <w:rPr>
          <w:rFonts w:hint="eastAsia" w:ascii="宋体" w:hAnsi="宋体" w:eastAsia="宋体" w:cs="宋体"/>
          <w:color w:val="auto"/>
          <w:sz w:val="24"/>
          <w:szCs w:val="24"/>
          <w:highlight w:val="none"/>
        </w:rPr>
        <w:t>（响应）处理</w:t>
      </w:r>
      <w:r>
        <w:rPr>
          <w:rFonts w:ascii="宋体" w:hAnsi="宋体" w:cs="宋体"/>
          <w:color w:val="auto"/>
          <w:sz w:val="24"/>
          <w:highlight w:val="none"/>
        </w:rPr>
        <w:t>。</w:t>
      </w:r>
    </w:p>
    <w:p>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8</w:t>
      </w:r>
      <w:r>
        <w:rPr>
          <w:rFonts w:ascii="宋体" w:hAnsi="宋体" w:cs="宋体"/>
          <w:color w:val="auto"/>
          <w:sz w:val="24"/>
          <w:highlight w:val="none"/>
        </w:rPr>
        <w:t>其他法律、法规及本谈判文件规定的属无效响应的情形。</w:t>
      </w:r>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.2出现下列情形之一的，竞争性谈判采购活动终止，发布项目终止公告并说明</w:t>
      </w:r>
      <w:r>
        <w:rPr>
          <w:rFonts w:hint="eastAsia" w:ascii="宋体" w:hAnsi="宋体" w:cs="宋体"/>
          <w:bCs/>
          <w:color w:val="auto"/>
          <w:sz w:val="24"/>
          <w:highlight w:val="none"/>
        </w:rPr>
        <w:t>原因，重新开展采购活动：</w:t>
      </w:r>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.2.1因情况变化，不再符合规定的竞争性谈判采购方式适用情形的；</w:t>
      </w:r>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.2.2出现影响采购公正的违法、违规行为的。</w:t>
      </w:r>
    </w:p>
    <w:p>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.2.3在采购过程中符合竞争要求的供应商或者报价未超过采购</w:t>
      </w:r>
      <w:r>
        <w:rPr>
          <w:rFonts w:hint="eastAsia" w:ascii="宋体" w:hAnsi="宋体" w:cs="宋体"/>
          <w:bCs/>
          <w:color w:val="auto"/>
          <w:sz w:val="24"/>
          <w:highlight w:val="none"/>
          <w:lang w:val="en-US" w:eastAsia="zh-CN"/>
        </w:rPr>
        <w:t>限价</w:t>
      </w:r>
      <w:r>
        <w:rPr>
          <w:rFonts w:hint="eastAsia" w:ascii="宋体" w:hAnsi="宋体" w:cs="宋体"/>
          <w:bCs/>
          <w:color w:val="auto"/>
          <w:sz w:val="24"/>
          <w:highlight w:val="none"/>
        </w:rPr>
        <w:t>的供应商不足</w:t>
      </w:r>
      <w:r>
        <w:rPr>
          <w:rFonts w:ascii="宋体" w:hAnsi="宋体" w:cs="宋体"/>
          <w:bCs/>
          <w:color w:val="auto"/>
          <w:sz w:val="24"/>
          <w:highlight w:val="none"/>
        </w:rPr>
        <w:t>3家的。</w:t>
      </w:r>
    </w:p>
    <w:p>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zh-CN"/>
        </w:rPr>
        <w:t>、成交通知</w:t>
      </w:r>
    </w:p>
    <w:p>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成交结果在南通市交通运输局网站公告，公告期限为</w:t>
      </w:r>
      <w:r>
        <w:rPr>
          <w:rFonts w:ascii="宋体" w:hAnsi="宋体" w:cs="宋体"/>
          <w:color w:val="auto"/>
          <w:sz w:val="24"/>
          <w:highlight w:val="none"/>
        </w:rPr>
        <w:t>1个工作日。《成交通知书》一经发出，采购人改变成交结果，或者成交供应商放弃成交的，各自承担相应的法律责任。《成交通知书》是采购合同的组成部分。</w:t>
      </w:r>
    </w:p>
    <w:p>
      <w:pPr>
        <w:widowControl/>
        <w:spacing w:line="360" w:lineRule="auto"/>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合同签订与验收付款</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w:t>
      </w:r>
      <w:r>
        <w:rPr>
          <w:rFonts w:hint="eastAsia" w:ascii="宋体" w:hAnsi="宋体" w:cs="宋体"/>
          <w:color w:val="auto"/>
          <w:sz w:val="24"/>
          <w:highlight w:val="none"/>
          <w:lang w:val="en-US" w:eastAsia="zh-CN"/>
        </w:rPr>
        <w:t>发出之日起</w:t>
      </w:r>
      <w:r>
        <w:rPr>
          <w:rFonts w:ascii="宋体" w:hAnsi="宋体" w:cs="宋体"/>
          <w:color w:val="auto"/>
          <w:sz w:val="24"/>
          <w:highlight w:val="none"/>
          <w:lang w:val="zh-CN"/>
        </w:rPr>
        <w:t>30日内和采购人签订合同。合同签订后成交供应商方可履约，否则引起的一切后果由成交</w:t>
      </w:r>
      <w:r>
        <w:rPr>
          <w:rFonts w:hint="eastAsia" w:ascii="宋体" w:hAnsi="宋体" w:cs="宋体"/>
          <w:color w:val="auto"/>
          <w:sz w:val="24"/>
          <w:highlight w:val="none"/>
          <w:lang w:val="en-US" w:eastAsia="zh-CN"/>
        </w:rPr>
        <w:t>供应商</w:t>
      </w:r>
      <w:r>
        <w:rPr>
          <w:rFonts w:ascii="宋体" w:hAnsi="宋体" w:cs="宋体"/>
          <w:color w:val="auto"/>
          <w:sz w:val="24"/>
          <w:highlight w:val="none"/>
          <w:lang w:val="zh-CN"/>
        </w:rPr>
        <w:t>自行承担。所签合同不得对采购文件作实质性修改。采购人不得向成交供应商提出不合理的要求作为签订合同的条件，不得与成交供应商私下订立背离采购文件实质性内容的协议。</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采购人与成交供应商串通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pPr>
        <w:snapToGrid w:val="0"/>
        <w:spacing w:line="360" w:lineRule="auto"/>
        <w:ind w:firstLine="420" w:firstLineChars="200"/>
        <w:rPr>
          <w:rFonts w:hint="eastAsia" w:ascii="宋体" w:hAnsi="宋体" w:eastAsia="宋体" w:cs="宋体"/>
          <w:color w:val="auto"/>
          <w:sz w:val="24"/>
          <w:highlight w:val="none"/>
        </w:rPr>
      </w:pPr>
      <w:r>
        <w:rPr>
          <w:rFonts w:hint="eastAsia"/>
          <w:color w:val="auto"/>
          <w:highlight w:val="none"/>
        </w:rPr>
        <w:t>三</w:t>
      </w:r>
      <w:r>
        <w:rPr>
          <w:rFonts w:hint="eastAsia" w:ascii="宋体" w:hAnsi="宋体" w:cs="宋体"/>
          <w:color w:val="auto"/>
          <w:sz w:val="24"/>
          <w:highlight w:val="none"/>
        </w:rPr>
        <w:t>、履约验收：</w:t>
      </w:r>
      <w:r>
        <w:rPr>
          <w:rFonts w:hint="eastAsia" w:ascii="宋体" w:hAnsi="宋体" w:cs="宋体"/>
          <w:color w:val="auto"/>
          <w:spacing w:val="7"/>
          <w:kern w:val="0"/>
          <w:sz w:val="24"/>
          <w:highlight w:val="none"/>
          <w:lang w:val="en-US" w:eastAsia="zh-CN"/>
        </w:rPr>
        <w:t>项目审计结束提交审计报告并</w:t>
      </w:r>
      <w:r>
        <w:rPr>
          <w:rFonts w:hint="eastAsia" w:ascii="宋体" w:hAnsi="宋体" w:eastAsia="宋体" w:cs="宋体"/>
          <w:color w:val="auto"/>
          <w:spacing w:val="7"/>
          <w:kern w:val="0"/>
          <w:sz w:val="24"/>
          <w:highlight w:val="none"/>
          <w:lang w:val="en-US" w:eastAsia="zh-CN"/>
        </w:rPr>
        <w:t>通过采购人验收</w:t>
      </w:r>
      <w:r>
        <w:rPr>
          <w:rFonts w:hint="eastAsia" w:ascii="宋体" w:hAnsi="宋体" w:eastAsia="宋体" w:cs="宋体"/>
          <w:color w:val="auto"/>
          <w:sz w:val="24"/>
          <w:highlight w:val="none"/>
        </w:rPr>
        <w:t>。</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五、合同条款内容</w:t>
      </w: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8"/>
        <w:kinsoku w:val="0"/>
        <w:topLinePunct/>
        <w:autoSpaceDE w:val="0"/>
        <w:autoSpaceDN w:val="0"/>
        <w:snapToGrid w:val="0"/>
        <w:spacing w:line="360" w:lineRule="auto"/>
        <w:ind w:firstLine="0"/>
        <w:contextualSpacing/>
        <w:rPr>
          <w:rFonts w:ascii="宋体" w:hAnsi="宋体" w:cs="宋体"/>
          <w:color w:val="auto"/>
          <w:sz w:val="24"/>
          <w:highlight w:val="none"/>
        </w:rPr>
      </w:pPr>
      <w:r>
        <w:rPr>
          <w:rFonts w:ascii="宋体" w:hAnsi="宋体" w:cs="宋体"/>
          <w:color w:val="auto"/>
          <w:sz w:val="24"/>
          <w:szCs w:val="24"/>
          <w:highlight w:val="none"/>
        </w:rPr>
        <w:br w:type="page"/>
      </w:r>
    </w:p>
    <w:p>
      <w:pPr>
        <w:snapToGrid w:val="0"/>
        <w:spacing w:line="360" w:lineRule="auto"/>
        <w:ind w:right="468"/>
        <w:jc w:val="center"/>
        <w:rPr>
          <w:rFonts w:hint="default" w:ascii="宋体" w:hAnsi="宋体" w:eastAsia="宋体"/>
          <w:b/>
          <w:bCs/>
          <w:color w:val="auto"/>
          <w:spacing w:val="9"/>
          <w:sz w:val="32"/>
          <w:szCs w:val="32"/>
          <w:highlight w:val="none"/>
          <w:lang w:val="en-US" w:eastAsia="zh-CN"/>
        </w:rPr>
      </w:pPr>
      <w:bookmarkStart w:id="2" w:name="_Toc25049767"/>
      <w:r>
        <w:rPr>
          <w:rFonts w:hint="eastAsia" w:ascii="宋体" w:hAnsi="宋体"/>
          <w:color w:val="auto"/>
          <w:sz w:val="32"/>
          <w:szCs w:val="40"/>
          <w:highlight w:val="none"/>
          <w:lang w:val="en-US" w:eastAsia="zh-CN"/>
        </w:rPr>
        <w:t>合同协议书</w:t>
      </w:r>
    </w:p>
    <w:bookmarkEnd w:id="2"/>
    <w:p>
      <w:pPr>
        <w:adjustRightInd w:val="0"/>
        <w:snapToGrid w:val="0"/>
        <w:spacing w:line="400" w:lineRule="exact"/>
        <w:ind w:firstLine="420" w:firstLineChars="200"/>
        <w:rPr>
          <w:snapToGrid w:val="0"/>
          <w:color w:val="auto"/>
          <w:szCs w:val="21"/>
          <w:highlight w:val="none"/>
        </w:rPr>
      </w:pPr>
      <w:bookmarkStart w:id="3" w:name="_Toc216001610"/>
      <w:bookmarkStart w:id="4" w:name="_Toc181175469"/>
      <w:r>
        <w:rPr>
          <w:rFonts w:hint="eastAsia"/>
          <w:snapToGrid w:val="0"/>
          <w:color w:val="auto"/>
          <w:szCs w:val="21"/>
          <w:highlight w:val="none"/>
        </w:rPr>
        <w:t>本合同书由</w:t>
      </w:r>
      <w:r>
        <w:rPr>
          <w:rFonts w:hint="eastAsia"/>
          <w:snapToGrid w:val="0"/>
          <w:color w:val="auto"/>
          <w:szCs w:val="21"/>
          <w:highlight w:val="none"/>
          <w:u w:val="single"/>
        </w:rPr>
        <w:t xml:space="preserve">  （甲方全称）  </w:t>
      </w:r>
      <w:r>
        <w:rPr>
          <w:rFonts w:hint="eastAsia"/>
          <w:snapToGrid w:val="0"/>
          <w:color w:val="auto"/>
          <w:szCs w:val="21"/>
          <w:highlight w:val="none"/>
        </w:rPr>
        <w:t>（以下称甲方）与</w:t>
      </w:r>
      <w:r>
        <w:rPr>
          <w:rFonts w:hint="eastAsia"/>
          <w:snapToGrid w:val="0"/>
          <w:color w:val="auto"/>
          <w:szCs w:val="21"/>
          <w:highlight w:val="none"/>
          <w:u w:val="single"/>
        </w:rPr>
        <w:t xml:space="preserve"> （乙方全称） </w:t>
      </w:r>
      <w:r>
        <w:rPr>
          <w:rFonts w:hint="eastAsia"/>
          <w:snapToGrid w:val="0"/>
          <w:color w:val="auto"/>
          <w:szCs w:val="21"/>
          <w:highlight w:val="none"/>
        </w:rPr>
        <w:t>（以下称乙方）于</w:t>
      </w:r>
      <w:r>
        <w:rPr>
          <w:rFonts w:hint="eastAsia"/>
          <w:snapToGrid w:val="0"/>
          <w:color w:val="auto"/>
          <w:szCs w:val="21"/>
          <w:highlight w:val="none"/>
          <w:u w:val="single"/>
        </w:rPr>
        <w:t xml:space="preserve">      </w:t>
      </w:r>
      <w:r>
        <w:rPr>
          <w:rFonts w:hint="eastAsia"/>
          <w:snapToGrid w:val="0"/>
          <w:color w:val="auto"/>
          <w:szCs w:val="21"/>
          <w:highlight w:val="none"/>
        </w:rPr>
        <w:t>年</w:t>
      </w:r>
      <w:r>
        <w:rPr>
          <w:rFonts w:hint="eastAsia"/>
          <w:snapToGrid w:val="0"/>
          <w:color w:val="auto"/>
          <w:szCs w:val="21"/>
          <w:highlight w:val="none"/>
          <w:u w:val="single"/>
        </w:rPr>
        <w:t xml:space="preserve">     </w:t>
      </w:r>
      <w:r>
        <w:rPr>
          <w:rFonts w:hint="eastAsia"/>
          <w:snapToGrid w:val="0"/>
          <w:color w:val="auto"/>
          <w:szCs w:val="21"/>
          <w:highlight w:val="none"/>
        </w:rPr>
        <w:t>月</w:t>
      </w:r>
      <w:r>
        <w:rPr>
          <w:rFonts w:hint="eastAsia"/>
          <w:snapToGrid w:val="0"/>
          <w:color w:val="auto"/>
          <w:szCs w:val="21"/>
          <w:highlight w:val="none"/>
          <w:u w:val="single"/>
        </w:rPr>
        <w:t xml:space="preserve">       </w:t>
      </w:r>
      <w:r>
        <w:rPr>
          <w:rFonts w:hint="eastAsia"/>
          <w:snapToGrid w:val="0"/>
          <w:color w:val="auto"/>
          <w:szCs w:val="21"/>
          <w:highlight w:val="none"/>
        </w:rPr>
        <w:t>日商定并签署。</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鉴于</w:t>
      </w:r>
      <w:r>
        <w:rPr>
          <w:rFonts w:hint="eastAsia"/>
          <w:snapToGrid w:val="0"/>
          <w:color w:val="auto"/>
          <w:szCs w:val="21"/>
          <w:highlight w:val="none"/>
          <w:u w:val="single"/>
        </w:rPr>
        <w:t>甲方</w:t>
      </w:r>
      <w:r>
        <w:rPr>
          <w:rFonts w:hint="eastAsia"/>
          <w:snapToGrid w:val="0"/>
          <w:color w:val="auto"/>
          <w:szCs w:val="21"/>
          <w:highlight w:val="none"/>
        </w:rPr>
        <w:t>拟开展</w:t>
      </w:r>
      <w:r>
        <w:rPr>
          <w:rFonts w:hint="eastAsia"/>
          <w:snapToGrid w:val="0"/>
          <w:color w:val="auto"/>
          <w:szCs w:val="21"/>
          <w:highlight w:val="none"/>
          <w:u w:val="single"/>
        </w:rPr>
        <w:t xml:space="preserve">  （项目名称）     </w:t>
      </w:r>
      <w:r>
        <w:rPr>
          <w:rFonts w:hint="eastAsia"/>
          <w:snapToGrid w:val="0"/>
          <w:color w:val="auto"/>
          <w:szCs w:val="21"/>
          <w:highlight w:val="none"/>
        </w:rPr>
        <w:t>工作，并通过</w:t>
      </w:r>
      <w:r>
        <w:rPr>
          <w:rFonts w:hint="eastAsia"/>
          <w:snapToGrid w:val="0"/>
          <w:color w:val="auto"/>
          <w:szCs w:val="21"/>
          <w:highlight w:val="none"/>
          <w:u w:val="single"/>
        </w:rPr>
        <w:t xml:space="preserve">     </w:t>
      </w:r>
      <w:r>
        <w:rPr>
          <w:rFonts w:hint="eastAsia"/>
          <w:snapToGrid w:val="0"/>
          <w:color w:val="auto"/>
          <w:szCs w:val="21"/>
          <w:highlight w:val="none"/>
        </w:rPr>
        <w:t>年</w:t>
      </w:r>
      <w:r>
        <w:rPr>
          <w:rFonts w:hint="eastAsia"/>
          <w:snapToGrid w:val="0"/>
          <w:color w:val="auto"/>
          <w:szCs w:val="21"/>
          <w:highlight w:val="none"/>
          <w:u w:val="single"/>
        </w:rPr>
        <w:t xml:space="preserve">    </w:t>
      </w:r>
      <w:r>
        <w:rPr>
          <w:rFonts w:hint="eastAsia"/>
          <w:snapToGrid w:val="0"/>
          <w:color w:val="auto"/>
          <w:szCs w:val="21"/>
          <w:highlight w:val="none"/>
        </w:rPr>
        <w:t>月</w:t>
      </w:r>
      <w:r>
        <w:rPr>
          <w:rFonts w:hint="eastAsia"/>
          <w:snapToGrid w:val="0"/>
          <w:color w:val="auto"/>
          <w:szCs w:val="21"/>
          <w:highlight w:val="none"/>
          <w:u w:val="single"/>
        </w:rPr>
        <w:t xml:space="preserve">    </w:t>
      </w:r>
      <w:r>
        <w:rPr>
          <w:rFonts w:hint="eastAsia"/>
          <w:snapToGrid w:val="0"/>
          <w:color w:val="auto"/>
          <w:szCs w:val="21"/>
          <w:highlight w:val="none"/>
        </w:rPr>
        <w:t>日的中标通知书接受了乙方以人民币</w:t>
      </w:r>
      <w:r>
        <w:rPr>
          <w:rFonts w:hint="eastAsia"/>
          <w:snapToGrid w:val="0"/>
          <w:color w:val="auto"/>
          <w:szCs w:val="21"/>
          <w:highlight w:val="none"/>
          <w:u w:val="single"/>
        </w:rPr>
        <w:t xml:space="preserve">      </w:t>
      </w:r>
      <w:r>
        <w:rPr>
          <w:rFonts w:hint="eastAsia"/>
          <w:snapToGrid w:val="0"/>
          <w:color w:val="auto"/>
          <w:szCs w:val="21"/>
          <w:highlight w:val="none"/>
        </w:rPr>
        <w:t>元为</w:t>
      </w:r>
      <w:r>
        <w:rPr>
          <w:rFonts w:hint="eastAsia"/>
          <w:snapToGrid w:val="0"/>
          <w:color w:val="auto"/>
          <w:szCs w:val="21"/>
          <w:highlight w:val="none"/>
          <w:u w:val="single"/>
        </w:rPr>
        <w:t xml:space="preserve">  （项目名称）</w:t>
      </w:r>
      <w:r>
        <w:rPr>
          <w:rFonts w:hint="eastAsia"/>
          <w:snapToGrid w:val="0"/>
          <w:color w:val="auto"/>
          <w:szCs w:val="21"/>
          <w:highlight w:val="none"/>
        </w:rPr>
        <w:t>所做的投标，双方达成如下协议：</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一、下列文件应视为构成并作为阅读和理解本协议的组成部分，即：</w:t>
      </w:r>
    </w:p>
    <w:p>
      <w:pPr>
        <w:adjustRightInd w:val="0"/>
        <w:snapToGrid w:val="0"/>
        <w:spacing w:line="400" w:lineRule="exact"/>
        <w:ind w:firstLine="840" w:firstLineChars="400"/>
        <w:rPr>
          <w:color w:val="auto"/>
          <w:szCs w:val="21"/>
          <w:highlight w:val="none"/>
        </w:rPr>
      </w:pPr>
      <w:r>
        <w:rPr>
          <w:rFonts w:hint="eastAsia"/>
          <w:color w:val="auto"/>
          <w:szCs w:val="21"/>
          <w:highlight w:val="none"/>
        </w:rPr>
        <w:t>（1）合同书及附件（含澄清文件）（如需要）；</w:t>
      </w:r>
    </w:p>
    <w:p>
      <w:pPr>
        <w:adjustRightInd w:val="0"/>
        <w:snapToGrid w:val="0"/>
        <w:spacing w:line="400" w:lineRule="exact"/>
        <w:ind w:firstLine="840" w:firstLineChars="400"/>
        <w:rPr>
          <w:color w:val="auto"/>
          <w:szCs w:val="21"/>
          <w:highlight w:val="none"/>
        </w:rPr>
      </w:pPr>
      <w:r>
        <w:rPr>
          <w:rFonts w:hint="eastAsia"/>
          <w:color w:val="auto"/>
          <w:szCs w:val="21"/>
          <w:highlight w:val="none"/>
        </w:rPr>
        <w:t>（2）中标通知书；</w:t>
      </w:r>
    </w:p>
    <w:p>
      <w:pPr>
        <w:adjustRightInd w:val="0"/>
        <w:snapToGrid w:val="0"/>
        <w:spacing w:line="400" w:lineRule="exact"/>
        <w:ind w:firstLine="840" w:firstLineChars="400"/>
        <w:rPr>
          <w:color w:val="auto"/>
          <w:szCs w:val="21"/>
          <w:highlight w:val="none"/>
        </w:rPr>
      </w:pPr>
      <w:r>
        <w:rPr>
          <w:rFonts w:hint="eastAsia"/>
          <w:color w:val="auto"/>
          <w:szCs w:val="21"/>
          <w:highlight w:val="none"/>
        </w:rPr>
        <w:t>（3）投标函及附表；</w:t>
      </w:r>
    </w:p>
    <w:p>
      <w:pPr>
        <w:adjustRightInd w:val="0"/>
        <w:snapToGrid w:val="0"/>
        <w:spacing w:line="400" w:lineRule="exact"/>
        <w:ind w:firstLine="840" w:firstLineChars="4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）发包人需求；</w:t>
      </w:r>
    </w:p>
    <w:p>
      <w:pPr>
        <w:adjustRightInd w:val="0"/>
        <w:snapToGrid w:val="0"/>
        <w:spacing w:line="400" w:lineRule="exact"/>
        <w:ind w:firstLine="840" w:firstLineChars="4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）招标文件其它内容；</w:t>
      </w:r>
    </w:p>
    <w:p>
      <w:pPr>
        <w:adjustRightInd w:val="0"/>
        <w:snapToGrid w:val="0"/>
        <w:spacing w:line="400" w:lineRule="exact"/>
        <w:ind w:firstLine="840" w:firstLineChars="4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）投标文件；</w:t>
      </w:r>
    </w:p>
    <w:p>
      <w:pPr>
        <w:adjustRightInd w:val="0"/>
        <w:snapToGrid w:val="0"/>
        <w:spacing w:line="400" w:lineRule="exact"/>
        <w:ind w:firstLine="840" w:firstLineChars="4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w:t>
      </w:r>
      <w:r>
        <w:rPr>
          <w:rFonts w:hint="eastAsia"/>
          <w:snapToGrid w:val="0"/>
          <w:color w:val="auto"/>
          <w:szCs w:val="21"/>
          <w:highlight w:val="none"/>
        </w:rPr>
        <w:t>构成本合同组成的</w:t>
      </w:r>
      <w:r>
        <w:rPr>
          <w:rFonts w:hint="eastAsia"/>
          <w:color w:val="auto"/>
          <w:szCs w:val="21"/>
          <w:highlight w:val="none"/>
        </w:rPr>
        <w:t>其他文件。</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上述文件应认为是互为补充和解释的，但如有含义不清或互相矛盾处，以上列次序在先者为准。</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二、合同范围与内容</w:t>
      </w:r>
    </w:p>
    <w:p>
      <w:pPr>
        <w:adjustRightInd w:val="0"/>
        <w:snapToGrid w:val="0"/>
        <w:spacing w:line="400" w:lineRule="exact"/>
        <w:ind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、合同内容</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全过程服从甲方领导，按发包人的要求统一开展项目档案咨询服务工作；根据合同要求，为各参建单位档案管理工作进行全过程的业务支持及技术服务，同时接受并积极配合档案行政管理部门、项目上级主管部门及指挥部的业务指导、监督和检查。工作内容包括（但不限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(1)协助起草《海太长江隧道北接线工程项目竣工文件编制办法》，协助指挥部做好草拟项目档案管理各项规章制度、组建档案管理网络等管理工作；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(2)协助起草档案管理工作通知、通报、指令等文件；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(3)熟练使用</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提供的档案管理系统软件。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(4)负责在各参建单位档案人员到岗后、分项工程开工前、单位工程实体完工后等重要工程节点，对所有参建单位档案管理人员进行业务培训；具体培训次数、方式由指挥部确定；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(5)按照《</w:t>
      </w:r>
      <w:r>
        <w:rPr>
          <w:rFonts w:hint="eastAsia" w:ascii="宋体" w:hAnsi="宋体" w:cs="宋体"/>
          <w:color w:val="auto"/>
          <w:szCs w:val="21"/>
          <w:highlight w:val="none"/>
          <w:lang w:eastAsia="zh-CN"/>
        </w:rPr>
        <w:t>高速公路</w:t>
      </w:r>
      <w:r>
        <w:rPr>
          <w:rFonts w:hint="eastAsia" w:ascii="宋体" w:hAnsi="宋体" w:cs="宋体"/>
          <w:color w:val="auto"/>
          <w:szCs w:val="21"/>
          <w:highlight w:val="none"/>
        </w:rPr>
        <w:t>建设项目档案管理规范（修订）》（DB32／T 1086-2022 ）（以下简称“新规范”）要求，指导所有参建单位编制项目竣工档案；具体指导频率、方式由指挥部确定；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(6)配合指挥部组织检查各参建单位所有文件资料的系统性、完整性、准确性，且每次检查结束后，负责草拟书面检查通报；具体检查次数、时间由指挥部确定。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负责本项目的立项审批类、设计审批类、工程管理类、交（竣）工验收类、工程招投标及合同文件类、资金管理类、课题研究类、特殊载体类整理归档；负责指挥部项目文书档案、项目廉洁档案的整理归档工作以及以上文件的电子档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按照《新规范》附录G要求，负责对指挥部电子原文及数字化文件范围内的文件进行处理，包含文件扫描和原文挂接工作，扫描格式通常为黑白TIFF/PDF/JPEG格式，扫描分辨率不小于300dpi且应进行必要的纠偏、裁边、去污处理，保证扫描后图像清晰、完整；图纸以及具有高精度使用需要的档案，扫描分辨率不小于600dpi。</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负责项目档号编排及案卷总目录编制；负责对全部项目档案案卷目录进行汇总及数据备份；服务期间须配置相适应的在线存储设备，定时定期对电子档案进行备份与检查，同时要求配备本项目专用电脑、扫描仪和专用硬盘，实时进行数据汇总和备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)负责开展档案专项活动，包括但不限于档案专题培训等，配合完成用于交/竣工验收的档案视频拍摄及修改</w:t>
      </w:r>
      <w:r>
        <w:rPr>
          <w:rFonts w:hint="eastAsia" w:ascii="宋体" w:hAnsi="宋体" w:cs="宋体"/>
          <w:color w:val="auto"/>
          <w:szCs w:val="21"/>
          <w:highlight w:val="none"/>
          <w:lang w:eastAsia="zh-CN"/>
        </w:rPr>
        <w:t>，配合做好档案信息系统数据提供</w:t>
      </w:r>
      <w:r>
        <w:rPr>
          <w:rFonts w:hint="eastAsia" w:ascii="宋体" w:hAnsi="宋体" w:cs="宋体"/>
          <w:color w:val="auto"/>
          <w:szCs w:val="21"/>
          <w:highlight w:val="none"/>
        </w:rPr>
        <w:t>，配合做好项目档案相关科技创新工作；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)项目交（竣）工验收、重要节点检查前，加强对所有案卷的案卷封面、卷内目录、备考表等填写是否正确进行核查，完成指挥部案卷装订、装盒、上架、移交等工作，同时提供相应耗材；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)协助指挥部进行交（竣）工阶段的档案专项验收，同时准备项目档案管理工作的汇报材料；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)配合工程审计过程中的实体档案调阅工作；全程协助做好档案“八防”及保密工作；</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)负责工程缺陷责任期内指挥部产生资料的整理归档和指导施工单位在此期间产生资料的归档</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)负责在项目竣工档案移交手续办结后，及时将项目档案移交清册及项目电子档案报备主管部门；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)负责完成指挥部安排的其他工作，同时签订保密协议，保守项目的商业秘密和知识产权。</w:t>
      </w:r>
    </w:p>
    <w:p>
      <w:pPr>
        <w:adjustRightInd w:val="0"/>
        <w:snapToGrid w:val="0"/>
        <w:spacing w:line="400" w:lineRule="exact"/>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rPr>
        <w:t>服务方式及要求</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(1)派驻1名有高速公路档案管理经验的档案管理人员提供驻场服务（每月不少于22天）至交工验收结束，未经指挥部同意，不得随意更换，否则，按3万元/人次的标准收取违约金；</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(2)指挥部将对本项目档案资料实行分阶段集中整理；</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(3)办公设备、耗材、交通等费用自理；</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(4)合同期间接受指挥部工作管理、监督和考核；</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(5)服务期间协助指挥部完成不少于</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份论文</w:t>
      </w:r>
      <w:r>
        <w:rPr>
          <w:rFonts w:hint="eastAsia" w:ascii="宋体" w:hAnsi="宋体" w:cs="宋体"/>
          <w:color w:val="auto"/>
          <w:szCs w:val="21"/>
          <w:highlight w:val="none"/>
          <w:lang w:eastAsia="zh-CN"/>
        </w:rPr>
        <w:t>发表</w:t>
      </w:r>
      <w:r>
        <w:rPr>
          <w:rFonts w:hint="eastAsia" w:ascii="宋体" w:hAnsi="宋体" w:cs="宋体"/>
          <w:color w:val="auto"/>
          <w:szCs w:val="21"/>
          <w:highlight w:val="none"/>
        </w:rPr>
        <w:t>，确保最终成果无版权问题；</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(6)合同期间按甲方要求进行视频拍摄培训（档案类短视频）；</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(7)合同期间按甲方要求配合完成不少于8分钟的交工及竣工视频资料拍摄；</w:t>
      </w:r>
    </w:p>
    <w:p>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ascii="宋体" w:hAnsi="宋体" w:cs="宋体"/>
          <w:color w:val="auto"/>
          <w:highlight w:val="none"/>
        </w:rPr>
        <w:t>其他</w:t>
      </w:r>
      <w:r>
        <w:rPr>
          <w:rFonts w:hint="eastAsia" w:ascii="宋体" w:hAnsi="宋体" w:cs="宋体"/>
          <w:color w:val="auto"/>
          <w:highlight w:val="none"/>
        </w:rPr>
        <w:t>甲方要求的</w:t>
      </w:r>
      <w:r>
        <w:rPr>
          <w:rFonts w:ascii="宋体" w:hAnsi="宋体" w:cs="宋体"/>
          <w:color w:val="auto"/>
          <w:highlight w:val="none"/>
        </w:rPr>
        <w:t>事宜。</w:t>
      </w:r>
    </w:p>
    <w:p>
      <w:pPr>
        <w:adjustRightInd w:val="0"/>
        <w:snapToGrid w:val="0"/>
        <w:spacing w:line="400" w:lineRule="exact"/>
        <w:ind w:firstLine="420" w:firstLineChars="200"/>
        <w:rPr>
          <w:rFonts w:ascii="宋体" w:hAnsi="宋体" w:cs="Malgun Gothic"/>
          <w:color w:val="auto"/>
          <w:sz w:val="24"/>
          <w:highlight w:val="none"/>
        </w:rPr>
      </w:pPr>
      <w:r>
        <w:rPr>
          <w:rFonts w:hint="eastAsia"/>
          <w:snapToGrid w:val="0"/>
          <w:color w:val="auto"/>
          <w:szCs w:val="21"/>
          <w:highlight w:val="none"/>
        </w:rPr>
        <w:t>三、本项目执行总价承包合同，</w:t>
      </w:r>
      <w:r>
        <w:rPr>
          <w:rFonts w:hint="eastAsia" w:ascii="宋体" w:hAnsi="宋体" w:cs="Malgun Gothic"/>
          <w:color w:val="auto"/>
          <w:sz w:val="21"/>
          <w:szCs w:val="21"/>
          <w:highlight w:val="none"/>
        </w:rPr>
        <w:t>合同总价是乙方完成本</w:t>
      </w:r>
      <w:r>
        <w:rPr>
          <w:rFonts w:hint="eastAsia" w:ascii="宋体" w:hAnsi="宋体" w:cs="微软雅黑"/>
          <w:color w:val="auto"/>
          <w:sz w:val="21"/>
          <w:szCs w:val="21"/>
          <w:highlight w:val="none"/>
        </w:rPr>
        <w:t>项</w:t>
      </w:r>
      <w:r>
        <w:rPr>
          <w:rFonts w:hint="eastAsia" w:ascii="宋体" w:hAnsi="宋体" w:cs="Malgun Gothic"/>
          <w:color w:val="auto"/>
          <w:sz w:val="21"/>
          <w:szCs w:val="21"/>
          <w:highlight w:val="none"/>
        </w:rPr>
        <w:t>目所有工作</w:t>
      </w:r>
      <w:r>
        <w:rPr>
          <w:rFonts w:hint="eastAsia" w:ascii="宋体" w:hAnsi="宋体" w:cs="微软雅黑"/>
          <w:color w:val="auto"/>
          <w:sz w:val="21"/>
          <w:szCs w:val="21"/>
          <w:highlight w:val="none"/>
        </w:rPr>
        <w:t>内</w:t>
      </w:r>
      <w:r>
        <w:rPr>
          <w:rFonts w:hint="eastAsia" w:ascii="宋体" w:hAnsi="宋体" w:cs="Malgun Gothic"/>
          <w:color w:val="auto"/>
          <w:sz w:val="21"/>
          <w:szCs w:val="21"/>
          <w:highlight w:val="none"/>
        </w:rPr>
        <w:t>容和提交成果、通过相</w:t>
      </w:r>
      <w:r>
        <w:rPr>
          <w:rFonts w:hint="eastAsia" w:ascii="宋体" w:hAnsi="宋体" w:cs="微软雅黑"/>
          <w:color w:val="auto"/>
          <w:sz w:val="21"/>
          <w:szCs w:val="21"/>
          <w:highlight w:val="none"/>
        </w:rPr>
        <w:t>关</w:t>
      </w:r>
      <w:r>
        <w:rPr>
          <w:rFonts w:hint="eastAsia" w:ascii="宋体" w:hAnsi="宋体" w:cs="Malgun Gothic"/>
          <w:color w:val="auto"/>
          <w:sz w:val="21"/>
          <w:szCs w:val="21"/>
          <w:highlight w:val="none"/>
        </w:rPr>
        <w:t>部</w:t>
      </w:r>
      <w:r>
        <w:rPr>
          <w:rFonts w:hint="eastAsia" w:ascii="宋体" w:hAnsi="宋体" w:cs="微软雅黑"/>
          <w:color w:val="auto"/>
          <w:sz w:val="21"/>
          <w:szCs w:val="21"/>
          <w:highlight w:val="none"/>
        </w:rPr>
        <w:t>门</w:t>
      </w:r>
      <w:r>
        <w:rPr>
          <w:rFonts w:hint="eastAsia" w:ascii="宋体" w:hAnsi="宋体" w:cs="Malgun Gothic"/>
          <w:color w:val="auto"/>
          <w:sz w:val="21"/>
          <w:szCs w:val="21"/>
          <w:highlight w:val="none"/>
        </w:rPr>
        <w:t>验收并移交的全部</w:t>
      </w:r>
      <w:r>
        <w:rPr>
          <w:rFonts w:hint="eastAsia" w:ascii="宋体" w:hAnsi="宋体" w:cs="微软雅黑"/>
          <w:color w:val="auto"/>
          <w:sz w:val="21"/>
          <w:szCs w:val="21"/>
          <w:highlight w:val="none"/>
        </w:rPr>
        <w:t>费</w:t>
      </w:r>
      <w:r>
        <w:rPr>
          <w:rFonts w:hint="eastAsia" w:ascii="宋体" w:hAnsi="宋体" w:cs="Malgun Gothic"/>
          <w:color w:val="auto"/>
          <w:sz w:val="21"/>
          <w:szCs w:val="21"/>
          <w:highlight w:val="none"/>
        </w:rPr>
        <w:t>用，</w:t>
      </w:r>
      <w:r>
        <w:rPr>
          <w:rFonts w:hint="eastAsia" w:ascii="宋体" w:hAnsi="宋体" w:cs="微软雅黑"/>
          <w:color w:val="auto"/>
          <w:sz w:val="21"/>
          <w:szCs w:val="21"/>
          <w:highlight w:val="none"/>
        </w:rPr>
        <w:t>应视为</w:t>
      </w:r>
      <w:r>
        <w:rPr>
          <w:rFonts w:hint="eastAsia" w:ascii="宋体" w:hAnsi="宋体" w:cs="Malgun Gothic"/>
          <w:color w:val="auto"/>
          <w:sz w:val="21"/>
          <w:szCs w:val="21"/>
          <w:highlight w:val="none"/>
        </w:rPr>
        <w:t>已包括：人工（含各类津贴）、现场费用、</w:t>
      </w:r>
      <w:r>
        <w:rPr>
          <w:rFonts w:hint="eastAsia" w:ascii="宋体" w:hAnsi="宋体" w:cs="Malgun Gothic"/>
          <w:b/>
          <w:bCs/>
          <w:color w:val="auto"/>
          <w:sz w:val="21"/>
          <w:szCs w:val="21"/>
          <w:highlight w:val="none"/>
        </w:rPr>
        <w:t>差旅费用、</w:t>
      </w:r>
      <w:r>
        <w:rPr>
          <w:rFonts w:hint="eastAsia" w:ascii="宋体" w:hAnsi="宋体" w:cs="Malgun Gothic"/>
          <w:color w:val="auto"/>
          <w:sz w:val="21"/>
          <w:szCs w:val="21"/>
          <w:highlight w:val="none"/>
        </w:rPr>
        <w:t>交通工具及使用费、培训费、耗材、设备、</w:t>
      </w:r>
      <w:r>
        <w:rPr>
          <w:rFonts w:ascii="宋体" w:hAnsi="宋体" w:cs="Malgun Gothic"/>
          <w:color w:val="auto"/>
          <w:sz w:val="21"/>
          <w:szCs w:val="21"/>
          <w:highlight w:val="none"/>
        </w:rPr>
        <w:t>招</w:t>
      </w:r>
      <w:r>
        <w:rPr>
          <w:rFonts w:hint="eastAsia" w:ascii="宋体" w:hAnsi="宋体" w:cs="Malgun Gothic"/>
          <w:color w:val="auto"/>
          <w:sz w:val="21"/>
          <w:szCs w:val="21"/>
          <w:highlight w:val="none"/>
        </w:rPr>
        <w:t>标代理费、公司取费、税金、利润、验收</w:t>
      </w:r>
      <w:r>
        <w:rPr>
          <w:rFonts w:hint="eastAsia" w:ascii="宋体" w:hAnsi="宋体" w:cs="Malgun Gothic"/>
          <w:color w:val="auto"/>
          <w:sz w:val="21"/>
          <w:szCs w:val="21"/>
          <w:highlight w:val="none"/>
          <w:lang w:eastAsia="zh-CN"/>
        </w:rPr>
        <w:t>、论文发表、视频拍摄</w:t>
      </w:r>
      <w:r>
        <w:rPr>
          <w:rFonts w:hint="eastAsia" w:ascii="宋体" w:hAnsi="宋体" w:cs="Malgun Gothic"/>
          <w:color w:val="auto"/>
          <w:sz w:val="21"/>
          <w:szCs w:val="21"/>
          <w:highlight w:val="none"/>
        </w:rPr>
        <w:t>等一切与完成本项目相关的费用。</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本项目合同总金额为：</w:t>
      </w:r>
      <w:r>
        <w:rPr>
          <w:rFonts w:hint="eastAsia"/>
          <w:snapToGrid w:val="0"/>
          <w:color w:val="auto"/>
          <w:szCs w:val="21"/>
          <w:highlight w:val="none"/>
          <w:u w:val="single"/>
        </w:rPr>
        <w:t xml:space="preserve">         </w:t>
      </w:r>
      <w:r>
        <w:rPr>
          <w:rFonts w:hint="eastAsia"/>
          <w:snapToGrid w:val="0"/>
          <w:color w:val="auto"/>
          <w:szCs w:val="21"/>
          <w:highlight w:val="none"/>
        </w:rPr>
        <w:t>元</w:t>
      </w:r>
      <w:r>
        <w:rPr>
          <w:rStyle w:val="24"/>
          <w:rFonts w:hint="eastAsia"/>
          <w:color w:val="auto"/>
          <w:highlight w:val="none"/>
          <w:lang w:eastAsia="zh-CN"/>
        </w:rPr>
        <w:t>。</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四、项目负责人与服务期</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项目负责人：</w:t>
      </w:r>
      <w:r>
        <w:rPr>
          <w:rFonts w:hint="eastAsia"/>
          <w:snapToGrid w:val="0"/>
          <w:color w:val="auto"/>
          <w:szCs w:val="21"/>
          <w:highlight w:val="none"/>
          <w:u w:val="single"/>
        </w:rPr>
        <w:t xml:space="preserve">             </w:t>
      </w:r>
      <w:r>
        <w:rPr>
          <w:rFonts w:hint="eastAsia"/>
          <w:snapToGrid w:val="0"/>
          <w:color w:val="auto"/>
          <w:szCs w:val="21"/>
          <w:highlight w:val="none"/>
        </w:rPr>
        <w:t>；驻场（指挥部）人员：</w:t>
      </w:r>
      <w:r>
        <w:rPr>
          <w:rFonts w:hint="eastAsia"/>
          <w:snapToGrid w:val="0"/>
          <w:color w:val="auto"/>
          <w:szCs w:val="21"/>
          <w:highlight w:val="none"/>
          <w:u w:val="single"/>
        </w:rPr>
        <w:t xml:space="preserve"> </w:t>
      </w:r>
      <w:r>
        <w:rPr>
          <w:snapToGrid w:val="0"/>
          <w:color w:val="auto"/>
          <w:szCs w:val="21"/>
          <w:highlight w:val="none"/>
          <w:u w:val="single"/>
        </w:rPr>
        <w:t xml:space="preserve">            </w:t>
      </w:r>
      <w:r>
        <w:rPr>
          <w:rFonts w:hint="eastAsia"/>
          <w:snapToGrid w:val="0"/>
          <w:color w:val="auto"/>
          <w:szCs w:val="21"/>
          <w:highlight w:val="none"/>
        </w:rPr>
        <w:t>。</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咨询服务工作周期：</w:t>
      </w:r>
      <w:r>
        <w:rPr>
          <w:rFonts w:ascii="宋体" w:hAnsi="宋体" w:cs="宋体"/>
          <w:color w:val="auto"/>
          <w:highlight w:val="none"/>
        </w:rPr>
        <w:t>从项目开工直至竣工验收后完成移交、报备结束。</w:t>
      </w:r>
    </w:p>
    <w:p>
      <w:pPr>
        <w:numPr>
          <w:ilvl w:val="0"/>
          <w:numId w:val="1"/>
        </w:numPr>
        <w:adjustRightInd w:val="0"/>
        <w:snapToGrid w:val="0"/>
        <w:spacing w:line="400" w:lineRule="exact"/>
        <w:ind w:firstLine="420" w:firstLineChars="200"/>
        <w:rPr>
          <w:rFonts w:hint="eastAsia"/>
          <w:b/>
          <w:bCs/>
          <w:color w:val="auto"/>
          <w:szCs w:val="21"/>
          <w:highlight w:val="none"/>
        </w:rPr>
      </w:pPr>
      <w:r>
        <w:rPr>
          <w:rFonts w:hint="eastAsia"/>
          <w:snapToGrid w:val="0"/>
          <w:color w:val="auto"/>
          <w:szCs w:val="21"/>
          <w:highlight w:val="none"/>
        </w:rPr>
        <w:t>付款方式：</w:t>
      </w:r>
      <w:r>
        <w:rPr>
          <w:rFonts w:hint="eastAsia"/>
          <w:b/>
          <w:bCs/>
          <w:color w:val="auto"/>
          <w:szCs w:val="21"/>
          <w:highlight w:val="none"/>
        </w:rPr>
        <w:t>每12个月支付一次，共两次，每次各支付25%，由五家主要施工单位（HM-1标、HM-2标、HM-3标、HM-4标、预制标）及总监办按照各自承担费用等比例支付；所有标段均招标完成后明确各标段承担费用，档案交工验收合格且论文发表见刊后支付至中标合同价的80%，由所有标段均支付至承担费用的80%；档案竣工验收合格并移交后一个月内所有标段均一次性付清余款。</w:t>
      </w:r>
    </w:p>
    <w:p>
      <w:pPr>
        <w:numPr>
          <w:ilvl w:val="0"/>
          <w:numId w:val="0"/>
        </w:numPr>
        <w:adjustRightInd w:val="0"/>
        <w:snapToGrid w:val="0"/>
        <w:spacing w:line="400" w:lineRule="exact"/>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注：①每次付款前</w:t>
      </w:r>
      <w:r>
        <w:rPr>
          <w:rFonts w:hint="eastAsia" w:ascii="Times New Roman" w:hAnsi="Times New Roman" w:eastAsia="宋体" w:cs="Times New Roman"/>
          <w:color w:val="auto"/>
          <w:highlight w:val="none"/>
          <w:lang w:eastAsia="zh-CN"/>
        </w:rPr>
        <w:t>乙方</w:t>
      </w:r>
      <w:r>
        <w:rPr>
          <w:rFonts w:hint="eastAsia" w:ascii="Times New Roman" w:hAnsi="Times New Roman" w:eastAsia="宋体" w:cs="Times New Roman"/>
          <w:color w:val="auto"/>
          <w:highlight w:val="none"/>
          <w:lang w:val="en-US" w:eastAsia="zh-CN"/>
        </w:rPr>
        <w:t>须提供材料证明完成当期对应工作内容后方可申请，否则不予支付。</w:t>
      </w:r>
    </w:p>
    <w:p>
      <w:pPr>
        <w:numPr>
          <w:ilvl w:val="0"/>
          <w:numId w:val="0"/>
        </w:numPr>
        <w:adjustRightInd w:val="0"/>
        <w:snapToGrid w:val="0"/>
        <w:spacing w:line="400" w:lineRule="exact"/>
        <w:ind w:firstLine="420" w:firstLineChars="200"/>
        <w:rPr>
          <w:rFonts w:hint="eastAsia"/>
          <w:color w:val="auto"/>
          <w:highlight w:val="none"/>
          <w:lang w:eastAsia="zh-CN"/>
        </w:rPr>
      </w:pPr>
      <w:r>
        <w:rPr>
          <w:rFonts w:hint="eastAsia" w:ascii="Times New Roman" w:hAnsi="Times New Roman" w:eastAsia="宋体" w:cs="Times New Roman"/>
          <w:color w:val="auto"/>
          <w:highlight w:val="none"/>
          <w:lang w:val="en-US" w:eastAsia="zh-CN"/>
        </w:rPr>
        <w:t>②</w:t>
      </w:r>
      <w:r>
        <w:rPr>
          <w:rFonts w:hint="eastAsia" w:ascii="Times New Roman" w:hAnsi="Times New Roman" w:eastAsia="宋体" w:cs="Times New Roman"/>
          <w:color w:val="auto"/>
          <w:highlight w:val="none"/>
          <w:lang w:eastAsia="zh-CN"/>
        </w:rPr>
        <w:t>乙方</w:t>
      </w:r>
      <w:r>
        <w:rPr>
          <w:rFonts w:hint="eastAsia" w:ascii="Times New Roman" w:hAnsi="Times New Roman" w:eastAsia="宋体" w:cs="Times New Roman"/>
          <w:color w:val="auto"/>
          <w:highlight w:val="none"/>
          <w:lang w:val="en-US" w:eastAsia="zh-CN"/>
        </w:rPr>
        <w:t>应</w:t>
      </w:r>
      <w:r>
        <w:rPr>
          <w:rFonts w:hint="eastAsia" w:ascii="Times New Roman" w:hAnsi="Times New Roman" w:eastAsia="宋体" w:cs="Times New Roman"/>
          <w:color w:val="auto"/>
          <w:highlight w:val="none"/>
          <w:lang w:eastAsia="zh-CN"/>
        </w:rPr>
        <w:t>分</w:t>
      </w:r>
      <w:r>
        <w:rPr>
          <w:rFonts w:hint="eastAsia"/>
          <w:color w:val="auto"/>
          <w:highlight w:val="none"/>
          <w:lang w:eastAsia="zh-CN"/>
        </w:rPr>
        <w:t>别与甲方指定的参建单位签署补充协议，参建单位将按合同补充协议约定进行支付，每次付款前，乙方提前向甲方确定开票金额并按不同参建单位信息分别开具相应金额发票及提供相关付款申请资料，否则甲方、参建单位可以拒绝付款。</w:t>
      </w:r>
    </w:p>
    <w:p>
      <w:pPr>
        <w:numPr>
          <w:ilvl w:val="0"/>
          <w:numId w:val="0"/>
        </w:numPr>
        <w:adjustRightInd w:val="0"/>
        <w:snapToGrid w:val="0"/>
        <w:spacing w:line="400" w:lineRule="exact"/>
        <w:ind w:firstLine="420" w:firstLineChars="200"/>
        <w:rPr>
          <w:b/>
          <w:color w:val="auto"/>
          <w:szCs w:val="21"/>
          <w:highlight w:val="none"/>
        </w:rPr>
      </w:pPr>
      <w:r>
        <w:rPr>
          <w:rFonts w:hint="eastAsia"/>
          <w:color w:val="auto"/>
          <w:highlight w:val="none"/>
          <w:lang w:val="en-US" w:eastAsia="zh-CN"/>
        </w:rPr>
        <w:t>本项目费用组成如下：</w:t>
      </w:r>
      <w:r>
        <w:rPr>
          <w:rFonts w:hint="eastAsia"/>
          <w:color w:val="auto"/>
          <w:highlight w:val="none"/>
          <w:lang w:eastAsia="zh-CN"/>
        </w:rPr>
        <w:t>6家主要参加单位HM-1标承担9.8万元、HM-2标5.8万元、HM-3标9.3万元、HM-4标8.9万元、预制标9.1万元，主体监理标承担2.0万元，其余标段参建单位共同承担合同款剩余部分合同实施时。</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六、在签订本合同协议的同时，双方共同签订《廉政合同》，双方共同遵守执行。</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七、本合同未尽事宜由双方协商解决。</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八、本合同书经双方代表签字并加盖公章后立即产生法律效力，合同费用结清后失效。双方要恪守信誉，严格履行。</w:t>
      </w:r>
    </w:p>
    <w:p>
      <w:pPr>
        <w:adjustRightInd w:val="0"/>
        <w:snapToGrid w:val="0"/>
        <w:spacing w:line="400" w:lineRule="exact"/>
        <w:ind w:firstLine="420" w:firstLineChars="200"/>
        <w:rPr>
          <w:snapToGrid w:val="0"/>
          <w:color w:val="auto"/>
          <w:szCs w:val="21"/>
          <w:highlight w:val="none"/>
        </w:rPr>
      </w:pPr>
      <w:r>
        <w:rPr>
          <w:rFonts w:hint="eastAsia"/>
          <w:snapToGrid w:val="0"/>
          <w:color w:val="auto"/>
          <w:szCs w:val="21"/>
          <w:highlight w:val="none"/>
        </w:rPr>
        <w:t>九、本合同一式</w:t>
      </w:r>
      <w:r>
        <w:rPr>
          <w:rFonts w:hint="eastAsia"/>
          <w:snapToGrid w:val="0"/>
          <w:color w:val="auto"/>
          <w:szCs w:val="21"/>
          <w:highlight w:val="none"/>
          <w:u w:val="single"/>
        </w:rPr>
        <w:t xml:space="preserve">    </w:t>
      </w:r>
      <w:r>
        <w:rPr>
          <w:rFonts w:hint="eastAsia"/>
          <w:snapToGrid w:val="0"/>
          <w:color w:val="auto"/>
          <w:szCs w:val="21"/>
          <w:highlight w:val="none"/>
        </w:rPr>
        <w:t xml:space="preserve"> 份，由双方各持</w:t>
      </w:r>
      <w:r>
        <w:rPr>
          <w:rFonts w:hint="eastAsia"/>
          <w:snapToGrid w:val="0"/>
          <w:color w:val="auto"/>
          <w:szCs w:val="21"/>
          <w:highlight w:val="none"/>
          <w:u w:val="single"/>
        </w:rPr>
        <w:t xml:space="preserve">      </w:t>
      </w:r>
      <w:r>
        <w:rPr>
          <w:rFonts w:hint="eastAsia"/>
          <w:snapToGrid w:val="0"/>
          <w:color w:val="auto"/>
          <w:szCs w:val="21"/>
          <w:highlight w:val="none"/>
        </w:rPr>
        <w:t>份。</w:t>
      </w:r>
    </w:p>
    <w:p>
      <w:pPr>
        <w:adjustRightInd w:val="0"/>
        <w:snapToGrid w:val="0"/>
        <w:spacing w:before="240" w:beforeLines="100" w:after="240" w:afterLines="100" w:line="400" w:lineRule="exact"/>
        <w:ind w:firstLine="359" w:firstLineChars="171"/>
        <w:rPr>
          <w:snapToGrid w:val="0"/>
          <w:color w:val="auto"/>
          <w:szCs w:val="21"/>
          <w:highlight w:val="none"/>
        </w:rPr>
      </w:pPr>
      <w:r>
        <w:rPr>
          <w:rFonts w:hint="eastAsia"/>
          <w:color w:val="auto"/>
          <w:szCs w:val="21"/>
          <w:highlight w:val="none"/>
        </w:rPr>
        <w:t>甲方</w:t>
      </w:r>
      <w:r>
        <w:rPr>
          <w:color w:val="auto"/>
          <w:szCs w:val="21"/>
          <w:highlight w:val="none"/>
        </w:rPr>
        <w:t>(</w:t>
      </w:r>
      <w:r>
        <w:rPr>
          <w:rFonts w:hint="eastAsia"/>
          <w:color w:val="auto"/>
          <w:szCs w:val="21"/>
          <w:highlight w:val="none"/>
        </w:rPr>
        <w:t>盖章</w:t>
      </w:r>
      <w:r>
        <w:rPr>
          <w:color w:val="auto"/>
          <w:szCs w:val="21"/>
          <w:highlight w:val="none"/>
        </w:rPr>
        <w:t>)</w:t>
      </w:r>
      <w:r>
        <w:rPr>
          <w:rFonts w:hint="eastAsia"/>
          <w:color w:val="auto"/>
          <w:szCs w:val="21"/>
          <w:highlight w:val="none"/>
        </w:rPr>
        <w:t>:</w:t>
      </w:r>
      <w:r>
        <w:rPr>
          <w:rFonts w:hint="eastAsia"/>
          <w:snapToGrid w:val="0"/>
          <w:color w:val="auto"/>
          <w:szCs w:val="21"/>
          <w:highlight w:val="none"/>
        </w:rPr>
        <w:t xml:space="preserve">                    </w:t>
      </w:r>
      <w:r>
        <w:rPr>
          <w:snapToGrid w:val="0"/>
          <w:color w:val="auto"/>
          <w:szCs w:val="21"/>
          <w:highlight w:val="none"/>
        </w:rPr>
        <w:t xml:space="preserve">      </w:t>
      </w:r>
      <w:r>
        <w:rPr>
          <w:rFonts w:hint="eastAsia"/>
          <w:snapToGrid w:val="0"/>
          <w:color w:val="auto"/>
          <w:szCs w:val="21"/>
          <w:highlight w:val="none"/>
        </w:rPr>
        <w:t xml:space="preserve">  乙方</w:t>
      </w:r>
      <w:r>
        <w:rPr>
          <w:color w:val="auto"/>
          <w:szCs w:val="21"/>
          <w:highlight w:val="none"/>
        </w:rPr>
        <w:t>(</w:t>
      </w:r>
      <w:r>
        <w:rPr>
          <w:rFonts w:hint="eastAsia"/>
          <w:color w:val="auto"/>
          <w:szCs w:val="21"/>
          <w:highlight w:val="none"/>
        </w:rPr>
        <w:t>盖章</w:t>
      </w:r>
      <w:r>
        <w:rPr>
          <w:color w:val="auto"/>
          <w:szCs w:val="21"/>
          <w:highlight w:val="none"/>
        </w:rPr>
        <w:t>)</w:t>
      </w:r>
      <w:r>
        <w:rPr>
          <w:rFonts w:hint="eastAsia"/>
          <w:snapToGrid w:val="0"/>
          <w:color w:val="auto"/>
          <w:szCs w:val="21"/>
          <w:highlight w:val="none"/>
        </w:rPr>
        <w:t xml:space="preserve"> ： </w:t>
      </w:r>
    </w:p>
    <w:p>
      <w:pPr>
        <w:adjustRightInd w:val="0"/>
        <w:snapToGrid w:val="0"/>
        <w:spacing w:before="240" w:beforeLines="100" w:after="240" w:afterLines="100" w:line="400" w:lineRule="exact"/>
        <w:ind w:firstLine="357" w:firstLineChars="170"/>
        <w:rPr>
          <w:snapToGrid w:val="0"/>
          <w:color w:val="auto"/>
          <w:szCs w:val="21"/>
          <w:highlight w:val="none"/>
        </w:rPr>
      </w:pPr>
      <w:r>
        <w:rPr>
          <w:rFonts w:hint="eastAsia"/>
          <w:snapToGrid w:val="0"/>
          <w:color w:val="auto"/>
          <w:szCs w:val="21"/>
          <w:highlight w:val="none"/>
        </w:rPr>
        <w:t xml:space="preserve">法 人 代 表                             法 人 代 表  </w:t>
      </w:r>
    </w:p>
    <w:p>
      <w:pPr>
        <w:adjustRightInd w:val="0"/>
        <w:snapToGrid w:val="0"/>
        <w:spacing w:before="240" w:beforeLines="100" w:after="240" w:afterLines="100" w:line="400" w:lineRule="exact"/>
        <w:ind w:firstLine="359" w:firstLineChars="171"/>
        <w:rPr>
          <w:snapToGrid w:val="0"/>
          <w:color w:val="auto"/>
          <w:szCs w:val="21"/>
          <w:highlight w:val="none"/>
        </w:rPr>
      </w:pPr>
      <w:r>
        <w:rPr>
          <w:rFonts w:hint="eastAsia"/>
          <w:snapToGrid w:val="0"/>
          <w:color w:val="auto"/>
          <w:szCs w:val="21"/>
          <w:highlight w:val="none"/>
        </w:rPr>
        <w:t>或其委托代理人（签字）：                或其委托代理人（签字）：</w:t>
      </w:r>
    </w:p>
    <w:p>
      <w:pPr>
        <w:adjustRightInd w:val="0"/>
        <w:snapToGrid w:val="0"/>
        <w:spacing w:before="240" w:beforeLines="100" w:after="240" w:afterLines="100" w:line="400" w:lineRule="exact"/>
        <w:ind w:firstLine="359" w:firstLineChars="171"/>
        <w:rPr>
          <w:snapToGrid w:val="0"/>
          <w:color w:val="auto"/>
          <w:szCs w:val="21"/>
          <w:highlight w:val="none"/>
        </w:rPr>
      </w:pPr>
      <w:r>
        <w:rPr>
          <w:rFonts w:hint="eastAsia"/>
          <w:snapToGrid w:val="0"/>
          <w:color w:val="auto"/>
          <w:szCs w:val="21"/>
          <w:highlight w:val="none"/>
        </w:rPr>
        <w:t>签约日期：</w:t>
      </w:r>
      <w:r>
        <w:rPr>
          <w:rFonts w:hint="eastAsia"/>
          <w:snapToGrid w:val="0"/>
          <w:color w:val="auto"/>
          <w:szCs w:val="21"/>
          <w:highlight w:val="none"/>
          <w:u w:val="single"/>
        </w:rPr>
        <w:t xml:space="preserve">     </w:t>
      </w:r>
      <w:r>
        <w:rPr>
          <w:rFonts w:hint="eastAsia"/>
          <w:snapToGrid w:val="0"/>
          <w:color w:val="auto"/>
          <w:szCs w:val="21"/>
          <w:highlight w:val="none"/>
        </w:rPr>
        <w:t>年</w:t>
      </w:r>
      <w:r>
        <w:rPr>
          <w:rFonts w:hint="eastAsia"/>
          <w:snapToGrid w:val="0"/>
          <w:color w:val="auto"/>
          <w:szCs w:val="21"/>
          <w:highlight w:val="none"/>
          <w:u w:val="single"/>
        </w:rPr>
        <w:t xml:space="preserve"> </w:t>
      </w:r>
      <w:r>
        <w:rPr>
          <w:snapToGrid w:val="0"/>
          <w:color w:val="auto"/>
          <w:szCs w:val="21"/>
          <w:highlight w:val="none"/>
          <w:u w:val="single"/>
        </w:rPr>
        <w:t xml:space="preserve"> </w:t>
      </w:r>
      <w:r>
        <w:rPr>
          <w:rFonts w:hint="eastAsia"/>
          <w:snapToGrid w:val="0"/>
          <w:color w:val="auto"/>
          <w:szCs w:val="21"/>
          <w:highlight w:val="none"/>
          <w:u w:val="single"/>
        </w:rPr>
        <w:t xml:space="preserve"> </w:t>
      </w:r>
      <w:r>
        <w:rPr>
          <w:rFonts w:hint="eastAsia"/>
          <w:snapToGrid w:val="0"/>
          <w:color w:val="auto"/>
          <w:szCs w:val="21"/>
          <w:highlight w:val="none"/>
        </w:rPr>
        <w:t>月</w:t>
      </w:r>
      <w:r>
        <w:rPr>
          <w:rFonts w:hint="eastAsia"/>
          <w:snapToGrid w:val="0"/>
          <w:color w:val="auto"/>
          <w:szCs w:val="21"/>
          <w:highlight w:val="none"/>
          <w:u w:val="single"/>
        </w:rPr>
        <w:t xml:space="preserve">  </w:t>
      </w:r>
      <w:r>
        <w:rPr>
          <w:rFonts w:hint="eastAsia"/>
          <w:snapToGrid w:val="0"/>
          <w:color w:val="auto"/>
          <w:szCs w:val="21"/>
          <w:highlight w:val="none"/>
        </w:rPr>
        <w:t>日</w:t>
      </w: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p>
    <w:p>
      <w:pPr>
        <w:adjustRightInd w:val="0"/>
        <w:snapToGrid w:val="0"/>
        <w:spacing w:before="240" w:beforeLines="100" w:after="240" w:afterLines="100" w:line="400" w:lineRule="exact"/>
        <w:rPr>
          <w:snapToGrid w:val="0"/>
          <w:color w:val="auto"/>
          <w:szCs w:val="21"/>
          <w:highlight w:val="none"/>
        </w:rPr>
      </w:pPr>
      <w:r>
        <w:rPr>
          <w:rFonts w:hint="eastAsia"/>
          <w:snapToGrid w:val="0"/>
          <w:color w:val="auto"/>
          <w:szCs w:val="21"/>
          <w:highlight w:val="none"/>
        </w:rPr>
        <w:t>注：合同协议书</w:t>
      </w:r>
      <w:r>
        <w:rPr>
          <w:rFonts w:hint="eastAsia"/>
          <w:snapToGrid w:val="0"/>
          <w:color w:val="auto"/>
          <w:szCs w:val="21"/>
          <w:highlight w:val="none"/>
          <w:lang w:eastAsia="zh-CN"/>
        </w:rPr>
        <w:t>（</w:t>
      </w:r>
      <w:r>
        <w:rPr>
          <w:rFonts w:hint="eastAsia"/>
          <w:snapToGrid w:val="0"/>
          <w:color w:val="auto"/>
          <w:szCs w:val="21"/>
          <w:highlight w:val="none"/>
          <w:lang w:val="en-US" w:eastAsia="zh-CN"/>
        </w:rPr>
        <w:t>补充协议</w:t>
      </w:r>
      <w:r>
        <w:rPr>
          <w:rFonts w:hint="eastAsia"/>
          <w:snapToGrid w:val="0"/>
          <w:color w:val="auto"/>
          <w:szCs w:val="21"/>
          <w:highlight w:val="none"/>
          <w:lang w:eastAsia="zh-CN"/>
        </w:rPr>
        <w:t>）</w:t>
      </w:r>
      <w:r>
        <w:rPr>
          <w:rFonts w:hint="eastAsia"/>
          <w:snapToGrid w:val="0"/>
          <w:color w:val="auto"/>
          <w:szCs w:val="21"/>
          <w:highlight w:val="none"/>
        </w:rPr>
        <w:t>由档案咨询服务单位与发包人、参建单位分别签署。</w:t>
      </w:r>
    </w:p>
    <w:bookmarkEnd w:id="3"/>
    <w:bookmarkEnd w:id="4"/>
    <w:p>
      <w:pPr>
        <w:adjustRightInd w:val="0"/>
        <w:snapToGrid w:val="0"/>
        <w:spacing w:line="300" w:lineRule="auto"/>
        <w:rPr>
          <w:color w:val="auto"/>
          <w:szCs w:val="21"/>
          <w:highlight w:val="none"/>
        </w:rPr>
        <w:sectPr>
          <w:headerReference r:id="rId3" w:type="first"/>
          <w:pgSz w:w="11906" w:h="16838"/>
          <w:pgMar w:top="1418" w:right="1361" w:bottom="851" w:left="1588" w:header="851" w:footer="821" w:gutter="0"/>
          <w:cols w:space="720" w:num="1"/>
          <w:docGrid w:linePitch="312" w:charSpace="0"/>
        </w:sectPr>
      </w:pPr>
    </w:p>
    <w:p>
      <w:pPr>
        <w:keepNext/>
        <w:keepLines/>
        <w:adjustRightInd w:val="0"/>
        <w:snapToGrid w:val="0"/>
        <w:spacing w:before="120" w:line="360" w:lineRule="auto"/>
        <w:jc w:val="center"/>
        <w:outlineLvl w:val="1"/>
        <w:rPr>
          <w:rFonts w:eastAsia="黑体"/>
          <w:b/>
          <w:bCs/>
          <w:color w:val="auto"/>
          <w:sz w:val="32"/>
          <w:szCs w:val="32"/>
          <w:highlight w:val="none"/>
        </w:rPr>
      </w:pPr>
      <w:bookmarkStart w:id="5" w:name="_Toc216001615"/>
      <w:r>
        <w:rPr>
          <w:rFonts w:eastAsia="黑体"/>
          <w:b/>
          <w:bCs/>
          <w:color w:val="auto"/>
          <w:sz w:val="32"/>
          <w:szCs w:val="32"/>
          <w:highlight w:val="none"/>
        </w:rPr>
        <w:t>第</w:t>
      </w:r>
      <w:r>
        <w:rPr>
          <w:rFonts w:hint="eastAsia" w:eastAsia="黑体"/>
          <w:b/>
          <w:bCs/>
          <w:color w:val="auto"/>
          <w:sz w:val="32"/>
          <w:szCs w:val="32"/>
          <w:highlight w:val="none"/>
        </w:rPr>
        <w:t>二</w:t>
      </w:r>
      <w:r>
        <w:rPr>
          <w:rFonts w:eastAsia="黑体"/>
          <w:b/>
          <w:bCs/>
          <w:color w:val="auto"/>
          <w:sz w:val="32"/>
          <w:szCs w:val="32"/>
          <w:highlight w:val="none"/>
        </w:rPr>
        <w:t>部分  廉洁合同</w:t>
      </w:r>
      <w:bookmarkEnd w:id="5"/>
    </w:p>
    <w:p>
      <w:pPr>
        <w:jc w:val="center"/>
        <w:rPr>
          <w:color w:val="auto"/>
          <w:sz w:val="44"/>
          <w:szCs w:val="44"/>
          <w:highlight w:val="none"/>
        </w:rPr>
      </w:pPr>
      <w:r>
        <w:rPr>
          <w:color w:val="auto"/>
          <w:sz w:val="44"/>
          <w:szCs w:val="44"/>
          <w:highlight w:val="none"/>
        </w:rPr>
        <w:t>廉洁合同</w:t>
      </w:r>
    </w:p>
    <w:p>
      <w:pPr>
        <w:spacing w:line="400" w:lineRule="exact"/>
        <w:ind w:firstLine="420" w:firstLineChars="200"/>
        <w:rPr>
          <w:color w:val="auto"/>
          <w:szCs w:val="21"/>
          <w:highlight w:val="none"/>
        </w:rPr>
      </w:pPr>
      <w:r>
        <w:rPr>
          <w:color w:val="auto"/>
          <w:szCs w:val="21"/>
          <w:highlight w:val="none"/>
        </w:rPr>
        <w:t>根据交通运输部《关于在交通基础设施建设中推行廉政合同的通知》等文件要求以及有关工程建设、廉洁管理的相关规定，为加强工程建设的党风廉政建设，保证工程建设优质高效，保证工程建设者廉洁从业，保证建设资金安全以及投资效益，</w:t>
      </w:r>
      <w:r>
        <w:rPr>
          <w:rFonts w:hint="eastAsia"/>
          <w:color w:val="auto"/>
          <w:szCs w:val="21"/>
          <w:highlight w:val="none"/>
        </w:rPr>
        <w:t>甲方</w:t>
      </w:r>
      <w:r>
        <w:rPr>
          <w:rFonts w:hint="eastAsia"/>
          <w:b/>
          <w:color w:val="auto"/>
          <w:szCs w:val="21"/>
          <w:highlight w:val="none"/>
          <w:u w:val="single"/>
        </w:rPr>
        <w:t xml:space="preserve"> </w:t>
      </w:r>
      <w:r>
        <w:rPr>
          <w:b/>
          <w:color w:val="auto"/>
          <w:szCs w:val="21"/>
          <w:highlight w:val="none"/>
          <w:u w:val="single"/>
        </w:rPr>
        <w:t xml:space="preserve">                     </w:t>
      </w:r>
      <w:r>
        <w:rPr>
          <w:color w:val="auto"/>
          <w:szCs w:val="21"/>
          <w:highlight w:val="none"/>
        </w:rPr>
        <w:t>（以下简称“</w:t>
      </w:r>
      <w:r>
        <w:rPr>
          <w:rFonts w:hint="eastAsia"/>
          <w:color w:val="auto"/>
          <w:szCs w:val="21"/>
          <w:highlight w:val="none"/>
        </w:rPr>
        <w:t>甲方</w:t>
      </w:r>
      <w:r>
        <w:rPr>
          <w:color w:val="auto"/>
          <w:szCs w:val="21"/>
          <w:highlight w:val="none"/>
        </w:rPr>
        <w:t>”）与</w:t>
      </w:r>
      <w:r>
        <w:rPr>
          <w:rFonts w:hint="eastAsia"/>
          <w:b/>
          <w:color w:val="auto"/>
          <w:szCs w:val="21"/>
          <w:highlight w:val="none"/>
          <w:u w:val="single"/>
        </w:rPr>
        <w:t xml:space="preserve"> </w:t>
      </w:r>
      <w:r>
        <w:rPr>
          <w:b/>
          <w:color w:val="auto"/>
          <w:szCs w:val="21"/>
          <w:highlight w:val="none"/>
          <w:u w:val="single"/>
        </w:rPr>
        <w:t xml:space="preserve">                     </w:t>
      </w:r>
      <w:r>
        <w:rPr>
          <w:color w:val="auto"/>
          <w:szCs w:val="21"/>
          <w:highlight w:val="none"/>
        </w:rPr>
        <w:t>项目</w:t>
      </w:r>
      <w:r>
        <w:rPr>
          <w:b/>
          <w:color w:val="auto"/>
          <w:szCs w:val="21"/>
          <w:highlight w:val="none"/>
          <w:u w:val="single"/>
        </w:rPr>
        <w:t xml:space="preserve">      </w:t>
      </w:r>
      <w:r>
        <w:rPr>
          <w:b/>
          <w:color w:val="auto"/>
          <w:szCs w:val="21"/>
          <w:highlight w:val="none"/>
        </w:rPr>
        <w:t>标段</w:t>
      </w:r>
      <w:r>
        <w:rPr>
          <w:color w:val="auto"/>
          <w:szCs w:val="21"/>
          <w:highlight w:val="none"/>
        </w:rPr>
        <w:t>的中标单位</w:t>
      </w:r>
      <w:r>
        <w:rPr>
          <w:b/>
          <w:color w:val="auto"/>
          <w:szCs w:val="21"/>
          <w:highlight w:val="none"/>
          <w:u w:val="single"/>
        </w:rPr>
        <w:t xml:space="preserve">          </w:t>
      </w:r>
      <w:r>
        <w:rPr>
          <w:color w:val="auto"/>
          <w:szCs w:val="21"/>
          <w:highlight w:val="none"/>
        </w:rPr>
        <w:t>（以下简称“</w:t>
      </w:r>
      <w:r>
        <w:rPr>
          <w:rFonts w:hint="eastAsia"/>
          <w:color w:val="auto"/>
          <w:szCs w:val="21"/>
          <w:highlight w:val="none"/>
        </w:rPr>
        <w:t>乙方</w:t>
      </w:r>
      <w:r>
        <w:rPr>
          <w:color w:val="auto"/>
          <w:szCs w:val="21"/>
          <w:highlight w:val="none"/>
        </w:rPr>
        <w:t>”），特订立如下合同。</w:t>
      </w:r>
    </w:p>
    <w:p>
      <w:pPr>
        <w:spacing w:line="400" w:lineRule="exact"/>
        <w:ind w:firstLine="420" w:firstLineChars="200"/>
        <w:rPr>
          <w:color w:val="auto"/>
          <w:szCs w:val="21"/>
          <w:highlight w:val="none"/>
        </w:rPr>
      </w:pPr>
      <w:r>
        <w:rPr>
          <w:color w:val="auto"/>
          <w:szCs w:val="21"/>
          <w:highlight w:val="none"/>
        </w:rPr>
        <w:t>1、甲乙双方的权利和义务</w:t>
      </w:r>
    </w:p>
    <w:p>
      <w:pPr>
        <w:spacing w:line="400" w:lineRule="exact"/>
        <w:ind w:firstLine="420" w:firstLineChars="200"/>
        <w:rPr>
          <w:color w:val="auto"/>
          <w:szCs w:val="21"/>
          <w:highlight w:val="none"/>
        </w:rPr>
      </w:pPr>
      <w:r>
        <w:rPr>
          <w:color w:val="auto"/>
          <w:szCs w:val="21"/>
          <w:highlight w:val="none"/>
        </w:rPr>
        <w:t>（1）严格遵守国家有关法律、法规及交通运输部、省交通运输厅的有关规定。</w:t>
      </w:r>
    </w:p>
    <w:p>
      <w:pPr>
        <w:spacing w:line="400" w:lineRule="exact"/>
        <w:ind w:firstLine="420" w:firstLineChars="200"/>
        <w:rPr>
          <w:color w:val="auto"/>
          <w:szCs w:val="21"/>
          <w:highlight w:val="none"/>
        </w:rPr>
      </w:pPr>
      <w:r>
        <w:rPr>
          <w:color w:val="auto"/>
          <w:szCs w:val="21"/>
          <w:highlight w:val="none"/>
        </w:rPr>
        <w:t>（2）严格执行</w:t>
      </w:r>
      <w:r>
        <w:rPr>
          <w:b/>
          <w:color w:val="auto"/>
          <w:szCs w:val="21"/>
          <w:highlight w:val="none"/>
          <w:u w:val="single"/>
        </w:rPr>
        <w:t xml:space="preserve">               </w:t>
      </w:r>
      <w:r>
        <w:rPr>
          <w:color w:val="auto"/>
          <w:szCs w:val="21"/>
          <w:highlight w:val="none"/>
        </w:rPr>
        <w:t>合同文件，严格履行合同。</w:t>
      </w:r>
    </w:p>
    <w:p>
      <w:pPr>
        <w:spacing w:line="400" w:lineRule="exact"/>
        <w:ind w:firstLine="420" w:firstLineChars="200"/>
        <w:rPr>
          <w:color w:val="auto"/>
          <w:szCs w:val="21"/>
          <w:highlight w:val="none"/>
        </w:rPr>
      </w:pPr>
      <w:r>
        <w:rPr>
          <w:color w:val="auto"/>
          <w:szCs w:val="21"/>
          <w:highlight w:val="none"/>
        </w:rPr>
        <w:t>（3）双方的业务活动坚持公开、公正、诚信、透明的原则（法律认定的商业秘密和合同文件另有规定除外），不得损害国家和集体利益，不得违反工程建设管理规章制度。</w:t>
      </w:r>
    </w:p>
    <w:p>
      <w:pPr>
        <w:spacing w:line="400" w:lineRule="exact"/>
        <w:ind w:firstLine="420" w:firstLineChars="200"/>
        <w:rPr>
          <w:color w:val="auto"/>
          <w:szCs w:val="21"/>
          <w:highlight w:val="none"/>
        </w:rPr>
      </w:pPr>
      <w:r>
        <w:rPr>
          <w:color w:val="auto"/>
          <w:szCs w:val="21"/>
          <w:highlight w:val="none"/>
        </w:rPr>
        <w:t>（4）推行廉洁管理标准化，建立廉洁管理责任体系，制定廉洁管理制度，实行建设信息公开，开展廉洁教育和廉洁文化建设，监督并认真查处违法违纪行为。</w:t>
      </w:r>
    </w:p>
    <w:p>
      <w:pPr>
        <w:spacing w:line="400" w:lineRule="exact"/>
        <w:ind w:firstLine="420" w:firstLineChars="200"/>
        <w:rPr>
          <w:color w:val="auto"/>
          <w:szCs w:val="21"/>
          <w:highlight w:val="none"/>
        </w:rPr>
      </w:pPr>
      <w:r>
        <w:rPr>
          <w:color w:val="auto"/>
          <w:szCs w:val="21"/>
          <w:highlight w:val="none"/>
        </w:rPr>
        <w:t>（5）发现对方在业务活动中有违反廉洁规定的行为，有及时提醒对方纠正的权利和义务。</w:t>
      </w:r>
    </w:p>
    <w:p>
      <w:pPr>
        <w:spacing w:line="400" w:lineRule="exact"/>
        <w:ind w:firstLine="420" w:firstLineChars="200"/>
        <w:rPr>
          <w:color w:val="auto"/>
          <w:szCs w:val="21"/>
          <w:highlight w:val="none"/>
        </w:rPr>
      </w:pPr>
      <w:r>
        <w:rPr>
          <w:color w:val="auto"/>
          <w:szCs w:val="21"/>
          <w:highlight w:val="none"/>
        </w:rPr>
        <w:t>（6）发现对方严重违反本合同义务条款的行为，有向其上级有关部门举报、建议给予处理并要求告知处理结果的权利。</w:t>
      </w:r>
    </w:p>
    <w:p>
      <w:pPr>
        <w:spacing w:line="400" w:lineRule="exact"/>
        <w:ind w:firstLine="420" w:firstLineChars="200"/>
        <w:rPr>
          <w:color w:val="auto"/>
          <w:szCs w:val="21"/>
          <w:highlight w:val="none"/>
        </w:rPr>
      </w:pPr>
      <w:r>
        <w:rPr>
          <w:color w:val="auto"/>
          <w:szCs w:val="21"/>
          <w:highlight w:val="none"/>
        </w:rPr>
        <w:t>2、发包人的义务</w:t>
      </w:r>
    </w:p>
    <w:p>
      <w:pPr>
        <w:spacing w:line="400" w:lineRule="exact"/>
        <w:ind w:firstLine="420" w:firstLineChars="200"/>
        <w:rPr>
          <w:color w:val="auto"/>
          <w:szCs w:val="21"/>
          <w:highlight w:val="none"/>
        </w:rPr>
      </w:pPr>
      <w:r>
        <w:rPr>
          <w:color w:val="auto"/>
          <w:szCs w:val="21"/>
          <w:highlight w:val="none"/>
        </w:rPr>
        <w:t>（1）甲方应认真履行廉洁从政各项要求，组织实施廉洁管理标准化工作。</w:t>
      </w:r>
    </w:p>
    <w:p>
      <w:pPr>
        <w:spacing w:line="400" w:lineRule="exact"/>
        <w:ind w:firstLine="420" w:firstLineChars="200"/>
        <w:rPr>
          <w:color w:val="auto"/>
          <w:szCs w:val="21"/>
          <w:highlight w:val="none"/>
        </w:rPr>
      </w:pPr>
      <w:r>
        <w:rPr>
          <w:color w:val="auto"/>
          <w:szCs w:val="21"/>
          <w:highlight w:val="none"/>
        </w:rPr>
        <w:t>（2）甲方应按照资金使用规定，保证建设资金的管理、使用符合相关规定。</w:t>
      </w:r>
    </w:p>
    <w:p>
      <w:pPr>
        <w:spacing w:line="400" w:lineRule="exact"/>
        <w:ind w:firstLine="420" w:firstLineChars="200"/>
        <w:rPr>
          <w:color w:val="auto"/>
          <w:szCs w:val="21"/>
          <w:highlight w:val="none"/>
        </w:rPr>
      </w:pPr>
      <w:r>
        <w:rPr>
          <w:color w:val="auto"/>
          <w:szCs w:val="21"/>
          <w:highlight w:val="none"/>
        </w:rPr>
        <w:t>（3）甲方及其工作人员不得索要或接受服务单位的礼金、有价证券和贵重物品，不得让服务单位报销任何应由甲方或甲方工作人员个人支付的费用等。</w:t>
      </w:r>
    </w:p>
    <w:p>
      <w:pPr>
        <w:spacing w:line="400" w:lineRule="exact"/>
        <w:ind w:firstLine="420" w:firstLineChars="200"/>
        <w:rPr>
          <w:color w:val="auto"/>
          <w:szCs w:val="21"/>
          <w:highlight w:val="none"/>
        </w:rPr>
      </w:pPr>
      <w:r>
        <w:rPr>
          <w:color w:val="auto"/>
          <w:szCs w:val="21"/>
          <w:highlight w:val="none"/>
        </w:rPr>
        <w:t>（4）甲方工作人员不得参加服务单位安排的超标准宴请和娱乐活动；不得接受服务单位提供的通讯工具、交通工具和高档办公用品等。</w:t>
      </w:r>
    </w:p>
    <w:p>
      <w:pPr>
        <w:spacing w:line="400" w:lineRule="exact"/>
        <w:ind w:firstLine="420" w:firstLineChars="200"/>
        <w:rPr>
          <w:color w:val="auto"/>
          <w:szCs w:val="21"/>
          <w:highlight w:val="none"/>
        </w:rPr>
      </w:pPr>
      <w:r>
        <w:rPr>
          <w:color w:val="auto"/>
          <w:szCs w:val="21"/>
          <w:highlight w:val="none"/>
        </w:rPr>
        <w:t>（5）甲方及其工作人员不得要求或者接受服务单位为其住房装修、婚丧嫁娶活动、配偶子女的工作安排以及出国出境、旅游等提供方便等。</w:t>
      </w:r>
    </w:p>
    <w:p>
      <w:pPr>
        <w:spacing w:line="400" w:lineRule="exact"/>
        <w:ind w:firstLine="420" w:firstLineChars="200"/>
        <w:rPr>
          <w:color w:val="auto"/>
          <w:szCs w:val="21"/>
          <w:highlight w:val="none"/>
        </w:rPr>
      </w:pPr>
      <w:r>
        <w:rPr>
          <w:color w:val="auto"/>
          <w:szCs w:val="21"/>
          <w:highlight w:val="none"/>
        </w:rPr>
        <w:t>（6）甲方工作人员及其配偶、子女不得从事与甲方工作有关的材料设备供应、工程分包、劳务等经济活动等，不得安排个人施工队伍。</w:t>
      </w:r>
    </w:p>
    <w:p>
      <w:pPr>
        <w:spacing w:line="400" w:lineRule="exact"/>
        <w:ind w:firstLine="420" w:firstLineChars="200"/>
        <w:rPr>
          <w:color w:val="auto"/>
          <w:szCs w:val="21"/>
          <w:highlight w:val="none"/>
        </w:rPr>
      </w:pPr>
      <w:r>
        <w:rPr>
          <w:color w:val="auto"/>
          <w:szCs w:val="21"/>
          <w:highlight w:val="none"/>
        </w:rPr>
        <w:t>（7）甲方及其工作人员不得以任何理由向服务单位推荐分包单位或推销材料，不得要求服务单位购买合同规定外的材料和设备。</w:t>
      </w:r>
    </w:p>
    <w:p>
      <w:pPr>
        <w:spacing w:line="400" w:lineRule="exact"/>
        <w:ind w:firstLine="420" w:firstLineChars="200"/>
        <w:rPr>
          <w:color w:val="auto"/>
          <w:szCs w:val="21"/>
          <w:highlight w:val="none"/>
        </w:rPr>
      </w:pPr>
      <w:r>
        <w:rPr>
          <w:color w:val="auto"/>
          <w:szCs w:val="21"/>
          <w:highlight w:val="none"/>
        </w:rPr>
        <w:t>（8）甲方工作人员要秉公办事，不准营私舞弊，不准利用职权从事各种个人有偿中介活动，不得透露不该公开的与工程有关的任何信息。</w:t>
      </w:r>
    </w:p>
    <w:p>
      <w:pPr>
        <w:spacing w:line="400" w:lineRule="exact"/>
        <w:ind w:firstLine="420" w:firstLineChars="200"/>
        <w:rPr>
          <w:color w:val="auto"/>
          <w:szCs w:val="21"/>
          <w:highlight w:val="none"/>
        </w:rPr>
      </w:pPr>
      <w:r>
        <w:rPr>
          <w:color w:val="auto"/>
          <w:szCs w:val="21"/>
          <w:highlight w:val="none"/>
        </w:rPr>
        <w:t>3、服务单位的义务</w:t>
      </w:r>
    </w:p>
    <w:p>
      <w:pPr>
        <w:spacing w:line="400" w:lineRule="exact"/>
        <w:ind w:firstLine="420" w:firstLineChars="200"/>
        <w:rPr>
          <w:color w:val="auto"/>
          <w:szCs w:val="21"/>
          <w:highlight w:val="none"/>
        </w:rPr>
      </w:pPr>
      <w:r>
        <w:rPr>
          <w:color w:val="auto"/>
          <w:szCs w:val="21"/>
          <w:highlight w:val="none"/>
        </w:rPr>
        <w:t>（1）服务单位应认真履行廉洁从业各项要求，建立完善的廉洁管理组织机构，明确廉洁管理员。</w:t>
      </w:r>
    </w:p>
    <w:p>
      <w:pPr>
        <w:spacing w:line="400" w:lineRule="exact"/>
        <w:ind w:firstLine="420" w:firstLineChars="200"/>
        <w:rPr>
          <w:color w:val="auto"/>
          <w:szCs w:val="21"/>
          <w:highlight w:val="none"/>
        </w:rPr>
      </w:pPr>
      <w:r>
        <w:rPr>
          <w:color w:val="auto"/>
          <w:szCs w:val="21"/>
          <w:highlight w:val="none"/>
        </w:rPr>
        <w:t>（2）服务单位要进行廉洁管理责任分解，层层落实廉洁管理责任，与劳务分包单位、材料供应单位签订《廉洁合同》，制订廉洁责任守则、廉洁考核奖惩办法，按要求建立单位廉洁档案和个人廉洁档案。</w:t>
      </w:r>
    </w:p>
    <w:p>
      <w:pPr>
        <w:spacing w:line="400" w:lineRule="exact"/>
        <w:ind w:firstLine="420" w:firstLineChars="200"/>
        <w:rPr>
          <w:color w:val="auto"/>
          <w:szCs w:val="21"/>
          <w:highlight w:val="none"/>
        </w:rPr>
      </w:pPr>
      <w:r>
        <w:rPr>
          <w:color w:val="auto"/>
          <w:szCs w:val="21"/>
          <w:highlight w:val="none"/>
        </w:rPr>
        <w:t>（3）服务单位应按照廉洁管理的要求，开展内部廉洁教育，在现场建立廉洁警示牌（栏）、举报箱，公布举报电话、廉洁承诺，公开重大事项。</w:t>
      </w:r>
    </w:p>
    <w:p>
      <w:pPr>
        <w:spacing w:line="400" w:lineRule="exact"/>
        <w:ind w:firstLine="420" w:firstLineChars="200"/>
        <w:rPr>
          <w:color w:val="auto"/>
          <w:szCs w:val="21"/>
          <w:highlight w:val="none"/>
        </w:rPr>
      </w:pPr>
      <w:r>
        <w:rPr>
          <w:color w:val="auto"/>
          <w:szCs w:val="21"/>
          <w:highlight w:val="none"/>
        </w:rPr>
        <w:t>（4）服务单位对照廉政风险防控手册分析风险点，建立岗位廉洁风险防控机制。</w:t>
      </w:r>
    </w:p>
    <w:p>
      <w:pPr>
        <w:spacing w:line="400" w:lineRule="exact"/>
        <w:ind w:firstLine="420" w:firstLineChars="200"/>
        <w:rPr>
          <w:color w:val="auto"/>
          <w:szCs w:val="21"/>
          <w:highlight w:val="none"/>
        </w:rPr>
      </w:pPr>
      <w:r>
        <w:rPr>
          <w:color w:val="auto"/>
          <w:szCs w:val="21"/>
          <w:highlight w:val="none"/>
        </w:rPr>
        <w:t>（5）服务单位应保证工程建设资金的管理、使用，不得挪用、截留、挤占，并按规定及时支付农民工工资和材料、工程款。</w:t>
      </w:r>
    </w:p>
    <w:p>
      <w:pPr>
        <w:spacing w:line="400" w:lineRule="exact"/>
        <w:ind w:firstLine="420" w:firstLineChars="200"/>
        <w:rPr>
          <w:color w:val="auto"/>
          <w:szCs w:val="21"/>
          <w:highlight w:val="none"/>
        </w:rPr>
      </w:pPr>
      <w:r>
        <w:rPr>
          <w:color w:val="auto"/>
          <w:szCs w:val="21"/>
          <w:highlight w:val="none"/>
        </w:rPr>
        <w:t>（6）服务单位不得以任何理由向甲方及其工作人员行贿或馈赠礼金、有价证券、贵重礼品。</w:t>
      </w:r>
    </w:p>
    <w:p>
      <w:pPr>
        <w:spacing w:line="400" w:lineRule="exact"/>
        <w:ind w:firstLine="420" w:firstLineChars="200"/>
        <w:rPr>
          <w:color w:val="auto"/>
          <w:szCs w:val="21"/>
          <w:highlight w:val="none"/>
        </w:rPr>
      </w:pPr>
      <w:r>
        <w:rPr>
          <w:color w:val="auto"/>
          <w:szCs w:val="21"/>
          <w:highlight w:val="none"/>
        </w:rPr>
        <w:t>（7）服务单位不得以任何名义为甲方及其工作人员报销应由甲方单位或个人支付的任何费用。</w:t>
      </w:r>
    </w:p>
    <w:p>
      <w:pPr>
        <w:spacing w:line="400" w:lineRule="exact"/>
        <w:ind w:firstLine="420" w:firstLineChars="200"/>
        <w:rPr>
          <w:color w:val="auto"/>
          <w:szCs w:val="21"/>
          <w:highlight w:val="none"/>
        </w:rPr>
      </w:pPr>
      <w:r>
        <w:rPr>
          <w:color w:val="auto"/>
          <w:szCs w:val="21"/>
          <w:highlight w:val="none"/>
        </w:rPr>
        <w:t>（8）服务单位不得以任何理由安排甲方工作人员参加超标准宴请及娱乐活动。</w:t>
      </w:r>
    </w:p>
    <w:p>
      <w:pPr>
        <w:spacing w:line="400" w:lineRule="exact"/>
        <w:ind w:firstLine="420" w:firstLineChars="200"/>
        <w:rPr>
          <w:color w:val="auto"/>
          <w:szCs w:val="21"/>
          <w:highlight w:val="none"/>
        </w:rPr>
      </w:pPr>
      <w:r>
        <w:rPr>
          <w:color w:val="auto"/>
          <w:szCs w:val="21"/>
          <w:highlight w:val="none"/>
        </w:rPr>
        <w:t>（9）服务单位不得为甲方单位和个人购置或提供通讯工具、交通工具和高档办公用品等。</w:t>
      </w:r>
    </w:p>
    <w:p>
      <w:pPr>
        <w:spacing w:line="400" w:lineRule="exact"/>
        <w:ind w:firstLine="420" w:firstLineChars="200"/>
        <w:rPr>
          <w:color w:val="auto"/>
          <w:szCs w:val="21"/>
          <w:highlight w:val="none"/>
        </w:rPr>
      </w:pPr>
      <w:r>
        <w:rPr>
          <w:color w:val="auto"/>
          <w:szCs w:val="21"/>
          <w:highlight w:val="none"/>
        </w:rPr>
        <w:t>（10）服务单位在廉洁管理过程中，应对廉洁管理过程中形成的资料完备性进行检查，并整理归档。</w:t>
      </w:r>
    </w:p>
    <w:p>
      <w:pPr>
        <w:spacing w:line="400" w:lineRule="exact"/>
        <w:ind w:firstLine="420" w:firstLineChars="200"/>
        <w:rPr>
          <w:color w:val="auto"/>
          <w:szCs w:val="21"/>
          <w:highlight w:val="none"/>
        </w:rPr>
      </w:pPr>
      <w:r>
        <w:rPr>
          <w:color w:val="auto"/>
          <w:szCs w:val="21"/>
          <w:highlight w:val="none"/>
        </w:rPr>
        <w:t>4、违约责任</w:t>
      </w:r>
    </w:p>
    <w:p>
      <w:pPr>
        <w:spacing w:line="400" w:lineRule="exact"/>
        <w:ind w:firstLine="420" w:firstLineChars="200"/>
        <w:rPr>
          <w:color w:val="auto"/>
          <w:szCs w:val="21"/>
          <w:highlight w:val="none"/>
        </w:rPr>
      </w:pPr>
      <w:r>
        <w:rPr>
          <w:color w:val="auto"/>
          <w:szCs w:val="21"/>
          <w:highlight w:val="none"/>
        </w:rPr>
        <w:t>（1）甲方及其工作人员违反本合同第1、2条，按管理权限，依据有关规定给予党纪、政纪或组织处理；涉嫌犯罪的，移交司法机关追究刑事责任；给服务</w:t>
      </w:r>
      <w:r>
        <w:rPr>
          <w:rFonts w:hint="eastAsia"/>
          <w:color w:val="auto"/>
          <w:szCs w:val="21"/>
          <w:highlight w:val="none"/>
          <w:lang w:eastAsia="zh-CN"/>
        </w:rPr>
        <w:t>单位</w:t>
      </w:r>
      <w:r>
        <w:rPr>
          <w:color w:val="auto"/>
          <w:szCs w:val="21"/>
          <w:highlight w:val="none"/>
        </w:rPr>
        <w:t>造成经济损失的，应予以赔偿。</w:t>
      </w:r>
    </w:p>
    <w:p>
      <w:pPr>
        <w:spacing w:line="400" w:lineRule="exact"/>
        <w:ind w:firstLine="420" w:firstLineChars="200"/>
        <w:rPr>
          <w:color w:val="auto"/>
          <w:szCs w:val="21"/>
          <w:highlight w:val="none"/>
        </w:rPr>
      </w:pPr>
      <w:r>
        <w:rPr>
          <w:color w:val="auto"/>
          <w:szCs w:val="21"/>
          <w:highlight w:val="none"/>
        </w:rPr>
        <w:t>（2）服务单位及其工作人员违反本合同第1、3条，按管理权限，依据有关规定责令纠正，违反法纪的给予党纪、政纪或组织处理；给甲方单位造成经济损失的，应予以赔偿；情节严重的，甲方建议交通主管部门给予服务单位一至三年内不得进入其主管的公路建设市场的处罚。</w:t>
      </w:r>
    </w:p>
    <w:p>
      <w:pPr>
        <w:spacing w:line="400" w:lineRule="exact"/>
        <w:ind w:firstLine="420" w:firstLineChars="200"/>
        <w:rPr>
          <w:color w:val="auto"/>
          <w:szCs w:val="21"/>
          <w:highlight w:val="none"/>
        </w:rPr>
      </w:pPr>
      <w:r>
        <w:rPr>
          <w:color w:val="auto"/>
          <w:szCs w:val="21"/>
          <w:highlight w:val="none"/>
        </w:rPr>
        <w:t>5、双方约定：本合同由双方或双方上级单位的纪检监察部门负责监督执行。由甲方或甲方上级单位的纪检监察部门约请服务单位或服务单位上级单位纪检监察部门对本合同执行情况进行检查，提出在本合同规定范围内的裁定意见。</w:t>
      </w:r>
    </w:p>
    <w:p>
      <w:pPr>
        <w:spacing w:line="400" w:lineRule="exact"/>
        <w:ind w:firstLine="420" w:firstLineChars="200"/>
        <w:rPr>
          <w:color w:val="auto"/>
          <w:szCs w:val="21"/>
          <w:highlight w:val="none"/>
        </w:rPr>
      </w:pPr>
      <w:r>
        <w:rPr>
          <w:color w:val="auto"/>
          <w:szCs w:val="21"/>
          <w:highlight w:val="none"/>
        </w:rPr>
        <w:t>6、本合同有效期为甲乙签署之日起至该工程项目竣工验收后止。</w:t>
      </w:r>
    </w:p>
    <w:p>
      <w:pPr>
        <w:spacing w:line="400" w:lineRule="exact"/>
        <w:ind w:firstLine="420" w:firstLineChars="200"/>
        <w:rPr>
          <w:color w:val="auto"/>
          <w:szCs w:val="21"/>
          <w:highlight w:val="none"/>
        </w:rPr>
      </w:pPr>
      <w:r>
        <w:rPr>
          <w:color w:val="auto"/>
          <w:szCs w:val="21"/>
          <w:highlight w:val="none"/>
        </w:rPr>
        <w:t>7、本合同作为</w:t>
      </w:r>
      <w:r>
        <w:rPr>
          <w:b/>
          <w:color w:val="auto"/>
          <w:szCs w:val="21"/>
          <w:highlight w:val="none"/>
          <w:u w:val="single"/>
        </w:rPr>
        <w:t xml:space="preserve">                     </w:t>
      </w:r>
      <w:r>
        <w:rPr>
          <w:color w:val="auto"/>
          <w:szCs w:val="21"/>
          <w:highlight w:val="none"/>
        </w:rPr>
        <w:t>合同的附件，与工程合同具有同等的法律效力，经合同双方签署后立即生效。</w:t>
      </w:r>
    </w:p>
    <w:p>
      <w:pPr>
        <w:spacing w:line="400" w:lineRule="exact"/>
        <w:ind w:firstLine="420" w:firstLineChars="200"/>
        <w:rPr>
          <w:color w:val="auto"/>
          <w:szCs w:val="21"/>
          <w:highlight w:val="none"/>
        </w:rPr>
      </w:pPr>
      <w:r>
        <w:rPr>
          <w:color w:val="auto"/>
          <w:szCs w:val="21"/>
          <w:highlight w:val="none"/>
        </w:rPr>
        <w:t>8、本合同一式</w:t>
      </w:r>
      <w:r>
        <w:rPr>
          <w:rFonts w:hint="eastAsia"/>
          <w:color w:val="auto"/>
          <w:szCs w:val="21"/>
          <w:highlight w:val="none"/>
        </w:rPr>
        <w:t>三</w:t>
      </w:r>
      <w:r>
        <w:rPr>
          <w:color w:val="auto"/>
          <w:szCs w:val="21"/>
          <w:highlight w:val="none"/>
        </w:rPr>
        <w:t>份，由甲乙各执—份，送交监督单位一份。</w:t>
      </w:r>
    </w:p>
    <w:p>
      <w:pPr>
        <w:spacing w:line="440" w:lineRule="exact"/>
        <w:rPr>
          <w:color w:val="auto"/>
          <w:spacing w:val="2"/>
          <w:szCs w:val="21"/>
          <w:highlight w:val="none"/>
        </w:rPr>
      </w:pPr>
      <w:r>
        <w:rPr>
          <w:color w:val="auto"/>
          <w:spacing w:val="2"/>
          <w:szCs w:val="21"/>
          <w:highlight w:val="none"/>
        </w:rPr>
        <w:t>甲方</w:t>
      </w:r>
      <w:r>
        <w:rPr>
          <w:color w:val="auto"/>
          <w:szCs w:val="21"/>
          <w:highlight w:val="none"/>
        </w:rPr>
        <w:t xml:space="preserve">（盖章）  </w:t>
      </w:r>
      <w:r>
        <w:rPr>
          <w:color w:val="auto"/>
          <w:spacing w:val="2"/>
          <w:szCs w:val="21"/>
          <w:highlight w:val="none"/>
        </w:rPr>
        <w:t>：                                             服务单位</w:t>
      </w:r>
      <w:r>
        <w:rPr>
          <w:color w:val="auto"/>
          <w:szCs w:val="21"/>
          <w:highlight w:val="none"/>
        </w:rPr>
        <w:t>（盖章）</w:t>
      </w:r>
      <w:r>
        <w:rPr>
          <w:color w:val="auto"/>
          <w:spacing w:val="2"/>
          <w:szCs w:val="21"/>
          <w:highlight w:val="none"/>
        </w:rPr>
        <w:t>：</w:t>
      </w:r>
    </w:p>
    <w:p>
      <w:pPr>
        <w:spacing w:line="440" w:lineRule="exact"/>
        <w:rPr>
          <w:color w:val="auto"/>
          <w:spacing w:val="2"/>
          <w:szCs w:val="21"/>
          <w:highlight w:val="none"/>
        </w:rPr>
      </w:pPr>
      <w:r>
        <w:rPr>
          <w:color w:val="auto"/>
          <w:spacing w:val="2"/>
          <w:szCs w:val="21"/>
          <w:highlight w:val="none"/>
        </w:rPr>
        <w:t>法定代表人                                         法定代表人</w:t>
      </w:r>
    </w:p>
    <w:p>
      <w:pPr>
        <w:spacing w:line="440" w:lineRule="exact"/>
        <w:rPr>
          <w:color w:val="auto"/>
          <w:spacing w:val="2"/>
          <w:szCs w:val="21"/>
          <w:highlight w:val="none"/>
        </w:rPr>
      </w:pPr>
      <w:r>
        <w:rPr>
          <w:color w:val="auto"/>
          <w:spacing w:val="2"/>
          <w:szCs w:val="21"/>
          <w:highlight w:val="none"/>
        </w:rPr>
        <w:t>或其授权代理人：                             或其授权代理人：</w:t>
      </w:r>
    </w:p>
    <w:p>
      <w:pPr>
        <w:wordWrap w:val="0"/>
        <w:jc w:val="right"/>
        <w:rPr>
          <w:color w:val="auto"/>
          <w:szCs w:val="21"/>
          <w:highlight w:val="none"/>
        </w:rPr>
      </w:pPr>
      <w:r>
        <w:rPr>
          <w:color w:val="auto"/>
          <w:szCs w:val="21"/>
          <w:highlight w:val="none"/>
        </w:rPr>
        <w:t>签约日期：    年    月    日</w:t>
      </w:r>
    </w:p>
    <w:p>
      <w:pPr>
        <w:spacing w:line="360" w:lineRule="auto"/>
        <w:jc w:val="center"/>
        <w:rPr>
          <w:rFonts w:ascii="宋体" w:hAnsi="宋体" w:cs="宋体"/>
          <w:color w:val="auto"/>
          <w:sz w:val="28"/>
          <w:szCs w:val="28"/>
          <w:highlight w:val="none"/>
        </w:rPr>
      </w:pPr>
      <w:r>
        <w:rPr>
          <w:rFonts w:hint="eastAsia" w:ascii="Arial" w:hAnsi="Arial" w:eastAsia="黑体"/>
          <w:color w:val="auto"/>
          <w:sz w:val="52"/>
          <w:szCs w:val="52"/>
          <w:highlight w:val="none"/>
        </w:rPr>
        <w:br w:type="page"/>
      </w:r>
      <w:r>
        <w:rPr>
          <w:rFonts w:hint="eastAsia" w:ascii="宋体" w:hAnsi="宋体" w:cs="宋体"/>
          <w:b/>
          <w:color w:val="auto"/>
          <w:sz w:val="36"/>
          <w:szCs w:val="36"/>
          <w:highlight w:val="none"/>
        </w:rPr>
        <w:t>第六部分</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质疑提出和处理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一、质疑的提出</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(一)质疑人的身份要求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1.提出质疑的供应商应当是参与所质疑项目采购活动的供应商。</w:t>
      </w:r>
    </w:p>
    <w:p>
      <w:pPr>
        <w:pStyle w:val="3"/>
        <w:snapToGrid w:val="0"/>
        <w:spacing w:after="0" w:line="360" w:lineRule="auto"/>
        <w:ind w:left="0" w:leftChars="0" w:firstLine="480" w:firstLineChars="200"/>
        <w:contextualSpacing/>
        <w:rPr>
          <w:rFonts w:ascii="宋体" w:hAnsi="宋体" w:cs="宋体"/>
          <w:color w:val="auto"/>
          <w:sz w:val="24"/>
          <w:highlight w:val="none"/>
        </w:rPr>
      </w:pPr>
      <w:r>
        <w:rPr>
          <w:rFonts w:ascii="宋体" w:hAnsi="宋体" w:cs="宋体"/>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 (二)质疑提出的格式要求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1.质疑</w:t>
      </w:r>
      <w:r>
        <w:rPr>
          <w:rFonts w:hint="eastAsia" w:ascii="宋体" w:hAnsi="宋体" w:cs="宋体"/>
          <w:color w:val="auto"/>
          <w:sz w:val="24"/>
          <w:highlight w:val="none"/>
        </w:rPr>
        <w:t>应</w:t>
      </w:r>
      <w:r>
        <w:rPr>
          <w:rFonts w:hint="eastAsia" w:ascii="宋体" w:hAnsi="宋体" w:cs="宋体"/>
          <w:color w:val="auto"/>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2.质疑函应包括：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1）质疑供应商的名称、地址、邮编、联系人及联系电话；</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2）具体、明确的质疑事项及明确的请求；</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3）质疑的事实依据和必要的法律依据；</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4）提起质疑的日期；</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 xml:space="preserve">5）认为自己合法权益受到损害或可能受到损害的相关证据材料；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sz w:val="24"/>
          <w:highlight w:val="none"/>
        </w:rPr>
        <w:t>采购人</w:t>
      </w:r>
      <w:r>
        <w:rPr>
          <w:rFonts w:hint="eastAsia" w:ascii="宋体" w:hAnsi="宋体" w:cs="宋体"/>
          <w:color w:val="auto"/>
          <w:sz w:val="24"/>
          <w:highlight w:val="none"/>
          <w:lang w:val="zh-CN"/>
        </w:rPr>
        <w:t>将不予受理。质疑人委托代理质疑的，应当向采购人提交授权委托书，并载明委托代理的具体权限和事项。</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3.质疑函需遵循的原则：</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（三）质疑提出的时效要求</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1）对可以质疑的采购文件提出质疑的，为收到采购文件之日或者采购文件公告期限届满之日；</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2）对采购过程提出质疑的，为各采购程序环节结束之日；</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 xml:space="preserve">3）对成交或者成交结果提出质疑的，为成交或者成交结果公告期限届满之日。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供应商认为采购文件使自己的权益受到损害的，可以按照招标公告第八项要求向采购人提出质疑；供应商认为采购过程和采购结果使自己的权益受到损害的，可以以书面形式向采购人或采购人提出质疑。</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2.供应商应在法定质疑期一次性提出针对同一采购程序环节的质疑。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二、《质疑函》的受理和答复</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1. </w:t>
      </w:r>
      <w:r>
        <w:rPr>
          <w:rFonts w:hint="eastAsia" w:ascii="宋体" w:hAnsi="宋体" w:cs="宋体"/>
          <w:color w:val="auto"/>
          <w:sz w:val="24"/>
          <w:highlight w:val="none"/>
          <w:lang w:val="zh-CN"/>
        </w:rPr>
        <w:t>采购人收到质疑函后，将对质疑的形式和内容进行审查，如质疑函内容、格式不符合规定，采购人将告知质疑人进行补正。</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2. </w:t>
      </w:r>
      <w:r>
        <w:rPr>
          <w:rFonts w:hint="eastAsia" w:ascii="宋体" w:hAnsi="宋体" w:cs="宋体"/>
          <w:color w:val="auto"/>
          <w:sz w:val="24"/>
          <w:highlight w:val="none"/>
          <w:lang w:val="zh-CN"/>
        </w:rPr>
        <w:t>质疑人应当在法定质疑期限内进行补正并重新提交质疑函，拒不补正或者在法定期限内未重新提交质疑函的，为无效质疑，采购人将不予受理。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3.采购人答复供应商质疑应当采用书面方式并依法送达，质疑供应商或其委托代理人拒绝签收的视为已经送达。</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三、质疑处理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1. </w:t>
      </w:r>
      <w:r>
        <w:rPr>
          <w:rFonts w:hint="eastAsia" w:ascii="宋体" w:hAnsi="宋体" w:cs="宋体"/>
          <w:color w:val="auto"/>
          <w:sz w:val="24"/>
          <w:highlight w:val="none"/>
          <w:lang w:val="zh-CN"/>
        </w:rPr>
        <w:t>质疑成立的处理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 xml:space="preserve">1）对于内容、格式符合规定的质疑函，采购人在收到谈判供应商的书面质疑后七个工作日内作出书面答复，但答复的内容不得涉及商业秘密。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ascii="宋体" w:hAnsi="宋体" w:cs="宋体"/>
          <w:color w:val="auto"/>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质疑答复导致成交、成交结果改变的，采购人应当将有关情况书面报告本级财政部门。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2.质疑不成立的处理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若质疑不成立，或者成立未对成交、成交结果构成影响的，继续开展采购活动。</w:t>
      </w:r>
      <w:r>
        <w:rPr>
          <w:rFonts w:ascii="宋体" w:hAnsi="宋体" w:cs="宋体"/>
          <w:color w:val="auto"/>
          <w:sz w:val="24"/>
          <w:highlight w:val="none"/>
          <w:lang w:val="zh-CN"/>
        </w:rPr>
        <w:t xml:space="preserve">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ascii="宋体" w:hAnsi="宋体" w:cs="宋体"/>
          <w:color w:val="auto"/>
          <w:sz w:val="24"/>
          <w:highlight w:val="none"/>
          <w:lang w:val="zh-CN"/>
        </w:rPr>
        <w:t xml:space="preserve">3.虚假质疑的处理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供应商提出书面质疑必须有理、有据，不得恶意质疑或提交虚假质疑。否则，一经查实，采购人有权依据相关规定，报请主管部门对该供应商进行相应的处罚。</w:t>
      </w:r>
      <w:r>
        <w:rPr>
          <w:rFonts w:ascii="宋体" w:hAnsi="宋体" w:cs="宋体"/>
          <w:color w:val="auto"/>
          <w:sz w:val="24"/>
          <w:highlight w:val="none"/>
          <w:lang w:val="zh-CN"/>
        </w:rPr>
        <w:t xml:space="preserve">                        </w:t>
      </w:r>
    </w:p>
    <w:p>
      <w:pPr>
        <w:autoSpaceDE w:val="0"/>
        <w:autoSpaceDN w:val="0"/>
        <w:adjustRightInd w:val="0"/>
        <w:snapToGrid w:val="0"/>
        <w:spacing w:line="360" w:lineRule="auto"/>
        <w:contextualSpacing/>
        <w:rPr>
          <w:rFonts w:ascii="宋体" w:hAnsi="宋体" w:cs="宋体"/>
          <w:color w:val="auto"/>
          <w:sz w:val="28"/>
          <w:szCs w:val="28"/>
          <w:highlight w:val="none"/>
          <w:lang w:val="zh-CN"/>
        </w:rPr>
      </w:pPr>
    </w:p>
    <w:p>
      <w:pPr>
        <w:autoSpaceDE w:val="0"/>
        <w:autoSpaceDN w:val="0"/>
        <w:adjustRightInd w:val="0"/>
        <w:snapToGrid w:val="0"/>
        <w:spacing w:line="360" w:lineRule="auto"/>
        <w:ind w:left="3630" w:right="210" w:hanging="3092"/>
        <w:outlineLvl w:val="0"/>
        <w:rPr>
          <w:rFonts w:ascii="宋体" w:hAnsi="宋体" w:cs="宋体"/>
          <w:color w:val="auto"/>
          <w:sz w:val="28"/>
          <w:szCs w:val="28"/>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djustRightInd w:val="0"/>
        <w:snapToGrid w:val="0"/>
        <w:spacing w:line="360" w:lineRule="auto"/>
        <w:jc w:val="center"/>
        <w:rPr>
          <w:rFonts w:ascii="宋体" w:hAnsi="宋体" w:cs="仿宋"/>
          <w:bCs/>
          <w:color w:val="auto"/>
          <w:sz w:val="44"/>
          <w:szCs w:val="44"/>
          <w:highlight w:val="none"/>
        </w:rPr>
      </w:pPr>
      <w:r>
        <w:rPr>
          <w:rFonts w:ascii="宋体" w:hAnsi="宋体" w:cs="宋体"/>
          <w:b/>
          <w:bCs/>
          <w:color w:val="auto"/>
          <w:sz w:val="36"/>
          <w:szCs w:val="36"/>
          <w:highlight w:val="none"/>
          <w:lang w:val="zh-CN"/>
        </w:rPr>
        <w:br w:type="page"/>
      </w:r>
      <w:r>
        <w:rPr>
          <w:rFonts w:hint="eastAsia" w:ascii="宋体" w:hAnsi="宋体" w:cs="仿宋"/>
          <w:bCs/>
          <w:color w:val="auto"/>
          <w:sz w:val="44"/>
          <w:szCs w:val="44"/>
          <w:highlight w:val="none"/>
        </w:rPr>
        <w:t>质疑函范本</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               邮编：</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             联系电话：</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               邮编：</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     包号：</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p>
    <w:p>
      <w:pPr>
        <w:adjustRightInd w:val="0"/>
        <w:snapToGrid w:val="0"/>
        <w:spacing w:line="360" w:lineRule="auto"/>
        <w:rPr>
          <w:rFonts w:ascii="宋体" w:hAnsi="宋体" w:cs="仿宋"/>
          <w:color w:val="auto"/>
          <w:sz w:val="24"/>
          <w:highlight w:val="none"/>
          <w:u w:val="dotted"/>
        </w:rPr>
      </w:pP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签章</w:t>
      </w:r>
      <w:r>
        <w:rPr>
          <w:rFonts w:hint="eastAsia" w:ascii="宋体" w:hAnsi="宋体"/>
          <w:color w:val="auto"/>
          <w:sz w:val="24"/>
          <w:highlight w:val="none"/>
          <w:lang w:eastAsia="zh-CN"/>
        </w:rPr>
        <w:t>）</w:t>
      </w:r>
      <w:r>
        <w:rPr>
          <w:rFonts w:hint="eastAsia" w:ascii="宋体" w:hAnsi="宋体"/>
          <w:color w:val="auto"/>
          <w:sz w:val="24"/>
          <w:highlight w:val="none"/>
        </w:rPr>
        <w:t xml:space="preserve">：                   公章：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32"/>
          <w:szCs w:val="32"/>
          <w:highlight w:val="none"/>
        </w:rPr>
      </w:pPr>
    </w:p>
    <w:p>
      <w:pPr>
        <w:adjustRightInd w:val="0"/>
        <w:snapToGrid w:val="0"/>
        <w:spacing w:line="360" w:lineRule="auto"/>
        <w:rPr>
          <w:rFonts w:ascii="宋体" w:hAnsi="宋体"/>
          <w:b/>
          <w:color w:val="auto"/>
          <w:sz w:val="32"/>
          <w:szCs w:val="32"/>
          <w:highlight w:val="none"/>
        </w:rPr>
      </w:pPr>
    </w:p>
    <w:p>
      <w:pPr>
        <w:adjustRightInd w:val="0"/>
        <w:snapToGrid w:val="0"/>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pPr>
        <w:adjustRightInd w:val="0"/>
        <w:snapToGrid w:val="0"/>
        <w:spacing w:line="360" w:lineRule="auto"/>
        <w:rPr>
          <w:rFonts w:ascii="宋体" w:hAnsi="宋体"/>
          <w:b/>
          <w:color w:val="auto"/>
          <w:sz w:val="32"/>
          <w:szCs w:val="32"/>
          <w:highlight w:val="none"/>
        </w:rPr>
      </w:pPr>
      <w:r>
        <w:rPr>
          <w:rFonts w:hint="eastAsia" w:ascii="宋体" w:hAnsi="宋体"/>
          <w:b/>
          <w:color w:val="auto"/>
          <w:sz w:val="32"/>
          <w:szCs w:val="32"/>
          <w:highlight w:val="none"/>
        </w:rPr>
        <w:t>质疑函制作说明：</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1.供应商提出质疑时，应提交质疑函和必要的证明材料。</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3.质疑供应商若对项目的某一分包进行质疑，质疑函中应列明具体分包号。</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4.质疑函的质疑事项应具体、明确，并有必要的事实依据和法律依据。</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5.质疑函的质疑请求应与质疑事项相关。</w:t>
      </w:r>
    </w:p>
    <w:p>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w:t>
      </w:r>
      <w:r>
        <w:rPr>
          <w:rFonts w:ascii="宋体" w:hAnsi="宋体" w:cs="宋体"/>
          <w:b/>
          <w:bCs/>
          <w:color w:val="auto"/>
          <w:sz w:val="36"/>
          <w:szCs w:val="36"/>
          <w:highlight w:val="none"/>
          <w:lang w:val="zh-CN"/>
        </w:rPr>
        <w:t xml:space="preserve">  </w:t>
      </w:r>
      <w:r>
        <w:rPr>
          <w:rFonts w:hint="eastAsia" w:ascii="宋体" w:hAnsi="宋体" w:cs="宋体"/>
          <w:b/>
          <w:bCs/>
          <w:color w:val="auto"/>
          <w:sz w:val="36"/>
          <w:szCs w:val="36"/>
          <w:highlight w:val="none"/>
          <w:lang w:val="zh-CN"/>
        </w:rPr>
        <w:t>响应文件组成</w:t>
      </w:r>
    </w:p>
    <w:p>
      <w:pPr>
        <w:snapToGrid w:val="0"/>
        <w:spacing w:line="360" w:lineRule="auto"/>
        <w:ind w:firstLine="458" w:firstLineChars="200"/>
        <w:jc w:val="left"/>
        <w:rPr>
          <w:rFonts w:hint="eastAsia" w:ascii="宋体" w:hAnsi="宋体" w:cs="宋体"/>
          <w:b/>
          <w:color w:val="auto"/>
          <w:spacing w:val="-6"/>
          <w:sz w:val="24"/>
          <w:highlight w:val="none"/>
        </w:rPr>
      </w:pPr>
      <w:r>
        <w:rPr>
          <w:rFonts w:hint="eastAsia" w:ascii="宋体" w:hAnsi="宋体" w:cs="宋体"/>
          <w:b/>
          <w:color w:val="auto"/>
          <w:spacing w:val="-6"/>
          <w:sz w:val="24"/>
          <w:highlight w:val="none"/>
        </w:rPr>
        <w:t>响应文件由资格审查、价格响应文件、电子版响应文件三</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资格声明函原件；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授权委托书或法定代表人身份证明原件；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w:t>
      </w:r>
      <w:r>
        <w:rPr>
          <w:rFonts w:ascii="宋体" w:hAnsi="宋体" w:cs="宋体"/>
          <w:color w:val="auto"/>
          <w:sz w:val="24"/>
          <w:highlight w:val="none"/>
        </w:rPr>
        <w:t>供应商信用承诺书原件；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w:t>
      </w:r>
      <w:r>
        <w:rPr>
          <w:rFonts w:ascii="宋体" w:hAnsi="宋体" w:cs="宋体"/>
          <w:color w:val="auto"/>
          <w:sz w:val="24"/>
          <w:highlight w:val="none"/>
        </w:rPr>
        <w:t>供应商基本情况表及按</w:t>
      </w:r>
      <w:r>
        <w:rPr>
          <w:rFonts w:hint="eastAsia" w:ascii="宋体" w:hAnsi="宋体" w:cs="宋体"/>
          <w:color w:val="auto"/>
          <w:sz w:val="24"/>
          <w:highlight w:val="none"/>
          <w:lang w:eastAsia="zh-CN"/>
        </w:rPr>
        <w:t>竞争性谈判公告</w:t>
      </w:r>
      <w:r>
        <w:rPr>
          <w:rFonts w:ascii="宋体" w:hAnsi="宋体" w:cs="宋体"/>
          <w:color w:val="auto"/>
          <w:sz w:val="24"/>
          <w:highlight w:val="none"/>
        </w:rPr>
        <w:t>资格要求提供相应的佐证材料（以下材料均须提供扫描件（或复印件）并加盖公章）；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1）企业法人营业执照或事业单位法人登记证明或社会组织或其他组织或自然人证明材料； </w:t>
      </w:r>
    </w:p>
    <w:p>
      <w:pPr>
        <w:tabs>
          <w:tab w:val="left" w:pos="3375"/>
        </w:tabs>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（2）供应商完成过高速公路工程档案管理服务项目（提供合同等证明资料）；</w:t>
      </w:r>
    </w:p>
    <w:p>
      <w:pPr>
        <w:tabs>
          <w:tab w:val="left" w:pos="3375"/>
        </w:tabs>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（3）拟投入本项目的项目负责人担任过已完高速公路工程档案管理服务项目的项目负责人（提供合同等证明资料，合同中须体现项目负责人职务，如无法体现职务可提供项目建设单位提供的证明材料等）；</w:t>
      </w:r>
    </w:p>
    <w:p>
      <w:pPr>
        <w:tabs>
          <w:tab w:val="left" w:pos="3375"/>
        </w:tabs>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（4）项目负责人的社保缴费证明；</w:t>
      </w:r>
    </w:p>
    <w:p>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（5）驻场人员的社保缴费证明；</w:t>
      </w:r>
    </w:p>
    <w:p>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5.其它需要提交的资格审查材料。</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二、价格响应文件</w:t>
      </w:r>
    </w:p>
    <w:p>
      <w:pPr>
        <w:tabs>
          <w:tab w:val="left" w:pos="3375"/>
        </w:tabs>
        <w:autoSpaceDE w:val="0"/>
        <w:autoSpaceDN w:val="0"/>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谈判报价总表</w:t>
      </w:r>
      <w:r>
        <w:rPr>
          <w:rFonts w:hint="eastAsia" w:ascii="宋体" w:hAnsi="宋体" w:cs="宋体"/>
          <w:color w:val="auto"/>
          <w:sz w:val="24"/>
          <w:highlight w:val="none"/>
          <w:lang w:val="en-US" w:eastAsia="zh-CN"/>
        </w:rPr>
        <w:t>。</w:t>
      </w:r>
    </w:p>
    <w:p>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注：1.</w:t>
      </w:r>
      <w:r>
        <w:rPr>
          <w:rFonts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w:t>
      </w:r>
      <w:r>
        <w:rPr>
          <w:rFonts w:hint="eastAsia" w:ascii="宋体" w:hAnsi="宋体" w:cs="宋体"/>
          <w:b/>
          <w:color w:val="auto"/>
          <w:kern w:val="0"/>
          <w:sz w:val="24"/>
          <w:highlight w:val="none"/>
          <w:lang w:val="zh-CN"/>
        </w:rPr>
        <w:t>做好提交声明函、承诺函相应原件的核查准备</w:t>
      </w:r>
      <w:r>
        <w:rPr>
          <w:rFonts w:ascii="宋体" w:hAnsi="宋体" w:cs="宋体"/>
          <w:b/>
          <w:color w:val="auto"/>
          <w:kern w:val="0"/>
          <w:sz w:val="24"/>
          <w:highlight w:val="none"/>
          <w:lang w:val="zh-CN"/>
        </w:rPr>
        <w:t>；核查后发现虚假或违背承诺的，依照相关法律法规规定处理</w:t>
      </w:r>
      <w:r>
        <w:rPr>
          <w:rFonts w:hint="eastAsia" w:ascii="宋体" w:hAnsi="宋体" w:cs="宋体"/>
          <w:b/>
          <w:color w:val="auto"/>
          <w:kern w:val="0"/>
          <w:sz w:val="24"/>
          <w:highlight w:val="none"/>
          <w:lang w:val="zh-CN"/>
        </w:rPr>
        <w:t>。</w:t>
      </w:r>
    </w:p>
    <w:p>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2.如为自然人投标，以上</w:t>
      </w:r>
      <w:r>
        <w:rPr>
          <w:rFonts w:hint="eastAsia" w:ascii="宋体" w:hAnsi="宋体" w:cs="宋体"/>
          <w:b/>
          <w:color w:val="auto"/>
          <w:spacing w:val="-6"/>
          <w:sz w:val="24"/>
          <w:highlight w:val="none"/>
        </w:rPr>
        <w:t>资格审查、价格响应文件</w:t>
      </w:r>
      <w:r>
        <w:rPr>
          <w:rFonts w:hint="eastAsia" w:ascii="宋体" w:hAnsi="宋体" w:cs="宋体"/>
          <w:b/>
          <w:color w:val="auto"/>
          <w:kern w:val="0"/>
          <w:sz w:val="24"/>
          <w:highlight w:val="none"/>
          <w:lang w:val="zh-CN"/>
        </w:rPr>
        <w:t>两部分材料每页须自然人亲笔签名无须盖公章。</w:t>
      </w:r>
    </w:p>
    <w:p>
      <w:pPr>
        <w:tabs>
          <w:tab w:val="left" w:pos="3375"/>
        </w:tabs>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三、电子版响应文件</w:t>
      </w:r>
    </w:p>
    <w:p>
      <w:pPr>
        <w:tabs>
          <w:tab w:val="left" w:pos="3375"/>
        </w:tabs>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电子版响应文件（按“第二部分</w:t>
      </w:r>
      <w:r>
        <w:rPr>
          <w:rFonts w:ascii="宋体" w:hAnsi="宋体" w:cs="宋体"/>
          <w:b/>
          <w:bCs/>
          <w:color w:val="auto"/>
          <w:sz w:val="24"/>
          <w:highlight w:val="none"/>
        </w:rPr>
        <w:t xml:space="preserve"> </w:t>
      </w:r>
      <w:r>
        <w:rPr>
          <w:rFonts w:hint="eastAsia" w:ascii="宋体" w:hAnsi="宋体" w:cs="宋体"/>
          <w:b/>
          <w:bCs/>
          <w:color w:val="auto"/>
          <w:sz w:val="24"/>
          <w:highlight w:val="none"/>
        </w:rPr>
        <w:t>谈判须知”中电子版响应文件要求</w:t>
      </w:r>
      <w:r>
        <w:rPr>
          <w:rFonts w:hint="eastAsia" w:ascii="宋体" w:hAnsi="宋体" w:cs="仿宋_GB2312"/>
          <w:b/>
          <w:bCs/>
          <w:color w:val="auto"/>
          <w:sz w:val="24"/>
          <w:highlight w:val="none"/>
          <w:lang w:val="zh-CN"/>
        </w:rPr>
        <w:t>提供</w:t>
      </w:r>
      <w:r>
        <w:rPr>
          <w:rFonts w:hint="eastAsia" w:ascii="宋体" w:hAnsi="宋体" w:cs="宋体"/>
          <w:b/>
          <w:bCs/>
          <w:color w:val="auto"/>
          <w:sz w:val="24"/>
          <w:highlight w:val="none"/>
        </w:rPr>
        <w:t>）。</w:t>
      </w:r>
    </w:p>
    <w:p>
      <w:pPr>
        <w:tabs>
          <w:tab w:val="left" w:pos="3375"/>
        </w:tabs>
        <w:autoSpaceDE w:val="0"/>
        <w:autoSpaceDN w:val="0"/>
        <w:adjustRightInd w:val="0"/>
        <w:snapToGrid w:val="0"/>
        <w:spacing w:line="360" w:lineRule="auto"/>
        <w:contextualSpacing/>
        <w:rPr>
          <w:rFonts w:ascii="宋体" w:hAnsi="宋体" w:cs="宋体"/>
          <w:color w:val="auto"/>
          <w:sz w:val="28"/>
          <w:szCs w:val="28"/>
          <w:highlight w:val="none"/>
        </w:rPr>
      </w:pPr>
      <w:r>
        <w:rPr>
          <w:rFonts w:ascii="宋体" w:hAnsi="宋体" w:cs="宋体"/>
          <w:color w:val="auto"/>
          <w:sz w:val="24"/>
          <w:highlight w:val="none"/>
        </w:rPr>
        <w:br w:type="page"/>
      </w:r>
      <w:r>
        <w:rPr>
          <w:rFonts w:hint="eastAsia" w:ascii="宋体" w:hAnsi="宋体" w:cs="宋体"/>
          <w:color w:val="auto"/>
          <w:sz w:val="28"/>
          <w:szCs w:val="28"/>
          <w:highlight w:val="none"/>
        </w:rPr>
        <w:t>第一部分格式：</w:t>
      </w:r>
    </w:p>
    <w:p>
      <w:pPr>
        <w:tabs>
          <w:tab w:val="left" w:pos="159"/>
        </w:tabs>
        <w:spacing w:line="360" w:lineRule="auto"/>
        <w:rPr>
          <w:rFonts w:ascii="宋体" w:hAnsi="宋体" w:cs="宋体"/>
          <w:color w:val="auto"/>
          <w:sz w:val="28"/>
          <w:szCs w:val="28"/>
          <w:highlight w:val="none"/>
        </w:rPr>
      </w:pPr>
    </w:p>
    <w:p>
      <w:pPr>
        <w:snapToGrid w:val="0"/>
        <w:spacing w:line="360" w:lineRule="auto"/>
        <w:ind w:firstLine="906" w:firstLineChars="206"/>
        <w:contextualSpacing/>
        <w:rPr>
          <w:rFonts w:ascii="宋体" w:hAnsi="宋体" w:cs="宋体"/>
          <w:color w:val="auto"/>
          <w:sz w:val="44"/>
          <w:szCs w:val="44"/>
          <w:highlight w:val="none"/>
        </w:rPr>
      </w:pPr>
    </w:p>
    <w:p>
      <w:pPr>
        <w:autoSpaceDE w:val="0"/>
        <w:autoSpaceDN w:val="0"/>
        <w:adjustRightInd w:val="0"/>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bCs/>
          <w:color w:val="auto"/>
          <w:sz w:val="44"/>
          <w:szCs w:val="44"/>
          <w:highlight w:val="none"/>
          <w:lang w:eastAsia="zh-CN"/>
        </w:rPr>
        <w:t>海太长江隧道北接线工程档案管理咨询服务项目（</w:t>
      </w:r>
      <w:r>
        <w:rPr>
          <w:rFonts w:hint="eastAsia" w:ascii="宋体" w:hAnsi="宋体" w:cs="宋体"/>
          <w:b/>
          <w:bCs/>
          <w:color w:val="auto"/>
          <w:sz w:val="44"/>
          <w:szCs w:val="44"/>
          <w:highlight w:val="none"/>
          <w:u w:val="single"/>
          <w:lang w:val="en-US" w:eastAsia="zh-CN"/>
        </w:rPr>
        <w:t xml:space="preserve">    </w:t>
      </w:r>
      <w:r>
        <w:rPr>
          <w:rFonts w:hint="eastAsia" w:ascii="宋体" w:hAnsi="宋体" w:cs="宋体"/>
          <w:b/>
          <w:bCs/>
          <w:color w:val="auto"/>
          <w:sz w:val="44"/>
          <w:szCs w:val="44"/>
          <w:highlight w:val="none"/>
          <w:u w:val="none"/>
          <w:lang w:val="en-US" w:eastAsia="zh-CN"/>
        </w:rPr>
        <w:t>标包</w:t>
      </w:r>
      <w:r>
        <w:rPr>
          <w:rFonts w:hint="eastAsia" w:ascii="宋体" w:hAnsi="宋体" w:cs="宋体"/>
          <w:b/>
          <w:bCs/>
          <w:color w:val="auto"/>
          <w:sz w:val="44"/>
          <w:szCs w:val="44"/>
          <w:highlight w:val="none"/>
          <w:lang w:eastAsia="zh-CN"/>
        </w:rPr>
        <w:t>）</w:t>
      </w:r>
    </w:p>
    <w:p>
      <w:pPr>
        <w:pStyle w:val="2"/>
        <w:spacing w:line="360" w:lineRule="auto"/>
        <w:rPr>
          <w:color w:val="auto"/>
          <w:highlight w:val="none"/>
        </w:rPr>
      </w:pPr>
    </w:p>
    <w:p>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pStyle w:val="2"/>
        <w:spacing w:line="360" w:lineRule="auto"/>
        <w:ind w:left="0" w:leftChars="0" w:firstLine="0" w:firstLineChars="0"/>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供应商（盖单位公章）：</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法定代表人（或其委托代理人）（签名或盖章）：</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w:t>
      </w:r>
      <w:r>
        <w:rPr>
          <w:rFonts w:ascii="宋体" w:hAnsi="宋体" w:cs="宋体"/>
          <w:b/>
          <w:color w:val="auto"/>
          <w:sz w:val="24"/>
          <w:highlight w:val="none"/>
        </w:rPr>
        <w:t xml:space="preserve">    </w:t>
      </w:r>
      <w:r>
        <w:rPr>
          <w:rFonts w:hint="eastAsia" w:ascii="宋体" w:hAnsi="宋体" w:cs="宋体"/>
          <w:b/>
          <w:color w:val="auto"/>
          <w:sz w:val="24"/>
          <w:highlight w:val="none"/>
        </w:rPr>
        <w:t>期：</w:t>
      </w:r>
    </w:p>
    <w:p>
      <w:pPr>
        <w:snapToGrid w:val="0"/>
        <w:spacing w:line="360" w:lineRule="auto"/>
        <w:contextualSpacing/>
        <w:jc w:val="left"/>
        <w:rPr>
          <w:rFonts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8"/>
          <w:szCs w:val="28"/>
          <w:highlight w:val="none"/>
        </w:rPr>
        <w:t>（一）资格审查文件</w:t>
      </w:r>
    </w:p>
    <w:p>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附件一：</w:t>
      </w:r>
    </w:p>
    <w:p>
      <w:pPr>
        <w:snapToGrid w:val="0"/>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pPr>
        <w:spacing w:line="360" w:lineRule="auto"/>
        <w:jc w:val="center"/>
        <w:rPr>
          <w:rFonts w:ascii="宋体" w:hAnsi="宋体" w:cs="宋体"/>
          <w:b/>
          <w:color w:val="auto"/>
          <w:sz w:val="24"/>
          <w:highlight w:val="none"/>
        </w:rPr>
      </w:pPr>
    </w:p>
    <w:p>
      <w:pPr>
        <w:snapToGrid w:val="0"/>
        <w:spacing w:line="360" w:lineRule="auto"/>
        <w:contextualSpacing/>
        <w:rPr>
          <w:rFonts w:ascii="宋体" w:hAnsi="宋体" w:cs="宋体"/>
          <w:b/>
          <w:color w:val="auto"/>
          <w:sz w:val="24"/>
          <w:highlight w:val="none"/>
        </w:rPr>
      </w:pPr>
      <w:r>
        <w:rPr>
          <w:rFonts w:hint="eastAsia" w:ascii="宋体" w:hAnsi="宋体" w:cs="宋体"/>
          <w:b/>
          <w:color w:val="auto"/>
          <w:sz w:val="24"/>
          <w:highlight w:val="none"/>
          <w:u w:val="single"/>
          <w:lang w:eastAsia="zh-CN"/>
        </w:rPr>
        <w:t>南通市海太长江隧道北接线工程建设现场指挥部</w:t>
      </w:r>
      <w:r>
        <w:rPr>
          <w:rFonts w:hint="eastAsia" w:ascii="宋体" w:hAnsi="宋体" w:cs="宋体"/>
          <w:b/>
          <w:color w:val="auto"/>
          <w:sz w:val="24"/>
          <w:highlight w:val="none"/>
        </w:rPr>
        <w:t>：</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ascii="宋体" w:hAnsi="宋体" w:cs="宋体"/>
          <w:color w:val="auto"/>
          <w:sz w:val="24"/>
          <w:highlight w:val="none"/>
          <w:u w:val="single"/>
        </w:rPr>
        <w:t xml:space="preserve">     （项目名称）                   项目</w:t>
      </w:r>
      <w:r>
        <w:rPr>
          <w:rFonts w:hint="eastAsia" w:ascii="宋体" w:hAnsi="宋体" w:cs="宋体"/>
          <w:color w:val="auto"/>
          <w:sz w:val="24"/>
          <w:highlight w:val="none"/>
        </w:rPr>
        <w:t>谈判文件（含所有澄清、修改文件），符合贵方提出的资格要求，自愿报名参加响应，并郑重声明：</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我单位具有独立承担民事责任的能力；</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pPr>
        <w:snapToGrid w:val="0"/>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我单位参加政府采购活动前3年内在经营活动中（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pPr>
        <w:snapToGrid w:val="0"/>
        <w:spacing w:line="360" w:lineRule="auto"/>
        <w:ind w:firstLine="420"/>
        <w:contextualSpacing/>
        <w:rPr>
          <w:rFonts w:ascii="宋体" w:hAnsi="宋体" w:cs="宋体"/>
          <w:color w:val="auto"/>
          <w:sz w:val="28"/>
          <w:szCs w:val="28"/>
          <w:highlight w:val="none"/>
        </w:rPr>
      </w:pPr>
    </w:p>
    <w:p>
      <w:pPr>
        <w:snapToGrid w:val="0"/>
        <w:spacing w:line="360" w:lineRule="auto"/>
        <w:ind w:firstLine="4440" w:firstLineChars="1850"/>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snapToGrid w:val="0"/>
        <w:spacing w:line="360" w:lineRule="auto"/>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w:t>
      </w:r>
      <w:r>
        <w:rPr>
          <w:rFonts w:ascii="宋体" w:hAnsi="宋体" w:cs="宋体"/>
          <w:bCs/>
          <w:color w:val="auto"/>
          <w:sz w:val="24"/>
          <w:highlight w:val="none"/>
        </w:rPr>
        <w:t xml:space="preserve">    </w:t>
      </w:r>
      <w:r>
        <w:rPr>
          <w:rFonts w:hint="eastAsia" w:ascii="宋体" w:hAnsi="宋体" w:cs="宋体"/>
          <w:bCs/>
          <w:color w:val="auto"/>
          <w:sz w:val="24"/>
          <w:highlight w:val="none"/>
        </w:rPr>
        <w:t>月</w:t>
      </w:r>
      <w:r>
        <w:rPr>
          <w:rFonts w:ascii="宋体" w:hAnsi="宋体" w:cs="宋体"/>
          <w:bCs/>
          <w:color w:val="auto"/>
          <w:sz w:val="24"/>
          <w:highlight w:val="none"/>
        </w:rPr>
        <w:t xml:space="preserve">    </w:t>
      </w:r>
      <w:r>
        <w:rPr>
          <w:rFonts w:hint="eastAsia" w:ascii="宋体" w:hAnsi="宋体" w:cs="宋体"/>
          <w:bCs/>
          <w:color w:val="auto"/>
          <w:sz w:val="24"/>
          <w:highlight w:val="none"/>
        </w:rPr>
        <w:t>日</w:t>
      </w: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napToGrid w:val="0"/>
        <w:spacing w:line="360" w:lineRule="auto"/>
        <w:contextualSpacing/>
        <w:rPr>
          <w:rFonts w:ascii="宋体" w:hAnsi="宋体" w:cs="宋体"/>
          <w:color w:val="auto"/>
          <w:sz w:val="28"/>
          <w:szCs w:val="28"/>
          <w:highlight w:val="none"/>
        </w:rPr>
      </w:pPr>
      <w:r>
        <w:rPr>
          <w:rFonts w:ascii="宋体" w:hAnsi="宋体" w:cs="宋体"/>
          <w:b/>
          <w:bCs/>
          <w:color w:val="auto"/>
          <w:sz w:val="72"/>
          <w:szCs w:val="72"/>
          <w:highlight w:val="none"/>
        </w:rPr>
        <w:br w:type="page"/>
      </w:r>
      <w:r>
        <w:rPr>
          <w:rFonts w:hint="eastAsia" w:ascii="宋体" w:hAnsi="宋体" w:cs="宋体"/>
          <w:color w:val="auto"/>
          <w:sz w:val="28"/>
          <w:szCs w:val="28"/>
          <w:highlight w:val="none"/>
        </w:rPr>
        <w:t>附件二：</w:t>
      </w:r>
    </w:p>
    <w:p>
      <w:pPr>
        <w:spacing w:beforeLines="5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pPr>
        <w:topLinePunct/>
        <w:spacing w:beforeLines="50"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pPr>
        <w:topLinePunct/>
        <w:spacing w:beforeLines="50" w:line="360" w:lineRule="auto"/>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系</w:t>
      </w:r>
      <w:r>
        <w:rPr>
          <w:rFonts w:hint="eastAsia" w:ascii="宋体" w:hAnsi="宋体" w:cs="宋体"/>
          <w:color w:val="auto"/>
          <w:sz w:val="24"/>
          <w:highlight w:val="none"/>
          <w:lang w:eastAsia="zh-CN"/>
        </w:rPr>
        <w:t>（</w:t>
      </w:r>
      <w:r>
        <w:rPr>
          <w:rFonts w:ascii="宋体" w:hAnsi="宋体" w:cs="宋体"/>
          <w:color w:val="auto"/>
          <w:sz w:val="24"/>
          <w:highlight w:val="none"/>
          <w:u w:val="single"/>
        </w:rPr>
        <w:t>供应商名称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highlight w:val="none"/>
        </w:rPr>
        <w:t>法定代表人身份证明</w:t>
      </w:r>
      <w:r>
        <w:rPr>
          <w:rFonts w:hint="eastAsia" w:ascii="宋体" w:hAnsi="宋体" w:cs="宋体"/>
          <w:color w:val="auto"/>
          <w:sz w:val="24"/>
          <w:highlight w:val="none"/>
        </w:rPr>
        <w:t>及委托代理人身份证复印件。</w:t>
      </w:r>
    </w:p>
    <w:p>
      <w:pPr>
        <w:topLinePunct/>
        <w:spacing w:line="360" w:lineRule="auto"/>
        <w:ind w:firstLine="480" w:firstLineChars="200"/>
        <w:rPr>
          <w:rFonts w:ascii="宋体" w:hAnsi="宋体" w:cs="宋体"/>
          <w:color w:val="auto"/>
          <w:sz w:val="24"/>
          <w:highlight w:val="none"/>
        </w:rPr>
      </w:pPr>
    </w:p>
    <w:p>
      <w:pPr>
        <w:topLinePunct/>
        <w:spacing w:line="360" w:lineRule="auto"/>
        <w:rPr>
          <w:rFonts w:ascii="宋体" w:hAnsi="宋体" w:cs="宋体"/>
          <w:color w:val="auto"/>
          <w:sz w:val="24"/>
          <w:highlight w:val="none"/>
        </w:rPr>
      </w:pPr>
    </w:p>
    <w:p>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ascii="宋体" w:hAnsi="宋体" w:cs="宋体"/>
          <w:color w:val="auto"/>
          <w:sz w:val="24"/>
          <w:highlight w:val="none"/>
          <w:u w:val="single"/>
        </w:rPr>
        <w:t>签名或签章</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身份证号码：</w:t>
      </w:r>
    </w:p>
    <w:p>
      <w:pPr>
        <w:topLinePunct/>
        <w:spacing w:line="360" w:lineRule="auto"/>
        <w:rPr>
          <w:rFonts w:ascii="宋体" w:hAnsi="宋体" w:cs="宋体"/>
          <w:color w:val="auto"/>
          <w:sz w:val="24"/>
          <w:highlight w:val="none"/>
        </w:rPr>
      </w:pPr>
    </w:p>
    <w:p>
      <w:pPr>
        <w:topLinePunct/>
        <w:spacing w:line="360" w:lineRule="auto"/>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lang w:eastAsia="zh-CN"/>
        </w:rPr>
        <w:t>（</w:t>
      </w:r>
      <w:r>
        <w:rPr>
          <w:rFonts w:ascii="宋体" w:hAnsi="宋体" w:cs="宋体"/>
          <w:color w:val="auto"/>
          <w:sz w:val="24"/>
          <w:highlight w:val="none"/>
          <w:u w:val="single"/>
        </w:rPr>
        <w:t>签名或签章</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p>
    <w:p>
      <w:pPr>
        <w:topLinePunct/>
        <w:spacing w:beforeLines="50" w:afterLines="50" w:line="360" w:lineRule="auto"/>
        <w:jc w:val="center"/>
        <w:rPr>
          <w:rFonts w:ascii="宋体" w:hAnsi="宋体" w:cs="宋体"/>
          <w:color w:val="auto"/>
          <w:sz w:val="24"/>
          <w:highlight w:val="none"/>
        </w:rPr>
      </w:pPr>
      <w:r>
        <w:rPr>
          <w:rFonts w:ascii="宋体" w:hAnsi="宋体" w:cs="宋体"/>
          <w:color w:val="auto"/>
          <w:sz w:val="24"/>
          <w:highlight w:val="none"/>
        </w:rPr>
        <w:t xml:space="preserve">                      年    月     日</w:t>
      </w:r>
    </w:p>
    <w:p>
      <w:pPr>
        <w:topLinePunct/>
        <w:spacing w:line="360" w:lineRule="auto"/>
        <w:ind w:firstLine="560" w:firstLineChars="200"/>
        <w:rPr>
          <w:rFonts w:ascii="宋体" w:hAnsi="宋体" w:cs="宋体"/>
          <w:color w:val="auto"/>
          <w:sz w:val="28"/>
          <w:szCs w:val="28"/>
          <w:highlight w:val="none"/>
        </w:rPr>
      </w:pPr>
    </w:p>
    <w:p>
      <w:pPr>
        <w:spacing w:beforeLines="50" w:afterLines="50" w:line="360" w:lineRule="auto"/>
        <w:jc w:val="left"/>
        <w:rPr>
          <w:rFonts w:ascii="宋体" w:hAnsi="宋体" w:cs="宋体"/>
          <w:b/>
          <w:bCs/>
          <w:color w:val="auto"/>
          <w:highlight w:val="none"/>
        </w:rPr>
      </w:pPr>
      <w:r>
        <w:rPr>
          <w:rFonts w:hint="eastAsia" w:ascii="宋体" w:hAnsi="宋体" w:cs="宋体"/>
          <w:b/>
          <w:bCs/>
          <w:color w:val="auto"/>
          <w:highlight w:val="none"/>
        </w:rPr>
        <w:t>注：如果由供应商的法定代表人签署响应文件，则无须提交授权委托书。</w:t>
      </w:r>
    </w:p>
    <w:p>
      <w:pPr>
        <w:pStyle w:val="37"/>
        <w:topLinePunct/>
        <w:spacing w:line="360" w:lineRule="auto"/>
        <w:ind w:left="560" w:firstLine="0" w:firstLineChars="0"/>
        <w:jc w:val="center"/>
        <w:rPr>
          <w:rFonts w:ascii="宋体" w:hAnsi="宋体" w:cs="宋体"/>
          <w:b/>
          <w:color w:val="auto"/>
          <w:sz w:val="28"/>
          <w:szCs w:val="28"/>
          <w:highlight w:val="none"/>
        </w:rPr>
      </w:pPr>
      <w:r>
        <w:rPr>
          <w:rFonts w:ascii="宋体" w:hAnsi="宋体" w:cs="宋体"/>
          <w:color w:val="auto"/>
          <w:sz w:val="27"/>
          <w:szCs w:val="27"/>
          <w:highlight w:val="none"/>
        </w:rPr>
        <w:br w:type="page"/>
      </w:r>
      <w:r>
        <w:rPr>
          <w:rFonts w:ascii="宋体" w:hAnsi="宋体" w:cs="宋体"/>
          <w:b/>
          <w:color w:val="auto"/>
          <w:sz w:val="28"/>
          <w:szCs w:val="28"/>
          <w:highlight w:val="none"/>
        </w:rPr>
        <w:t>(二)法定代表人身份证明</w:t>
      </w:r>
    </w:p>
    <w:p>
      <w:pPr>
        <w:topLinePunct/>
        <w:spacing w:line="360" w:lineRule="auto"/>
        <w:rPr>
          <w:rFonts w:ascii="宋体" w:hAnsi="宋体" w:cs="宋体"/>
          <w:color w:val="auto"/>
          <w:sz w:val="28"/>
          <w:szCs w:val="28"/>
          <w:highlight w:val="none"/>
        </w:rPr>
      </w:pPr>
    </w:p>
    <w:p>
      <w:pPr>
        <w:topLinePunct/>
        <w:spacing w:line="360" w:lineRule="auto"/>
        <w:rPr>
          <w:rFonts w:ascii="宋体" w:hAnsi="宋体" w:cs="宋体"/>
          <w:color w:val="auto"/>
          <w:sz w:val="28"/>
          <w:szCs w:val="28"/>
          <w:highlight w:val="none"/>
        </w:rPr>
      </w:pPr>
    </w:p>
    <w:p>
      <w:pPr>
        <w:topLinePunct/>
        <w:adjustRightInd w:val="0"/>
        <w:snapToGrid w:val="0"/>
        <w:spacing w:line="360" w:lineRule="auto"/>
        <w:rPr>
          <w:rFonts w:ascii="宋体" w:hAnsi="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topLinePunct/>
        <w:adjustRightInd w:val="0"/>
        <w:snapToGrid w:val="0"/>
        <w:spacing w:line="360" w:lineRule="auto"/>
        <w:rPr>
          <w:rFonts w:ascii="宋体" w:hAnsi="宋体"/>
          <w:color w:val="auto"/>
          <w:sz w:val="24"/>
          <w:highlight w:val="none"/>
        </w:rPr>
      </w:pPr>
    </w:p>
    <w:p>
      <w:pPr>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pStyle w:val="10"/>
        <w:rPr>
          <w:color w:val="auto"/>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供应商名称</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特此证明。</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附：法定代表人身份证复印件。</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p>
    <w:p>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topLinePunct/>
        <w:spacing w:line="360" w:lineRule="auto"/>
        <w:rPr>
          <w:rFonts w:ascii="宋体" w:hAnsi="宋体" w:cs="宋体"/>
          <w:color w:val="auto"/>
          <w:sz w:val="28"/>
          <w:szCs w:val="28"/>
          <w:highlight w:val="none"/>
        </w:rPr>
      </w:pPr>
    </w:p>
    <w:p>
      <w:pPr>
        <w:topLinePunct/>
        <w:spacing w:line="360" w:lineRule="auto"/>
        <w:rPr>
          <w:rFonts w:ascii="宋体" w:hAnsi="宋体" w:cs="宋体"/>
          <w:color w:val="auto"/>
          <w:sz w:val="28"/>
          <w:szCs w:val="28"/>
          <w:highlight w:val="none"/>
        </w:rPr>
      </w:pPr>
    </w:p>
    <w:p>
      <w:pPr>
        <w:snapToGrid w:val="0"/>
        <w:spacing w:line="360" w:lineRule="auto"/>
        <w:contextualSpacing/>
        <w:rPr>
          <w:rFonts w:ascii="宋体" w:hAnsi="宋体" w:cs="宋体"/>
          <w:b/>
          <w:color w:val="auto"/>
          <w:sz w:val="28"/>
          <w:szCs w:val="28"/>
          <w:highlight w:val="none"/>
        </w:rPr>
      </w:pPr>
    </w:p>
    <w:p>
      <w:pPr>
        <w:spacing w:beforeLines="50" w:afterLines="50" w:line="360" w:lineRule="auto"/>
        <w:rPr>
          <w:rFonts w:ascii="宋体" w:hAnsi="宋体" w:cs="宋体"/>
          <w:b/>
          <w:color w:val="auto"/>
          <w:sz w:val="28"/>
          <w:szCs w:val="28"/>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34"/>
        <w:spacing w:beforeLines="5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附件三：</w:t>
      </w:r>
      <w:r>
        <w:rPr>
          <w:rFonts w:ascii="宋体" w:hAnsi="宋体" w:eastAsia="宋体" w:cs="宋体"/>
          <w:b w:val="0"/>
          <w:color w:val="auto"/>
          <w:sz w:val="28"/>
          <w:szCs w:val="28"/>
          <w:highlight w:val="none"/>
        </w:rPr>
        <w:t xml:space="preserve">                </w:t>
      </w:r>
    </w:p>
    <w:p>
      <w:pPr>
        <w:pStyle w:val="34"/>
        <w:spacing w:beforeLines="5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pPr>
        <w:spacing w:line="360" w:lineRule="auto"/>
        <w:rPr>
          <w:rFonts w:hint="eastAsia" w:ascii="宋体" w:hAnsi="宋体" w:eastAsia="宋体" w:cs="宋体"/>
          <w:color w:val="auto"/>
          <w:spacing w:val="-5"/>
          <w:sz w:val="24"/>
          <w:highlight w:val="none"/>
          <w:lang w:eastAsia="zh-CN"/>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lang w:eastAsia="zh-CN"/>
        </w:rPr>
        <w:t>南通市海太长江隧道北接线工程建设现场指挥部</w:t>
      </w:r>
    </w:p>
    <w:p>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我单位</w:t>
      </w:r>
      <w:r>
        <w:rPr>
          <w:rFonts w:ascii="宋体" w:hAnsi="宋体" w:cs="宋体"/>
          <w:color w:val="auto"/>
          <w:spacing w:val="-5"/>
          <w:sz w:val="24"/>
          <w:highlight w:val="none"/>
        </w:rPr>
        <w:t xml:space="preserve"> </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项目的投标活动，并郑重承诺：</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pPr>
        <w:spacing w:line="360" w:lineRule="auto"/>
        <w:ind w:firstLine="4370" w:firstLineChars="1900"/>
        <w:rPr>
          <w:rFonts w:ascii="宋体" w:hAnsi="宋体" w:cs="宋体"/>
          <w:color w:val="auto"/>
          <w:spacing w:val="-5"/>
          <w:sz w:val="24"/>
          <w:highlight w:val="none"/>
        </w:rPr>
      </w:pP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供应商（盖单位公章）：</w:t>
      </w:r>
    </w:p>
    <w:p>
      <w:pPr>
        <w:spacing w:line="360" w:lineRule="auto"/>
        <w:rPr>
          <w:rFonts w:ascii="宋体" w:hAnsi="宋体" w:cs="宋体"/>
          <w:bCs/>
          <w:color w:val="auto"/>
          <w:sz w:val="24"/>
          <w:highlight w:val="none"/>
          <w:u w:val="single"/>
        </w:rPr>
      </w:pPr>
      <w:r>
        <w:rPr>
          <w:rFonts w:hint="eastAsia" w:ascii="宋体" w:hAnsi="宋体" w:cs="宋体"/>
          <w:bCs/>
          <w:color w:val="auto"/>
          <w:sz w:val="24"/>
          <w:highlight w:val="none"/>
        </w:rPr>
        <w:t>法定代表人（或其委托代理人）（签名或盖章）：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rPr>
          <w:rFonts w:ascii="宋体" w:hAnsi="宋体" w:cs="宋体"/>
          <w:color w:val="auto"/>
          <w:sz w:val="28"/>
          <w:szCs w:val="28"/>
          <w:highlight w:val="none"/>
        </w:rPr>
      </w:pPr>
      <w:r>
        <w:rPr>
          <w:rFonts w:ascii="宋体" w:hAnsi="宋体" w:cs="宋体"/>
          <w:color w:val="auto"/>
          <w:sz w:val="24"/>
          <w:highlight w:val="none"/>
        </w:rPr>
        <w:br w:type="page"/>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w:t>
      </w:r>
    </w:p>
    <w:p>
      <w:pPr>
        <w:snapToGrid w:val="0"/>
        <w:spacing w:line="360" w:lineRule="auto"/>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供应商全称</w:t>
            </w:r>
          </w:p>
        </w:tc>
        <w:tc>
          <w:tcPr>
            <w:tcW w:w="6859" w:type="dxa"/>
            <w:gridSpan w:val="3"/>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主要业务范围</w:t>
            </w:r>
          </w:p>
        </w:tc>
        <w:tc>
          <w:tcPr>
            <w:tcW w:w="6859" w:type="dxa"/>
            <w:gridSpan w:val="3"/>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法定代表人姓名</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w:t>
            </w:r>
            <w:r>
              <w:rPr>
                <w:rFonts w:ascii="宋体" w:hAnsi="宋体" w:cs="宋体"/>
                <w:color w:val="auto"/>
                <w:szCs w:val="21"/>
                <w:highlight w:val="none"/>
              </w:rPr>
              <w:t xml:space="preserve">    </w:t>
            </w:r>
            <w:r>
              <w:rPr>
                <w:rFonts w:hint="eastAsia" w:ascii="宋体" w:hAnsi="宋体" w:cs="宋体"/>
                <w:color w:val="auto"/>
                <w:szCs w:val="21"/>
                <w:highlight w:val="none"/>
              </w:rPr>
              <w:t>务</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供应商地址</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w:t>
            </w:r>
            <w:r>
              <w:rPr>
                <w:rFonts w:ascii="宋体" w:hAnsi="宋体" w:cs="宋体"/>
                <w:color w:val="auto"/>
                <w:szCs w:val="21"/>
                <w:highlight w:val="none"/>
              </w:rPr>
              <w:t xml:space="preserve">       </w:t>
            </w:r>
            <w:r>
              <w:rPr>
                <w:rFonts w:hint="eastAsia" w:ascii="宋体" w:hAnsi="宋体" w:cs="宋体"/>
                <w:color w:val="auto"/>
                <w:szCs w:val="21"/>
                <w:highlight w:val="none"/>
              </w:rPr>
              <w:t>话</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传</w:t>
            </w:r>
            <w:r>
              <w:rPr>
                <w:rFonts w:ascii="宋体" w:hAnsi="宋体" w:cs="宋体"/>
                <w:color w:val="auto"/>
                <w:szCs w:val="21"/>
                <w:highlight w:val="none"/>
              </w:rPr>
              <w:t xml:space="preserve">   </w:t>
            </w:r>
            <w:r>
              <w:rPr>
                <w:rFonts w:hint="eastAsia" w:ascii="宋体" w:hAnsi="宋体" w:cs="宋体"/>
                <w:color w:val="auto"/>
                <w:szCs w:val="21"/>
                <w:highlight w:val="none"/>
              </w:rPr>
              <w:t>真</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成立日期</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现</w:t>
            </w:r>
            <w:r>
              <w:rPr>
                <w:rFonts w:ascii="宋体" w:hAnsi="宋体" w:cs="宋体"/>
                <w:color w:val="auto"/>
                <w:szCs w:val="21"/>
                <w:highlight w:val="none"/>
              </w:rPr>
              <w:t xml:space="preserve"> </w:t>
            </w:r>
            <w:r>
              <w:rPr>
                <w:rFonts w:hint="eastAsia" w:ascii="宋体" w:hAnsi="宋体" w:cs="宋体"/>
                <w:color w:val="auto"/>
                <w:szCs w:val="21"/>
                <w:highlight w:val="none"/>
              </w:rPr>
              <w:t>有</w:t>
            </w:r>
            <w:r>
              <w:rPr>
                <w:rFonts w:ascii="宋体" w:hAnsi="宋体" w:cs="宋体"/>
                <w:color w:val="auto"/>
                <w:szCs w:val="21"/>
                <w:highlight w:val="none"/>
              </w:rPr>
              <w:t xml:space="preserve"> </w:t>
            </w:r>
            <w:r>
              <w:rPr>
                <w:rFonts w:hint="eastAsia" w:ascii="宋体" w:hAnsi="宋体" w:cs="宋体"/>
                <w:color w:val="auto"/>
                <w:szCs w:val="21"/>
                <w:highlight w:val="none"/>
              </w:rPr>
              <w:t>职</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w:t>
            </w:r>
            <w:r>
              <w:rPr>
                <w:rFonts w:ascii="宋体" w:hAnsi="宋体" w:cs="宋体"/>
                <w:color w:val="auto"/>
                <w:szCs w:val="21"/>
                <w:highlight w:val="none"/>
              </w:rPr>
              <w:t xml:space="preserve"> </w:t>
            </w:r>
            <w:r>
              <w:rPr>
                <w:rFonts w:hint="eastAsia" w:ascii="宋体" w:hAnsi="宋体" w:cs="宋体"/>
                <w:color w:val="auto"/>
                <w:szCs w:val="21"/>
                <w:highlight w:val="none"/>
              </w:rPr>
              <w:t>人</w:t>
            </w:r>
            <w:r>
              <w:rPr>
                <w:rFonts w:ascii="宋体" w:hAnsi="宋体" w:cs="宋体"/>
                <w:color w:val="auto"/>
                <w:szCs w:val="21"/>
                <w:highlight w:val="none"/>
              </w:rPr>
              <w:t xml:space="preserve"> </w:t>
            </w:r>
            <w:r>
              <w:rPr>
                <w:rFonts w:hint="eastAsia" w:ascii="宋体" w:hAnsi="宋体" w:cs="宋体"/>
                <w:color w:val="auto"/>
                <w:szCs w:val="21"/>
                <w:highlight w:val="none"/>
              </w:rPr>
              <w:t>数</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pPr>
              <w:pStyle w:val="14"/>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资质等级证书（如有）</w:t>
            </w:r>
          </w:p>
        </w:tc>
        <w:tc>
          <w:tcPr>
            <w:tcW w:w="6859" w:type="dxa"/>
            <w:gridSpan w:val="3"/>
          </w:tcPr>
          <w:p>
            <w:pPr>
              <w:spacing w:line="360" w:lineRule="auto"/>
              <w:rPr>
                <w:rFonts w:ascii="宋体" w:hAnsi="宋体" w:cs="宋体"/>
                <w:b/>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等</w:t>
            </w:r>
            <w:r>
              <w:rPr>
                <w:rFonts w:ascii="宋体" w:hAnsi="宋体" w:cs="宋体"/>
                <w:color w:val="auto"/>
                <w:szCs w:val="21"/>
                <w:highlight w:val="none"/>
              </w:rPr>
              <w:t xml:space="preserve"> </w:t>
            </w:r>
            <w:r>
              <w:rPr>
                <w:rFonts w:hint="eastAsia" w:ascii="宋体" w:hAnsi="宋体" w:cs="宋体"/>
                <w:color w:val="auto"/>
                <w:szCs w:val="21"/>
                <w:highlight w:val="none"/>
              </w:rPr>
              <w:t>级：</w:t>
            </w:r>
            <w:r>
              <w:rPr>
                <w:rFonts w:ascii="宋体" w:hAnsi="宋体" w:cs="宋体"/>
                <w:color w:val="auto"/>
                <w:szCs w:val="21"/>
                <w:highlight w:val="none"/>
              </w:rPr>
              <w:t xml:space="preserve">                   </w:t>
            </w:r>
            <w:r>
              <w:rPr>
                <w:rFonts w:hint="eastAsia" w:ascii="宋体" w:hAnsi="宋体" w:cs="宋体"/>
                <w:color w:val="auto"/>
                <w:szCs w:val="21"/>
                <w:highlight w: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567" w:type="dxa"/>
            <w:gridSpan w:val="4"/>
            <w:tcBorders>
              <w:bottom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单位简介：</w:t>
            </w:r>
          </w:p>
          <w:p>
            <w:pPr>
              <w:spacing w:line="360" w:lineRule="auto"/>
              <w:ind w:firstLine="2880"/>
              <w:rPr>
                <w:rFonts w:ascii="宋体" w:hAnsi="宋体" w:cs="宋体"/>
                <w:color w:val="auto"/>
                <w:szCs w:val="21"/>
                <w:highlight w:val="none"/>
              </w:rPr>
            </w:pPr>
          </w:p>
          <w:p>
            <w:pPr>
              <w:spacing w:line="360" w:lineRule="auto"/>
              <w:ind w:firstLine="2880"/>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技术人员总数：</w:t>
            </w:r>
            <w:r>
              <w:rPr>
                <w:rFonts w:ascii="宋体" w:hAnsi="宋体" w:cs="宋体"/>
                <w:color w:val="auto"/>
                <w:szCs w:val="21"/>
                <w:highlight w:val="none"/>
              </w:rPr>
              <w:t xml:space="preserve">      </w:t>
            </w:r>
            <w:r>
              <w:rPr>
                <w:rFonts w:hint="eastAsia" w:ascii="宋体" w:hAnsi="宋体" w:cs="宋体"/>
                <w:color w:val="auto"/>
                <w:szCs w:val="21"/>
                <w:highlight w:val="none"/>
              </w:rPr>
              <w:t>人</w:t>
            </w:r>
          </w:p>
        </w:tc>
      </w:tr>
    </w:tbl>
    <w:p>
      <w:pPr>
        <w:pStyle w:val="2"/>
        <w:spacing w:line="360" w:lineRule="auto"/>
        <w:ind w:left="0" w:leftChars="0" w:firstLine="0" w:firstLineChars="0"/>
        <w:rPr>
          <w:rFonts w:ascii="宋体" w:hAnsi="宋体" w:cs="宋体"/>
          <w:color w:val="auto"/>
          <w:sz w:val="24"/>
          <w:highlight w:val="none"/>
        </w:rPr>
      </w:pPr>
    </w:p>
    <w:p>
      <w:pPr>
        <w:pStyle w:val="2"/>
        <w:spacing w:line="360" w:lineRule="auto"/>
        <w:ind w:firstLine="480"/>
        <w:rPr>
          <w:rFonts w:ascii="宋体" w:hAnsi="宋体" w:cs="宋体"/>
          <w:color w:val="auto"/>
          <w:sz w:val="24"/>
          <w:highlight w:val="none"/>
        </w:rPr>
      </w:pPr>
    </w:p>
    <w:p>
      <w:pPr>
        <w:pStyle w:val="2"/>
        <w:spacing w:line="360" w:lineRule="auto"/>
        <w:ind w:firstLine="480"/>
        <w:rPr>
          <w:rFonts w:ascii="宋体" w:hAnsi="宋体" w:cs="宋体"/>
          <w:color w:val="auto"/>
          <w:sz w:val="24"/>
          <w:highlight w:val="none"/>
        </w:rPr>
      </w:pP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供应商（盖单位公章）：</w:t>
      </w:r>
    </w:p>
    <w:p>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法定代表人（或其委托代理人）（签名或盖章）：</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日</w:t>
      </w:r>
      <w:r>
        <w:rPr>
          <w:rFonts w:ascii="宋体" w:hAnsi="宋体" w:cs="宋体"/>
          <w:bCs/>
          <w:color w:val="auto"/>
          <w:sz w:val="24"/>
          <w:highlight w:val="none"/>
        </w:rPr>
        <w:t xml:space="preserve">    </w:t>
      </w:r>
      <w:r>
        <w:rPr>
          <w:rFonts w:hint="eastAsia" w:ascii="宋体" w:hAnsi="宋体" w:cs="宋体"/>
          <w:bCs/>
          <w:color w:val="auto"/>
          <w:sz w:val="24"/>
          <w:highlight w:val="none"/>
        </w:rPr>
        <w:t>期：</w:t>
      </w:r>
    </w:p>
    <w:p>
      <w:pPr>
        <w:snapToGrid w:val="0"/>
        <w:spacing w:line="360" w:lineRule="auto"/>
        <w:ind w:firstLine="1200" w:firstLineChars="500"/>
        <w:rPr>
          <w:rFonts w:ascii="宋体" w:hAnsi="宋体" w:cs="宋体"/>
          <w:color w:val="auto"/>
          <w:sz w:val="24"/>
          <w:highlight w:val="none"/>
        </w:rPr>
      </w:pPr>
    </w:p>
    <w:p>
      <w:pPr>
        <w:snapToGrid w:val="0"/>
        <w:spacing w:line="360" w:lineRule="auto"/>
        <w:rPr>
          <w:rFonts w:ascii="宋体" w:hAnsi="宋体" w:cs="宋体"/>
          <w:color w:val="auto"/>
          <w:sz w:val="24"/>
          <w:highlight w:val="none"/>
        </w:rPr>
      </w:pPr>
    </w:p>
    <w:p>
      <w:pPr>
        <w:pStyle w:val="2"/>
        <w:spacing w:line="360" w:lineRule="auto"/>
        <w:rPr>
          <w:color w:val="auto"/>
          <w:highlight w:val="none"/>
        </w:rPr>
      </w:pPr>
    </w:p>
    <w:p>
      <w:pPr>
        <w:widowControl/>
        <w:jc w:val="left"/>
        <w:rPr>
          <w:color w:val="auto"/>
          <w:highlight w:val="none"/>
        </w:rPr>
      </w:pPr>
      <w:r>
        <w:rPr>
          <w:color w:val="auto"/>
          <w:highlight w:val="none"/>
        </w:rPr>
        <w:br w:type="page"/>
      </w:r>
    </w:p>
    <w:p>
      <w:pPr>
        <w:tabs>
          <w:tab w:val="left" w:pos="3375"/>
        </w:tabs>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eastAsia="zh-CN"/>
        </w:rPr>
        <w:t>竞争性谈判公告</w:t>
      </w:r>
      <w:r>
        <w:rPr>
          <w:rFonts w:hint="eastAsia" w:ascii="宋体" w:hAnsi="宋体" w:cs="宋体"/>
          <w:color w:val="auto"/>
          <w:sz w:val="24"/>
          <w:highlight w:val="none"/>
        </w:rPr>
        <w:t>资格要求提供相应的佐证材料（以下材料均须提供扫描件（或复印件）并加盖公章）；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1）企业法人营业执照或事业单位法人登记证明或社会组织或其他组织或自然人证明材料； </w:t>
      </w:r>
    </w:p>
    <w:p>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（2）供应商完成过高速公路工程档案管理服务项目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提供合同等证明资料</w:t>
      </w:r>
      <w:r>
        <w:rPr>
          <w:rFonts w:hint="eastAsia" w:ascii="宋体" w:hAnsi="宋体" w:cs="宋体"/>
          <w:color w:val="auto"/>
          <w:sz w:val="24"/>
          <w:highlight w:val="none"/>
          <w:lang w:eastAsia="zh-CN"/>
        </w:rPr>
        <w:t>）；</w:t>
      </w:r>
    </w:p>
    <w:p>
      <w:pPr>
        <w:tabs>
          <w:tab w:val="left" w:pos="3375"/>
        </w:tabs>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）拟投入本项目的项目负责人担任过已完高速公路工程档案管理服务项目的项目负责人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提供合同等证明资料，合同中须体现项目负责人职务，如无法体现职务可提供项目建设单位提供的证明材料等</w:t>
      </w:r>
      <w:r>
        <w:rPr>
          <w:rFonts w:hint="eastAsia" w:ascii="宋体" w:hAnsi="宋体" w:cs="宋体"/>
          <w:color w:val="auto"/>
          <w:sz w:val="24"/>
          <w:highlight w:val="none"/>
          <w:lang w:eastAsia="zh-CN"/>
        </w:rPr>
        <w:t>）；</w:t>
      </w:r>
    </w:p>
    <w:p>
      <w:pPr>
        <w:tabs>
          <w:tab w:val="left" w:pos="3375"/>
        </w:tabs>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项目负责人的社保缴费证明</w:t>
      </w:r>
      <w:r>
        <w:rPr>
          <w:rFonts w:hint="eastAsia" w:ascii="宋体" w:hAnsi="宋体" w:cs="宋体"/>
          <w:color w:val="auto"/>
          <w:sz w:val="24"/>
          <w:highlight w:val="none"/>
        </w:rPr>
        <w:t>；</w:t>
      </w:r>
    </w:p>
    <w:p>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驻场人员</w:t>
      </w:r>
      <w:r>
        <w:rPr>
          <w:rFonts w:hint="eastAsia" w:ascii="宋体" w:hAnsi="宋体" w:eastAsia="宋体" w:cs="宋体"/>
          <w:color w:val="auto"/>
          <w:sz w:val="24"/>
          <w:highlight w:val="none"/>
          <w:lang w:val="en-US" w:eastAsia="zh-CN"/>
        </w:rPr>
        <w:t>的社保缴费证明；</w:t>
      </w:r>
    </w:p>
    <w:p>
      <w:pPr>
        <w:tabs>
          <w:tab w:val="left" w:pos="3375"/>
        </w:tabs>
        <w:autoSpaceDE w:val="0"/>
        <w:autoSpaceDN w:val="0"/>
        <w:adjustRightInd w:val="0"/>
        <w:snapToGrid w:val="0"/>
        <w:spacing w:line="360" w:lineRule="auto"/>
        <w:rPr>
          <w:rFonts w:ascii="宋体" w:hAnsi="宋体" w:cs="宋体"/>
          <w:color w:val="auto"/>
          <w:sz w:val="24"/>
          <w:highlight w:val="none"/>
        </w:rPr>
      </w:pPr>
    </w:p>
    <w:p>
      <w:pPr>
        <w:widowControl/>
        <w:jc w:val="left"/>
        <w:rPr>
          <w:rFonts w:ascii="宋体" w:hAnsi="宋体" w:cs="宋体"/>
          <w:color w:val="auto"/>
          <w:sz w:val="24"/>
          <w:highlight w:val="none"/>
        </w:rPr>
      </w:pPr>
      <w:r>
        <w:rPr>
          <w:rFonts w:ascii="宋体" w:hAnsi="宋体" w:cs="宋体"/>
          <w:color w:val="auto"/>
          <w:sz w:val="24"/>
          <w:highlight w:val="none"/>
        </w:rPr>
        <w:br w:type="page"/>
      </w:r>
    </w:p>
    <w:p>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cs="宋体"/>
          <w:color w:val="auto"/>
          <w:sz w:val="24"/>
          <w:highlight w:val="none"/>
        </w:rPr>
        <w:t>其它需要提交的资格审查材料</w:t>
      </w:r>
    </w:p>
    <w:p>
      <w:pPr>
        <w:pStyle w:val="2"/>
        <w:spacing w:line="360" w:lineRule="auto"/>
        <w:rPr>
          <w:color w:val="auto"/>
          <w:highlight w:val="none"/>
        </w:rPr>
      </w:pPr>
    </w:p>
    <w:p>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pPr>
        <w:tabs>
          <w:tab w:val="left" w:pos="3375"/>
        </w:tabs>
        <w:autoSpaceDE w:val="0"/>
        <w:autoSpaceDN w:val="0"/>
        <w:adjustRightInd w:val="0"/>
        <w:snapToGrid w:val="0"/>
        <w:spacing w:line="360" w:lineRule="auto"/>
        <w:contextualSpacing/>
        <w:rPr>
          <w:rFonts w:ascii="宋体" w:hAnsi="宋体" w:cs="宋体"/>
          <w:color w:val="auto"/>
          <w:sz w:val="28"/>
          <w:szCs w:val="28"/>
          <w:highlight w:val="none"/>
        </w:rPr>
      </w:pPr>
      <w:r>
        <w:rPr>
          <w:rFonts w:ascii="宋体" w:hAnsi="宋体" w:cs="宋体"/>
          <w:color w:val="auto"/>
          <w:sz w:val="24"/>
          <w:highlight w:val="none"/>
        </w:rPr>
        <w:t>...</w:t>
      </w:r>
      <w:r>
        <w:rPr>
          <w:rFonts w:ascii="宋体" w:hAnsi="宋体" w:cs="宋体"/>
          <w:color w:val="auto"/>
          <w:sz w:val="24"/>
          <w:highlight w:val="none"/>
        </w:rPr>
        <w:br w:type="page"/>
      </w:r>
      <w:r>
        <w:rPr>
          <w:rFonts w:hint="eastAsia" w:ascii="宋体" w:hAnsi="宋体" w:cs="宋体"/>
          <w:color w:val="auto"/>
          <w:sz w:val="28"/>
          <w:szCs w:val="28"/>
          <w:highlight w:val="none"/>
        </w:rPr>
        <w:t>第二部分格式：</w:t>
      </w:r>
    </w:p>
    <w:p>
      <w:pPr>
        <w:snapToGrid w:val="0"/>
        <w:spacing w:line="360" w:lineRule="auto"/>
        <w:contextualSpacing/>
        <w:rPr>
          <w:rFonts w:ascii="宋体" w:hAnsi="宋体" w:cs="宋体"/>
          <w:color w:val="auto"/>
          <w:sz w:val="32"/>
          <w:szCs w:val="32"/>
          <w:highlight w:val="none"/>
        </w:rPr>
      </w:pPr>
    </w:p>
    <w:p>
      <w:pPr>
        <w:autoSpaceDE w:val="0"/>
        <w:autoSpaceDN w:val="0"/>
        <w:adjustRightInd w:val="0"/>
        <w:spacing w:line="360" w:lineRule="auto"/>
        <w:jc w:val="center"/>
        <w:rPr>
          <w:rFonts w:ascii="宋体" w:hAnsi="宋体" w:cs="宋体"/>
          <w:b/>
          <w:color w:val="auto"/>
          <w:sz w:val="32"/>
          <w:szCs w:val="32"/>
          <w:highlight w:val="none"/>
        </w:rPr>
      </w:pPr>
    </w:p>
    <w:p>
      <w:pPr>
        <w:autoSpaceDE w:val="0"/>
        <w:autoSpaceDN w:val="0"/>
        <w:adjustRightInd w:val="0"/>
        <w:spacing w:line="360" w:lineRule="auto"/>
        <w:jc w:val="center"/>
        <w:rPr>
          <w:rFonts w:hint="eastAsia" w:ascii="宋体" w:hAnsi="宋体" w:eastAsia="宋体" w:cs="宋体"/>
          <w:b/>
          <w:color w:val="auto"/>
          <w:sz w:val="48"/>
          <w:szCs w:val="48"/>
          <w:highlight w:val="none"/>
          <w:lang w:eastAsia="zh-CN"/>
        </w:rPr>
      </w:pPr>
      <w:r>
        <w:rPr>
          <w:rFonts w:hint="eastAsia" w:hAnsi="宋体" w:cs="宋体"/>
          <w:b/>
          <w:bCs/>
          <w:color w:val="auto"/>
          <w:sz w:val="44"/>
          <w:szCs w:val="44"/>
          <w:highlight w:val="none"/>
          <w:lang w:eastAsia="zh-CN"/>
        </w:rPr>
        <w:t>海太长江隧道北接线工程档案管理咨询服务项目（</w:t>
      </w:r>
      <w:r>
        <w:rPr>
          <w:rFonts w:hint="eastAsia" w:hAnsi="宋体" w:cs="宋体"/>
          <w:b w:val="0"/>
          <w:bCs w:val="0"/>
          <w:color w:val="auto"/>
          <w:sz w:val="44"/>
          <w:szCs w:val="44"/>
          <w:highlight w:val="none"/>
          <w:u w:val="single"/>
          <w:lang w:val="en-US" w:eastAsia="zh-CN"/>
        </w:rPr>
        <w:t xml:space="preserve">    </w:t>
      </w:r>
      <w:r>
        <w:rPr>
          <w:rFonts w:hint="eastAsia" w:hAnsi="宋体" w:cs="宋体"/>
          <w:b/>
          <w:bCs/>
          <w:color w:val="auto"/>
          <w:sz w:val="44"/>
          <w:szCs w:val="44"/>
          <w:highlight w:val="none"/>
          <w:u w:val="none"/>
          <w:lang w:val="en-US" w:eastAsia="zh-CN"/>
        </w:rPr>
        <w:t>标包</w:t>
      </w:r>
      <w:r>
        <w:rPr>
          <w:rFonts w:hint="eastAsia" w:hAnsi="宋体" w:cs="宋体"/>
          <w:b/>
          <w:bCs/>
          <w:color w:val="auto"/>
          <w:sz w:val="44"/>
          <w:szCs w:val="44"/>
          <w:highlight w:val="none"/>
          <w:lang w:eastAsia="zh-CN"/>
        </w:rPr>
        <w:t>）</w:t>
      </w:r>
    </w:p>
    <w:p>
      <w:pPr>
        <w:pStyle w:val="2"/>
        <w:spacing w:line="360" w:lineRule="auto"/>
        <w:rPr>
          <w:color w:val="auto"/>
          <w:highlight w:val="none"/>
        </w:rPr>
      </w:pPr>
    </w:p>
    <w:p>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pacing w:after="60" w:line="360" w:lineRule="auto"/>
        <w:ind w:firstLine="3213" w:firstLineChars="1000"/>
        <w:jc w:val="both"/>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供应商（盖单位公章）：</w:t>
      </w:r>
    </w:p>
    <w:p>
      <w:pPr>
        <w:spacing w:line="360" w:lineRule="auto"/>
        <w:rPr>
          <w:rFonts w:ascii="宋体" w:hAnsi="宋体" w:cs="宋体"/>
          <w:bCs/>
          <w:color w:val="auto"/>
          <w:sz w:val="24"/>
          <w:highlight w:val="none"/>
          <w:u w:val="single"/>
        </w:rPr>
      </w:pPr>
      <w:r>
        <w:rPr>
          <w:rFonts w:hint="eastAsia" w:ascii="宋体" w:hAnsi="宋体" w:cs="宋体"/>
          <w:bCs/>
          <w:color w:val="auto"/>
          <w:sz w:val="24"/>
          <w:highlight w:val="none"/>
        </w:rPr>
        <w:t>法定代表人（或其委托代理人）（签名或盖章）：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2"/>
        <w:spacing w:line="360" w:lineRule="auto"/>
        <w:rPr>
          <w:color w:val="auto"/>
          <w:highlight w:val="none"/>
        </w:rPr>
      </w:pPr>
    </w:p>
    <w:p>
      <w:pPr>
        <w:rPr>
          <w:rFonts w:ascii="宋体" w:hAnsi="宋体" w:cs="宋体"/>
          <w:color w:val="auto"/>
          <w:sz w:val="32"/>
          <w:szCs w:val="32"/>
          <w:highlight w:val="none"/>
        </w:rPr>
      </w:pPr>
      <w:r>
        <w:rPr>
          <w:rFonts w:ascii="宋体" w:hAnsi="宋体" w:cs="宋体"/>
          <w:color w:val="auto"/>
          <w:sz w:val="32"/>
          <w:szCs w:val="32"/>
          <w:highlight w:val="none"/>
        </w:rPr>
        <w:br w:type="page"/>
      </w:r>
    </w:p>
    <w:p>
      <w:pPr>
        <w:snapToGrid w:val="0"/>
        <w:spacing w:line="36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附件一：</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谈判报价总表</w:t>
      </w:r>
    </w:p>
    <w:tbl>
      <w:tblPr>
        <w:tblStyle w:val="19"/>
        <w:tblW w:w="8377" w:type="dxa"/>
        <w:tblInd w:w="95" w:type="dxa"/>
        <w:tblLayout w:type="fixed"/>
        <w:tblCellMar>
          <w:top w:w="0" w:type="dxa"/>
          <w:left w:w="108" w:type="dxa"/>
          <w:bottom w:w="0" w:type="dxa"/>
          <w:right w:w="108" w:type="dxa"/>
        </w:tblCellMar>
      </w:tblPr>
      <w:tblGrid>
        <w:gridCol w:w="2890"/>
        <w:gridCol w:w="3738"/>
        <w:gridCol w:w="236"/>
        <w:gridCol w:w="1513"/>
      </w:tblGrid>
      <w:tr>
        <w:tblPrEx>
          <w:tblCellMar>
            <w:top w:w="0" w:type="dxa"/>
            <w:left w:w="108" w:type="dxa"/>
            <w:bottom w:w="0" w:type="dxa"/>
            <w:right w:w="108" w:type="dxa"/>
          </w:tblCellMar>
        </w:tblPrEx>
        <w:trPr>
          <w:trHeight w:val="405" w:hRule="atLeast"/>
        </w:trPr>
        <w:tc>
          <w:tcPr>
            <w:tcW w:w="2890" w:type="dxa"/>
            <w:tcBorders>
              <w:top w:val="nil"/>
              <w:left w:val="nil"/>
              <w:bottom w:val="nil"/>
              <w:right w:val="nil"/>
            </w:tcBorders>
            <w:noWrap/>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c>
          <w:tcPr>
            <w:tcW w:w="3738"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1513"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20" w:hRule="atLeast"/>
        </w:trPr>
        <w:tc>
          <w:tcPr>
            <w:tcW w:w="2890" w:type="dxa"/>
            <w:tcBorders>
              <w:top w:val="nil"/>
              <w:left w:val="nil"/>
              <w:bottom w:val="nil"/>
              <w:right w:val="nil"/>
            </w:tcBorders>
            <w:noWrap/>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标包</w:t>
            </w:r>
            <w:r>
              <w:rPr>
                <w:rFonts w:hint="eastAsia" w:ascii="宋体" w:hAnsi="宋体" w:cs="宋体"/>
                <w:color w:val="auto"/>
                <w:sz w:val="24"/>
                <w:highlight w:val="none"/>
              </w:rPr>
              <w:t>：</w:t>
            </w:r>
          </w:p>
        </w:tc>
        <w:tc>
          <w:tcPr>
            <w:tcW w:w="3738"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1513"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22" w:hRule="atLeast"/>
        </w:trPr>
        <w:tc>
          <w:tcPr>
            <w:tcW w:w="2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投标</w:t>
            </w:r>
            <w:r>
              <w:rPr>
                <w:rFonts w:hint="eastAsia" w:ascii="宋体" w:hAnsi="宋体" w:cs="宋体"/>
                <w:color w:val="auto"/>
                <w:kern w:val="0"/>
                <w:sz w:val="24"/>
                <w:highlight w:val="none"/>
                <w:lang w:val="en-US" w:eastAsia="zh-CN"/>
              </w:rPr>
              <w:t>报价</w:t>
            </w:r>
          </w:p>
        </w:tc>
        <w:tc>
          <w:tcPr>
            <w:tcW w:w="5487"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大写：</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小写：</w:t>
            </w:r>
            <w:r>
              <w:rPr>
                <w:rFonts w:hint="eastAsia" w:ascii="宋体" w:hAnsi="宋体" w:eastAsia="宋体"/>
                <w:sz w:val="24"/>
                <w:szCs w:val="24"/>
                <w:highlight w:val="none"/>
              </w:rPr>
              <w:t>¥</w:t>
            </w:r>
            <w:r>
              <w:rPr>
                <w:rFonts w:hint="eastAsia" w:ascii="宋体" w:hAnsi="宋体" w:cs="宋体"/>
                <w:color w:val="auto"/>
                <w:kern w:val="0"/>
                <w:sz w:val="24"/>
                <w:highlight w:val="none"/>
                <w:u w:val="single"/>
                <w:lang w:val="en-US" w:eastAsia="zh-CN"/>
              </w:rPr>
              <w:t xml:space="preserve">     </w:t>
            </w:r>
          </w:p>
        </w:tc>
      </w:tr>
    </w:tbl>
    <w:p>
      <w:pPr>
        <w:snapToGrid w:val="0"/>
        <w:spacing w:line="360" w:lineRule="auto"/>
        <w:ind w:firstLine="480" w:firstLineChars="200"/>
        <w:contextualSpacing/>
        <w:jc w:val="left"/>
        <w:rPr>
          <w:rFonts w:ascii="宋体" w:hAnsi="宋体" w:cs="宋体"/>
          <w:color w:val="auto"/>
          <w:sz w:val="24"/>
          <w:highlight w:val="none"/>
        </w:rPr>
      </w:pP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供应商（盖单位公章）：</w:t>
      </w:r>
    </w:p>
    <w:p>
      <w:pPr>
        <w:spacing w:line="360" w:lineRule="auto"/>
        <w:rPr>
          <w:rFonts w:ascii="宋体" w:hAnsi="宋体" w:cs="宋体"/>
          <w:bCs/>
          <w:color w:val="auto"/>
          <w:sz w:val="24"/>
          <w:highlight w:val="none"/>
          <w:u w:val="single"/>
        </w:rPr>
      </w:pPr>
      <w:r>
        <w:rPr>
          <w:rFonts w:hint="eastAsia" w:ascii="宋体" w:hAnsi="宋体" w:cs="宋体"/>
          <w:bCs/>
          <w:color w:val="auto"/>
          <w:sz w:val="24"/>
          <w:highlight w:val="none"/>
        </w:rPr>
        <w:t>法定代表人（或其委托代理人）（签名或盖章）：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napToGrid w:val="0"/>
        <w:spacing w:line="360" w:lineRule="auto"/>
        <w:ind w:firstLine="480" w:firstLineChars="200"/>
        <w:contextualSpacing/>
        <w:jc w:val="left"/>
        <w:rPr>
          <w:rFonts w:ascii="宋体" w:hAnsi="宋体" w:cs="宋体"/>
          <w:color w:val="auto"/>
          <w:sz w:val="24"/>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snapToGrid w:val="0"/>
        <w:spacing w:line="360" w:lineRule="auto"/>
        <w:ind w:firstLine="482" w:firstLineChars="200"/>
        <w:contextualSpacing/>
        <w:jc w:val="left"/>
        <w:rPr>
          <w:rFonts w:hint="eastAsia" w:cs="宋体" w:asciiTheme="minorEastAsia" w:hAnsiTheme="minorEastAsia" w:eastAsiaTheme="minorEastAsia"/>
          <w:color w:val="auto"/>
          <w:sz w:val="28"/>
          <w:szCs w:val="28"/>
          <w:highlight w:val="none"/>
        </w:rPr>
      </w:pPr>
      <w:r>
        <w:rPr>
          <w:rFonts w:hint="eastAsia" w:ascii="宋体" w:hAnsi="宋体" w:cs="宋体"/>
          <w:b/>
          <w:color w:val="auto"/>
          <w:sz w:val="24"/>
          <w:highlight w:val="none"/>
        </w:rPr>
        <w:t>注：</w:t>
      </w:r>
      <w:r>
        <w:rPr>
          <w:rFonts w:hint="eastAsia" w:ascii="宋体" w:hAnsi="宋体" w:cs="宋体"/>
          <w:b/>
          <w:color w:val="auto"/>
          <w:kern w:val="0"/>
          <w:sz w:val="24"/>
          <w:highlight w:val="none"/>
        </w:rPr>
        <w:t>供应商</w:t>
      </w:r>
      <w:r>
        <w:rPr>
          <w:rFonts w:hint="eastAsia" w:ascii="宋体" w:hAnsi="宋体"/>
          <w:b/>
          <w:color w:val="auto"/>
          <w:sz w:val="24"/>
          <w:highlight w:val="none"/>
        </w:rPr>
        <w:t>此表为首轮报价，最终报价在谈判现场填写。</w:t>
      </w:r>
      <w:r>
        <w:rPr>
          <w:rFonts w:hint="eastAsia" w:ascii="宋体" w:hAnsi="宋体" w:cs="宋体"/>
          <w:b/>
          <w:color w:val="auto"/>
          <w:kern w:val="0"/>
          <w:sz w:val="24"/>
          <w:highlight w:val="none"/>
        </w:rPr>
        <w:t>响应文件密封提交时只需填写谈判报价（首次）的报价。</w:t>
      </w:r>
    </w:p>
    <w:sectPr>
      <w:footerReference r:id="rId4" w:type="default"/>
      <w:pgSz w:w="11907" w:h="16839"/>
      <w:pgMar w:top="1429" w:right="1429" w:bottom="1429" w:left="1429" w:header="720" w:footer="720" w:gutter="0"/>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Malgun Gothic">
    <w:altName w:val="方正书宋_GBK"/>
    <w:panose1 w:val="020B0503020000020004"/>
    <w:charset w:val="81"/>
    <w:family w:val="swiss"/>
    <w:pitch w:val="default"/>
    <w:sig w:usb0="00000000" w:usb1="00000000" w:usb2="00000012" w:usb3="00000000" w:csb0="0008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49</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65AD5"/>
    <w:multiLevelType w:val="singleLevel"/>
    <w:tmpl w:val="B5665AD5"/>
    <w:lvl w:ilvl="0" w:tentative="0">
      <w:start w:val="5"/>
      <w:numFmt w:val="chineseCounting"/>
      <w:suff w:val="nothing"/>
      <w:lvlText w:val="%1、"/>
      <w:lvlJc w:val="left"/>
      <w:rPr>
        <w:rFonts w:hint="eastAsia"/>
      </w:rPr>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004E6A01"/>
    <w:rsid w:val="00004F3A"/>
    <w:rsid w:val="0002042E"/>
    <w:rsid w:val="000251AD"/>
    <w:rsid w:val="000251B3"/>
    <w:rsid w:val="000275F4"/>
    <w:rsid w:val="00042FB7"/>
    <w:rsid w:val="00045C4B"/>
    <w:rsid w:val="00057671"/>
    <w:rsid w:val="0006779E"/>
    <w:rsid w:val="000713C9"/>
    <w:rsid w:val="00075515"/>
    <w:rsid w:val="00081D7A"/>
    <w:rsid w:val="00083434"/>
    <w:rsid w:val="00085DCC"/>
    <w:rsid w:val="00086F5E"/>
    <w:rsid w:val="0008732D"/>
    <w:rsid w:val="00091AD9"/>
    <w:rsid w:val="000B7929"/>
    <w:rsid w:val="000D7998"/>
    <w:rsid w:val="000E05F2"/>
    <w:rsid w:val="000F1D62"/>
    <w:rsid w:val="000F3FC3"/>
    <w:rsid w:val="000F4F2C"/>
    <w:rsid w:val="000F7399"/>
    <w:rsid w:val="001116CB"/>
    <w:rsid w:val="001137DC"/>
    <w:rsid w:val="00115F3B"/>
    <w:rsid w:val="00127BAE"/>
    <w:rsid w:val="00130D3A"/>
    <w:rsid w:val="00131C02"/>
    <w:rsid w:val="00147540"/>
    <w:rsid w:val="0016523B"/>
    <w:rsid w:val="0016650C"/>
    <w:rsid w:val="001770FD"/>
    <w:rsid w:val="00182098"/>
    <w:rsid w:val="001842F7"/>
    <w:rsid w:val="0018438D"/>
    <w:rsid w:val="001A6770"/>
    <w:rsid w:val="001B5DC9"/>
    <w:rsid w:val="001C4492"/>
    <w:rsid w:val="001D5D25"/>
    <w:rsid w:val="001E071B"/>
    <w:rsid w:val="00201938"/>
    <w:rsid w:val="00213A61"/>
    <w:rsid w:val="00230629"/>
    <w:rsid w:val="00232282"/>
    <w:rsid w:val="00236D08"/>
    <w:rsid w:val="002401BF"/>
    <w:rsid w:val="00256063"/>
    <w:rsid w:val="00257BE2"/>
    <w:rsid w:val="00264234"/>
    <w:rsid w:val="00266C43"/>
    <w:rsid w:val="002749CA"/>
    <w:rsid w:val="002759BB"/>
    <w:rsid w:val="00286488"/>
    <w:rsid w:val="00292F49"/>
    <w:rsid w:val="00295D41"/>
    <w:rsid w:val="002A1EF6"/>
    <w:rsid w:val="002A2058"/>
    <w:rsid w:val="002A2D50"/>
    <w:rsid w:val="002C7C03"/>
    <w:rsid w:val="002D0784"/>
    <w:rsid w:val="002D1B82"/>
    <w:rsid w:val="002D3954"/>
    <w:rsid w:val="002F07A0"/>
    <w:rsid w:val="002F3F3E"/>
    <w:rsid w:val="00307F9B"/>
    <w:rsid w:val="00340ED2"/>
    <w:rsid w:val="003568B4"/>
    <w:rsid w:val="003628A6"/>
    <w:rsid w:val="003737A4"/>
    <w:rsid w:val="00377E58"/>
    <w:rsid w:val="00384813"/>
    <w:rsid w:val="003869DB"/>
    <w:rsid w:val="00392F74"/>
    <w:rsid w:val="00393094"/>
    <w:rsid w:val="00395368"/>
    <w:rsid w:val="003B60A0"/>
    <w:rsid w:val="003D2526"/>
    <w:rsid w:val="003E5033"/>
    <w:rsid w:val="00400A6D"/>
    <w:rsid w:val="004020C3"/>
    <w:rsid w:val="0041349D"/>
    <w:rsid w:val="004212D6"/>
    <w:rsid w:val="00423603"/>
    <w:rsid w:val="004275E8"/>
    <w:rsid w:val="00433583"/>
    <w:rsid w:val="00433757"/>
    <w:rsid w:val="004633D9"/>
    <w:rsid w:val="004854B7"/>
    <w:rsid w:val="004A2FCB"/>
    <w:rsid w:val="004B2F8E"/>
    <w:rsid w:val="004C1C13"/>
    <w:rsid w:val="004C2519"/>
    <w:rsid w:val="004C4040"/>
    <w:rsid w:val="004C5425"/>
    <w:rsid w:val="004D2DE0"/>
    <w:rsid w:val="004D6CF7"/>
    <w:rsid w:val="004E1835"/>
    <w:rsid w:val="004E1FBD"/>
    <w:rsid w:val="004E589E"/>
    <w:rsid w:val="004E66CD"/>
    <w:rsid w:val="004E6A01"/>
    <w:rsid w:val="004F4D44"/>
    <w:rsid w:val="0050218A"/>
    <w:rsid w:val="00505E24"/>
    <w:rsid w:val="00506000"/>
    <w:rsid w:val="00506326"/>
    <w:rsid w:val="00507573"/>
    <w:rsid w:val="00507A5F"/>
    <w:rsid w:val="00512B27"/>
    <w:rsid w:val="005305DD"/>
    <w:rsid w:val="00534926"/>
    <w:rsid w:val="00542063"/>
    <w:rsid w:val="00543BF8"/>
    <w:rsid w:val="0056330A"/>
    <w:rsid w:val="00583FBC"/>
    <w:rsid w:val="00597572"/>
    <w:rsid w:val="005B6827"/>
    <w:rsid w:val="005C303E"/>
    <w:rsid w:val="005C4729"/>
    <w:rsid w:val="005C63ED"/>
    <w:rsid w:val="005D0729"/>
    <w:rsid w:val="005E6254"/>
    <w:rsid w:val="006010BE"/>
    <w:rsid w:val="00601AF2"/>
    <w:rsid w:val="006038D8"/>
    <w:rsid w:val="00604959"/>
    <w:rsid w:val="006057AD"/>
    <w:rsid w:val="006078DA"/>
    <w:rsid w:val="00607E8B"/>
    <w:rsid w:val="00617200"/>
    <w:rsid w:val="00620788"/>
    <w:rsid w:val="00622F81"/>
    <w:rsid w:val="006259E2"/>
    <w:rsid w:val="0062661C"/>
    <w:rsid w:val="00634758"/>
    <w:rsid w:val="00635C44"/>
    <w:rsid w:val="0067146F"/>
    <w:rsid w:val="00672395"/>
    <w:rsid w:val="00676F9B"/>
    <w:rsid w:val="0068582A"/>
    <w:rsid w:val="00686279"/>
    <w:rsid w:val="006B3A9D"/>
    <w:rsid w:val="006C344A"/>
    <w:rsid w:val="006D3752"/>
    <w:rsid w:val="006E1FF7"/>
    <w:rsid w:val="006E6582"/>
    <w:rsid w:val="006E6F24"/>
    <w:rsid w:val="006F1AFD"/>
    <w:rsid w:val="006F7925"/>
    <w:rsid w:val="0070645D"/>
    <w:rsid w:val="00713FCC"/>
    <w:rsid w:val="00720EE5"/>
    <w:rsid w:val="00750DE2"/>
    <w:rsid w:val="00760F2B"/>
    <w:rsid w:val="00771021"/>
    <w:rsid w:val="007715CC"/>
    <w:rsid w:val="007923FE"/>
    <w:rsid w:val="00793B48"/>
    <w:rsid w:val="007A140C"/>
    <w:rsid w:val="007A264D"/>
    <w:rsid w:val="007B3699"/>
    <w:rsid w:val="007D34CA"/>
    <w:rsid w:val="007E06DE"/>
    <w:rsid w:val="007E700E"/>
    <w:rsid w:val="007F06AA"/>
    <w:rsid w:val="007F1D1B"/>
    <w:rsid w:val="007F406D"/>
    <w:rsid w:val="007F7FF6"/>
    <w:rsid w:val="00803B60"/>
    <w:rsid w:val="008165D1"/>
    <w:rsid w:val="008228A1"/>
    <w:rsid w:val="00827675"/>
    <w:rsid w:val="00835C5D"/>
    <w:rsid w:val="00864CF4"/>
    <w:rsid w:val="00880ABF"/>
    <w:rsid w:val="008851FB"/>
    <w:rsid w:val="008A0B38"/>
    <w:rsid w:val="008A164E"/>
    <w:rsid w:val="008A4C76"/>
    <w:rsid w:val="008B52F2"/>
    <w:rsid w:val="008C2935"/>
    <w:rsid w:val="008C73F9"/>
    <w:rsid w:val="008D609E"/>
    <w:rsid w:val="008E152E"/>
    <w:rsid w:val="008E303C"/>
    <w:rsid w:val="00916282"/>
    <w:rsid w:val="00916A6F"/>
    <w:rsid w:val="0093280D"/>
    <w:rsid w:val="009358CD"/>
    <w:rsid w:val="00956E3C"/>
    <w:rsid w:val="00974781"/>
    <w:rsid w:val="009A429D"/>
    <w:rsid w:val="009A5950"/>
    <w:rsid w:val="009B537B"/>
    <w:rsid w:val="009B7218"/>
    <w:rsid w:val="009C044F"/>
    <w:rsid w:val="009D069A"/>
    <w:rsid w:val="009F1422"/>
    <w:rsid w:val="00A001A2"/>
    <w:rsid w:val="00A20419"/>
    <w:rsid w:val="00A25890"/>
    <w:rsid w:val="00A40B79"/>
    <w:rsid w:val="00A53576"/>
    <w:rsid w:val="00A53B00"/>
    <w:rsid w:val="00A55F45"/>
    <w:rsid w:val="00A56DDD"/>
    <w:rsid w:val="00A60AC1"/>
    <w:rsid w:val="00A6528F"/>
    <w:rsid w:val="00A656FE"/>
    <w:rsid w:val="00A65FA9"/>
    <w:rsid w:val="00A7620F"/>
    <w:rsid w:val="00A76A64"/>
    <w:rsid w:val="00A772A9"/>
    <w:rsid w:val="00A9061C"/>
    <w:rsid w:val="00A90756"/>
    <w:rsid w:val="00A92BAC"/>
    <w:rsid w:val="00A93AD2"/>
    <w:rsid w:val="00A95735"/>
    <w:rsid w:val="00AA1048"/>
    <w:rsid w:val="00AA6F7C"/>
    <w:rsid w:val="00AB4D2B"/>
    <w:rsid w:val="00AB6A73"/>
    <w:rsid w:val="00AC0D86"/>
    <w:rsid w:val="00AD2158"/>
    <w:rsid w:val="00AE0EFC"/>
    <w:rsid w:val="00AE775C"/>
    <w:rsid w:val="00AF682B"/>
    <w:rsid w:val="00AF6E03"/>
    <w:rsid w:val="00B06300"/>
    <w:rsid w:val="00B1021A"/>
    <w:rsid w:val="00B40AFC"/>
    <w:rsid w:val="00B41417"/>
    <w:rsid w:val="00B61AFD"/>
    <w:rsid w:val="00B64175"/>
    <w:rsid w:val="00B65D51"/>
    <w:rsid w:val="00B71D6D"/>
    <w:rsid w:val="00B746AF"/>
    <w:rsid w:val="00B76409"/>
    <w:rsid w:val="00B76A32"/>
    <w:rsid w:val="00B84A3A"/>
    <w:rsid w:val="00B86772"/>
    <w:rsid w:val="00BA2BE4"/>
    <w:rsid w:val="00BA416B"/>
    <w:rsid w:val="00BB0E4E"/>
    <w:rsid w:val="00BB3093"/>
    <w:rsid w:val="00BC3F76"/>
    <w:rsid w:val="00BD0FC5"/>
    <w:rsid w:val="00BD68EA"/>
    <w:rsid w:val="00BE0A7F"/>
    <w:rsid w:val="00BE2864"/>
    <w:rsid w:val="00BE6DC9"/>
    <w:rsid w:val="00BF1195"/>
    <w:rsid w:val="00C01910"/>
    <w:rsid w:val="00C228EB"/>
    <w:rsid w:val="00C312B4"/>
    <w:rsid w:val="00C43777"/>
    <w:rsid w:val="00C541F8"/>
    <w:rsid w:val="00C56D1C"/>
    <w:rsid w:val="00C61138"/>
    <w:rsid w:val="00C6220A"/>
    <w:rsid w:val="00C62972"/>
    <w:rsid w:val="00C74B22"/>
    <w:rsid w:val="00C929CF"/>
    <w:rsid w:val="00C9548B"/>
    <w:rsid w:val="00CA3341"/>
    <w:rsid w:val="00CC03F9"/>
    <w:rsid w:val="00CC3DAD"/>
    <w:rsid w:val="00CD071E"/>
    <w:rsid w:val="00CD47DF"/>
    <w:rsid w:val="00CF3F31"/>
    <w:rsid w:val="00D126A1"/>
    <w:rsid w:val="00D13471"/>
    <w:rsid w:val="00D135E9"/>
    <w:rsid w:val="00D146BE"/>
    <w:rsid w:val="00D22E94"/>
    <w:rsid w:val="00D261A2"/>
    <w:rsid w:val="00D26B1A"/>
    <w:rsid w:val="00D53D23"/>
    <w:rsid w:val="00D5594D"/>
    <w:rsid w:val="00D771CB"/>
    <w:rsid w:val="00D84BAB"/>
    <w:rsid w:val="00D85E26"/>
    <w:rsid w:val="00D930DE"/>
    <w:rsid w:val="00D93671"/>
    <w:rsid w:val="00D95214"/>
    <w:rsid w:val="00D9581B"/>
    <w:rsid w:val="00DA63E5"/>
    <w:rsid w:val="00DB642F"/>
    <w:rsid w:val="00DF21CE"/>
    <w:rsid w:val="00DF57EB"/>
    <w:rsid w:val="00DF76CA"/>
    <w:rsid w:val="00DF7BB8"/>
    <w:rsid w:val="00E065BC"/>
    <w:rsid w:val="00E177D1"/>
    <w:rsid w:val="00E233DD"/>
    <w:rsid w:val="00E24069"/>
    <w:rsid w:val="00E310E6"/>
    <w:rsid w:val="00E4427F"/>
    <w:rsid w:val="00E71640"/>
    <w:rsid w:val="00E72D4F"/>
    <w:rsid w:val="00E80077"/>
    <w:rsid w:val="00E86056"/>
    <w:rsid w:val="00E87250"/>
    <w:rsid w:val="00E93F70"/>
    <w:rsid w:val="00E9633A"/>
    <w:rsid w:val="00EA3EEB"/>
    <w:rsid w:val="00EB0A1D"/>
    <w:rsid w:val="00EB578E"/>
    <w:rsid w:val="00EC243E"/>
    <w:rsid w:val="00EC3373"/>
    <w:rsid w:val="00EC797C"/>
    <w:rsid w:val="00ED26AE"/>
    <w:rsid w:val="00F2328A"/>
    <w:rsid w:val="00F32BA9"/>
    <w:rsid w:val="00F335E9"/>
    <w:rsid w:val="00F34928"/>
    <w:rsid w:val="00F34FA8"/>
    <w:rsid w:val="00F511D3"/>
    <w:rsid w:val="00F52E82"/>
    <w:rsid w:val="00F55EEF"/>
    <w:rsid w:val="00F608C4"/>
    <w:rsid w:val="00F6696F"/>
    <w:rsid w:val="00F71569"/>
    <w:rsid w:val="00F71642"/>
    <w:rsid w:val="00F80A25"/>
    <w:rsid w:val="00F8180C"/>
    <w:rsid w:val="00F8483F"/>
    <w:rsid w:val="00FA6E97"/>
    <w:rsid w:val="00FB2D0C"/>
    <w:rsid w:val="00FB61AB"/>
    <w:rsid w:val="00FC019B"/>
    <w:rsid w:val="00FD49BD"/>
    <w:rsid w:val="00FE043A"/>
    <w:rsid w:val="00FE1FB6"/>
    <w:rsid w:val="01747E56"/>
    <w:rsid w:val="01877B89"/>
    <w:rsid w:val="02353A89"/>
    <w:rsid w:val="0272202F"/>
    <w:rsid w:val="02C10E79"/>
    <w:rsid w:val="030A0A72"/>
    <w:rsid w:val="036543A8"/>
    <w:rsid w:val="03912F41"/>
    <w:rsid w:val="03F139E0"/>
    <w:rsid w:val="040E4083"/>
    <w:rsid w:val="040F3E66"/>
    <w:rsid w:val="0429473C"/>
    <w:rsid w:val="04473600"/>
    <w:rsid w:val="045A3333"/>
    <w:rsid w:val="04CE307C"/>
    <w:rsid w:val="054507D8"/>
    <w:rsid w:val="05B9052D"/>
    <w:rsid w:val="066B7744"/>
    <w:rsid w:val="067B57E2"/>
    <w:rsid w:val="069847C0"/>
    <w:rsid w:val="07117EF5"/>
    <w:rsid w:val="071C0D73"/>
    <w:rsid w:val="071F2B16"/>
    <w:rsid w:val="07534719"/>
    <w:rsid w:val="07630750"/>
    <w:rsid w:val="07CD3E87"/>
    <w:rsid w:val="08000695"/>
    <w:rsid w:val="080F7306"/>
    <w:rsid w:val="081A5BC8"/>
    <w:rsid w:val="08251EAA"/>
    <w:rsid w:val="0849203C"/>
    <w:rsid w:val="08FE7A55"/>
    <w:rsid w:val="091F2D9D"/>
    <w:rsid w:val="094445B2"/>
    <w:rsid w:val="09CD3B5E"/>
    <w:rsid w:val="0A9469B8"/>
    <w:rsid w:val="0ADB0F46"/>
    <w:rsid w:val="0AEA2F37"/>
    <w:rsid w:val="0B291CB1"/>
    <w:rsid w:val="0B2C354F"/>
    <w:rsid w:val="0B8909A2"/>
    <w:rsid w:val="0BA26B08"/>
    <w:rsid w:val="0BB274D2"/>
    <w:rsid w:val="0BD75FB3"/>
    <w:rsid w:val="0C9B4A10"/>
    <w:rsid w:val="0CDA7EF6"/>
    <w:rsid w:val="0CE87367"/>
    <w:rsid w:val="0CF06F2A"/>
    <w:rsid w:val="0D324ED3"/>
    <w:rsid w:val="0D676AC1"/>
    <w:rsid w:val="0DA0452F"/>
    <w:rsid w:val="0DB316AF"/>
    <w:rsid w:val="0DBA3094"/>
    <w:rsid w:val="0DCE08EE"/>
    <w:rsid w:val="0DED6FC6"/>
    <w:rsid w:val="0E455054"/>
    <w:rsid w:val="0EF01DD1"/>
    <w:rsid w:val="0F7554C5"/>
    <w:rsid w:val="0F7D3354"/>
    <w:rsid w:val="103263BC"/>
    <w:rsid w:val="10853E2D"/>
    <w:rsid w:val="10B262A5"/>
    <w:rsid w:val="1111746F"/>
    <w:rsid w:val="113A4C18"/>
    <w:rsid w:val="114C66F9"/>
    <w:rsid w:val="115F3764"/>
    <w:rsid w:val="11BC59E1"/>
    <w:rsid w:val="11E903EC"/>
    <w:rsid w:val="11E905CC"/>
    <w:rsid w:val="127F48AC"/>
    <w:rsid w:val="129A3494"/>
    <w:rsid w:val="1304176A"/>
    <w:rsid w:val="138C54D3"/>
    <w:rsid w:val="14092AD7"/>
    <w:rsid w:val="14356E6D"/>
    <w:rsid w:val="14467430"/>
    <w:rsid w:val="149F5FD8"/>
    <w:rsid w:val="14A01236"/>
    <w:rsid w:val="14C447F8"/>
    <w:rsid w:val="155D11DB"/>
    <w:rsid w:val="1574347F"/>
    <w:rsid w:val="15A703A2"/>
    <w:rsid w:val="1606331B"/>
    <w:rsid w:val="16227A29"/>
    <w:rsid w:val="16663DD9"/>
    <w:rsid w:val="16A91EF8"/>
    <w:rsid w:val="16BF171B"/>
    <w:rsid w:val="16C62AAA"/>
    <w:rsid w:val="16FE0496"/>
    <w:rsid w:val="17BB43A9"/>
    <w:rsid w:val="180C273E"/>
    <w:rsid w:val="18455C50"/>
    <w:rsid w:val="185A16FC"/>
    <w:rsid w:val="188034A7"/>
    <w:rsid w:val="19017DC9"/>
    <w:rsid w:val="19110F6E"/>
    <w:rsid w:val="19393A07"/>
    <w:rsid w:val="196071E6"/>
    <w:rsid w:val="19C21C4E"/>
    <w:rsid w:val="1A1A55E6"/>
    <w:rsid w:val="1A2A36F0"/>
    <w:rsid w:val="1A2E6111"/>
    <w:rsid w:val="1A933CA0"/>
    <w:rsid w:val="1AA93651"/>
    <w:rsid w:val="1ABE47DE"/>
    <w:rsid w:val="1AF20311"/>
    <w:rsid w:val="1B22107E"/>
    <w:rsid w:val="1B6F1962"/>
    <w:rsid w:val="1B6F2CBA"/>
    <w:rsid w:val="1B8D7C31"/>
    <w:rsid w:val="1BB13D28"/>
    <w:rsid w:val="1BBB6955"/>
    <w:rsid w:val="1BE1599C"/>
    <w:rsid w:val="1C2F10F1"/>
    <w:rsid w:val="1C425DBD"/>
    <w:rsid w:val="1CA00480"/>
    <w:rsid w:val="1CD37CCF"/>
    <w:rsid w:val="1D047E88"/>
    <w:rsid w:val="1D8316F5"/>
    <w:rsid w:val="1DA619A9"/>
    <w:rsid w:val="1DD106B2"/>
    <w:rsid w:val="1DEB1048"/>
    <w:rsid w:val="1E081BFA"/>
    <w:rsid w:val="1E237B35"/>
    <w:rsid w:val="1E240691"/>
    <w:rsid w:val="1E270522"/>
    <w:rsid w:val="1E6E4153"/>
    <w:rsid w:val="1EC81FB4"/>
    <w:rsid w:val="1F3E1D77"/>
    <w:rsid w:val="20672C08"/>
    <w:rsid w:val="207277FE"/>
    <w:rsid w:val="20B740F8"/>
    <w:rsid w:val="20F656B2"/>
    <w:rsid w:val="212136FE"/>
    <w:rsid w:val="213F1567"/>
    <w:rsid w:val="2180471A"/>
    <w:rsid w:val="21A32365"/>
    <w:rsid w:val="21B20622"/>
    <w:rsid w:val="21E464DA"/>
    <w:rsid w:val="21E72831"/>
    <w:rsid w:val="23DC390D"/>
    <w:rsid w:val="24262DDA"/>
    <w:rsid w:val="242C0022"/>
    <w:rsid w:val="244871F4"/>
    <w:rsid w:val="244F0582"/>
    <w:rsid w:val="247A577C"/>
    <w:rsid w:val="24B14D99"/>
    <w:rsid w:val="24E24F53"/>
    <w:rsid w:val="250E3F9A"/>
    <w:rsid w:val="253F5855"/>
    <w:rsid w:val="258A313E"/>
    <w:rsid w:val="25E95111"/>
    <w:rsid w:val="25F27417"/>
    <w:rsid w:val="26062EC3"/>
    <w:rsid w:val="26154EB4"/>
    <w:rsid w:val="26280B3A"/>
    <w:rsid w:val="2665112C"/>
    <w:rsid w:val="26914E82"/>
    <w:rsid w:val="26995AE5"/>
    <w:rsid w:val="26D66D39"/>
    <w:rsid w:val="277F4CDB"/>
    <w:rsid w:val="28054DDB"/>
    <w:rsid w:val="28A22899"/>
    <w:rsid w:val="28FB2A87"/>
    <w:rsid w:val="29E32845"/>
    <w:rsid w:val="29F17728"/>
    <w:rsid w:val="29FB2613"/>
    <w:rsid w:val="2AC60E73"/>
    <w:rsid w:val="2AD96DF8"/>
    <w:rsid w:val="2B400C25"/>
    <w:rsid w:val="2B565E8C"/>
    <w:rsid w:val="2BB24484"/>
    <w:rsid w:val="2BBB1C53"/>
    <w:rsid w:val="2BD66E93"/>
    <w:rsid w:val="2C22657D"/>
    <w:rsid w:val="2C8D7E9A"/>
    <w:rsid w:val="2CAD22EA"/>
    <w:rsid w:val="2CFC0B7C"/>
    <w:rsid w:val="2D241E80"/>
    <w:rsid w:val="2D382760"/>
    <w:rsid w:val="2D413F36"/>
    <w:rsid w:val="2D5B7F98"/>
    <w:rsid w:val="2EA846EB"/>
    <w:rsid w:val="2EF35FAE"/>
    <w:rsid w:val="2F034443"/>
    <w:rsid w:val="2F4744A7"/>
    <w:rsid w:val="2F4B7836"/>
    <w:rsid w:val="2F4D56BE"/>
    <w:rsid w:val="2FA06136"/>
    <w:rsid w:val="2FAA0D63"/>
    <w:rsid w:val="301937F3"/>
    <w:rsid w:val="308A02D6"/>
    <w:rsid w:val="30CD4226"/>
    <w:rsid w:val="31457DBA"/>
    <w:rsid w:val="32D103B5"/>
    <w:rsid w:val="32E021DD"/>
    <w:rsid w:val="331C1F78"/>
    <w:rsid w:val="332D6D76"/>
    <w:rsid w:val="338538B5"/>
    <w:rsid w:val="347D07F4"/>
    <w:rsid w:val="348222AE"/>
    <w:rsid w:val="348F09FF"/>
    <w:rsid w:val="34A55D05"/>
    <w:rsid w:val="34D7570F"/>
    <w:rsid w:val="34E16FD5"/>
    <w:rsid w:val="35246EC1"/>
    <w:rsid w:val="352549E8"/>
    <w:rsid w:val="35790469"/>
    <w:rsid w:val="35FE7713"/>
    <w:rsid w:val="362F1FC2"/>
    <w:rsid w:val="36323860"/>
    <w:rsid w:val="36B33644"/>
    <w:rsid w:val="36DA1FCE"/>
    <w:rsid w:val="37461371"/>
    <w:rsid w:val="377C48B6"/>
    <w:rsid w:val="379C71E3"/>
    <w:rsid w:val="38033706"/>
    <w:rsid w:val="383E473E"/>
    <w:rsid w:val="38481C7E"/>
    <w:rsid w:val="38593C76"/>
    <w:rsid w:val="386046B4"/>
    <w:rsid w:val="386C7E6A"/>
    <w:rsid w:val="38DB7C21"/>
    <w:rsid w:val="38EA6F99"/>
    <w:rsid w:val="39293AA4"/>
    <w:rsid w:val="392C4704"/>
    <w:rsid w:val="3A5825AC"/>
    <w:rsid w:val="3A640854"/>
    <w:rsid w:val="3B932D52"/>
    <w:rsid w:val="3C326368"/>
    <w:rsid w:val="3C805A5B"/>
    <w:rsid w:val="3C857888"/>
    <w:rsid w:val="3CD92966"/>
    <w:rsid w:val="3DE95A11"/>
    <w:rsid w:val="3E130148"/>
    <w:rsid w:val="3E287A22"/>
    <w:rsid w:val="3E4747AC"/>
    <w:rsid w:val="3E530817"/>
    <w:rsid w:val="3E841E5A"/>
    <w:rsid w:val="3EBD5D47"/>
    <w:rsid w:val="3EF913BF"/>
    <w:rsid w:val="3F1735F3"/>
    <w:rsid w:val="3F220916"/>
    <w:rsid w:val="3F9B5FD2"/>
    <w:rsid w:val="3FA4757D"/>
    <w:rsid w:val="3FAE21A9"/>
    <w:rsid w:val="3FCE45FA"/>
    <w:rsid w:val="402266F3"/>
    <w:rsid w:val="409867F9"/>
    <w:rsid w:val="41407380"/>
    <w:rsid w:val="414D59F2"/>
    <w:rsid w:val="420B38E3"/>
    <w:rsid w:val="42116A20"/>
    <w:rsid w:val="425F0A93"/>
    <w:rsid w:val="43340C18"/>
    <w:rsid w:val="433B01F8"/>
    <w:rsid w:val="4355293C"/>
    <w:rsid w:val="4366313D"/>
    <w:rsid w:val="438065B1"/>
    <w:rsid w:val="43881598"/>
    <w:rsid w:val="439E1AC6"/>
    <w:rsid w:val="43F16B09"/>
    <w:rsid w:val="441B1DD7"/>
    <w:rsid w:val="4456696C"/>
    <w:rsid w:val="44604B4B"/>
    <w:rsid w:val="448B0D0B"/>
    <w:rsid w:val="449A7EB1"/>
    <w:rsid w:val="45280308"/>
    <w:rsid w:val="4554492E"/>
    <w:rsid w:val="456A6B72"/>
    <w:rsid w:val="461B536E"/>
    <w:rsid w:val="46B64A65"/>
    <w:rsid w:val="46C41658"/>
    <w:rsid w:val="46D17D48"/>
    <w:rsid w:val="46DF28B7"/>
    <w:rsid w:val="47021090"/>
    <w:rsid w:val="47653A95"/>
    <w:rsid w:val="47BE4F54"/>
    <w:rsid w:val="47CD5197"/>
    <w:rsid w:val="48580F04"/>
    <w:rsid w:val="49180694"/>
    <w:rsid w:val="492434DC"/>
    <w:rsid w:val="492B6619"/>
    <w:rsid w:val="497D7EEC"/>
    <w:rsid w:val="4A4C4A99"/>
    <w:rsid w:val="4AA541A9"/>
    <w:rsid w:val="4B810772"/>
    <w:rsid w:val="4BA96939"/>
    <w:rsid w:val="4BEB6533"/>
    <w:rsid w:val="4C942727"/>
    <w:rsid w:val="4CAF7AAD"/>
    <w:rsid w:val="4CBB4158"/>
    <w:rsid w:val="4CC74E8B"/>
    <w:rsid w:val="4D16138E"/>
    <w:rsid w:val="4D7367E0"/>
    <w:rsid w:val="4DC332C4"/>
    <w:rsid w:val="4E4F2DA9"/>
    <w:rsid w:val="4ED84B4D"/>
    <w:rsid w:val="4F7B197C"/>
    <w:rsid w:val="4F7D74A2"/>
    <w:rsid w:val="4F9071D6"/>
    <w:rsid w:val="4FF43C08"/>
    <w:rsid w:val="4FF9121F"/>
    <w:rsid w:val="50E40072"/>
    <w:rsid w:val="50ED2406"/>
    <w:rsid w:val="5100368A"/>
    <w:rsid w:val="510734C7"/>
    <w:rsid w:val="516A3A56"/>
    <w:rsid w:val="51D33CF1"/>
    <w:rsid w:val="528A4D50"/>
    <w:rsid w:val="52B458D1"/>
    <w:rsid w:val="534F73A8"/>
    <w:rsid w:val="538C5F06"/>
    <w:rsid w:val="54292322"/>
    <w:rsid w:val="543E2C5B"/>
    <w:rsid w:val="556F3D31"/>
    <w:rsid w:val="55911EF9"/>
    <w:rsid w:val="55AA4D69"/>
    <w:rsid w:val="55F20EB5"/>
    <w:rsid w:val="56847368"/>
    <w:rsid w:val="56EB388B"/>
    <w:rsid w:val="56F64708"/>
    <w:rsid w:val="57405985"/>
    <w:rsid w:val="57607DD5"/>
    <w:rsid w:val="576A78C0"/>
    <w:rsid w:val="580C278E"/>
    <w:rsid w:val="580F0DED"/>
    <w:rsid w:val="585D4315"/>
    <w:rsid w:val="58607961"/>
    <w:rsid w:val="59112BBF"/>
    <w:rsid w:val="591B0458"/>
    <w:rsid w:val="59B461B6"/>
    <w:rsid w:val="59CE33A8"/>
    <w:rsid w:val="5A0709DC"/>
    <w:rsid w:val="5A9F0C15"/>
    <w:rsid w:val="5AF2343A"/>
    <w:rsid w:val="5B343C9E"/>
    <w:rsid w:val="5B4F78F6"/>
    <w:rsid w:val="5C4001D5"/>
    <w:rsid w:val="5C553C81"/>
    <w:rsid w:val="5D3F223B"/>
    <w:rsid w:val="5D5061F6"/>
    <w:rsid w:val="5D861643"/>
    <w:rsid w:val="5DAA7FFC"/>
    <w:rsid w:val="5DC90594"/>
    <w:rsid w:val="5DD706C5"/>
    <w:rsid w:val="5DD76949"/>
    <w:rsid w:val="5DDD4037"/>
    <w:rsid w:val="5E17240D"/>
    <w:rsid w:val="5E2A0C6B"/>
    <w:rsid w:val="5E954808"/>
    <w:rsid w:val="5E99633A"/>
    <w:rsid w:val="5EC24ED2"/>
    <w:rsid w:val="5EFD5F0A"/>
    <w:rsid w:val="5F37766E"/>
    <w:rsid w:val="5F531FCE"/>
    <w:rsid w:val="5FAB74A0"/>
    <w:rsid w:val="5FE84C67"/>
    <w:rsid w:val="600F2399"/>
    <w:rsid w:val="617B7D9B"/>
    <w:rsid w:val="61C251E9"/>
    <w:rsid w:val="61F554B8"/>
    <w:rsid w:val="62051CA5"/>
    <w:rsid w:val="622D6B06"/>
    <w:rsid w:val="628E741B"/>
    <w:rsid w:val="62A50D92"/>
    <w:rsid w:val="62EC6671"/>
    <w:rsid w:val="632779F9"/>
    <w:rsid w:val="632C670F"/>
    <w:rsid w:val="63365E8E"/>
    <w:rsid w:val="6340727D"/>
    <w:rsid w:val="63E44A84"/>
    <w:rsid w:val="6433216B"/>
    <w:rsid w:val="64611EBE"/>
    <w:rsid w:val="6468651B"/>
    <w:rsid w:val="646F3406"/>
    <w:rsid w:val="64847A17"/>
    <w:rsid w:val="658D448B"/>
    <w:rsid w:val="66646E77"/>
    <w:rsid w:val="67A737C4"/>
    <w:rsid w:val="67D8186C"/>
    <w:rsid w:val="68FA4718"/>
    <w:rsid w:val="690D021B"/>
    <w:rsid w:val="69845BA5"/>
    <w:rsid w:val="699E7743"/>
    <w:rsid w:val="69A9560C"/>
    <w:rsid w:val="69D361E5"/>
    <w:rsid w:val="69D40B5D"/>
    <w:rsid w:val="69EE3DC3"/>
    <w:rsid w:val="69F82B4A"/>
    <w:rsid w:val="6A9F256B"/>
    <w:rsid w:val="6AD06BC8"/>
    <w:rsid w:val="6AFB3CEC"/>
    <w:rsid w:val="6B2E439E"/>
    <w:rsid w:val="6B2E5A13"/>
    <w:rsid w:val="6B477DA3"/>
    <w:rsid w:val="6B9419A4"/>
    <w:rsid w:val="6BF6440D"/>
    <w:rsid w:val="6C112375"/>
    <w:rsid w:val="6C4452FB"/>
    <w:rsid w:val="6CB9496E"/>
    <w:rsid w:val="6CC429EA"/>
    <w:rsid w:val="6CFC26C4"/>
    <w:rsid w:val="6D01750D"/>
    <w:rsid w:val="6D141A36"/>
    <w:rsid w:val="6D2A25C0"/>
    <w:rsid w:val="6D5910F7"/>
    <w:rsid w:val="6D6B4986"/>
    <w:rsid w:val="6DA1174E"/>
    <w:rsid w:val="6E6B7334"/>
    <w:rsid w:val="6F0B4673"/>
    <w:rsid w:val="6F1F3C7A"/>
    <w:rsid w:val="6F3F60CB"/>
    <w:rsid w:val="703D18FA"/>
    <w:rsid w:val="70910BA8"/>
    <w:rsid w:val="70D36A14"/>
    <w:rsid w:val="710A7803"/>
    <w:rsid w:val="71461992"/>
    <w:rsid w:val="71D64C8D"/>
    <w:rsid w:val="726454F7"/>
    <w:rsid w:val="72A20E4A"/>
    <w:rsid w:val="72EC0317"/>
    <w:rsid w:val="7306587D"/>
    <w:rsid w:val="739C3532"/>
    <w:rsid w:val="73C96FD0"/>
    <w:rsid w:val="73E62FB9"/>
    <w:rsid w:val="74806F69"/>
    <w:rsid w:val="74DE3297"/>
    <w:rsid w:val="74F667BF"/>
    <w:rsid w:val="755A3C5E"/>
    <w:rsid w:val="755A7887"/>
    <w:rsid w:val="75660855"/>
    <w:rsid w:val="757557F6"/>
    <w:rsid w:val="75C66242"/>
    <w:rsid w:val="75F419BD"/>
    <w:rsid w:val="763044F2"/>
    <w:rsid w:val="763B583E"/>
    <w:rsid w:val="7656290B"/>
    <w:rsid w:val="76676633"/>
    <w:rsid w:val="76A41635"/>
    <w:rsid w:val="76E652B4"/>
    <w:rsid w:val="77057BFA"/>
    <w:rsid w:val="77642B72"/>
    <w:rsid w:val="779C055E"/>
    <w:rsid w:val="77D2116F"/>
    <w:rsid w:val="78287713"/>
    <w:rsid w:val="78FA19E0"/>
    <w:rsid w:val="790E7239"/>
    <w:rsid w:val="792175AB"/>
    <w:rsid w:val="794D2D3E"/>
    <w:rsid w:val="796A5B03"/>
    <w:rsid w:val="7A490C0F"/>
    <w:rsid w:val="7A9E1627"/>
    <w:rsid w:val="7AB67B89"/>
    <w:rsid w:val="7AD85D51"/>
    <w:rsid w:val="7C1F31A8"/>
    <w:rsid w:val="7CCD11BA"/>
    <w:rsid w:val="7D480840"/>
    <w:rsid w:val="7D5D253D"/>
    <w:rsid w:val="7E0E3838"/>
    <w:rsid w:val="7E573431"/>
    <w:rsid w:val="7E5F04E9"/>
    <w:rsid w:val="7E68412B"/>
    <w:rsid w:val="7EE034D9"/>
    <w:rsid w:val="7EFE565A"/>
    <w:rsid w:val="7F052E8D"/>
    <w:rsid w:val="7F3C1105"/>
    <w:rsid w:val="7FC22B2C"/>
    <w:rsid w:val="7FE30531"/>
    <w:rsid w:val="F38B7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outlineLvl w:val="0"/>
    </w:pPr>
    <w:rPr>
      <w:rFonts w:eastAsia="黑体"/>
      <w:b/>
      <w:bCs/>
      <w:kern w:val="44"/>
      <w:sz w:val="32"/>
      <w:szCs w:val="44"/>
    </w:rPr>
  </w:style>
  <w:style w:type="paragraph" w:styleId="6">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7">
    <w:name w:val="heading 3"/>
    <w:basedOn w:val="1"/>
    <w:next w:val="1"/>
    <w:qFormat/>
    <w:uiPriority w:val="0"/>
    <w:pPr>
      <w:keepNext/>
      <w:keepLines/>
      <w:spacing w:line="360" w:lineRule="auto"/>
      <w:outlineLvl w:val="2"/>
    </w:pPr>
    <w:rPr>
      <w:rFonts w:eastAsia="黑体"/>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7"/>
    <w:unhideWhenUsed/>
    <w:qFormat/>
    <w:uiPriority w:val="99"/>
    <w:pPr>
      <w:ind w:firstLine="420" w:firstLineChars="200"/>
    </w:pPr>
  </w:style>
  <w:style w:type="paragraph" w:styleId="3">
    <w:name w:val="Body Text Indent"/>
    <w:basedOn w:val="1"/>
    <w:next w:val="4"/>
    <w:link w:val="26"/>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29"/>
    <w:qFormat/>
    <w:uiPriority w:val="0"/>
    <w:pPr>
      <w:ind w:firstLine="420"/>
    </w:pPr>
    <w:rPr>
      <w:szCs w:val="20"/>
    </w:rPr>
  </w:style>
  <w:style w:type="paragraph" w:styleId="9">
    <w:name w:val="annotation text"/>
    <w:basedOn w:val="1"/>
    <w:link w:val="44"/>
    <w:unhideWhenUsed/>
    <w:qFormat/>
    <w:uiPriority w:val="0"/>
    <w:pPr>
      <w:jc w:val="left"/>
    </w:pPr>
  </w:style>
  <w:style w:type="paragraph" w:styleId="10">
    <w:name w:val="Body Text"/>
    <w:basedOn w:val="1"/>
    <w:next w:val="1"/>
    <w:qFormat/>
    <w:uiPriority w:val="0"/>
    <w:pPr>
      <w:spacing w:after="120"/>
    </w:pPr>
  </w:style>
  <w:style w:type="paragraph" w:styleId="11">
    <w:name w:val="Block Text"/>
    <w:basedOn w:val="1"/>
    <w:semiHidden/>
    <w:unhideWhenUsed/>
    <w:qFormat/>
    <w:uiPriority w:val="99"/>
    <w:pPr>
      <w:spacing w:after="120"/>
      <w:ind w:left="1440" w:leftChars="700" w:right="1440" w:rightChars="7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alloon Text"/>
    <w:basedOn w:val="1"/>
    <w:link w:val="30"/>
    <w:qFormat/>
    <w:uiPriority w:val="0"/>
    <w:rPr>
      <w:sz w:val="18"/>
      <w:szCs w:val="18"/>
    </w:rPr>
  </w:style>
  <w:style w:type="paragraph" w:styleId="15">
    <w:name w:val="footer"/>
    <w:basedOn w:val="1"/>
    <w:link w:val="31"/>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Autospacing="1" w:afterAutospacing="1"/>
      <w:jc w:val="left"/>
    </w:pPr>
    <w:rPr>
      <w:rFonts w:ascii="宋体" w:hAnsi="宋体"/>
      <w:kern w:val="0"/>
      <w:sz w:val="24"/>
    </w:rPr>
  </w:style>
  <w:style w:type="paragraph" w:styleId="18">
    <w:name w:val="annotation subject"/>
    <w:basedOn w:val="9"/>
    <w:next w:val="9"/>
    <w:link w:val="45"/>
    <w:semiHidden/>
    <w:unhideWhenUsed/>
    <w:qFormat/>
    <w:uiPriority w:val="99"/>
    <w:rPr>
      <w:b/>
      <w:bCs/>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semiHidden/>
    <w:unhideWhenUsed/>
    <w:qFormat/>
    <w:uiPriority w:val="99"/>
    <w:rPr>
      <w:color w:val="0000FF"/>
      <w:u w:val="single"/>
    </w:rPr>
  </w:style>
  <w:style w:type="character" w:styleId="24">
    <w:name w:val="annotation reference"/>
    <w:unhideWhenUsed/>
    <w:qFormat/>
    <w:uiPriority w:val="0"/>
    <w:rPr>
      <w:sz w:val="21"/>
      <w:szCs w:val="21"/>
    </w:rPr>
  </w:style>
  <w:style w:type="paragraph" w:customStyle="1" w:styleId="25">
    <w:name w:val="Default"/>
    <w:next w:val="1"/>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26">
    <w:name w:val="正文文本缩进 Char"/>
    <w:basedOn w:val="21"/>
    <w:link w:val="3"/>
    <w:semiHidden/>
    <w:qFormat/>
    <w:uiPriority w:val="99"/>
    <w:rPr>
      <w:rFonts w:ascii="Times New Roman" w:hAnsi="Times New Roman" w:eastAsia="宋体" w:cs="Times New Roman"/>
      <w:szCs w:val="24"/>
    </w:rPr>
  </w:style>
  <w:style w:type="character" w:customStyle="1" w:styleId="27">
    <w:name w:val="正文首行缩进 2 Char"/>
    <w:basedOn w:val="26"/>
    <w:link w:val="2"/>
    <w:qFormat/>
    <w:uiPriority w:val="99"/>
    <w:rPr>
      <w:rFonts w:ascii="Times New Roman" w:hAnsi="Times New Roman" w:eastAsia="宋体" w:cs="Times New Roman"/>
      <w:szCs w:val="24"/>
    </w:rPr>
  </w:style>
  <w:style w:type="character" w:customStyle="1" w:styleId="28">
    <w:name w:val="正文文本缩进 Char1"/>
    <w:qFormat/>
    <w:uiPriority w:val="0"/>
    <w:rPr>
      <w:kern w:val="2"/>
      <w:sz w:val="21"/>
      <w:szCs w:val="24"/>
    </w:rPr>
  </w:style>
  <w:style w:type="character" w:customStyle="1" w:styleId="29">
    <w:name w:val="正文缩进 Char"/>
    <w:link w:val="8"/>
    <w:qFormat/>
    <w:uiPriority w:val="0"/>
    <w:rPr>
      <w:rFonts w:ascii="Times New Roman" w:hAnsi="Times New Roman" w:eastAsia="宋体" w:cs="Times New Roman"/>
      <w:szCs w:val="20"/>
    </w:rPr>
  </w:style>
  <w:style w:type="character" w:customStyle="1" w:styleId="30">
    <w:name w:val="批注框文本 Char"/>
    <w:basedOn w:val="21"/>
    <w:link w:val="14"/>
    <w:qFormat/>
    <w:uiPriority w:val="0"/>
    <w:rPr>
      <w:rFonts w:ascii="Times New Roman" w:hAnsi="Times New Roman" w:eastAsia="宋体" w:cs="Times New Roman"/>
      <w:sz w:val="18"/>
      <w:szCs w:val="18"/>
    </w:rPr>
  </w:style>
  <w:style w:type="character" w:customStyle="1" w:styleId="31">
    <w:name w:val="页脚 Char"/>
    <w:basedOn w:val="21"/>
    <w:link w:val="15"/>
    <w:qFormat/>
    <w:uiPriority w:val="99"/>
    <w:rPr>
      <w:rFonts w:ascii="Times New Roman" w:hAnsi="Times New Roman" w:eastAsia="宋体" w:cs="Times New Roman"/>
      <w:sz w:val="18"/>
      <w:szCs w:val="18"/>
    </w:rPr>
  </w:style>
  <w:style w:type="character" w:customStyle="1" w:styleId="32">
    <w:name w:val="正文缩进2格 Char"/>
    <w:link w:val="33"/>
    <w:qFormat/>
    <w:locked/>
    <w:uiPriority w:val="0"/>
    <w:rPr>
      <w:rFonts w:ascii="仿宋_GB2312" w:hAnsi="宋体" w:eastAsia="仿宋_GB2312"/>
      <w:sz w:val="31"/>
      <w:szCs w:val="28"/>
    </w:rPr>
  </w:style>
  <w:style w:type="paragraph" w:customStyle="1" w:styleId="33">
    <w:name w:val="正文缩进2格"/>
    <w:basedOn w:val="1"/>
    <w:link w:val="32"/>
    <w:qFormat/>
    <w:uiPriority w:val="0"/>
    <w:pPr>
      <w:spacing w:line="600" w:lineRule="exact"/>
      <w:ind w:firstLine="639" w:firstLineChars="206"/>
    </w:pPr>
    <w:rPr>
      <w:rFonts w:ascii="仿宋_GB2312" w:hAnsi="宋体" w:eastAsia="仿宋_GB2312" w:cstheme="minorBidi"/>
      <w:sz w:val="31"/>
      <w:szCs w:val="28"/>
    </w:rPr>
  </w:style>
  <w:style w:type="paragraph" w:customStyle="1" w:styleId="34">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5">
    <w:name w:val="我的正文 Char"/>
    <w:link w:val="36"/>
    <w:qFormat/>
    <w:locked/>
    <w:uiPriority w:val="0"/>
    <w:rPr>
      <w:rFonts w:ascii="宋体" w:hAnsi="宋体"/>
      <w:sz w:val="24"/>
      <w:szCs w:val="24"/>
    </w:rPr>
  </w:style>
  <w:style w:type="paragraph" w:customStyle="1" w:styleId="36">
    <w:name w:val="我的正文"/>
    <w:basedOn w:val="1"/>
    <w:link w:val="35"/>
    <w:qFormat/>
    <w:uiPriority w:val="0"/>
    <w:pPr>
      <w:snapToGrid w:val="0"/>
      <w:spacing w:line="300" w:lineRule="auto"/>
      <w:ind w:firstLine="150" w:firstLineChars="150"/>
    </w:pPr>
    <w:rPr>
      <w:rFonts w:ascii="宋体" w:hAnsi="宋体" w:eastAsiaTheme="minorEastAsia" w:cstheme="minorBidi"/>
      <w:sz w:val="24"/>
    </w:rPr>
  </w:style>
  <w:style w:type="paragraph" w:customStyle="1" w:styleId="37">
    <w:name w:val="列出段落1"/>
    <w:basedOn w:val="1"/>
    <w:qFormat/>
    <w:uiPriority w:val="34"/>
    <w:pPr>
      <w:ind w:firstLine="420" w:firstLineChars="200"/>
    </w:pPr>
  </w:style>
  <w:style w:type="character" w:customStyle="1" w:styleId="38">
    <w:name w:val="fontstyle01"/>
    <w:qFormat/>
    <w:uiPriority w:val="0"/>
    <w:rPr>
      <w:rFonts w:hint="eastAsia" w:ascii="宋体" w:hAnsi="宋体" w:eastAsia="宋体"/>
      <w:color w:val="000000"/>
      <w:sz w:val="24"/>
      <w:szCs w:val="24"/>
    </w:rPr>
  </w:style>
  <w:style w:type="paragraph" w:styleId="39">
    <w:name w:val="List Paragraph"/>
    <w:basedOn w:val="1"/>
    <w:qFormat/>
    <w:uiPriority w:val="34"/>
    <w:pPr>
      <w:ind w:firstLine="420" w:firstLineChars="200"/>
    </w:pPr>
  </w:style>
  <w:style w:type="paragraph" w:customStyle="1" w:styleId="40">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41">
    <w:name w:val="页眉 Char"/>
    <w:basedOn w:val="21"/>
    <w:link w:val="16"/>
    <w:qFormat/>
    <w:uiPriority w:val="99"/>
    <w:rPr>
      <w:rFonts w:ascii="Times New Roman" w:hAnsi="Times New Roman" w:eastAsia="宋体" w:cs="Times New Roman"/>
      <w:sz w:val="18"/>
      <w:szCs w:val="18"/>
    </w:rPr>
  </w:style>
  <w:style w:type="character" w:customStyle="1" w:styleId="42">
    <w:name w:val="font61"/>
    <w:basedOn w:val="21"/>
    <w:qFormat/>
    <w:uiPriority w:val="0"/>
    <w:rPr>
      <w:rFonts w:hint="eastAsia" w:ascii="宋体" w:hAnsi="宋体" w:eastAsia="宋体" w:cs="宋体"/>
      <w:color w:val="FF0000"/>
      <w:sz w:val="20"/>
      <w:szCs w:val="20"/>
      <w:u w:val="none"/>
    </w:rPr>
  </w:style>
  <w:style w:type="character" w:customStyle="1" w:styleId="43">
    <w:name w:val="font31"/>
    <w:basedOn w:val="21"/>
    <w:qFormat/>
    <w:uiPriority w:val="0"/>
    <w:rPr>
      <w:rFonts w:hint="eastAsia" w:ascii="宋体" w:hAnsi="宋体" w:eastAsia="宋体" w:cs="宋体"/>
      <w:color w:val="000000"/>
      <w:sz w:val="20"/>
      <w:szCs w:val="20"/>
      <w:u w:val="none"/>
    </w:rPr>
  </w:style>
  <w:style w:type="character" w:customStyle="1" w:styleId="44">
    <w:name w:val="批注文字 Char"/>
    <w:basedOn w:val="21"/>
    <w:link w:val="9"/>
    <w:qFormat/>
    <w:uiPriority w:val="0"/>
    <w:rPr>
      <w:kern w:val="2"/>
      <w:sz w:val="21"/>
      <w:szCs w:val="24"/>
    </w:rPr>
  </w:style>
  <w:style w:type="character" w:customStyle="1" w:styleId="45">
    <w:name w:val="批注主题 Char"/>
    <w:basedOn w:val="44"/>
    <w:link w:val="18"/>
    <w:qFormat/>
    <w:uiPriority w:val="0"/>
    <w:rPr>
      <w:kern w:val="2"/>
      <w:sz w:val="21"/>
      <w:szCs w:val="24"/>
    </w:rPr>
  </w:style>
  <w:style w:type="paragraph" w:customStyle="1" w:styleId="46">
    <w:name w:val="p0"/>
    <w:basedOn w:val="1"/>
    <w:qFormat/>
    <w:uiPriority w:val="0"/>
    <w:pPr>
      <w:widowControl/>
    </w:pPr>
    <w:rPr>
      <w:rFonts w:ascii="Calibri" w:hAnsi="Calibri" w:cs="宋体"/>
      <w:kern w:val="0"/>
      <w:szCs w:val="21"/>
    </w:rPr>
  </w:style>
  <w:style w:type="paragraph" w:customStyle="1" w:styleId="47">
    <w:name w:val="样式 标题 3 + (中文) 黑体 小四 非加粗 段前: 7.8 磅 段后: 0 磅 行距: 固定值 20 磅"/>
    <w:basedOn w:val="7"/>
    <w:qFormat/>
    <w:uiPriority w:val="0"/>
    <w:pPr>
      <w:spacing w:line="400" w:lineRule="exact"/>
    </w:pPr>
    <w:rPr>
      <w:rFonts w:cs="宋体"/>
      <w:b w:val="0"/>
      <w:bCs w:val="0"/>
      <w:sz w:val="24"/>
      <w:szCs w:val="20"/>
    </w:rPr>
  </w:style>
  <w:style w:type="paragraph" w:customStyle="1" w:styleId="48">
    <w:name w:val="_Style 8"/>
    <w:basedOn w:val="1"/>
    <w:qFormat/>
    <w:uiPriority w:val="0"/>
    <w:pPr>
      <w:spacing w:after="120"/>
      <w:ind w:firstLine="100" w:firstLineChars="100"/>
    </w:pPr>
    <w:rPr>
      <w:rFonts w:ascii="Calibri" w:hAnsi="Calibri"/>
      <w:szCs w:val="22"/>
    </w:rPr>
  </w:style>
  <w:style w:type="paragraph" w:customStyle="1" w:styleId="49">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0">
    <w:name w:val="纯文本1"/>
    <w:basedOn w:val="1"/>
    <w:qFormat/>
    <w:uiPriority w:val="0"/>
    <w:rPr>
      <w:rFonts w:ascii="宋体" w:hAnsi="Courier New" w:cs="Courier New"/>
      <w:szCs w:val="21"/>
    </w:rPr>
  </w:style>
  <w:style w:type="paragraph" w:customStyle="1" w:styleId="51">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19687</Words>
  <Characters>20355</Characters>
  <Lines>157</Lines>
  <Paragraphs>44</Paragraphs>
  <TotalTime>7</TotalTime>
  <ScaleCrop>false</ScaleCrop>
  <LinksUpToDate>false</LinksUpToDate>
  <CharactersWithSpaces>21503</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2023-12-01T09:56:00Z</dcterms:created>
  <dc:creator>吉加兵</dc:creator>
  <cp:lastModifiedBy>tltzfzlxb</cp:lastModifiedBy>
  <cp:lastPrinted>2022-03-01T14:57:00Z</cp:lastPrinted>
  <dcterms:modified xsi:type="dcterms:W3CDTF">2025-10-27T10:36:35Z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BB43C2EFA2064B36BE31A0481D812D77_13</vt:lpwstr>
  </property>
  <property fmtid="{D5CDD505-2E9C-101B-9397-08002B2CF9AE}" pid="4" name="KSOTemplateDocerSaveRecord">
    <vt:lpwstr>eyJoZGlkIjoiMTIyYmU2ZTAzMDU2YjM4MTljYWI2ZWU1MzFlMjY2MmYiLCJ1c2VySWQiOiIxNTI4Mjk2NTAxIn0=</vt:lpwstr>
  </property>
</Properties>
</file>