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4C3D3">
      <w:pPr>
        <w:jc w:val="center"/>
        <w:rPr>
          <w:b/>
          <w:bCs/>
          <w:snapToGrid w:val="0"/>
          <w:color w:val="auto"/>
          <w:kern w:val="0"/>
          <w:sz w:val="44"/>
          <w:szCs w:val="44"/>
          <w:highlight w:val="none"/>
        </w:rPr>
      </w:pPr>
    </w:p>
    <w:p w14:paraId="529E15D8">
      <w:pPr>
        <w:jc w:val="center"/>
        <w:rPr>
          <w:b/>
          <w:bCs/>
          <w:snapToGrid w:val="0"/>
          <w:color w:val="auto"/>
          <w:kern w:val="0"/>
          <w:sz w:val="44"/>
          <w:szCs w:val="44"/>
          <w:highlight w:val="none"/>
        </w:rPr>
      </w:pPr>
      <w:r>
        <w:rPr>
          <w:rFonts w:hint="eastAsia"/>
          <w:b/>
          <w:bCs/>
          <w:snapToGrid w:val="0"/>
          <w:color w:val="auto"/>
          <w:kern w:val="0"/>
          <w:sz w:val="44"/>
          <w:szCs w:val="44"/>
          <w:highlight w:val="none"/>
          <w:lang w:eastAsia="zh-CN"/>
        </w:rPr>
        <w:t>南通市交通公共事业发展中心房屋修缮工程</w:t>
      </w:r>
    </w:p>
    <w:p w14:paraId="4C84E868">
      <w:pPr>
        <w:rPr>
          <w:b/>
          <w:bCs/>
          <w:snapToGrid w:val="0"/>
          <w:color w:val="auto"/>
          <w:kern w:val="0"/>
          <w:sz w:val="44"/>
          <w:szCs w:val="44"/>
          <w:highlight w:val="none"/>
        </w:rPr>
      </w:pPr>
    </w:p>
    <w:p w14:paraId="52F9E0B1">
      <w:pPr>
        <w:rPr>
          <w:b/>
          <w:bCs/>
          <w:snapToGrid w:val="0"/>
          <w:color w:val="auto"/>
          <w:kern w:val="0"/>
          <w:sz w:val="44"/>
          <w:szCs w:val="44"/>
          <w:highlight w:val="none"/>
        </w:rPr>
      </w:pPr>
    </w:p>
    <w:p w14:paraId="18114A95">
      <w:pPr>
        <w:pStyle w:val="2"/>
        <w:rPr>
          <w:b/>
          <w:bCs/>
          <w:snapToGrid w:val="0"/>
          <w:color w:val="auto"/>
          <w:kern w:val="0"/>
          <w:sz w:val="44"/>
          <w:szCs w:val="44"/>
          <w:highlight w:val="none"/>
        </w:rPr>
      </w:pPr>
    </w:p>
    <w:p w14:paraId="3AD5EC55">
      <w:pPr>
        <w:rPr>
          <w:color w:val="auto"/>
          <w:highlight w:val="none"/>
        </w:rPr>
      </w:pPr>
    </w:p>
    <w:p w14:paraId="18521A45">
      <w:pPr>
        <w:rPr>
          <w:b/>
          <w:bCs/>
          <w:snapToGrid w:val="0"/>
          <w:color w:val="auto"/>
          <w:kern w:val="0"/>
          <w:sz w:val="44"/>
          <w:szCs w:val="44"/>
          <w:highlight w:val="none"/>
        </w:rPr>
      </w:pPr>
    </w:p>
    <w:p w14:paraId="6647C98C">
      <w:pPr>
        <w:jc w:val="center"/>
        <w:rPr>
          <w:color w:val="auto"/>
          <w:spacing w:val="60"/>
          <w:sz w:val="84"/>
          <w:szCs w:val="84"/>
          <w:highlight w:val="none"/>
        </w:rPr>
      </w:pPr>
      <w:r>
        <w:rPr>
          <w:rFonts w:hint="eastAsia" w:cs="黑体"/>
          <w:color w:val="auto"/>
          <w:spacing w:val="60"/>
          <w:sz w:val="84"/>
          <w:szCs w:val="84"/>
          <w:highlight w:val="none"/>
        </w:rPr>
        <w:t>招标文件</w:t>
      </w:r>
    </w:p>
    <w:p w14:paraId="2153FDB0">
      <w:pPr>
        <w:rPr>
          <w:b/>
          <w:bCs/>
          <w:color w:val="auto"/>
          <w:sz w:val="44"/>
          <w:szCs w:val="44"/>
          <w:highlight w:val="none"/>
        </w:rPr>
      </w:pPr>
    </w:p>
    <w:p w14:paraId="39C4D9FF">
      <w:pPr>
        <w:rPr>
          <w:b/>
          <w:bCs/>
          <w:snapToGrid w:val="0"/>
          <w:color w:val="auto"/>
          <w:kern w:val="0"/>
          <w:sz w:val="44"/>
          <w:szCs w:val="44"/>
          <w:highlight w:val="none"/>
        </w:rPr>
      </w:pPr>
    </w:p>
    <w:p w14:paraId="700B39C8">
      <w:pPr>
        <w:jc w:val="center"/>
        <w:rPr>
          <w:b/>
          <w:bCs/>
          <w:color w:val="auto"/>
          <w:sz w:val="44"/>
          <w:szCs w:val="44"/>
          <w:highlight w:val="none"/>
        </w:rPr>
      </w:pPr>
    </w:p>
    <w:p w14:paraId="50F44054">
      <w:pPr>
        <w:jc w:val="center"/>
        <w:rPr>
          <w:b/>
          <w:bCs/>
          <w:color w:val="auto"/>
          <w:sz w:val="44"/>
          <w:szCs w:val="44"/>
          <w:highlight w:val="none"/>
        </w:rPr>
      </w:pPr>
    </w:p>
    <w:p w14:paraId="30676C9C">
      <w:pPr>
        <w:rPr>
          <w:b/>
          <w:bCs/>
          <w:color w:val="auto"/>
          <w:sz w:val="44"/>
          <w:szCs w:val="44"/>
          <w:highlight w:val="none"/>
        </w:rPr>
      </w:pPr>
    </w:p>
    <w:p w14:paraId="2F16E2FB">
      <w:pPr>
        <w:rPr>
          <w:b/>
          <w:bCs/>
          <w:color w:val="auto"/>
          <w:sz w:val="44"/>
          <w:szCs w:val="44"/>
          <w:highlight w:val="none"/>
        </w:rPr>
      </w:pPr>
    </w:p>
    <w:p w14:paraId="193A33ED">
      <w:pPr>
        <w:rPr>
          <w:b/>
          <w:bCs/>
          <w:color w:val="auto"/>
          <w:sz w:val="44"/>
          <w:szCs w:val="44"/>
          <w:highlight w:val="none"/>
        </w:rPr>
      </w:pPr>
    </w:p>
    <w:p w14:paraId="73D9B729">
      <w:pPr>
        <w:pStyle w:val="2"/>
        <w:rPr>
          <w:b/>
          <w:bCs/>
          <w:color w:val="auto"/>
          <w:sz w:val="44"/>
          <w:szCs w:val="44"/>
          <w:highlight w:val="none"/>
        </w:rPr>
      </w:pPr>
    </w:p>
    <w:p w14:paraId="66A32A15">
      <w:pPr>
        <w:rPr>
          <w:color w:val="auto"/>
          <w:highlight w:val="none"/>
        </w:rPr>
      </w:pPr>
    </w:p>
    <w:p w14:paraId="09ED4359">
      <w:pPr>
        <w:rPr>
          <w:b/>
          <w:bCs/>
          <w:color w:val="auto"/>
          <w:sz w:val="44"/>
          <w:szCs w:val="44"/>
          <w:highlight w:val="none"/>
        </w:rPr>
      </w:pPr>
    </w:p>
    <w:tbl>
      <w:tblPr>
        <w:tblStyle w:val="17"/>
        <w:tblW w:w="8830" w:type="dxa"/>
        <w:jc w:val="center"/>
        <w:tblLayout w:type="fixed"/>
        <w:tblCellMar>
          <w:top w:w="0" w:type="dxa"/>
          <w:left w:w="108" w:type="dxa"/>
          <w:bottom w:w="0" w:type="dxa"/>
          <w:right w:w="108" w:type="dxa"/>
        </w:tblCellMar>
      </w:tblPr>
      <w:tblGrid>
        <w:gridCol w:w="2011"/>
        <w:gridCol w:w="6819"/>
      </w:tblGrid>
      <w:tr w14:paraId="7ECF4B1E">
        <w:tblPrEx>
          <w:tblCellMar>
            <w:top w:w="0" w:type="dxa"/>
            <w:left w:w="108" w:type="dxa"/>
            <w:bottom w:w="0" w:type="dxa"/>
            <w:right w:w="108" w:type="dxa"/>
          </w:tblCellMar>
        </w:tblPrEx>
        <w:trPr>
          <w:trHeight w:val="566" w:hRule="atLeast"/>
          <w:jc w:val="center"/>
        </w:trPr>
        <w:tc>
          <w:tcPr>
            <w:tcW w:w="2011" w:type="dxa"/>
            <w:vAlign w:val="center"/>
          </w:tcPr>
          <w:p w14:paraId="6F5C4B9C">
            <w:pPr>
              <w:jc w:val="distribute"/>
              <w:rPr>
                <w:b/>
                <w:bCs/>
                <w:color w:val="auto"/>
                <w:kern w:val="0"/>
                <w:sz w:val="36"/>
                <w:szCs w:val="36"/>
                <w:highlight w:val="none"/>
              </w:rPr>
            </w:pPr>
            <w:r>
              <w:rPr>
                <w:rFonts w:hint="eastAsia" w:cs="宋体"/>
                <w:b/>
                <w:bCs/>
                <w:color w:val="auto"/>
                <w:kern w:val="0"/>
                <w:sz w:val="36"/>
                <w:szCs w:val="36"/>
                <w:highlight w:val="none"/>
              </w:rPr>
              <w:t>招标人：</w:t>
            </w:r>
          </w:p>
        </w:tc>
        <w:tc>
          <w:tcPr>
            <w:tcW w:w="6819" w:type="dxa"/>
            <w:vAlign w:val="center"/>
          </w:tcPr>
          <w:p w14:paraId="6FDECD29">
            <w:pPr>
              <w:jc w:val="distribute"/>
              <w:rPr>
                <w:b/>
                <w:bCs/>
                <w:color w:val="auto"/>
                <w:kern w:val="0"/>
                <w:sz w:val="32"/>
                <w:szCs w:val="32"/>
                <w:highlight w:val="none"/>
              </w:rPr>
            </w:pPr>
            <w:r>
              <w:rPr>
                <w:rFonts w:hint="eastAsia" w:cs="宋体"/>
                <w:b/>
                <w:bCs/>
                <w:color w:val="auto"/>
                <w:kern w:val="0"/>
                <w:sz w:val="36"/>
                <w:szCs w:val="36"/>
                <w:highlight w:val="none"/>
              </w:rPr>
              <w:t>南通市交通公共事业发展中心</w:t>
            </w:r>
          </w:p>
        </w:tc>
      </w:tr>
    </w:tbl>
    <w:p w14:paraId="3C4C049E">
      <w:pPr>
        <w:spacing w:before="120" w:beforeLines="50"/>
        <w:jc w:val="center"/>
        <w:rPr>
          <w:b/>
          <w:bCs/>
          <w:color w:val="auto"/>
          <w:spacing w:val="40"/>
          <w:sz w:val="36"/>
          <w:szCs w:val="36"/>
          <w:highlight w:val="none"/>
        </w:rPr>
      </w:pPr>
      <w:r>
        <w:rPr>
          <w:rFonts w:hint="eastAsia" w:cs="宋体"/>
          <w:b/>
          <w:bCs/>
          <w:color w:val="auto"/>
          <w:spacing w:val="40"/>
          <w:sz w:val="36"/>
          <w:szCs w:val="36"/>
          <w:highlight w:val="none"/>
        </w:rPr>
        <w:t>二〇二五年</w:t>
      </w:r>
      <w:r>
        <w:rPr>
          <w:rFonts w:hint="eastAsia" w:cs="宋体"/>
          <w:b/>
          <w:bCs/>
          <w:color w:val="auto"/>
          <w:spacing w:val="40"/>
          <w:sz w:val="36"/>
          <w:szCs w:val="36"/>
          <w:highlight w:val="none"/>
          <w:lang w:val="en-US" w:eastAsia="zh-CN"/>
        </w:rPr>
        <w:t>十一</w:t>
      </w:r>
      <w:r>
        <w:rPr>
          <w:rFonts w:hint="eastAsia" w:cs="宋体"/>
          <w:b/>
          <w:bCs/>
          <w:color w:val="auto"/>
          <w:spacing w:val="40"/>
          <w:sz w:val="36"/>
          <w:szCs w:val="36"/>
          <w:highlight w:val="none"/>
        </w:rPr>
        <w:t>月</w:t>
      </w:r>
    </w:p>
    <w:p w14:paraId="4349222F">
      <w:pPr>
        <w:pStyle w:val="3"/>
        <w:spacing w:before="0" w:after="0" w:line="360" w:lineRule="auto"/>
        <w:jc w:val="center"/>
        <w:rPr>
          <w:rFonts w:cs="黑体"/>
          <w:b w:val="0"/>
          <w:bCs w:val="0"/>
          <w:color w:val="auto"/>
          <w:highlight w:val="none"/>
        </w:rPr>
        <w:sectPr>
          <w:pgSz w:w="11920" w:h="16840"/>
          <w:pgMar w:top="1140" w:right="1247" w:bottom="1060" w:left="1247" w:header="884" w:footer="838" w:gutter="0"/>
          <w:cols w:space="720" w:num="1"/>
        </w:sectPr>
      </w:pPr>
      <w:bookmarkStart w:id="0" w:name="_Toc30496"/>
      <w:bookmarkStart w:id="1" w:name="_Toc155855594"/>
      <w:bookmarkStart w:id="2" w:name="_Toc460366490"/>
      <w:bookmarkStart w:id="3" w:name="_Toc238559171"/>
      <w:bookmarkStart w:id="4" w:name="_Toc218933019"/>
      <w:bookmarkStart w:id="5" w:name="_Toc234744417"/>
      <w:bookmarkStart w:id="6" w:name="_Toc11070"/>
      <w:bookmarkStart w:id="7" w:name="_Toc11427"/>
      <w:bookmarkStart w:id="8" w:name="_Toc508615685"/>
      <w:bookmarkStart w:id="9" w:name="_Toc170618587"/>
      <w:bookmarkStart w:id="10" w:name="_Toc234675048"/>
    </w:p>
    <w:bookmarkEnd w:id="0"/>
    <w:bookmarkEnd w:id="1"/>
    <w:bookmarkEnd w:id="2"/>
    <w:bookmarkEnd w:id="3"/>
    <w:bookmarkEnd w:id="4"/>
    <w:bookmarkEnd w:id="5"/>
    <w:bookmarkEnd w:id="6"/>
    <w:bookmarkEnd w:id="7"/>
    <w:bookmarkEnd w:id="8"/>
    <w:bookmarkEnd w:id="9"/>
    <w:bookmarkEnd w:id="10"/>
    <w:p w14:paraId="29DF4747">
      <w:pPr>
        <w:jc w:val="center"/>
        <w:rPr>
          <w:rFonts w:hint="eastAsia" w:cs="宋体"/>
          <w:b/>
          <w:bCs/>
          <w:color w:val="auto"/>
          <w:sz w:val="32"/>
          <w:szCs w:val="32"/>
          <w:highlight w:val="none"/>
        </w:rPr>
      </w:pPr>
      <w:bookmarkStart w:id="11" w:name="_Toc234675074"/>
      <w:bookmarkStart w:id="12" w:name="_Toc152042303"/>
      <w:bookmarkStart w:id="13" w:name="_Toc12183"/>
      <w:bookmarkStart w:id="14" w:name="_Toc234744442"/>
      <w:bookmarkStart w:id="15" w:name="_Toc144974495"/>
      <w:bookmarkStart w:id="16" w:name="_Toc460366495"/>
      <w:bookmarkStart w:id="17" w:name="_Toc152045527"/>
      <w:bookmarkStart w:id="18" w:name="_Toc25662"/>
      <w:bookmarkStart w:id="19" w:name="_Toc238559183"/>
      <w:bookmarkStart w:id="20" w:name="_Toc508615691"/>
      <w:bookmarkStart w:id="21" w:name="_Toc179632544"/>
      <w:bookmarkStart w:id="22" w:name="_Toc9226"/>
      <w:bookmarkStart w:id="23" w:name="_Toc19318"/>
      <w:r>
        <w:rPr>
          <w:rFonts w:hint="eastAsia" w:cs="宋体"/>
          <w:b/>
          <w:bCs/>
          <w:color w:val="auto"/>
          <w:sz w:val="32"/>
          <w:szCs w:val="32"/>
          <w:highlight w:val="none"/>
          <w:lang w:val="en-US" w:eastAsia="zh-CN"/>
        </w:rPr>
        <w:t xml:space="preserve">第一章  </w:t>
      </w:r>
      <w:r>
        <w:rPr>
          <w:rFonts w:hint="eastAsia" w:cs="宋体"/>
          <w:b/>
          <w:bCs/>
          <w:color w:val="auto"/>
          <w:sz w:val="32"/>
          <w:szCs w:val="32"/>
          <w:highlight w:val="none"/>
        </w:rPr>
        <w:t>招标公告</w:t>
      </w:r>
    </w:p>
    <w:p w14:paraId="50D42093">
      <w:pPr>
        <w:topLinePunct/>
        <w:ind w:firstLineChars="200"/>
        <w:jc w:val="center"/>
        <w:rPr>
          <w:rFonts w:hint="eastAsia" w:hAnsi="宋体"/>
          <w:b/>
          <w:bCs/>
          <w:color w:val="auto"/>
          <w:highlight w:val="none"/>
        </w:rPr>
      </w:pPr>
      <w:r>
        <w:rPr>
          <w:rFonts w:hint="eastAsia" w:cs="宋体"/>
          <w:b/>
          <w:bCs/>
          <w:color w:val="auto"/>
          <w:sz w:val="32"/>
          <w:szCs w:val="32"/>
          <w:highlight w:val="none"/>
          <w:lang w:eastAsia="zh-CN"/>
        </w:rPr>
        <w:t>南通市交通公共事业发展中心房屋修缮工程</w:t>
      </w:r>
    </w:p>
    <w:p w14:paraId="73DA52FF">
      <w:pPr>
        <w:pStyle w:val="9"/>
        <w:topLinePunct/>
        <w:spacing w:line="360" w:lineRule="auto"/>
        <w:ind w:firstLine="482" w:firstLineChars="200"/>
        <w:rPr>
          <w:rFonts w:hAnsi="宋体"/>
          <w:b/>
          <w:bCs/>
          <w:color w:val="auto"/>
          <w:highlight w:val="none"/>
        </w:rPr>
      </w:pPr>
      <w:r>
        <w:rPr>
          <w:rFonts w:hint="eastAsia" w:hAnsi="宋体"/>
          <w:b/>
          <w:bCs/>
          <w:color w:val="auto"/>
          <w:highlight w:val="none"/>
        </w:rPr>
        <w:t>1. 招标条件</w:t>
      </w:r>
    </w:p>
    <w:p w14:paraId="06764527">
      <w:pPr>
        <w:adjustRightInd w:val="0"/>
        <w:snapToGrid w:val="0"/>
        <w:spacing w:line="360" w:lineRule="auto"/>
        <w:ind w:firstLine="468" w:firstLineChars="200"/>
        <w:rPr>
          <w:rFonts w:ascii="宋体" w:hAnsi="宋体" w:cs="宋体"/>
          <w:color w:val="auto"/>
          <w:spacing w:val="27"/>
          <w:highlight w:val="none"/>
        </w:rPr>
      </w:pPr>
      <w:r>
        <w:rPr>
          <w:rFonts w:hint="eastAsia" w:ascii="宋体" w:hAnsi="宋体" w:cs="宋体"/>
          <w:color w:val="auto"/>
          <w:spacing w:val="12"/>
          <w:highlight w:val="none"/>
        </w:rPr>
        <w:t>本招标项目</w:t>
      </w:r>
      <w:r>
        <w:rPr>
          <w:rFonts w:hint="eastAsia" w:ascii="宋体" w:hAnsi="宋体" w:cs="宋体"/>
          <w:color w:val="auto"/>
          <w:spacing w:val="12"/>
          <w:highlight w:val="none"/>
          <w:u w:val="single"/>
          <w:lang w:eastAsia="zh-CN"/>
        </w:rPr>
        <w:t>南通市交通公共事业发展中心房屋修缮工程</w:t>
      </w:r>
      <w:r>
        <w:rPr>
          <w:rFonts w:hint="eastAsia" w:ascii="宋体" w:hAnsi="宋体" w:cs="宋体"/>
          <w:color w:val="auto"/>
          <w:spacing w:val="12"/>
          <w:highlight w:val="none"/>
        </w:rPr>
        <w:t>已</w:t>
      </w:r>
      <w:r>
        <w:rPr>
          <w:rFonts w:hint="eastAsia" w:ascii="宋体" w:hAnsi="宋体" w:cs="宋体"/>
          <w:color w:val="auto"/>
          <w:spacing w:val="27"/>
          <w:highlight w:val="none"/>
        </w:rPr>
        <w:t>批准建设，</w:t>
      </w:r>
      <w:r>
        <w:rPr>
          <w:rFonts w:hint="eastAsia" w:ascii="宋体" w:hAnsi="宋体" w:cs="宋体"/>
          <w:color w:val="auto"/>
          <w:spacing w:val="12"/>
          <w:highlight w:val="none"/>
        </w:rPr>
        <w:t>建设资金已落实</w:t>
      </w:r>
      <w:r>
        <w:rPr>
          <w:rFonts w:hint="eastAsia" w:ascii="宋体" w:hAnsi="宋体" w:cs="宋体"/>
          <w:color w:val="auto"/>
          <w:spacing w:val="-31"/>
          <w:highlight w:val="none"/>
        </w:rPr>
        <w:t>，</w:t>
      </w:r>
      <w:r>
        <w:rPr>
          <w:rFonts w:hint="eastAsia" w:ascii="宋体" w:hAnsi="宋体" w:cs="宋体"/>
          <w:color w:val="auto"/>
          <w:highlight w:val="none"/>
        </w:rPr>
        <w:t>招标人为</w:t>
      </w:r>
      <w:r>
        <w:rPr>
          <w:rFonts w:hint="eastAsia" w:ascii="宋体" w:hAnsi="宋体" w:cs="宋体"/>
          <w:color w:val="auto"/>
          <w:highlight w:val="none"/>
          <w:u w:val="single"/>
        </w:rPr>
        <w:t>南通市交通公共事业发展中心</w:t>
      </w:r>
      <w:r>
        <w:rPr>
          <w:rFonts w:hint="eastAsia" w:ascii="宋体" w:hAnsi="宋体" w:cs="宋体"/>
          <w:color w:val="auto"/>
          <w:spacing w:val="-31"/>
          <w:highlight w:val="none"/>
        </w:rPr>
        <w:t>。</w:t>
      </w:r>
      <w:r>
        <w:rPr>
          <w:rFonts w:hint="eastAsia" w:ascii="宋体" w:hAnsi="宋体" w:cs="宋体"/>
          <w:color w:val="auto"/>
          <w:highlight w:val="none"/>
        </w:rPr>
        <w:t>项目已具备招标条件</w:t>
      </w:r>
      <w:r>
        <w:rPr>
          <w:rFonts w:hint="eastAsia" w:ascii="宋体" w:hAnsi="宋体" w:cs="宋体"/>
          <w:color w:val="auto"/>
          <w:spacing w:val="-31"/>
          <w:highlight w:val="none"/>
        </w:rPr>
        <w:t>，</w:t>
      </w:r>
      <w:r>
        <w:rPr>
          <w:rFonts w:hint="eastAsia" w:ascii="宋体" w:hAnsi="宋体" w:cs="宋体"/>
          <w:color w:val="auto"/>
          <w:highlight w:val="none"/>
        </w:rPr>
        <w:t>现对该项目的施工进行公开招标。</w:t>
      </w:r>
    </w:p>
    <w:p w14:paraId="0D656236">
      <w:pPr>
        <w:pStyle w:val="9"/>
        <w:topLinePunct/>
        <w:spacing w:line="360" w:lineRule="auto"/>
        <w:ind w:firstLine="482" w:firstLineChars="200"/>
        <w:rPr>
          <w:rFonts w:hAnsi="宋体"/>
          <w:b/>
          <w:bCs/>
          <w:color w:val="auto"/>
          <w:highlight w:val="none"/>
        </w:rPr>
      </w:pPr>
      <w:r>
        <w:rPr>
          <w:rFonts w:hint="eastAsia" w:hAnsi="宋体"/>
          <w:b/>
          <w:bCs/>
          <w:color w:val="auto"/>
          <w:highlight w:val="none"/>
        </w:rPr>
        <w:t>2. 项目概况与招标范围</w:t>
      </w:r>
    </w:p>
    <w:p w14:paraId="70F549B4">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2.1 项目概况：</w:t>
      </w:r>
    </w:p>
    <w:p w14:paraId="0CF02F89">
      <w:pPr>
        <w:snapToGrid w:val="0"/>
        <w:spacing w:line="312" w:lineRule="auto"/>
        <w:ind w:firstLine="420" w:firstLineChars="200"/>
        <w:rPr>
          <w:rFonts w:hint="eastAsia" w:ascii="宋体" w:hAnsi="宋体" w:cs="宋体"/>
          <w:color w:val="auto"/>
          <w:highlight w:val="none"/>
          <w:lang w:eastAsia="zh-CN"/>
        </w:rPr>
      </w:pPr>
      <w:r>
        <w:rPr>
          <w:rFonts w:hint="eastAsia" w:ascii="宋体" w:hAnsi="宋体" w:cs="宋体"/>
          <w:color w:val="auto"/>
          <w:highlight w:val="none"/>
        </w:rPr>
        <w:t>2.1</w:t>
      </w:r>
      <w:r>
        <w:rPr>
          <w:rFonts w:hint="eastAsia" w:ascii="宋体" w:hAnsi="宋体" w:cs="宋体"/>
          <w:color w:val="auto"/>
          <w:highlight w:val="none"/>
          <w:lang w:val="en-US" w:eastAsia="zh-CN"/>
        </w:rPr>
        <w:t>.1 项目地点：</w:t>
      </w:r>
      <w:r>
        <w:rPr>
          <w:rFonts w:hint="eastAsia" w:ascii="宋体" w:hAnsi="宋体" w:cs="宋体"/>
          <w:color w:val="auto"/>
          <w:highlight w:val="none"/>
        </w:rPr>
        <w:t>通京大道5号</w:t>
      </w:r>
      <w:r>
        <w:rPr>
          <w:rFonts w:hint="eastAsia" w:ascii="宋体" w:hAnsi="宋体" w:cs="宋体"/>
          <w:color w:val="auto"/>
          <w:highlight w:val="none"/>
          <w:lang w:eastAsia="zh-CN"/>
        </w:rPr>
        <w:t>。</w:t>
      </w:r>
    </w:p>
    <w:p w14:paraId="7A1749C0">
      <w:pPr>
        <w:snapToGrid w:val="0"/>
        <w:spacing w:line="312"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2.1</w:t>
      </w:r>
      <w:r>
        <w:rPr>
          <w:rFonts w:hint="eastAsia" w:ascii="宋体" w:hAnsi="宋体" w:cs="宋体"/>
          <w:color w:val="auto"/>
          <w:highlight w:val="none"/>
          <w:lang w:val="en-US" w:eastAsia="zh-CN"/>
        </w:rPr>
        <w:t>.2工作内容：（1）漏水修补：201会议室东墙、302办公室南墙、311办公室南窗</w:t>
      </w:r>
      <w:r>
        <w:rPr>
          <w:rFonts w:hint="eastAsia" w:ascii="宋体" w:hAnsi="宋体" w:cs="宋体"/>
          <w:color w:val="auto"/>
          <w:highlight w:val="none"/>
          <w:lang w:val="en-US" w:eastAsia="zh-CN"/>
        </w:rPr>
        <w:t>口</w:t>
      </w:r>
      <w:r>
        <w:rPr>
          <w:rFonts w:hint="eastAsia" w:ascii="宋体" w:hAnsi="宋体" w:cs="宋体"/>
          <w:color w:val="auto"/>
          <w:highlight w:val="none"/>
          <w:lang w:val="en-US" w:eastAsia="zh-CN"/>
        </w:rPr>
        <w:t>、2楼女厕、3楼男厕的漏水问题处理，包括清除原防水、重做防水层，并对相应室内墙体进行刷白修复。</w:t>
      </w:r>
    </w:p>
    <w:p w14:paraId="1B4844FC">
      <w:pPr>
        <w:numPr>
          <w:ilvl w:val="0"/>
          <w:numId w:val="1"/>
        </w:numPr>
        <w:snapToGrid w:val="0"/>
        <w:spacing w:line="312"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墙体裂缝与破损修复：311办公室西墙裂缝处理及刷白，非机动车车棚西侧整体防水与刷白，东侧三处墙皮修补；围墙东北角9块墙面刷白；</w:t>
      </w:r>
    </w:p>
    <w:p w14:paraId="6278C25A">
      <w:pPr>
        <w:numPr>
          <w:ilvl w:val="0"/>
          <w:numId w:val="0"/>
        </w:numPr>
        <w:snapToGrid w:val="0"/>
        <w:spacing w:line="312"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（3）公共区域墙面刷新：办公楼1-4层公共区域零散刷白（重点包括水池周边、1楼屏风后、西楼梯间等）以及食堂外墙及屋檐</w:t>
      </w:r>
      <w:r>
        <w:rPr>
          <w:rFonts w:hint="eastAsia" w:ascii="宋体" w:hAnsi="宋体" w:cs="宋体"/>
          <w:color w:val="auto"/>
          <w:highlight w:val="none"/>
          <w:lang w:val="en-US" w:eastAsia="zh-CN"/>
        </w:rPr>
        <w:t>（朝东、朝南面）</w:t>
      </w:r>
      <w:r>
        <w:rPr>
          <w:rFonts w:hint="eastAsia" w:ascii="宋体" w:hAnsi="宋体" w:cs="宋体"/>
          <w:color w:val="auto"/>
          <w:highlight w:val="none"/>
          <w:lang w:val="en-US" w:eastAsia="zh-CN"/>
        </w:rPr>
        <w:t>刷白。</w:t>
      </w:r>
    </w:p>
    <w:p w14:paraId="29513019">
      <w:pPr>
        <w:snapToGrid w:val="0"/>
        <w:spacing w:line="312" w:lineRule="auto"/>
        <w:ind w:firstLine="420" w:firstLineChars="200"/>
        <w:rPr>
          <w:rFonts w:ascii="宋体" w:hAnsi="宋体" w:cs="宋体"/>
          <w:color w:val="auto"/>
          <w:highlight w:val="none"/>
        </w:rPr>
      </w:pPr>
      <w:r>
        <w:rPr>
          <w:rFonts w:hint="eastAsia" w:ascii="宋体" w:hAnsi="宋体" w:cs="宋体"/>
          <w:color w:val="auto"/>
          <w:highlight w:val="none"/>
        </w:rPr>
        <w:t>建安费约</w:t>
      </w:r>
      <w:r>
        <w:rPr>
          <w:rFonts w:hint="eastAsia" w:ascii="宋体" w:hAnsi="宋体" w:cs="宋体"/>
          <w:color w:val="auto"/>
          <w:highlight w:val="none"/>
          <w:lang w:eastAsia="zh-CN"/>
        </w:rPr>
        <w:t>2</w:t>
      </w:r>
      <w:r>
        <w:rPr>
          <w:rFonts w:hint="eastAsia" w:ascii="宋体" w:hAnsi="宋体" w:cs="宋体"/>
          <w:color w:val="auto"/>
          <w:highlight w:val="none"/>
          <w:lang w:val="en-US" w:eastAsia="zh-CN"/>
        </w:rPr>
        <w:t>.8</w:t>
      </w:r>
      <w:r>
        <w:rPr>
          <w:rFonts w:hint="eastAsia" w:ascii="宋体" w:hAnsi="宋体" w:cs="宋体"/>
          <w:color w:val="auto"/>
          <w:highlight w:val="none"/>
        </w:rPr>
        <w:t>万元。</w:t>
      </w:r>
    </w:p>
    <w:p w14:paraId="32D8A695">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2.2.招标范围与工作内容：</w:t>
      </w:r>
    </w:p>
    <w:p w14:paraId="570D65EA">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对上述</w:t>
      </w:r>
      <w:r>
        <w:rPr>
          <w:rFonts w:hint="eastAsia" w:ascii="宋体" w:hAnsi="宋体" w:cs="宋体"/>
          <w:color w:val="auto"/>
          <w:highlight w:val="none"/>
          <w:lang w:val="en-US" w:eastAsia="zh-CN"/>
        </w:rPr>
        <w:t>办公楼</w:t>
      </w:r>
      <w:r>
        <w:rPr>
          <w:rFonts w:hint="eastAsia" w:ascii="宋体" w:hAnsi="宋体" w:cs="宋体"/>
          <w:color w:val="auto"/>
          <w:highlight w:val="none"/>
        </w:rPr>
        <w:t>进行修缮，工作内容包括但不限于</w:t>
      </w:r>
      <w:r>
        <w:rPr>
          <w:rFonts w:hint="default" w:ascii="宋体" w:hAnsi="宋体" w:cs="宋体"/>
          <w:color w:val="auto"/>
          <w:highlight w:val="none"/>
          <w:lang w:val="en-US"/>
        </w:rPr>
        <w:t>漏水</w:t>
      </w:r>
      <w:r>
        <w:rPr>
          <w:rFonts w:hint="eastAsia" w:ascii="宋体" w:hAnsi="宋体" w:cs="宋体"/>
          <w:color w:val="auto"/>
          <w:highlight w:val="none"/>
          <w:lang w:val="en-US" w:eastAsia="zh-CN"/>
        </w:rPr>
        <w:t>修补、墙体裂缝与破损修复、墙面刷新</w:t>
      </w:r>
      <w:r>
        <w:rPr>
          <w:rFonts w:hint="eastAsia" w:ascii="宋体" w:hAnsi="宋体" w:cs="宋体"/>
          <w:color w:val="auto"/>
          <w:highlight w:val="none"/>
        </w:rPr>
        <w:t>等，</w:t>
      </w:r>
      <w:r>
        <w:rPr>
          <w:rFonts w:hint="eastAsia" w:ascii="宋体" w:hAnsi="宋体" w:cs="宋体"/>
          <w:color w:val="auto"/>
          <w:highlight w:val="none"/>
        </w:rPr>
        <w:t>具体内容详见工程量清单。</w:t>
      </w:r>
    </w:p>
    <w:p w14:paraId="221ECBE9">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计划工期：</w:t>
      </w:r>
      <w:r>
        <w:rPr>
          <w:rFonts w:hint="eastAsia" w:ascii="宋体" w:hAnsi="宋体" w:cs="宋体"/>
          <w:color w:val="auto"/>
          <w:highlight w:val="none"/>
          <w:lang w:val="en-US" w:eastAsia="zh-CN"/>
        </w:rPr>
        <w:t>20日历天</w:t>
      </w:r>
      <w:r>
        <w:rPr>
          <w:rFonts w:hint="eastAsia" w:ascii="宋体" w:hAnsi="宋体" w:cs="宋体"/>
          <w:color w:val="auto"/>
          <w:highlight w:val="none"/>
        </w:rPr>
        <w:t>内完成</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根据天气，包含周末</w:t>
      </w:r>
      <w:r>
        <w:rPr>
          <w:rFonts w:hint="eastAsia" w:ascii="宋体" w:hAnsi="宋体" w:cs="宋体"/>
          <w:color w:val="auto"/>
          <w:highlight w:val="none"/>
          <w:lang w:eastAsia="zh-CN"/>
        </w:rPr>
        <w:t>）</w:t>
      </w:r>
      <w:r>
        <w:rPr>
          <w:rFonts w:hint="eastAsia" w:ascii="宋体" w:hAnsi="宋体" w:cs="宋体"/>
          <w:color w:val="auto"/>
          <w:highlight w:val="none"/>
        </w:rPr>
        <w:t xml:space="preserve">。 </w:t>
      </w:r>
    </w:p>
    <w:p w14:paraId="478749EC">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质量目标：合格。</w:t>
      </w:r>
    </w:p>
    <w:p w14:paraId="7578C5F1">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安全目标：安全生产无责任事故。</w:t>
      </w:r>
    </w:p>
    <w:p w14:paraId="7FEC5986">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缺陷责任期：</w:t>
      </w:r>
      <w:r>
        <w:rPr>
          <w:rFonts w:hint="eastAsia" w:ascii="宋体" w:hAnsi="宋体" w:cs="宋体"/>
          <w:color w:val="auto"/>
          <w:highlight w:val="none"/>
        </w:rPr>
        <w:t>本工程缺陷责任期为</w:t>
      </w:r>
      <w:r>
        <w:rPr>
          <w:rFonts w:hint="eastAsia" w:ascii="宋体" w:hAnsi="宋体" w:cs="宋体"/>
          <w:color w:val="auto"/>
          <w:highlight w:val="none"/>
          <w:lang w:val="en-US" w:eastAsia="zh-CN"/>
        </w:rPr>
        <w:t>24</w:t>
      </w:r>
      <w:r>
        <w:rPr>
          <w:rFonts w:hint="eastAsia" w:ascii="宋体" w:hAnsi="宋体" w:cs="宋体"/>
          <w:color w:val="auto"/>
          <w:highlight w:val="none"/>
        </w:rPr>
        <w:t>个月</w:t>
      </w:r>
      <w:r>
        <w:rPr>
          <w:rFonts w:hint="eastAsia" w:ascii="宋体" w:hAnsi="宋体" w:cs="宋体"/>
          <w:color w:val="auto"/>
          <w:highlight w:val="none"/>
        </w:rPr>
        <w:t>（</w:t>
      </w:r>
      <w:r>
        <w:rPr>
          <w:rFonts w:hint="eastAsia" w:ascii="宋体" w:hAnsi="宋体" w:cs="宋体"/>
          <w:color w:val="auto"/>
          <w:highlight w:val="none"/>
        </w:rPr>
        <w:t>自</w:t>
      </w:r>
      <w:r>
        <w:rPr>
          <w:rFonts w:hint="eastAsia" w:ascii="宋体" w:hAnsi="宋体" w:cs="宋体"/>
          <w:color w:val="auto"/>
          <w:highlight w:val="none"/>
        </w:rPr>
        <w:t>完工验收合格之日起计算）</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自验收合格后1年内出现工程质量问题，中标人需免费配合返工处理</w:t>
      </w:r>
      <w:r>
        <w:rPr>
          <w:rFonts w:hint="eastAsia" w:ascii="宋体" w:hAnsi="宋体" w:cs="宋体"/>
          <w:color w:val="auto"/>
          <w:highlight w:val="none"/>
        </w:rPr>
        <w:t>。</w:t>
      </w:r>
    </w:p>
    <w:p w14:paraId="24350225">
      <w:pPr>
        <w:pStyle w:val="9"/>
        <w:topLinePunct/>
        <w:spacing w:line="360" w:lineRule="auto"/>
        <w:ind w:firstLine="482" w:firstLineChars="200"/>
        <w:rPr>
          <w:rFonts w:hAnsi="宋体"/>
          <w:b/>
          <w:bCs/>
          <w:color w:val="auto"/>
          <w:highlight w:val="none"/>
        </w:rPr>
      </w:pPr>
      <w:r>
        <w:rPr>
          <w:rFonts w:hint="eastAsia" w:hAnsi="宋体"/>
          <w:b/>
          <w:bCs/>
          <w:color w:val="auto"/>
          <w:highlight w:val="none"/>
        </w:rPr>
        <w:t>3. 投标人资格要求</w:t>
      </w:r>
    </w:p>
    <w:p w14:paraId="5B5201E1">
      <w:pPr>
        <w:adjustRightInd w:val="0"/>
        <w:snapToGrid w:val="0"/>
        <w:spacing w:line="360" w:lineRule="auto"/>
        <w:ind w:firstLine="420" w:firstLineChars="200"/>
        <w:jc w:val="left"/>
        <w:rPr>
          <w:rFonts w:ascii="宋体" w:hAnsi="宋体" w:cs="宋体"/>
          <w:color w:val="auto"/>
          <w:highlight w:val="none"/>
        </w:rPr>
      </w:pPr>
      <w:bookmarkStart w:id="24" w:name="_Hlk44357884"/>
      <w:r>
        <w:rPr>
          <w:rFonts w:hint="eastAsia" w:ascii="宋体" w:hAnsi="宋体" w:cs="宋体"/>
          <w:color w:val="auto"/>
          <w:highlight w:val="none"/>
        </w:rPr>
        <w:t>3.1投标人应具备的承担本次招标项目的资质条件、能力和信誉要求为：</w:t>
      </w:r>
    </w:p>
    <w:p w14:paraId="210BD0D6">
      <w:pPr>
        <w:adjustRightInd w:val="0"/>
        <w:snapToGrid w:val="0"/>
        <w:spacing w:line="360" w:lineRule="auto"/>
        <w:ind w:firstLine="420" w:firstLineChars="200"/>
        <w:jc w:val="left"/>
        <w:rPr>
          <w:rFonts w:ascii="宋体" w:hAnsi="宋体" w:cs="宋体"/>
          <w:color w:val="auto"/>
          <w:highlight w:val="none"/>
        </w:rPr>
      </w:pPr>
      <w:bookmarkStart w:id="25" w:name="_Hlk164876052"/>
      <w:r>
        <w:rPr>
          <w:rFonts w:hint="eastAsia" w:ascii="宋体" w:hAnsi="宋体" w:cs="宋体"/>
          <w:color w:val="auto"/>
          <w:highlight w:val="none"/>
        </w:rPr>
        <w:t>(1)</w:t>
      </w:r>
      <w:bookmarkStart w:id="26" w:name="_Hlk164875946"/>
      <w:r>
        <w:rPr>
          <w:rFonts w:hint="eastAsia" w:ascii="宋体" w:hAnsi="宋体" w:cs="宋体"/>
          <w:color w:val="auto"/>
          <w:highlight w:val="none"/>
        </w:rPr>
        <w:t>资质条件：投标人应具</w:t>
      </w:r>
      <w:r>
        <w:rPr>
          <w:rFonts w:hint="eastAsia" w:ascii="宋体" w:hAnsi="宋体" w:cs="宋体"/>
          <w:color w:val="auto"/>
          <w:highlight w:val="none"/>
          <w:lang w:val="en-US" w:eastAsia="zh-CN"/>
        </w:rPr>
        <w:t>有</w:t>
      </w:r>
      <w:r>
        <w:rPr>
          <w:rFonts w:hint="eastAsia" w:ascii="宋体" w:hAnsi="宋体" w:cs="宋体"/>
          <w:color w:val="auto"/>
          <w:highlight w:val="none"/>
        </w:rPr>
        <w:t>有效的建设行政主管部门颁发的建筑工程施工总承包叁级及以上资质，并具有有效的省级（或以上）建设行政主管部门核发的《安全生产许可证》</w:t>
      </w:r>
      <w:bookmarkEnd w:id="26"/>
      <w:r>
        <w:rPr>
          <w:rFonts w:hint="eastAsia" w:ascii="宋体" w:hAnsi="宋体" w:cs="宋体"/>
          <w:color w:val="auto"/>
          <w:highlight w:val="none"/>
        </w:rPr>
        <w:t>；</w:t>
      </w:r>
    </w:p>
    <w:p w14:paraId="56CEB8BA">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(2)项目经理资格：</w:t>
      </w:r>
    </w:p>
    <w:p w14:paraId="0F294602">
      <w:pPr>
        <w:adjustRightInd w:val="0"/>
        <w:snapToGrid w:val="0"/>
        <w:spacing w:line="360" w:lineRule="auto"/>
        <w:ind w:firstLine="420" w:firstLineChars="200"/>
        <w:jc w:val="left"/>
        <w:rPr>
          <w:rFonts w:ascii="宋体" w:hAnsi="宋体" w:cs="宋体"/>
          <w:color w:val="auto"/>
          <w:highlight w:val="none"/>
        </w:rPr>
      </w:pPr>
      <w:bookmarkStart w:id="27" w:name="_Hlk164876335"/>
      <w:r>
        <w:rPr>
          <w:rFonts w:hint="eastAsia" w:ascii="宋体" w:hAnsi="宋体" w:cs="宋体"/>
          <w:color w:val="auto"/>
          <w:highlight w:val="none"/>
        </w:rPr>
        <w:t>项目经理须具有有效的二级或以上建筑工程专业注册建造师资格；具有有效的建设行政主管部门核发的《建筑施工企业项目负责人安全生产考核合格证书》（B证）；</w:t>
      </w:r>
    </w:p>
    <w:bookmarkEnd w:id="27"/>
    <w:p w14:paraId="45728E42">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项目经理无在岗项目【指目前未在其他项目上任职，或虽在其他项目上任职但本项目中标后能够立即赴本项目任职（提供任职承诺）】；</w:t>
      </w:r>
    </w:p>
    <w:p w14:paraId="5C7E606F">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拟派项目经理为投标人自有人员[提供投标人（或投标人不具备法人资格的分支机构）为其缴纳的投标截止时间前三个月（2025年</w:t>
      </w:r>
      <w:r>
        <w:rPr>
          <w:rFonts w:hint="eastAsia" w:ascii="宋体" w:hAnsi="宋体" w:cs="宋体"/>
          <w:color w:val="auto"/>
          <w:highlight w:val="none"/>
          <w:lang w:val="en-US" w:eastAsia="zh-CN"/>
        </w:rPr>
        <w:t>8</w:t>
      </w:r>
      <w:r>
        <w:rPr>
          <w:rFonts w:hint="eastAsia" w:ascii="宋体" w:hAnsi="宋体" w:cs="宋体"/>
          <w:color w:val="auto"/>
          <w:highlight w:val="none"/>
        </w:rPr>
        <w:t>月至2025年</w:t>
      </w:r>
      <w:r>
        <w:rPr>
          <w:rFonts w:hint="eastAsia" w:ascii="宋体" w:hAnsi="宋体" w:cs="宋体"/>
          <w:color w:val="auto"/>
          <w:highlight w:val="none"/>
          <w:lang w:val="en-US" w:eastAsia="zh-CN"/>
        </w:rPr>
        <w:t>10</w:t>
      </w:r>
      <w:r>
        <w:rPr>
          <w:rFonts w:hint="eastAsia" w:ascii="宋体" w:hAnsi="宋体" w:cs="宋体"/>
          <w:color w:val="auto"/>
          <w:highlight w:val="none"/>
        </w:rPr>
        <w:t>月）中至少一个月的社保证明材料]；</w:t>
      </w:r>
    </w:p>
    <w:bookmarkEnd w:id="25"/>
    <w:p w14:paraId="095FA355">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3.2 本次招标不接受联合体投标。</w:t>
      </w:r>
    </w:p>
    <w:p w14:paraId="17897700">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3.3与招标人存在利害关系可能影响招标公正性的单位，不得参加投标。单位负责人为同一人或存在控股、管理关系的不同单位，不得参加同一标段投标，否则，相关投标均无效。</w:t>
      </w:r>
    </w:p>
    <w:bookmarkEnd w:id="24"/>
    <w:p w14:paraId="07A72C8C">
      <w:pPr>
        <w:pStyle w:val="9"/>
        <w:topLinePunct/>
        <w:spacing w:line="360" w:lineRule="auto"/>
        <w:ind w:firstLine="482" w:firstLineChars="200"/>
        <w:rPr>
          <w:rFonts w:hAnsi="宋体"/>
          <w:b/>
          <w:bCs/>
          <w:color w:val="auto"/>
          <w:highlight w:val="none"/>
        </w:rPr>
      </w:pPr>
      <w:r>
        <w:rPr>
          <w:rFonts w:hint="eastAsia" w:hAnsi="宋体"/>
          <w:b/>
          <w:bCs/>
          <w:color w:val="auto"/>
          <w:highlight w:val="none"/>
        </w:rPr>
        <w:t>4．</w:t>
      </w:r>
      <w:bookmarkStart w:id="28" w:name="_Toc90104557"/>
      <w:bookmarkStart w:id="29" w:name="_Toc90105825"/>
      <w:bookmarkStart w:id="30" w:name="_Toc90105639"/>
      <w:bookmarkStart w:id="31" w:name="_Toc90106825"/>
      <w:bookmarkStart w:id="32" w:name="_Toc90106006"/>
      <w:bookmarkStart w:id="33" w:name="_Toc90105264"/>
      <w:bookmarkStart w:id="34" w:name="_Toc90105075"/>
      <w:bookmarkStart w:id="35" w:name="_Toc90106187"/>
      <w:bookmarkStart w:id="36" w:name="_Toc90105452"/>
      <w:bookmarkStart w:id="37" w:name="_Toc89848285"/>
      <w:bookmarkStart w:id="38" w:name="_Toc90106644"/>
      <w:bookmarkStart w:id="39" w:name="_Toc92015767"/>
      <w:r>
        <w:rPr>
          <w:rFonts w:hint="eastAsia" w:hAnsi="宋体"/>
          <w:b/>
          <w:bCs/>
          <w:color w:val="auto"/>
          <w:highlight w:val="none"/>
        </w:rPr>
        <w:t>投标文件的递交及相关事宜</w:t>
      </w:r>
    </w:p>
    <w:bookmarkEnd w:id="28"/>
    <w:bookmarkEnd w:id="29"/>
    <w:bookmarkEnd w:id="30"/>
    <w:bookmarkEnd w:id="31"/>
    <w:bookmarkEnd w:id="32"/>
    <w:bookmarkEnd w:id="33"/>
    <w:bookmarkEnd w:id="34"/>
    <w:bookmarkEnd w:id="35"/>
    <w:bookmarkEnd w:id="36"/>
    <w:bookmarkEnd w:id="37"/>
    <w:bookmarkEnd w:id="38"/>
    <w:bookmarkEnd w:id="39"/>
    <w:p w14:paraId="1A6A528B">
      <w:pPr>
        <w:adjustRightInd w:val="0"/>
        <w:spacing w:line="360" w:lineRule="auto"/>
        <w:ind w:firstLine="420" w:firstLineChars="200"/>
        <w:rPr>
          <w:rFonts w:ascii="宋体" w:hAnsi="宋体" w:cs="宋体"/>
          <w:color w:val="auto"/>
          <w:highlight w:val="none"/>
        </w:rPr>
      </w:pPr>
      <w:bookmarkStart w:id="40" w:name="_Toc90105640"/>
      <w:bookmarkStart w:id="41" w:name="_Toc90106007"/>
      <w:bookmarkStart w:id="42" w:name="_Toc90105265"/>
      <w:bookmarkStart w:id="43" w:name="_Toc90106188"/>
      <w:bookmarkStart w:id="44" w:name="_Toc90106645"/>
      <w:bookmarkStart w:id="45" w:name="_Toc89848286"/>
      <w:bookmarkStart w:id="46" w:name="_Toc92015768"/>
      <w:bookmarkStart w:id="47" w:name="_Toc90105453"/>
      <w:bookmarkStart w:id="48" w:name="_Toc90105076"/>
      <w:bookmarkStart w:id="49" w:name="_Toc90105826"/>
      <w:bookmarkStart w:id="50" w:name="_Toc90106826"/>
      <w:bookmarkStart w:id="51" w:name="_Toc90104558"/>
      <w:r>
        <w:rPr>
          <w:rFonts w:hint="eastAsia" w:ascii="宋体" w:hAnsi="宋体" w:cs="宋体"/>
          <w:color w:val="auto"/>
          <w:highlight w:val="none"/>
          <w:lang w:val="en-US" w:eastAsia="zh-CN"/>
        </w:rPr>
        <w:t>4</w:t>
      </w:r>
      <w:r>
        <w:rPr>
          <w:rFonts w:hint="eastAsia" w:ascii="宋体" w:hAnsi="宋体" w:cs="宋体"/>
          <w:color w:val="auto"/>
          <w:highlight w:val="none"/>
        </w:rPr>
        <w:t>.1 投标文件递交时间：</w:t>
      </w:r>
      <w:r>
        <w:rPr>
          <w:rFonts w:hint="eastAsia" w:hAnsi="宋体"/>
          <w:color w:val="auto"/>
          <w:highlight w:val="none"/>
        </w:rPr>
        <w:t>2025年</w:t>
      </w:r>
      <w:r>
        <w:rPr>
          <w:rFonts w:hint="eastAsia" w:hAnsi="宋体"/>
          <w:color w:val="auto"/>
          <w:highlight w:val="none"/>
          <w:lang w:val="en-US" w:eastAsia="zh-CN"/>
        </w:rPr>
        <w:t>11</w:t>
      </w:r>
      <w:r>
        <w:rPr>
          <w:rFonts w:hint="eastAsia" w:hAnsi="宋体"/>
          <w:color w:val="auto"/>
          <w:highlight w:val="none"/>
        </w:rPr>
        <w:t>月</w:t>
      </w:r>
      <w:r>
        <w:rPr>
          <w:rFonts w:hint="eastAsia" w:hAnsi="宋体"/>
          <w:color w:val="auto"/>
          <w:highlight w:val="none"/>
          <w:lang w:val="en-US" w:eastAsia="zh-CN"/>
        </w:rPr>
        <w:t>14</w:t>
      </w:r>
      <w:r>
        <w:rPr>
          <w:rFonts w:hint="eastAsia" w:hAnsi="宋体"/>
          <w:color w:val="auto"/>
          <w:highlight w:val="none"/>
        </w:rPr>
        <w:t>日</w:t>
      </w:r>
      <w:r>
        <w:rPr>
          <w:rFonts w:hint="eastAsia" w:hAnsi="宋体"/>
          <w:color w:val="auto"/>
          <w:highlight w:val="none"/>
          <w:lang w:val="en-US" w:eastAsia="zh-CN"/>
        </w:rPr>
        <w:t>9</w:t>
      </w:r>
      <w:r>
        <w:rPr>
          <w:rFonts w:hint="eastAsia" w:hAnsi="宋体"/>
          <w:color w:val="auto"/>
          <w:highlight w:val="none"/>
        </w:rPr>
        <w:t>时00分</w:t>
      </w:r>
      <w:r>
        <w:rPr>
          <w:rFonts w:hint="eastAsia" w:ascii="宋体" w:hAnsi="宋体" w:cs="宋体"/>
          <w:color w:val="auto"/>
          <w:highlight w:val="none"/>
        </w:rPr>
        <w:t>。</w:t>
      </w:r>
    </w:p>
    <w:p w14:paraId="66E95FEB">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.2 投标文件递交截止时间：</w:t>
      </w:r>
      <w:r>
        <w:rPr>
          <w:rFonts w:hint="eastAsia" w:hAnsi="宋体"/>
          <w:color w:val="auto"/>
          <w:highlight w:val="none"/>
        </w:rPr>
        <w:t>2025年</w:t>
      </w:r>
      <w:r>
        <w:rPr>
          <w:rFonts w:hint="eastAsia" w:hAnsi="宋体"/>
          <w:color w:val="auto"/>
          <w:highlight w:val="none"/>
          <w:lang w:val="en-US" w:eastAsia="zh-CN"/>
        </w:rPr>
        <w:t>11</w:t>
      </w:r>
      <w:r>
        <w:rPr>
          <w:rFonts w:hint="eastAsia" w:hAnsi="宋体"/>
          <w:color w:val="auto"/>
          <w:highlight w:val="none"/>
        </w:rPr>
        <w:t>月</w:t>
      </w:r>
      <w:r>
        <w:rPr>
          <w:rFonts w:hint="eastAsia" w:hAnsi="宋体"/>
          <w:color w:val="auto"/>
          <w:highlight w:val="none"/>
          <w:lang w:val="en-US" w:eastAsia="zh-CN"/>
        </w:rPr>
        <w:t>14</w:t>
      </w:r>
      <w:r>
        <w:rPr>
          <w:rFonts w:hint="eastAsia" w:hAnsi="宋体"/>
          <w:color w:val="auto"/>
          <w:highlight w:val="none"/>
        </w:rPr>
        <w:t>日</w:t>
      </w:r>
      <w:r>
        <w:rPr>
          <w:rFonts w:hint="eastAsia" w:hAnsi="宋体"/>
          <w:color w:val="auto"/>
          <w:highlight w:val="none"/>
          <w:lang w:val="en-US" w:eastAsia="zh-CN"/>
        </w:rPr>
        <w:t>9</w:t>
      </w:r>
      <w:r>
        <w:rPr>
          <w:rFonts w:hint="eastAsia" w:hAnsi="宋体"/>
          <w:color w:val="auto"/>
          <w:highlight w:val="none"/>
        </w:rPr>
        <w:t>时</w:t>
      </w:r>
      <w:r>
        <w:rPr>
          <w:rFonts w:hint="eastAsia" w:hAnsi="宋体"/>
          <w:color w:val="auto"/>
          <w:highlight w:val="none"/>
          <w:lang w:val="en-US" w:eastAsia="zh-CN"/>
        </w:rPr>
        <w:t>30</w:t>
      </w:r>
      <w:r>
        <w:rPr>
          <w:rFonts w:hint="eastAsia" w:hAnsi="宋体"/>
          <w:color w:val="auto"/>
          <w:highlight w:val="none"/>
        </w:rPr>
        <w:t>分</w:t>
      </w:r>
      <w:r>
        <w:rPr>
          <w:rFonts w:hint="eastAsia" w:ascii="宋体" w:hAnsi="宋体" w:cs="宋体"/>
          <w:color w:val="auto"/>
          <w:highlight w:val="none"/>
        </w:rPr>
        <w:t>。</w:t>
      </w:r>
    </w:p>
    <w:p w14:paraId="49753B07">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.3 投标文件递交地点：</w:t>
      </w:r>
      <w:r>
        <w:rPr>
          <w:rFonts w:hint="eastAsia" w:hAnsi="宋体"/>
          <w:color w:val="auto"/>
          <w:highlight w:val="none"/>
        </w:rPr>
        <w:t>南通市交通公共事业发展中心</w:t>
      </w:r>
      <w:r>
        <w:rPr>
          <w:rFonts w:hint="eastAsia" w:hAnsi="宋体"/>
          <w:color w:val="auto"/>
          <w:highlight w:val="none"/>
          <w:lang w:val="en-US" w:eastAsia="zh-CN"/>
        </w:rPr>
        <w:t>1</w:t>
      </w:r>
      <w:r>
        <w:rPr>
          <w:rFonts w:hint="eastAsia" w:hAnsi="宋体"/>
          <w:color w:val="auto"/>
          <w:highlight w:val="none"/>
        </w:rPr>
        <w:t>08室（通京大道5号）</w:t>
      </w:r>
      <w:r>
        <w:rPr>
          <w:rFonts w:hint="eastAsia" w:ascii="宋体" w:hAnsi="宋体" w:cs="宋体"/>
          <w:color w:val="auto"/>
          <w:highlight w:val="none"/>
        </w:rPr>
        <w:t>，</w:t>
      </w:r>
      <w:r>
        <w:rPr>
          <w:rFonts w:hint="eastAsia" w:ascii="宋体" w:hAnsi="宋体" w:cs="宋体"/>
          <w:b/>
          <w:bCs/>
          <w:color w:val="auto"/>
          <w:highlight w:val="none"/>
        </w:rPr>
        <w:t>如有变动，另行通知。</w:t>
      </w:r>
      <w:r>
        <w:rPr>
          <w:rFonts w:hint="eastAsia" w:ascii="宋体" w:hAnsi="宋体" w:cs="宋体"/>
          <w:color w:val="auto"/>
          <w:highlight w:val="none"/>
        </w:rPr>
        <w:t>逾期送达的或者未送达指定地点的投标文件，招标人不予受理。</w:t>
      </w:r>
    </w:p>
    <w:p w14:paraId="2954E8F4">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.4 开标时间：同投标文件递交截止时间。</w:t>
      </w:r>
    </w:p>
    <w:p w14:paraId="1620385B">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4</w:t>
      </w:r>
      <w:r>
        <w:rPr>
          <w:rFonts w:hint="eastAsia" w:ascii="宋体" w:hAnsi="宋体" w:cs="宋体"/>
          <w:color w:val="auto"/>
          <w:highlight w:val="none"/>
        </w:rPr>
        <w:t>.5 开标地点：同投标文件递交地点。</w:t>
      </w:r>
    </w:p>
    <w:p w14:paraId="1E0E0E34">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以上时间均为北京时间。</w:t>
      </w:r>
    </w:p>
    <w:p w14:paraId="76994034">
      <w:pPr>
        <w:adjustRightIn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本项目不统一组织召开现场考察与标前会议，投标人若需进行现场考察，自行前往并自行负责住宿与安全。</w:t>
      </w:r>
      <w:bookmarkEnd w:id="40"/>
      <w:bookmarkEnd w:id="41"/>
      <w:bookmarkEnd w:id="42"/>
      <w:bookmarkEnd w:id="43"/>
      <w:bookmarkEnd w:id="44"/>
      <w:bookmarkEnd w:id="45"/>
      <w:bookmarkEnd w:id="46"/>
      <w:bookmarkEnd w:id="47"/>
      <w:bookmarkEnd w:id="48"/>
      <w:bookmarkEnd w:id="49"/>
      <w:bookmarkEnd w:id="50"/>
      <w:bookmarkEnd w:id="51"/>
      <w:bookmarkStart w:id="52" w:name="_Toc26508"/>
      <w:bookmarkStart w:id="53" w:name="_Toc508615689"/>
      <w:bookmarkStart w:id="54" w:name="_Toc30157"/>
    </w:p>
    <w:bookmarkEnd w:id="52"/>
    <w:bookmarkEnd w:id="53"/>
    <w:bookmarkEnd w:id="54"/>
    <w:p w14:paraId="20DA9167">
      <w:pPr>
        <w:pStyle w:val="9"/>
        <w:topLinePunct/>
        <w:spacing w:line="360" w:lineRule="auto"/>
        <w:ind w:firstLine="482" w:firstLineChars="200"/>
        <w:rPr>
          <w:rFonts w:hAnsi="宋体"/>
          <w:b/>
          <w:bCs/>
          <w:color w:val="auto"/>
          <w:highlight w:val="none"/>
        </w:rPr>
      </w:pPr>
      <w:r>
        <w:rPr>
          <w:rFonts w:hint="eastAsia" w:hAnsi="宋体"/>
          <w:b/>
          <w:bCs/>
          <w:color w:val="auto"/>
          <w:highlight w:val="none"/>
          <w:lang w:val="en-US" w:eastAsia="zh-CN"/>
        </w:rPr>
        <w:t>5</w:t>
      </w:r>
      <w:r>
        <w:rPr>
          <w:rFonts w:hint="eastAsia" w:hAnsi="宋体"/>
          <w:b/>
          <w:bCs/>
          <w:color w:val="auto"/>
          <w:highlight w:val="none"/>
        </w:rPr>
        <w:t>．发布公告的媒介</w:t>
      </w:r>
    </w:p>
    <w:p w14:paraId="50F35A81">
      <w:pPr>
        <w:pStyle w:val="9"/>
        <w:topLinePunct/>
        <w:spacing w:line="360" w:lineRule="auto"/>
        <w:ind w:firstLine="420" w:firstLineChars="200"/>
        <w:jc w:val="left"/>
        <w:rPr>
          <w:rFonts w:hAnsi="宋体"/>
          <w:b/>
          <w:bCs/>
          <w:color w:val="auto"/>
          <w:sz w:val="21"/>
          <w:szCs w:val="21"/>
          <w:highlight w:val="none"/>
        </w:rPr>
      </w:pPr>
      <w:r>
        <w:rPr>
          <w:rFonts w:hint="eastAsia" w:hAnsi="宋体"/>
          <w:color w:val="auto"/>
          <w:sz w:val="21"/>
          <w:szCs w:val="21"/>
          <w:highlight w:val="none"/>
        </w:rPr>
        <w:t>本次招标公告同时在南通市交通运输局网站（http://jtysj.nantong.gov.cn/ntjy/）上。南通市交通运输局网站是本项目招标公告、招标文件澄清、中标公示等招标信息约定的唯一公开发布媒介。</w:t>
      </w:r>
    </w:p>
    <w:p w14:paraId="6592B4BB">
      <w:pPr>
        <w:pStyle w:val="9"/>
        <w:topLinePunct/>
        <w:spacing w:line="360" w:lineRule="auto"/>
        <w:ind w:firstLine="482" w:firstLineChars="200"/>
        <w:rPr>
          <w:rFonts w:hAnsi="宋体"/>
          <w:b/>
          <w:bCs/>
          <w:color w:val="auto"/>
          <w:highlight w:val="none"/>
        </w:rPr>
      </w:pPr>
      <w:bookmarkStart w:id="55" w:name="_Toc90105266"/>
      <w:bookmarkStart w:id="56" w:name="_Toc90106827"/>
      <w:bookmarkStart w:id="57" w:name="_Toc90105641"/>
      <w:bookmarkStart w:id="58" w:name="_Toc90105827"/>
      <w:bookmarkStart w:id="59" w:name="_Toc90106008"/>
      <w:bookmarkStart w:id="60" w:name="_Toc90104559"/>
      <w:bookmarkStart w:id="61" w:name="_Toc90105454"/>
      <w:bookmarkStart w:id="62" w:name="_Toc90106646"/>
      <w:bookmarkStart w:id="63" w:name="_Toc90106189"/>
      <w:bookmarkStart w:id="64" w:name="_Toc90105077"/>
      <w:bookmarkStart w:id="65" w:name="_Toc92015769"/>
      <w:bookmarkStart w:id="66" w:name="_Toc89848287"/>
      <w:r>
        <w:rPr>
          <w:rFonts w:hint="eastAsia" w:hAnsi="宋体"/>
          <w:b/>
          <w:bCs/>
          <w:color w:val="auto"/>
          <w:highlight w:val="none"/>
          <w:lang w:val="en-US" w:eastAsia="zh-CN"/>
        </w:rPr>
        <w:t>6</w:t>
      </w:r>
      <w:r>
        <w:rPr>
          <w:rFonts w:hint="eastAsia" w:hAnsi="宋体"/>
          <w:b/>
          <w:bCs/>
          <w:color w:val="auto"/>
          <w:highlight w:val="none"/>
        </w:rPr>
        <w:t>. 其他</w:t>
      </w:r>
    </w:p>
    <w:p w14:paraId="3EF5B773">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1已获取招标文件的投标单位，不得擅自放弃投标，若因故确需放弃，则须在截止之日3日前书面告知招标人，如无故不参加投标而造成投标单位不足3家而重新招标的，若重新招标的招标需求、资格要求等未发生改变，招标人可以拒绝其参加重新招标的投标。</w:t>
      </w:r>
    </w:p>
    <w:p w14:paraId="0FBC256B">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.2本项目无图纸，各投标人必须仔细踏勘现场，并根据现场情况进行报价，踏勘现场所发生的费用由投标人自行承担。</w:t>
      </w:r>
    </w:p>
    <w:p w14:paraId="0C3EB5A4">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．联系方式</w:t>
      </w:r>
      <w:bookmarkEnd w:id="55"/>
      <w:bookmarkEnd w:id="56"/>
      <w:bookmarkEnd w:id="57"/>
      <w:bookmarkEnd w:id="58"/>
      <w:bookmarkEnd w:id="59"/>
      <w:bookmarkEnd w:id="60"/>
      <w:bookmarkEnd w:id="61"/>
      <w:bookmarkEnd w:id="62"/>
      <w:bookmarkEnd w:id="63"/>
      <w:bookmarkEnd w:id="64"/>
      <w:bookmarkEnd w:id="65"/>
      <w:bookmarkEnd w:id="66"/>
    </w:p>
    <w:p w14:paraId="1E0A579B">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招标人：南通市交通公共事业发展中心</w:t>
      </w:r>
    </w:p>
    <w:p w14:paraId="229B16E3">
      <w:pPr>
        <w:widowControl/>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地  址： 南通市通京大道</w:t>
      </w:r>
      <w:r>
        <w:rPr>
          <w:rFonts w:hint="eastAsia" w:ascii="宋体" w:hAnsi="宋体" w:cs="宋体"/>
          <w:color w:val="auto"/>
          <w:kern w:val="0"/>
          <w:highlight w:val="none"/>
          <w:lang w:val="en-US" w:eastAsia="zh-CN"/>
        </w:rPr>
        <w:t>5</w:t>
      </w:r>
      <w:r>
        <w:rPr>
          <w:rFonts w:hint="eastAsia" w:ascii="宋体" w:hAnsi="宋体" w:cs="宋体"/>
          <w:color w:val="auto"/>
          <w:kern w:val="0"/>
          <w:highlight w:val="none"/>
        </w:rPr>
        <w:t>号</w:t>
      </w:r>
    </w:p>
    <w:p w14:paraId="01D4AF84">
      <w:pPr>
        <w:widowControl/>
        <w:tabs>
          <w:tab w:val="left" w:pos="2387"/>
        </w:tabs>
        <w:spacing w:line="360" w:lineRule="auto"/>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联 系 人：朱鋆熙</w:t>
      </w:r>
    </w:p>
    <w:p w14:paraId="721AC5FE">
      <w:pPr>
        <w:pStyle w:val="15"/>
        <w:spacing w:before="0" w:beforeAutospacing="0" w:after="0" w:afterAutospacing="0" w:line="360" w:lineRule="auto"/>
        <w:ind w:firstLine="420" w:firstLineChars="200"/>
        <w:rPr>
          <w:rFonts w:hint="default" w:eastAsia="宋体"/>
          <w:color w:val="auto"/>
          <w:sz w:val="21"/>
          <w:szCs w:val="21"/>
          <w:highlight w:val="none"/>
          <w:lang w:val="en-US" w:eastAsia="zh-CN"/>
        </w:rPr>
      </w:pPr>
      <w:r>
        <w:rPr>
          <w:rFonts w:hint="eastAsia" w:ascii="Times New Roman" w:hAnsi="Times New Roman"/>
          <w:color w:val="auto"/>
          <w:kern w:val="2"/>
          <w:sz w:val="21"/>
          <w:szCs w:val="21"/>
          <w:highlight w:val="none"/>
        </w:rPr>
        <w:t>电   话：</w:t>
      </w:r>
      <w:r>
        <w:rPr>
          <w:rFonts w:hint="eastAsia" w:ascii="Times New Roman" w:hAnsi="Times New Roman"/>
          <w:color w:val="auto"/>
          <w:kern w:val="2"/>
          <w:sz w:val="21"/>
          <w:szCs w:val="21"/>
          <w:highlight w:val="none"/>
          <w:lang w:val="en-US" w:eastAsia="zh-CN"/>
        </w:rPr>
        <w:t>0513-59001920</w:t>
      </w:r>
    </w:p>
    <w:p w14:paraId="58FC1F2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 xml:space="preserve">                              </w:t>
      </w:r>
    </w:p>
    <w:p w14:paraId="369ADE33">
      <w:pPr>
        <w:jc w:val="right"/>
        <w:rPr>
          <w:rFonts w:hint="eastAsia" w:ascii="宋体" w:hAnsi="宋体" w:cs="宋体"/>
          <w:color w:val="auto"/>
          <w:spacing w:val="4"/>
          <w:highlight w:val="none"/>
        </w:rPr>
      </w:pPr>
      <w:r>
        <w:rPr>
          <w:rFonts w:hint="eastAsia" w:ascii="宋体" w:hAnsi="宋体" w:cs="宋体"/>
          <w:color w:val="auto"/>
          <w:spacing w:val="4"/>
          <w:highlight w:val="none"/>
        </w:rPr>
        <w:t>2025年</w:t>
      </w:r>
      <w:r>
        <w:rPr>
          <w:rFonts w:hint="eastAsia" w:ascii="宋体" w:hAnsi="宋体" w:cs="宋体"/>
          <w:color w:val="auto"/>
          <w:spacing w:val="4"/>
          <w:highlight w:val="none"/>
          <w:lang w:val="en-US" w:eastAsia="zh-CN"/>
        </w:rPr>
        <w:t>11</w:t>
      </w:r>
      <w:r>
        <w:rPr>
          <w:rFonts w:hint="eastAsia" w:ascii="宋体" w:hAnsi="宋体" w:cs="宋体"/>
          <w:color w:val="auto"/>
          <w:spacing w:val="4"/>
          <w:highlight w:val="none"/>
        </w:rPr>
        <w:t>月</w:t>
      </w:r>
      <w:r>
        <w:rPr>
          <w:rFonts w:hint="eastAsia" w:ascii="宋体" w:hAnsi="宋体" w:cs="宋体"/>
          <w:color w:val="auto"/>
          <w:spacing w:val="4"/>
          <w:highlight w:val="none"/>
          <w:lang w:val="en-US" w:eastAsia="zh-CN"/>
        </w:rPr>
        <w:t>3</w:t>
      </w:r>
      <w:r>
        <w:rPr>
          <w:rFonts w:hint="eastAsia" w:ascii="宋体" w:hAnsi="宋体" w:cs="宋体"/>
          <w:color w:val="auto"/>
          <w:spacing w:val="4"/>
          <w:highlight w:val="none"/>
        </w:rPr>
        <w:t>日</w:t>
      </w:r>
    </w:p>
    <w:p w14:paraId="4BA3A458">
      <w:pPr>
        <w:rPr>
          <w:rFonts w:hint="eastAsia" w:ascii="宋体" w:hAnsi="宋体" w:cs="宋体"/>
          <w:color w:val="auto"/>
          <w:spacing w:val="4"/>
          <w:highlight w:val="none"/>
        </w:rPr>
      </w:pPr>
      <w:r>
        <w:rPr>
          <w:rFonts w:hint="eastAsia" w:ascii="宋体" w:hAnsi="宋体" w:cs="宋体"/>
          <w:color w:val="auto"/>
          <w:spacing w:val="4"/>
          <w:highlight w:val="none"/>
        </w:rPr>
        <w:br w:type="page"/>
      </w:r>
    </w:p>
    <w:p w14:paraId="7344498B">
      <w:pPr>
        <w:jc w:val="left"/>
        <w:rPr>
          <w:rFonts w:hint="eastAsia" w:ascii="宋体" w:hAnsi="宋体" w:cs="宋体"/>
          <w:color w:val="auto"/>
          <w:spacing w:val="4"/>
          <w:sz w:val="30"/>
          <w:szCs w:val="30"/>
          <w:highlight w:val="none"/>
          <w:lang w:val="en-US" w:eastAsia="zh-CN"/>
        </w:rPr>
      </w:pPr>
      <w:r>
        <w:rPr>
          <w:rFonts w:hint="eastAsia" w:ascii="宋体" w:hAnsi="宋体" w:cs="宋体"/>
          <w:color w:val="auto"/>
          <w:spacing w:val="4"/>
          <w:sz w:val="30"/>
          <w:szCs w:val="30"/>
          <w:highlight w:val="none"/>
          <w:lang w:val="en-US" w:eastAsia="zh-CN"/>
        </w:rPr>
        <w:t>附件：</w:t>
      </w:r>
    </w:p>
    <w:p w14:paraId="26731A99">
      <w:pPr>
        <w:spacing w:line="420" w:lineRule="exact"/>
        <w:jc w:val="center"/>
        <w:rPr>
          <w:rFonts w:hint="eastAsia"/>
          <w:b/>
          <w:color w:val="auto"/>
          <w:kern w:val="0"/>
          <w:sz w:val="32"/>
          <w:szCs w:val="20"/>
          <w:highlight w:val="none"/>
        </w:rPr>
      </w:pPr>
      <w:r>
        <w:rPr>
          <w:rFonts w:hint="eastAsia"/>
          <w:b/>
          <w:color w:val="auto"/>
          <w:kern w:val="0"/>
          <w:sz w:val="32"/>
          <w:szCs w:val="20"/>
          <w:highlight w:val="none"/>
        </w:rPr>
        <w:t>申请函</w:t>
      </w:r>
    </w:p>
    <w:p w14:paraId="08658A4F">
      <w:pPr>
        <w:spacing w:line="420" w:lineRule="exact"/>
        <w:jc w:val="left"/>
        <w:rPr>
          <w:rFonts w:hint="eastAsia"/>
          <w:b/>
          <w:color w:val="auto"/>
          <w:kern w:val="0"/>
          <w:sz w:val="32"/>
          <w:szCs w:val="20"/>
          <w:highlight w:val="none"/>
        </w:rPr>
      </w:pPr>
    </w:p>
    <w:p w14:paraId="61386979">
      <w:pPr>
        <w:snapToGrid w:val="0"/>
        <w:spacing w:line="360" w:lineRule="auto"/>
        <w:jc w:val="left"/>
        <w:rPr>
          <w:rFonts w:hint="eastAsia" w:ascii="宋体" w:hAnsi="宋体" w:cs="宋体"/>
          <w:b/>
          <w:color w:val="auto"/>
          <w:kern w:val="0"/>
          <w:sz w:val="24"/>
          <w:highlight w:val="none"/>
          <w:u w:val="single"/>
        </w:rPr>
      </w:pPr>
      <w:r>
        <w:rPr>
          <w:rFonts w:hint="eastAsia" w:ascii="宋体" w:hAnsi="宋体" w:cs="宋体"/>
          <w:b/>
          <w:color w:val="auto"/>
          <w:kern w:val="0"/>
          <w:sz w:val="24"/>
          <w:highlight w:val="none"/>
        </w:rPr>
        <w:t>致：</w:t>
      </w:r>
      <w:r>
        <w:rPr>
          <w:rFonts w:hint="eastAsia" w:ascii="宋体" w:hAnsi="宋体" w:cs="宋体"/>
          <w:b/>
          <w:bCs/>
          <w:color w:val="auto"/>
          <w:spacing w:val="7"/>
          <w:kern w:val="0"/>
          <w:sz w:val="24"/>
          <w:highlight w:val="none"/>
          <w:u w:val="single"/>
        </w:rPr>
        <w:t>南通市交通公共事业发展中心</w:t>
      </w:r>
    </w:p>
    <w:p w14:paraId="36ADFE82">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我公司已获悉贵单位发出的</w:t>
      </w:r>
      <w:r>
        <w:rPr>
          <w:rFonts w:hint="eastAsia" w:ascii="宋体" w:hAnsi="宋体" w:cs="宋体"/>
          <w:color w:val="auto"/>
          <w:spacing w:val="7"/>
          <w:kern w:val="0"/>
          <w:sz w:val="24"/>
          <w:highlight w:val="none"/>
          <w:u w:val="single"/>
          <w:lang w:eastAsia="zh-CN"/>
        </w:rPr>
        <w:t>南通市交通公共事业发展中心房屋修缮工程</w:t>
      </w:r>
      <w:r>
        <w:rPr>
          <w:rFonts w:hint="eastAsia" w:ascii="宋体" w:hAnsi="宋体" w:cs="宋体"/>
          <w:color w:val="auto"/>
          <w:spacing w:val="7"/>
          <w:kern w:val="0"/>
          <w:sz w:val="24"/>
          <w:highlight w:val="none"/>
        </w:rPr>
        <w:t>招标公告</w:t>
      </w:r>
      <w:r>
        <w:rPr>
          <w:rFonts w:hint="eastAsia" w:ascii="宋体" w:hAnsi="宋体" w:cs="宋体"/>
          <w:color w:val="auto"/>
          <w:kern w:val="0"/>
          <w:sz w:val="24"/>
          <w:highlight w:val="none"/>
        </w:rPr>
        <w:t>，经研究，我单位拟参加本项目投标，现申请获取招标文件。</w:t>
      </w:r>
    </w:p>
    <w:p w14:paraId="6DDAD5B8">
      <w:pPr>
        <w:snapToGrid w:val="0"/>
        <w:spacing w:line="360" w:lineRule="auto"/>
        <w:ind w:firstLine="480" w:firstLineChars="200"/>
        <w:jc w:val="left"/>
        <w:rPr>
          <w:rFonts w:hint="eastAsia" w:ascii="宋体" w:hAnsi="宋体" w:cs="宋体"/>
          <w:color w:val="auto"/>
          <w:kern w:val="0"/>
          <w:sz w:val="24"/>
          <w:highlight w:val="none"/>
        </w:rPr>
      </w:pPr>
    </w:p>
    <w:p w14:paraId="18BDC171">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p>
    <w:p w14:paraId="350B74A7">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p>
    <w:p w14:paraId="5DEAE340">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单位地址</w:t>
      </w:r>
    </w:p>
    <w:p w14:paraId="3C724CB6">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E-MAIL地址：</w:t>
      </w:r>
    </w:p>
    <w:p w14:paraId="46BA1A3F">
      <w:pPr>
        <w:spacing w:line="360" w:lineRule="auto"/>
        <w:jc w:val="left"/>
        <w:rPr>
          <w:rFonts w:hint="eastAsia" w:cs="宋体"/>
          <w:color w:val="auto"/>
          <w:kern w:val="0"/>
          <w:sz w:val="24"/>
          <w:highlight w:val="none"/>
          <w:lang w:val="zh-CN"/>
        </w:rPr>
      </w:pPr>
    </w:p>
    <w:p w14:paraId="33FABF7C">
      <w:pPr>
        <w:spacing w:line="360" w:lineRule="auto"/>
        <w:jc w:val="left"/>
        <w:rPr>
          <w:rFonts w:hint="eastAsia" w:cs="宋体"/>
          <w:b/>
          <w:color w:val="auto"/>
          <w:kern w:val="0"/>
          <w:sz w:val="24"/>
          <w:highlight w:val="none"/>
          <w:lang w:val="zh-CN"/>
        </w:rPr>
      </w:pPr>
    </w:p>
    <w:p w14:paraId="7F935588">
      <w:pPr>
        <w:spacing w:line="360" w:lineRule="auto"/>
        <w:jc w:val="left"/>
        <w:rPr>
          <w:rFonts w:hint="eastAsia" w:cs="宋体"/>
          <w:b/>
          <w:color w:val="auto"/>
          <w:kern w:val="0"/>
          <w:sz w:val="24"/>
          <w:highlight w:val="none"/>
          <w:lang w:val="zh-CN"/>
        </w:rPr>
      </w:pPr>
    </w:p>
    <w:p w14:paraId="6CC11276">
      <w:pPr>
        <w:spacing w:line="360" w:lineRule="auto"/>
        <w:jc w:val="left"/>
        <w:rPr>
          <w:rFonts w:hint="eastAsia" w:cs="宋体"/>
          <w:b/>
          <w:color w:val="auto"/>
          <w:kern w:val="0"/>
          <w:sz w:val="24"/>
          <w:highlight w:val="none"/>
          <w:lang w:val="zh-CN"/>
        </w:rPr>
      </w:pPr>
    </w:p>
    <w:p w14:paraId="1B7DF680">
      <w:pPr>
        <w:spacing w:line="360" w:lineRule="auto"/>
        <w:ind w:firstLine="5280" w:firstLineChars="2200"/>
        <w:jc w:val="left"/>
        <w:rPr>
          <w:rFonts w:hint="eastAsia" w:cs="宋体"/>
          <w:color w:val="auto"/>
          <w:kern w:val="0"/>
          <w:sz w:val="24"/>
          <w:highlight w:val="none"/>
          <w:u w:val="single"/>
          <w:lang w:val="zh-CN"/>
        </w:rPr>
      </w:pPr>
      <w:r>
        <w:rPr>
          <w:rFonts w:hint="eastAsia" w:cs="宋体"/>
          <w:color w:val="auto"/>
          <w:kern w:val="0"/>
          <w:sz w:val="24"/>
          <w:highlight w:val="none"/>
          <w:lang w:val="zh-CN"/>
        </w:rPr>
        <w:t>单位：</w:t>
      </w:r>
      <w:r>
        <w:rPr>
          <w:rFonts w:hint="eastAsia" w:cs="宋体"/>
          <w:color w:val="auto"/>
          <w:kern w:val="0"/>
          <w:sz w:val="24"/>
          <w:highlight w:val="none"/>
          <w:u w:val="single"/>
          <w:lang w:val="zh-CN"/>
        </w:rPr>
        <w:t xml:space="preserve"> （盖章）                 </w:t>
      </w:r>
    </w:p>
    <w:p w14:paraId="437E79F0">
      <w:pPr>
        <w:spacing w:line="360" w:lineRule="auto"/>
        <w:ind w:firstLine="6470" w:firstLineChars="2696"/>
        <w:jc w:val="left"/>
        <w:rPr>
          <w:rFonts w:hint="eastAsia"/>
          <w:color w:val="auto"/>
          <w:kern w:val="0"/>
          <w:sz w:val="24"/>
          <w:highlight w:val="none"/>
        </w:rPr>
      </w:pPr>
      <w:r>
        <w:rPr>
          <w:rFonts w:hint="eastAsia" w:cs="宋体"/>
          <w:color w:val="auto"/>
          <w:kern w:val="0"/>
          <w:sz w:val="24"/>
          <w:highlight w:val="none"/>
          <w:lang w:val="zh-CN"/>
        </w:rPr>
        <w:t>年   月   日</w:t>
      </w:r>
    </w:p>
    <w:p w14:paraId="7998518D">
      <w:pPr>
        <w:jc w:val="left"/>
        <w:rPr>
          <w:rFonts w:hint="eastAsia" w:ascii="宋体" w:hAnsi="宋体" w:cs="宋体"/>
          <w:color w:val="auto"/>
          <w:spacing w:val="4"/>
          <w:sz w:val="30"/>
          <w:szCs w:val="30"/>
          <w:highlight w:val="none"/>
          <w:lang w:val="en-US" w:eastAsia="zh-CN"/>
        </w:rPr>
      </w:pPr>
    </w:p>
    <w:p w14:paraId="4C1DFEC8">
      <w:pPr>
        <w:pStyle w:val="3"/>
        <w:spacing w:before="120" w:beforeLines="50" w:after="120" w:afterLines="50" w:line="240" w:lineRule="auto"/>
        <w:jc w:val="center"/>
        <w:rPr>
          <w:rFonts w:hint="default" w:eastAsia="宋体" w:cs="黑体"/>
          <w:b w:val="0"/>
          <w:bCs w:val="0"/>
          <w:color w:val="auto"/>
          <w:highlight w:val="none"/>
          <w:lang w:val="en-US" w:eastAsia="zh-CN"/>
        </w:rPr>
      </w:pPr>
      <w:r>
        <w:rPr>
          <w:rFonts w:hint="eastAsia" w:cs="黑体"/>
          <w:b w:val="0"/>
          <w:bCs w:val="0"/>
          <w:color w:val="auto"/>
          <w:highlight w:val="none"/>
        </w:rPr>
        <w:br w:type="page"/>
      </w:r>
    </w:p>
    <w:p w14:paraId="686B7D22">
      <w:pPr>
        <w:pStyle w:val="3"/>
        <w:spacing w:before="120" w:beforeLines="50" w:after="120" w:afterLines="50" w:line="240" w:lineRule="auto"/>
        <w:jc w:val="center"/>
        <w:rPr>
          <w:rFonts w:cs="宋体"/>
          <w:color w:val="auto"/>
          <w:sz w:val="24"/>
          <w:szCs w:val="24"/>
          <w:highlight w:val="none"/>
        </w:rPr>
      </w:pPr>
      <w:r>
        <w:rPr>
          <w:rFonts w:hint="eastAsia" w:cs="黑体"/>
          <w:b w:val="0"/>
          <w:bCs w:val="0"/>
          <w:color w:val="auto"/>
          <w:highlight w:val="none"/>
        </w:rPr>
        <w:t>第</w:t>
      </w:r>
      <w:r>
        <w:rPr>
          <w:rFonts w:hint="eastAsia" w:cs="黑体"/>
          <w:b w:val="0"/>
          <w:bCs w:val="0"/>
          <w:color w:val="auto"/>
          <w:highlight w:val="none"/>
          <w:lang w:val="en-US" w:eastAsia="zh-CN"/>
        </w:rPr>
        <w:t>二</w:t>
      </w:r>
      <w:r>
        <w:rPr>
          <w:rFonts w:hint="eastAsia" w:cs="黑体"/>
          <w:b w:val="0"/>
          <w:bCs w:val="0"/>
          <w:color w:val="auto"/>
          <w:highlight w:val="none"/>
        </w:rPr>
        <w:t>章投标人</w:t>
      </w:r>
      <w:bookmarkStart w:id="279" w:name="_GoBack"/>
      <w:bookmarkEnd w:id="279"/>
      <w:r>
        <w:rPr>
          <w:rFonts w:hint="eastAsia" w:cs="黑体"/>
          <w:b w:val="0"/>
          <w:bCs w:val="0"/>
          <w:color w:val="auto"/>
          <w:highlight w:val="none"/>
        </w:rPr>
        <w:t>须知</w:t>
      </w:r>
      <w:bookmarkEnd w:id="11"/>
      <w:bookmarkEnd w:id="12"/>
      <w:bookmarkEnd w:id="13"/>
      <w:bookmarkEnd w:id="14"/>
      <w:bookmarkEnd w:id="15"/>
      <w:bookmarkEnd w:id="16"/>
      <w:bookmarkEnd w:id="17"/>
      <w:bookmarkEnd w:id="18"/>
      <w:bookmarkEnd w:id="19"/>
      <w:bookmarkEnd w:id="20"/>
      <w:bookmarkEnd w:id="21"/>
      <w:bookmarkEnd w:id="22"/>
      <w:bookmarkEnd w:id="23"/>
      <w:bookmarkStart w:id="67" w:name="_Toc12135"/>
      <w:bookmarkStart w:id="68" w:name="_Toc152042304"/>
      <w:bookmarkStart w:id="69" w:name="_Toc144974496"/>
      <w:bookmarkStart w:id="70" w:name="_Toc179632545"/>
      <w:bookmarkStart w:id="71" w:name="_Toc234675075"/>
      <w:bookmarkStart w:id="72" w:name="_Toc234744443"/>
      <w:bookmarkStart w:id="73" w:name="_Toc460366496"/>
      <w:bookmarkStart w:id="74" w:name="_Toc238559184"/>
      <w:bookmarkStart w:id="75" w:name="_Toc152045528"/>
    </w:p>
    <w:p w14:paraId="1F0DAD39">
      <w:pPr>
        <w:adjustRightInd w:val="0"/>
        <w:snapToGrid w:val="0"/>
        <w:spacing w:line="360" w:lineRule="auto"/>
        <w:ind w:left="228" w:right="-20"/>
        <w:rPr>
          <w:rFonts w:cs="宋体"/>
          <w:color w:val="auto"/>
          <w:sz w:val="24"/>
          <w:szCs w:val="24"/>
          <w:highlight w:val="none"/>
        </w:rPr>
      </w:pPr>
    </w:p>
    <w:tbl>
      <w:tblPr>
        <w:tblStyle w:val="18"/>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2"/>
        <w:gridCol w:w="1688"/>
        <w:gridCol w:w="5689"/>
      </w:tblGrid>
      <w:tr w14:paraId="73CF6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901" w:type="pct"/>
            <w:vAlign w:val="center"/>
          </w:tcPr>
          <w:p w14:paraId="62471D35">
            <w:pPr>
              <w:widowControl/>
              <w:adjustRightInd w:val="0"/>
              <w:snapToGrid w:val="0"/>
              <w:jc w:val="center"/>
              <w:rPr>
                <w:rFonts w:cs="宋体"/>
                <w:color w:val="auto"/>
                <w:highlight w:val="none"/>
              </w:rPr>
            </w:pPr>
            <w:r>
              <w:rPr>
                <w:rFonts w:hint="eastAsia" w:cs="宋体"/>
                <w:color w:val="auto"/>
                <w:kern w:val="0"/>
                <w:highlight w:val="none"/>
              </w:rPr>
              <w:t>条款号</w:t>
            </w:r>
          </w:p>
        </w:tc>
        <w:tc>
          <w:tcPr>
            <w:tcW w:w="937" w:type="pct"/>
            <w:vAlign w:val="center"/>
          </w:tcPr>
          <w:p w14:paraId="3CF24553">
            <w:pPr>
              <w:widowControl/>
              <w:adjustRightInd w:val="0"/>
              <w:snapToGrid w:val="0"/>
              <w:jc w:val="center"/>
              <w:rPr>
                <w:rFonts w:cs="宋体"/>
                <w:color w:val="auto"/>
                <w:highlight w:val="none"/>
              </w:rPr>
            </w:pPr>
            <w:r>
              <w:rPr>
                <w:rFonts w:hint="eastAsia" w:cs="宋体"/>
                <w:color w:val="auto"/>
                <w:kern w:val="0"/>
                <w:highlight w:val="none"/>
              </w:rPr>
              <w:t>条款名称</w:t>
            </w:r>
          </w:p>
        </w:tc>
        <w:tc>
          <w:tcPr>
            <w:tcW w:w="3160" w:type="pct"/>
            <w:vAlign w:val="center"/>
          </w:tcPr>
          <w:p w14:paraId="08F7A4B1">
            <w:pPr>
              <w:widowControl/>
              <w:adjustRightInd w:val="0"/>
              <w:snapToGrid w:val="0"/>
              <w:jc w:val="center"/>
              <w:rPr>
                <w:rFonts w:cs="宋体"/>
                <w:color w:val="auto"/>
                <w:highlight w:val="none"/>
              </w:rPr>
            </w:pPr>
            <w:r>
              <w:rPr>
                <w:rFonts w:hint="eastAsia" w:cs="宋体"/>
                <w:color w:val="auto"/>
                <w:kern w:val="0"/>
                <w:highlight w:val="none"/>
              </w:rPr>
              <w:t>编列内容</w:t>
            </w:r>
          </w:p>
        </w:tc>
      </w:tr>
      <w:tr w14:paraId="2EE01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B89AFB5">
            <w:pPr>
              <w:widowControl/>
              <w:adjustRightInd w:val="0"/>
              <w:snapToGrid w:val="0"/>
              <w:jc w:val="center"/>
              <w:rPr>
                <w:rFonts w:cs="宋体"/>
                <w:color w:val="auto"/>
                <w:highlight w:val="none"/>
              </w:rPr>
            </w:pPr>
            <w:r>
              <w:rPr>
                <w:rFonts w:hint="eastAsia" w:cs="宋体"/>
                <w:color w:val="auto"/>
                <w:kern w:val="0"/>
                <w:highlight w:val="none"/>
              </w:rPr>
              <w:t>1.1.2</w:t>
            </w:r>
          </w:p>
        </w:tc>
        <w:tc>
          <w:tcPr>
            <w:tcW w:w="937" w:type="pct"/>
            <w:vAlign w:val="center"/>
          </w:tcPr>
          <w:p w14:paraId="25F3993B">
            <w:pPr>
              <w:widowControl/>
              <w:adjustRightInd w:val="0"/>
              <w:snapToGrid w:val="0"/>
              <w:jc w:val="center"/>
              <w:rPr>
                <w:rFonts w:cs="宋体"/>
                <w:color w:val="auto"/>
                <w:highlight w:val="none"/>
              </w:rPr>
            </w:pPr>
            <w:r>
              <w:rPr>
                <w:rFonts w:hint="eastAsia" w:cs="宋体"/>
                <w:color w:val="auto"/>
                <w:kern w:val="0"/>
                <w:highlight w:val="none"/>
              </w:rPr>
              <w:t>招标人</w:t>
            </w:r>
          </w:p>
        </w:tc>
        <w:tc>
          <w:tcPr>
            <w:tcW w:w="3160" w:type="pct"/>
            <w:vAlign w:val="center"/>
          </w:tcPr>
          <w:p w14:paraId="340B88EE">
            <w:pPr>
              <w:widowControl/>
              <w:adjustRightInd w:val="0"/>
              <w:snapToGrid w:val="0"/>
              <w:jc w:val="left"/>
              <w:rPr>
                <w:rFonts w:ascii="宋体" w:hAnsi="宋体" w:cs="宋体"/>
                <w:color w:val="auto"/>
                <w:kern w:val="0"/>
                <w:highlight w:val="none"/>
              </w:rPr>
            </w:pPr>
            <w:r>
              <w:rPr>
                <w:rFonts w:hint="eastAsia" w:ascii="宋体" w:hAnsi="宋体" w:cs="宋体"/>
                <w:color w:val="auto"/>
                <w:kern w:val="0"/>
                <w:highlight w:val="none"/>
              </w:rPr>
              <w:t>招标人：南通市交通公共事业发展中心</w:t>
            </w:r>
          </w:p>
          <w:p w14:paraId="34C90F7E">
            <w:pPr>
              <w:widowControl/>
              <w:adjustRightInd w:val="0"/>
              <w:snapToGrid w:val="0"/>
              <w:jc w:val="left"/>
              <w:rPr>
                <w:rFonts w:ascii="宋体" w:hAnsi="宋体" w:cs="宋体"/>
                <w:color w:val="auto"/>
                <w:kern w:val="0"/>
                <w:highlight w:val="none"/>
              </w:rPr>
            </w:pPr>
            <w:r>
              <w:rPr>
                <w:rFonts w:hint="eastAsia" w:ascii="宋体" w:hAnsi="宋体" w:cs="宋体"/>
                <w:color w:val="auto"/>
                <w:kern w:val="0"/>
                <w:highlight w:val="none"/>
              </w:rPr>
              <w:t>地  址： 南通市通京大道8号</w:t>
            </w:r>
          </w:p>
          <w:p w14:paraId="16F72288">
            <w:pPr>
              <w:rPr>
                <w:rFonts w:hint="eastAsia" w:ascii="宋体" w:hAnsi="宋体" w:cs="宋体"/>
                <w:color w:val="auto"/>
                <w:kern w:val="0"/>
                <w:highlight w:val="none"/>
              </w:rPr>
            </w:pPr>
            <w:r>
              <w:rPr>
                <w:rFonts w:hint="eastAsia" w:ascii="宋体" w:hAnsi="宋体" w:cs="宋体"/>
                <w:color w:val="auto"/>
                <w:kern w:val="0"/>
                <w:highlight w:val="none"/>
              </w:rPr>
              <w:t>联 系 人：朱鋆熙，</w:t>
            </w:r>
          </w:p>
          <w:p w14:paraId="53152008">
            <w:pPr>
              <w:rPr>
                <w:rFonts w:hint="default" w:eastAsia="宋体"/>
                <w:color w:val="auto"/>
                <w:spacing w:val="4"/>
                <w:highlight w:val="none"/>
                <w:lang w:val="en-US" w:eastAsia="zh-CN"/>
              </w:rPr>
            </w:pPr>
            <w:r>
              <w:rPr>
                <w:rFonts w:hint="eastAsia" w:ascii="宋体" w:hAnsi="宋体" w:cs="宋体"/>
                <w:color w:val="auto"/>
                <w:kern w:val="0"/>
                <w:highlight w:val="none"/>
              </w:rPr>
              <w:t>电   话：0513-59001920</w:t>
            </w:r>
          </w:p>
        </w:tc>
      </w:tr>
      <w:tr w14:paraId="7C364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E465AB8">
            <w:pPr>
              <w:widowControl/>
              <w:adjustRightInd w:val="0"/>
              <w:snapToGrid w:val="0"/>
              <w:jc w:val="center"/>
              <w:rPr>
                <w:rFonts w:cs="宋体"/>
                <w:color w:val="auto"/>
                <w:highlight w:val="none"/>
              </w:rPr>
            </w:pPr>
            <w:r>
              <w:rPr>
                <w:rFonts w:hint="eastAsia" w:cs="宋体"/>
                <w:color w:val="auto"/>
                <w:kern w:val="0"/>
                <w:highlight w:val="none"/>
              </w:rPr>
              <w:t>1.1.3</w:t>
            </w:r>
          </w:p>
        </w:tc>
        <w:tc>
          <w:tcPr>
            <w:tcW w:w="937" w:type="pct"/>
            <w:vAlign w:val="center"/>
          </w:tcPr>
          <w:p w14:paraId="2BD4CE5F">
            <w:pPr>
              <w:widowControl/>
              <w:adjustRightInd w:val="0"/>
              <w:snapToGrid w:val="0"/>
              <w:jc w:val="center"/>
              <w:rPr>
                <w:rFonts w:cs="宋体"/>
                <w:color w:val="auto"/>
                <w:highlight w:val="none"/>
              </w:rPr>
            </w:pPr>
            <w:r>
              <w:rPr>
                <w:rFonts w:hint="eastAsia" w:cs="宋体"/>
                <w:color w:val="auto"/>
                <w:kern w:val="0"/>
                <w:highlight w:val="none"/>
              </w:rPr>
              <w:t>招标代理机构</w:t>
            </w:r>
          </w:p>
        </w:tc>
        <w:tc>
          <w:tcPr>
            <w:tcW w:w="3160" w:type="pct"/>
            <w:vAlign w:val="center"/>
          </w:tcPr>
          <w:p w14:paraId="7898667F">
            <w:pPr>
              <w:rPr>
                <w:rFonts w:cs="宋体"/>
                <w:color w:val="auto"/>
                <w:spacing w:val="4"/>
                <w:highlight w:val="none"/>
              </w:rPr>
            </w:pPr>
            <w:r>
              <w:rPr>
                <w:rFonts w:hint="eastAsia" w:ascii="宋体" w:hAnsi="宋体" w:cs="宋体"/>
                <w:color w:val="auto"/>
                <w:highlight w:val="none"/>
              </w:rPr>
              <w:t>/</w:t>
            </w:r>
          </w:p>
        </w:tc>
      </w:tr>
      <w:tr w14:paraId="63457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59A2578B">
            <w:pPr>
              <w:widowControl/>
              <w:adjustRightInd w:val="0"/>
              <w:snapToGrid w:val="0"/>
              <w:jc w:val="center"/>
              <w:rPr>
                <w:rFonts w:cs="宋体"/>
                <w:color w:val="auto"/>
                <w:highlight w:val="none"/>
              </w:rPr>
            </w:pPr>
            <w:r>
              <w:rPr>
                <w:rFonts w:hint="eastAsia" w:cs="宋体"/>
                <w:color w:val="auto"/>
                <w:kern w:val="0"/>
                <w:highlight w:val="none"/>
              </w:rPr>
              <w:t>1.1.4</w:t>
            </w:r>
          </w:p>
        </w:tc>
        <w:tc>
          <w:tcPr>
            <w:tcW w:w="937" w:type="pct"/>
            <w:vAlign w:val="center"/>
          </w:tcPr>
          <w:p w14:paraId="6B4F6936">
            <w:pPr>
              <w:widowControl/>
              <w:adjustRightInd w:val="0"/>
              <w:snapToGrid w:val="0"/>
              <w:jc w:val="center"/>
              <w:rPr>
                <w:rFonts w:cs="宋体"/>
                <w:color w:val="auto"/>
                <w:highlight w:val="none"/>
              </w:rPr>
            </w:pPr>
            <w:r>
              <w:rPr>
                <w:rFonts w:hint="eastAsia" w:cs="宋体"/>
                <w:color w:val="auto"/>
                <w:kern w:val="0"/>
                <w:highlight w:val="none"/>
              </w:rPr>
              <w:t>招标项目名称</w:t>
            </w:r>
          </w:p>
        </w:tc>
        <w:tc>
          <w:tcPr>
            <w:tcW w:w="3160" w:type="pct"/>
            <w:vAlign w:val="center"/>
          </w:tcPr>
          <w:p w14:paraId="105E4383">
            <w:pPr>
              <w:widowControl/>
              <w:adjustRightInd w:val="0"/>
              <w:snapToGrid w:val="0"/>
              <w:rPr>
                <w:rFonts w:cs="宋体"/>
                <w:color w:val="auto"/>
                <w:highlight w:val="none"/>
              </w:rPr>
            </w:pPr>
            <w:r>
              <w:rPr>
                <w:rFonts w:hint="eastAsia" w:cs="宋体"/>
                <w:color w:val="auto"/>
                <w:highlight w:val="none"/>
                <w:lang w:eastAsia="zh-CN"/>
              </w:rPr>
              <w:t>南通市交通公共事业发展中心房屋修缮工程</w:t>
            </w:r>
          </w:p>
        </w:tc>
      </w:tr>
      <w:tr w14:paraId="3B00E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EADDC55">
            <w:pPr>
              <w:widowControl/>
              <w:adjustRightInd w:val="0"/>
              <w:snapToGrid w:val="0"/>
              <w:jc w:val="center"/>
              <w:rPr>
                <w:rFonts w:cs="宋体"/>
                <w:color w:val="auto"/>
                <w:highlight w:val="none"/>
              </w:rPr>
            </w:pPr>
            <w:r>
              <w:rPr>
                <w:rFonts w:hint="eastAsia" w:cs="宋体"/>
                <w:color w:val="auto"/>
                <w:kern w:val="0"/>
                <w:highlight w:val="none"/>
              </w:rPr>
              <w:t>1.1.5</w:t>
            </w:r>
          </w:p>
        </w:tc>
        <w:tc>
          <w:tcPr>
            <w:tcW w:w="937" w:type="pct"/>
            <w:vAlign w:val="center"/>
          </w:tcPr>
          <w:p w14:paraId="02204272">
            <w:pPr>
              <w:widowControl/>
              <w:adjustRightInd w:val="0"/>
              <w:snapToGrid w:val="0"/>
              <w:jc w:val="center"/>
              <w:rPr>
                <w:rFonts w:cs="宋体"/>
                <w:color w:val="auto"/>
                <w:highlight w:val="none"/>
              </w:rPr>
            </w:pPr>
            <w:r>
              <w:rPr>
                <w:rFonts w:hint="eastAsia" w:cs="宋体"/>
                <w:color w:val="auto"/>
                <w:kern w:val="0"/>
                <w:highlight w:val="none"/>
              </w:rPr>
              <w:t>标段建设地点</w:t>
            </w:r>
          </w:p>
        </w:tc>
        <w:tc>
          <w:tcPr>
            <w:tcW w:w="3160" w:type="pct"/>
            <w:vAlign w:val="center"/>
          </w:tcPr>
          <w:p w14:paraId="5ABAA7F9">
            <w:pPr>
              <w:widowControl/>
              <w:adjustRightInd w:val="0"/>
              <w:snapToGrid w:val="0"/>
              <w:rPr>
                <w:rFonts w:cs="宋体"/>
                <w:color w:val="auto"/>
                <w:highlight w:val="none"/>
              </w:rPr>
            </w:pPr>
            <w:r>
              <w:rPr>
                <w:rFonts w:hint="eastAsia" w:cs="宋体"/>
                <w:color w:val="auto"/>
                <w:highlight w:val="none"/>
              </w:rPr>
              <w:t>南通市交通公共事业发展中心</w:t>
            </w:r>
          </w:p>
        </w:tc>
      </w:tr>
      <w:tr w14:paraId="7636F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04663E9">
            <w:pPr>
              <w:widowControl/>
              <w:adjustRightInd w:val="0"/>
              <w:snapToGrid w:val="0"/>
              <w:jc w:val="center"/>
              <w:rPr>
                <w:rFonts w:cs="宋体"/>
                <w:color w:val="auto"/>
                <w:highlight w:val="none"/>
              </w:rPr>
            </w:pPr>
            <w:r>
              <w:rPr>
                <w:rFonts w:hint="eastAsia" w:cs="宋体"/>
                <w:color w:val="auto"/>
                <w:kern w:val="0"/>
                <w:highlight w:val="none"/>
              </w:rPr>
              <w:t>1.2.1</w:t>
            </w:r>
          </w:p>
        </w:tc>
        <w:tc>
          <w:tcPr>
            <w:tcW w:w="937" w:type="pct"/>
            <w:vAlign w:val="center"/>
          </w:tcPr>
          <w:p w14:paraId="0686A120">
            <w:pPr>
              <w:widowControl/>
              <w:adjustRightInd w:val="0"/>
              <w:snapToGrid w:val="0"/>
              <w:jc w:val="center"/>
              <w:rPr>
                <w:rFonts w:cs="宋体"/>
                <w:color w:val="auto"/>
                <w:highlight w:val="none"/>
              </w:rPr>
            </w:pPr>
            <w:r>
              <w:rPr>
                <w:rFonts w:hint="eastAsia" w:cs="宋体"/>
                <w:color w:val="auto"/>
                <w:kern w:val="0"/>
                <w:highlight w:val="none"/>
              </w:rPr>
              <w:t>资金来源及比例</w:t>
            </w:r>
          </w:p>
        </w:tc>
        <w:tc>
          <w:tcPr>
            <w:tcW w:w="3160" w:type="pct"/>
            <w:vAlign w:val="center"/>
          </w:tcPr>
          <w:p w14:paraId="4A5BD640">
            <w:pPr>
              <w:widowControl/>
              <w:adjustRightInd w:val="0"/>
              <w:snapToGrid w:val="0"/>
              <w:rPr>
                <w:rFonts w:cs="宋体"/>
                <w:color w:val="auto"/>
                <w:highlight w:val="none"/>
              </w:rPr>
            </w:pPr>
            <w:r>
              <w:rPr>
                <w:rFonts w:hint="eastAsia" w:ascii="宋体" w:hAnsi="宋体" w:cs="宋体"/>
                <w:color w:val="auto"/>
                <w:highlight w:val="none"/>
              </w:rPr>
              <w:t>100%</w:t>
            </w:r>
          </w:p>
        </w:tc>
      </w:tr>
      <w:tr w14:paraId="2FDC1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76ADDA5D">
            <w:pPr>
              <w:widowControl/>
              <w:adjustRightInd w:val="0"/>
              <w:snapToGrid w:val="0"/>
              <w:jc w:val="center"/>
              <w:rPr>
                <w:rFonts w:cs="宋体"/>
                <w:color w:val="auto"/>
                <w:highlight w:val="none"/>
              </w:rPr>
            </w:pPr>
            <w:r>
              <w:rPr>
                <w:rFonts w:hint="eastAsia" w:cs="宋体"/>
                <w:color w:val="auto"/>
                <w:kern w:val="0"/>
                <w:highlight w:val="none"/>
              </w:rPr>
              <w:t>1.2.2</w:t>
            </w:r>
          </w:p>
        </w:tc>
        <w:tc>
          <w:tcPr>
            <w:tcW w:w="937" w:type="pct"/>
            <w:vAlign w:val="center"/>
          </w:tcPr>
          <w:p w14:paraId="5E52F6C3">
            <w:pPr>
              <w:widowControl/>
              <w:adjustRightInd w:val="0"/>
              <w:snapToGrid w:val="0"/>
              <w:jc w:val="center"/>
              <w:rPr>
                <w:rFonts w:cs="宋体"/>
                <w:color w:val="auto"/>
                <w:highlight w:val="none"/>
              </w:rPr>
            </w:pPr>
            <w:r>
              <w:rPr>
                <w:rFonts w:hint="eastAsia" w:cs="宋体"/>
                <w:color w:val="auto"/>
                <w:kern w:val="0"/>
                <w:highlight w:val="none"/>
              </w:rPr>
              <w:t>资金落实情况</w:t>
            </w:r>
          </w:p>
        </w:tc>
        <w:tc>
          <w:tcPr>
            <w:tcW w:w="3160" w:type="pct"/>
            <w:vAlign w:val="center"/>
          </w:tcPr>
          <w:p w14:paraId="5542EA3C">
            <w:pPr>
              <w:widowControl/>
              <w:adjustRightInd w:val="0"/>
              <w:snapToGrid w:val="0"/>
              <w:rPr>
                <w:rFonts w:cs="宋体"/>
                <w:color w:val="auto"/>
                <w:highlight w:val="none"/>
              </w:rPr>
            </w:pPr>
            <w:r>
              <w:rPr>
                <w:rFonts w:hint="eastAsia" w:cs="宋体"/>
                <w:color w:val="auto"/>
                <w:spacing w:val="4"/>
                <w:highlight w:val="none"/>
              </w:rPr>
              <w:t>已落实</w:t>
            </w:r>
          </w:p>
        </w:tc>
      </w:tr>
      <w:tr w14:paraId="6ACA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2E19EE6F">
            <w:pPr>
              <w:widowControl/>
              <w:adjustRightInd w:val="0"/>
              <w:snapToGrid w:val="0"/>
              <w:jc w:val="center"/>
              <w:rPr>
                <w:rFonts w:cs="宋体"/>
                <w:color w:val="auto"/>
                <w:highlight w:val="none"/>
              </w:rPr>
            </w:pPr>
            <w:r>
              <w:rPr>
                <w:rFonts w:hint="eastAsia" w:cs="宋体"/>
                <w:color w:val="auto"/>
                <w:kern w:val="0"/>
                <w:highlight w:val="none"/>
              </w:rPr>
              <w:t>1.3.1</w:t>
            </w:r>
          </w:p>
        </w:tc>
        <w:tc>
          <w:tcPr>
            <w:tcW w:w="937" w:type="pct"/>
            <w:vAlign w:val="center"/>
          </w:tcPr>
          <w:p w14:paraId="4D64391E">
            <w:pPr>
              <w:widowControl/>
              <w:adjustRightInd w:val="0"/>
              <w:snapToGrid w:val="0"/>
              <w:jc w:val="center"/>
              <w:rPr>
                <w:rFonts w:cs="宋体"/>
                <w:color w:val="auto"/>
                <w:highlight w:val="none"/>
              </w:rPr>
            </w:pPr>
            <w:r>
              <w:rPr>
                <w:rFonts w:hint="eastAsia" w:cs="宋体"/>
                <w:color w:val="auto"/>
                <w:kern w:val="0"/>
                <w:highlight w:val="none"/>
              </w:rPr>
              <w:t>招标范围</w:t>
            </w:r>
          </w:p>
        </w:tc>
        <w:tc>
          <w:tcPr>
            <w:tcW w:w="3160" w:type="pct"/>
            <w:vAlign w:val="center"/>
          </w:tcPr>
          <w:p w14:paraId="28012A71">
            <w:pPr>
              <w:widowControl/>
              <w:adjustRightInd w:val="0"/>
              <w:snapToGrid w:val="0"/>
              <w:rPr>
                <w:rFonts w:cs="宋体"/>
                <w:color w:val="auto"/>
                <w:highlight w:val="none"/>
              </w:rPr>
            </w:pPr>
            <w:r>
              <w:rPr>
                <w:rFonts w:hint="eastAsia" w:cs="宋体"/>
                <w:color w:val="auto"/>
                <w:spacing w:val="4"/>
                <w:highlight w:val="none"/>
              </w:rPr>
              <w:t>见招标公告</w:t>
            </w:r>
          </w:p>
        </w:tc>
      </w:tr>
      <w:tr w14:paraId="46ED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67EC32E">
            <w:pPr>
              <w:widowControl/>
              <w:adjustRightInd w:val="0"/>
              <w:snapToGrid w:val="0"/>
              <w:jc w:val="center"/>
              <w:rPr>
                <w:rFonts w:cs="宋体"/>
                <w:color w:val="auto"/>
                <w:highlight w:val="none"/>
              </w:rPr>
            </w:pPr>
            <w:r>
              <w:rPr>
                <w:rFonts w:hint="eastAsia" w:cs="宋体"/>
                <w:color w:val="auto"/>
                <w:kern w:val="0"/>
                <w:highlight w:val="none"/>
              </w:rPr>
              <w:t>1.3.2</w:t>
            </w:r>
          </w:p>
        </w:tc>
        <w:tc>
          <w:tcPr>
            <w:tcW w:w="937" w:type="pct"/>
            <w:vAlign w:val="center"/>
          </w:tcPr>
          <w:p w14:paraId="4238FD02">
            <w:pPr>
              <w:widowControl/>
              <w:adjustRightInd w:val="0"/>
              <w:snapToGrid w:val="0"/>
              <w:jc w:val="center"/>
              <w:rPr>
                <w:rFonts w:cs="宋体"/>
                <w:color w:val="auto"/>
                <w:highlight w:val="none"/>
              </w:rPr>
            </w:pPr>
            <w:r>
              <w:rPr>
                <w:rFonts w:hint="eastAsia" w:cs="宋体"/>
                <w:color w:val="auto"/>
                <w:kern w:val="0"/>
                <w:highlight w:val="none"/>
              </w:rPr>
              <w:t>计划工期</w:t>
            </w:r>
          </w:p>
        </w:tc>
        <w:tc>
          <w:tcPr>
            <w:tcW w:w="3160" w:type="pct"/>
            <w:vAlign w:val="center"/>
          </w:tcPr>
          <w:p w14:paraId="1BCAE758">
            <w:pPr>
              <w:widowControl/>
              <w:adjustRightInd w:val="0"/>
              <w:snapToGrid w:val="0"/>
              <w:rPr>
                <w:color w:val="auto"/>
                <w:highlight w:val="none"/>
              </w:rPr>
            </w:pPr>
            <w:r>
              <w:rPr>
                <w:rFonts w:hint="eastAsia" w:ascii="宋体" w:hAnsi="宋体" w:cs="宋体"/>
                <w:color w:val="auto"/>
                <w:highlight w:val="none"/>
              </w:rPr>
              <w:t>见招标公告</w:t>
            </w:r>
          </w:p>
        </w:tc>
      </w:tr>
      <w:tr w14:paraId="5EF91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901" w:type="pct"/>
            <w:vAlign w:val="center"/>
          </w:tcPr>
          <w:p w14:paraId="46B9CF26">
            <w:pPr>
              <w:widowControl/>
              <w:adjustRightInd w:val="0"/>
              <w:snapToGrid w:val="0"/>
              <w:jc w:val="center"/>
              <w:rPr>
                <w:rFonts w:cs="宋体"/>
                <w:color w:val="auto"/>
                <w:highlight w:val="none"/>
              </w:rPr>
            </w:pPr>
            <w:r>
              <w:rPr>
                <w:rFonts w:hint="eastAsia" w:cs="宋体"/>
                <w:color w:val="auto"/>
                <w:kern w:val="0"/>
                <w:highlight w:val="none"/>
              </w:rPr>
              <w:t>1.3.3</w:t>
            </w:r>
          </w:p>
        </w:tc>
        <w:tc>
          <w:tcPr>
            <w:tcW w:w="937" w:type="pct"/>
            <w:vAlign w:val="center"/>
          </w:tcPr>
          <w:p w14:paraId="48F85AC0">
            <w:pPr>
              <w:widowControl/>
              <w:adjustRightInd w:val="0"/>
              <w:snapToGrid w:val="0"/>
              <w:jc w:val="center"/>
              <w:rPr>
                <w:rFonts w:cs="宋体"/>
                <w:color w:val="auto"/>
                <w:highlight w:val="none"/>
              </w:rPr>
            </w:pPr>
            <w:bookmarkStart w:id="76" w:name="_Hlk44357810"/>
            <w:r>
              <w:rPr>
                <w:rFonts w:hint="eastAsia" w:cs="宋体"/>
                <w:color w:val="auto"/>
                <w:kern w:val="0"/>
                <w:highlight w:val="none"/>
              </w:rPr>
              <w:t>质量要求</w:t>
            </w:r>
            <w:bookmarkEnd w:id="76"/>
          </w:p>
        </w:tc>
        <w:tc>
          <w:tcPr>
            <w:tcW w:w="3160" w:type="pct"/>
            <w:vAlign w:val="center"/>
          </w:tcPr>
          <w:p w14:paraId="4246DA0B">
            <w:pPr>
              <w:widowControl/>
              <w:adjustRightInd w:val="0"/>
              <w:snapToGrid w:val="0"/>
              <w:rPr>
                <w:rFonts w:cs="宋体"/>
                <w:color w:val="auto"/>
                <w:highlight w:val="none"/>
              </w:rPr>
            </w:pPr>
            <w:r>
              <w:rPr>
                <w:rFonts w:hint="eastAsia" w:cs="宋体"/>
                <w:color w:val="auto"/>
                <w:kern w:val="0"/>
                <w:highlight w:val="none"/>
              </w:rPr>
              <w:t>合格</w:t>
            </w:r>
          </w:p>
        </w:tc>
      </w:tr>
      <w:tr w14:paraId="076D5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98B4FEF">
            <w:pPr>
              <w:widowControl/>
              <w:adjustRightInd w:val="0"/>
              <w:snapToGrid w:val="0"/>
              <w:jc w:val="center"/>
              <w:rPr>
                <w:rFonts w:cs="宋体"/>
                <w:color w:val="auto"/>
                <w:highlight w:val="none"/>
              </w:rPr>
            </w:pPr>
            <w:r>
              <w:rPr>
                <w:rFonts w:hint="eastAsia" w:cs="宋体"/>
                <w:color w:val="auto"/>
                <w:kern w:val="0"/>
                <w:highlight w:val="none"/>
              </w:rPr>
              <w:t>1.3.4</w:t>
            </w:r>
          </w:p>
        </w:tc>
        <w:tc>
          <w:tcPr>
            <w:tcW w:w="937" w:type="pct"/>
            <w:vAlign w:val="center"/>
          </w:tcPr>
          <w:p w14:paraId="7E98CC05">
            <w:pPr>
              <w:widowControl/>
              <w:adjustRightInd w:val="0"/>
              <w:snapToGrid w:val="0"/>
              <w:jc w:val="center"/>
              <w:rPr>
                <w:rFonts w:cs="宋体"/>
                <w:color w:val="auto"/>
                <w:highlight w:val="none"/>
              </w:rPr>
            </w:pPr>
            <w:bookmarkStart w:id="77" w:name="_Hlk44357827"/>
            <w:r>
              <w:rPr>
                <w:rFonts w:hint="eastAsia" w:cs="宋体"/>
                <w:color w:val="auto"/>
                <w:kern w:val="0"/>
                <w:highlight w:val="none"/>
              </w:rPr>
              <w:t>安全目标</w:t>
            </w:r>
            <w:bookmarkEnd w:id="77"/>
          </w:p>
        </w:tc>
        <w:tc>
          <w:tcPr>
            <w:tcW w:w="3160" w:type="pct"/>
            <w:vAlign w:val="center"/>
          </w:tcPr>
          <w:p w14:paraId="7FB414A9">
            <w:pPr>
              <w:widowControl/>
              <w:adjustRightInd w:val="0"/>
              <w:snapToGrid w:val="0"/>
              <w:rPr>
                <w:rFonts w:cs="宋体"/>
                <w:color w:val="auto"/>
                <w:highlight w:val="none"/>
              </w:rPr>
            </w:pPr>
            <w:r>
              <w:rPr>
                <w:rFonts w:hint="eastAsia" w:cs="宋体"/>
                <w:color w:val="auto"/>
                <w:highlight w:val="none"/>
              </w:rPr>
              <w:t>安全生产无责任事故</w:t>
            </w:r>
          </w:p>
        </w:tc>
      </w:tr>
      <w:tr w14:paraId="7358D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5FD160C2">
            <w:pPr>
              <w:widowControl/>
              <w:adjustRightInd w:val="0"/>
              <w:snapToGrid w:val="0"/>
              <w:jc w:val="center"/>
              <w:rPr>
                <w:rFonts w:cs="宋体"/>
                <w:color w:val="auto"/>
                <w:highlight w:val="none"/>
              </w:rPr>
            </w:pPr>
            <w:r>
              <w:rPr>
                <w:rFonts w:hint="eastAsia" w:cs="宋体"/>
                <w:color w:val="auto"/>
                <w:kern w:val="0"/>
                <w:highlight w:val="none"/>
              </w:rPr>
              <w:t>1.4.1</w:t>
            </w:r>
          </w:p>
        </w:tc>
        <w:tc>
          <w:tcPr>
            <w:tcW w:w="937" w:type="pct"/>
            <w:vAlign w:val="center"/>
          </w:tcPr>
          <w:p w14:paraId="30486B23">
            <w:pPr>
              <w:widowControl/>
              <w:adjustRightInd w:val="0"/>
              <w:snapToGrid w:val="0"/>
              <w:jc w:val="center"/>
              <w:rPr>
                <w:rFonts w:cs="宋体"/>
                <w:color w:val="auto"/>
                <w:highlight w:val="none"/>
              </w:rPr>
            </w:pPr>
            <w:r>
              <w:rPr>
                <w:rFonts w:hint="eastAsia" w:cs="宋体"/>
                <w:color w:val="auto"/>
                <w:kern w:val="0"/>
                <w:highlight w:val="none"/>
              </w:rPr>
              <w:t>投标人资质条件、能力和信誉</w:t>
            </w:r>
          </w:p>
        </w:tc>
        <w:tc>
          <w:tcPr>
            <w:tcW w:w="3160" w:type="pct"/>
            <w:vAlign w:val="center"/>
          </w:tcPr>
          <w:p w14:paraId="22AF135B">
            <w:pPr>
              <w:widowControl/>
              <w:adjustRightInd w:val="0"/>
              <w:snapToGrid w:val="0"/>
              <w:rPr>
                <w:rFonts w:cs="宋体"/>
                <w:color w:val="auto"/>
                <w:kern w:val="0"/>
                <w:highlight w:val="none"/>
              </w:rPr>
            </w:pPr>
            <w:r>
              <w:rPr>
                <w:rFonts w:hint="eastAsia" w:cs="宋体"/>
                <w:color w:val="auto"/>
                <w:kern w:val="0"/>
                <w:highlight w:val="none"/>
              </w:rPr>
              <w:t>详见招标公告。</w:t>
            </w:r>
          </w:p>
        </w:tc>
      </w:tr>
      <w:tr w14:paraId="1D6B4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4731600">
            <w:pPr>
              <w:widowControl/>
              <w:adjustRightInd w:val="0"/>
              <w:snapToGrid w:val="0"/>
              <w:jc w:val="center"/>
              <w:rPr>
                <w:rFonts w:cs="宋体"/>
                <w:color w:val="auto"/>
                <w:highlight w:val="none"/>
              </w:rPr>
            </w:pPr>
            <w:r>
              <w:rPr>
                <w:rFonts w:hint="eastAsia" w:cs="宋体"/>
                <w:color w:val="auto"/>
                <w:kern w:val="0"/>
                <w:highlight w:val="none"/>
              </w:rPr>
              <w:t>1.4.2</w:t>
            </w:r>
          </w:p>
        </w:tc>
        <w:tc>
          <w:tcPr>
            <w:tcW w:w="937" w:type="pct"/>
            <w:vAlign w:val="center"/>
          </w:tcPr>
          <w:p w14:paraId="686803A2">
            <w:pPr>
              <w:widowControl/>
              <w:adjustRightInd w:val="0"/>
              <w:snapToGrid w:val="0"/>
              <w:jc w:val="center"/>
              <w:rPr>
                <w:rFonts w:cs="宋体"/>
                <w:color w:val="auto"/>
                <w:highlight w:val="none"/>
              </w:rPr>
            </w:pPr>
            <w:r>
              <w:rPr>
                <w:rFonts w:hint="eastAsia" w:cs="宋体"/>
                <w:color w:val="auto"/>
                <w:kern w:val="0"/>
                <w:highlight w:val="none"/>
              </w:rPr>
              <w:t>是否接受联合体投标</w:t>
            </w:r>
          </w:p>
        </w:tc>
        <w:tc>
          <w:tcPr>
            <w:tcW w:w="3160" w:type="pct"/>
            <w:vAlign w:val="center"/>
          </w:tcPr>
          <w:p w14:paraId="6F282473">
            <w:pPr>
              <w:widowControl/>
              <w:adjustRightInd w:val="0"/>
              <w:snapToGrid w:val="0"/>
              <w:rPr>
                <w:rFonts w:cs="宋体"/>
                <w:color w:val="auto"/>
                <w:kern w:val="0"/>
                <w:highlight w:val="none"/>
              </w:rPr>
            </w:pPr>
            <w:r>
              <w:rPr>
                <w:rFonts w:hint="eastAsia" w:cs="宋体"/>
                <w:color w:val="auto"/>
                <w:kern w:val="0"/>
                <w:highlight w:val="none"/>
              </w:rPr>
              <w:t>□接受</w:t>
            </w:r>
          </w:p>
          <w:p w14:paraId="45B63DCB">
            <w:pPr>
              <w:widowControl/>
              <w:adjustRightInd w:val="0"/>
              <w:snapToGrid w:val="0"/>
              <w:rPr>
                <w:rFonts w:cs="宋体"/>
                <w:color w:val="auto"/>
                <w:kern w:val="0"/>
                <w:highlight w:val="none"/>
              </w:rPr>
            </w:pPr>
            <w:r>
              <w:rPr>
                <w:rFonts w:hint="eastAsia" w:cs="宋体"/>
                <w:color w:val="auto"/>
                <w:kern w:val="0"/>
                <w:highlight w:val="none"/>
              </w:rPr>
              <w:sym w:font="Wingdings 2" w:char="0052"/>
            </w:r>
            <w:r>
              <w:rPr>
                <w:rFonts w:hint="eastAsia" w:cs="宋体"/>
                <w:color w:val="auto"/>
                <w:kern w:val="0"/>
                <w:highlight w:val="none"/>
              </w:rPr>
              <w:t>不接受</w:t>
            </w:r>
          </w:p>
          <w:p w14:paraId="5E4C8F88">
            <w:pPr>
              <w:widowControl/>
              <w:adjustRightInd w:val="0"/>
              <w:snapToGrid w:val="0"/>
              <w:rPr>
                <w:rFonts w:cs="宋体"/>
                <w:color w:val="auto"/>
                <w:kern w:val="0"/>
                <w:highlight w:val="none"/>
              </w:rPr>
            </w:pPr>
            <w:r>
              <w:rPr>
                <w:rFonts w:hint="eastAsia" w:cs="宋体"/>
                <w:color w:val="auto"/>
                <w:kern w:val="0"/>
                <w:highlight w:val="none"/>
              </w:rPr>
              <w:t>若接受，应满足下列要求：</w:t>
            </w:r>
          </w:p>
          <w:p w14:paraId="3E81F0AA">
            <w:pPr>
              <w:widowControl/>
              <w:adjustRightInd w:val="0"/>
              <w:snapToGrid w:val="0"/>
              <w:rPr>
                <w:rFonts w:cs="宋体"/>
                <w:color w:val="auto"/>
                <w:kern w:val="0"/>
                <w:highlight w:val="none"/>
              </w:rPr>
            </w:pPr>
            <w:r>
              <w:rPr>
                <w:rFonts w:hint="eastAsia" w:cs="宋体"/>
                <w:color w:val="auto"/>
                <w:kern w:val="0"/>
                <w:highlight w:val="none"/>
              </w:rPr>
              <w:t>（1）联合体所有成员数量不得超过</w:t>
            </w:r>
            <w:r>
              <w:rPr>
                <w:rFonts w:hint="eastAsia" w:cs="宋体"/>
                <w:color w:val="auto"/>
                <w:kern w:val="0"/>
                <w:highlight w:val="none"/>
                <w:u w:val="single"/>
              </w:rPr>
              <w:t xml:space="preserve">  </w:t>
            </w:r>
            <w:r>
              <w:rPr>
                <w:rFonts w:hint="eastAsia" w:cs="宋体"/>
                <w:color w:val="auto"/>
                <w:kern w:val="0"/>
                <w:highlight w:val="none"/>
              </w:rPr>
              <w:t>家；</w:t>
            </w:r>
          </w:p>
          <w:p w14:paraId="41246C9D">
            <w:pPr>
              <w:widowControl/>
              <w:adjustRightInd w:val="0"/>
              <w:snapToGrid w:val="0"/>
              <w:rPr>
                <w:rFonts w:cs="宋体"/>
                <w:color w:val="auto"/>
                <w:highlight w:val="none"/>
              </w:rPr>
            </w:pPr>
            <w:r>
              <w:rPr>
                <w:rFonts w:hint="eastAsia" w:cs="宋体"/>
                <w:color w:val="auto"/>
                <w:kern w:val="0"/>
                <w:highlight w:val="none"/>
              </w:rPr>
              <w:t>（2）联合体牵头人应具有资质；</w:t>
            </w:r>
          </w:p>
        </w:tc>
      </w:tr>
      <w:tr w14:paraId="61247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9" w:hRule="atLeast"/>
        </w:trPr>
        <w:tc>
          <w:tcPr>
            <w:tcW w:w="901" w:type="pct"/>
            <w:vAlign w:val="center"/>
          </w:tcPr>
          <w:p w14:paraId="0F105EEB">
            <w:pPr>
              <w:widowControl/>
              <w:adjustRightInd w:val="0"/>
              <w:snapToGrid w:val="0"/>
              <w:jc w:val="center"/>
              <w:rPr>
                <w:rFonts w:cs="宋体"/>
                <w:color w:val="auto"/>
                <w:highlight w:val="none"/>
              </w:rPr>
            </w:pPr>
            <w:r>
              <w:rPr>
                <w:rFonts w:hint="eastAsia" w:cs="宋体"/>
                <w:color w:val="auto"/>
                <w:highlight w:val="none"/>
              </w:rPr>
              <w:t>1.4.3</w:t>
            </w:r>
          </w:p>
        </w:tc>
        <w:tc>
          <w:tcPr>
            <w:tcW w:w="937" w:type="pct"/>
            <w:vAlign w:val="center"/>
          </w:tcPr>
          <w:p w14:paraId="092E3956">
            <w:pPr>
              <w:widowControl/>
              <w:adjustRightInd w:val="0"/>
              <w:snapToGrid w:val="0"/>
              <w:jc w:val="center"/>
              <w:rPr>
                <w:rFonts w:cs="宋体"/>
                <w:color w:val="auto"/>
                <w:highlight w:val="none"/>
              </w:rPr>
            </w:pPr>
            <w:r>
              <w:rPr>
                <w:rFonts w:hint="eastAsia" w:cs="宋体"/>
                <w:color w:val="auto"/>
                <w:highlight w:val="none"/>
              </w:rPr>
              <w:t>投标人不得存在的其他关联情形</w:t>
            </w:r>
          </w:p>
        </w:tc>
        <w:tc>
          <w:tcPr>
            <w:tcW w:w="3160" w:type="pct"/>
            <w:vAlign w:val="center"/>
          </w:tcPr>
          <w:p w14:paraId="53237D01">
            <w:pPr>
              <w:widowControl/>
              <w:adjustRightInd w:val="0"/>
              <w:snapToGrid w:val="0"/>
              <w:rPr>
                <w:rFonts w:cs="宋体"/>
                <w:color w:val="auto"/>
                <w:highlight w:val="none"/>
              </w:rPr>
            </w:pPr>
            <w:r>
              <w:rPr>
                <w:rFonts w:hint="eastAsia" w:cs="宋体"/>
                <w:color w:val="auto"/>
                <w:highlight w:val="none"/>
              </w:rPr>
              <w:t>/</w:t>
            </w:r>
          </w:p>
        </w:tc>
      </w:tr>
      <w:tr w14:paraId="0A81B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5080F5C">
            <w:pPr>
              <w:widowControl/>
              <w:adjustRightInd w:val="0"/>
              <w:snapToGrid w:val="0"/>
              <w:jc w:val="center"/>
              <w:rPr>
                <w:rFonts w:cs="宋体"/>
                <w:color w:val="auto"/>
                <w:kern w:val="0"/>
                <w:highlight w:val="none"/>
              </w:rPr>
            </w:pPr>
            <w:r>
              <w:rPr>
                <w:rFonts w:hint="eastAsia" w:cs="宋体"/>
                <w:color w:val="auto"/>
                <w:kern w:val="0"/>
                <w:highlight w:val="none"/>
              </w:rPr>
              <w:t>1.4.4</w:t>
            </w:r>
          </w:p>
        </w:tc>
        <w:tc>
          <w:tcPr>
            <w:tcW w:w="937" w:type="pct"/>
            <w:vAlign w:val="center"/>
          </w:tcPr>
          <w:p w14:paraId="742FD1B3">
            <w:pPr>
              <w:widowControl/>
              <w:adjustRightInd w:val="0"/>
              <w:snapToGrid w:val="0"/>
              <w:jc w:val="center"/>
              <w:rPr>
                <w:rFonts w:cs="宋体"/>
                <w:color w:val="auto"/>
                <w:kern w:val="0"/>
                <w:highlight w:val="none"/>
              </w:rPr>
            </w:pPr>
            <w:r>
              <w:rPr>
                <w:rFonts w:hint="eastAsia" w:cs="宋体"/>
                <w:color w:val="auto"/>
                <w:kern w:val="0"/>
                <w:highlight w:val="none"/>
              </w:rPr>
              <w:t>投标人不得存在的其他不良状况或不良信用记录</w:t>
            </w:r>
          </w:p>
        </w:tc>
        <w:tc>
          <w:tcPr>
            <w:tcW w:w="3160" w:type="pct"/>
            <w:vAlign w:val="center"/>
          </w:tcPr>
          <w:p w14:paraId="31415454">
            <w:pPr>
              <w:widowControl/>
              <w:adjustRightInd w:val="0"/>
              <w:snapToGrid w:val="0"/>
              <w:rPr>
                <w:rFonts w:cs="宋体"/>
                <w:color w:val="auto"/>
                <w:kern w:val="0"/>
                <w:highlight w:val="none"/>
              </w:rPr>
            </w:pPr>
            <w:r>
              <w:rPr>
                <w:rFonts w:hint="eastAsia" w:cs="宋体"/>
                <w:color w:val="auto"/>
                <w:kern w:val="0"/>
                <w:highlight w:val="none"/>
              </w:rPr>
              <w:t>/</w:t>
            </w:r>
          </w:p>
        </w:tc>
      </w:tr>
      <w:tr w14:paraId="6765B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83067AB">
            <w:pPr>
              <w:widowControl/>
              <w:adjustRightInd w:val="0"/>
              <w:snapToGrid w:val="0"/>
              <w:jc w:val="center"/>
              <w:rPr>
                <w:rFonts w:cs="宋体"/>
                <w:color w:val="auto"/>
                <w:kern w:val="0"/>
                <w:highlight w:val="none"/>
              </w:rPr>
            </w:pPr>
            <w:r>
              <w:rPr>
                <w:rFonts w:hint="eastAsia" w:cs="宋体"/>
                <w:color w:val="auto"/>
                <w:kern w:val="0"/>
                <w:highlight w:val="none"/>
              </w:rPr>
              <w:t>1.10.2</w:t>
            </w:r>
          </w:p>
        </w:tc>
        <w:tc>
          <w:tcPr>
            <w:tcW w:w="937" w:type="pct"/>
            <w:vAlign w:val="center"/>
          </w:tcPr>
          <w:p w14:paraId="24A352BE">
            <w:pPr>
              <w:widowControl/>
              <w:adjustRightInd w:val="0"/>
              <w:snapToGrid w:val="0"/>
              <w:jc w:val="center"/>
              <w:rPr>
                <w:rFonts w:cs="宋体"/>
                <w:color w:val="auto"/>
                <w:kern w:val="0"/>
                <w:highlight w:val="none"/>
              </w:rPr>
            </w:pPr>
            <w:r>
              <w:rPr>
                <w:rFonts w:hint="eastAsia" w:cs="宋体"/>
                <w:color w:val="auto"/>
                <w:kern w:val="0"/>
                <w:highlight w:val="none"/>
              </w:rPr>
              <w:t>投标人在投标预备会前提出问题</w:t>
            </w:r>
          </w:p>
        </w:tc>
        <w:tc>
          <w:tcPr>
            <w:tcW w:w="3160" w:type="pct"/>
            <w:vAlign w:val="center"/>
          </w:tcPr>
          <w:p w14:paraId="7772A2FC">
            <w:pPr>
              <w:widowControl/>
              <w:adjustRightInd w:val="0"/>
              <w:snapToGrid w:val="0"/>
              <w:rPr>
                <w:rFonts w:cs="宋体"/>
                <w:color w:val="auto"/>
                <w:kern w:val="0"/>
                <w:highlight w:val="none"/>
              </w:rPr>
            </w:pPr>
            <w:r>
              <w:rPr>
                <w:rFonts w:hint="eastAsia" w:cs="宋体"/>
                <w:color w:val="auto"/>
                <w:kern w:val="0"/>
                <w:highlight w:val="none"/>
              </w:rPr>
              <w:t>时间：</w:t>
            </w:r>
            <w:r>
              <w:rPr>
                <w:rFonts w:ascii="宋体" w:hAnsi="宋体" w:cs="宋体"/>
                <w:color w:val="auto"/>
                <w:highlight w:val="none"/>
              </w:rPr>
              <w:t>/</w:t>
            </w:r>
          </w:p>
          <w:p w14:paraId="6F5B18AD">
            <w:pPr>
              <w:widowControl/>
              <w:adjustRightInd w:val="0"/>
              <w:snapToGrid w:val="0"/>
              <w:rPr>
                <w:rFonts w:cs="宋体"/>
                <w:color w:val="auto"/>
                <w:kern w:val="0"/>
                <w:highlight w:val="none"/>
              </w:rPr>
            </w:pPr>
            <w:r>
              <w:rPr>
                <w:rFonts w:hint="eastAsia" w:cs="宋体"/>
                <w:color w:val="auto"/>
                <w:kern w:val="0"/>
                <w:highlight w:val="none"/>
              </w:rPr>
              <w:t>形式：</w:t>
            </w:r>
            <w:r>
              <w:rPr>
                <w:rFonts w:ascii="宋体" w:hAnsi="宋体" w:cs="宋体"/>
                <w:color w:val="auto"/>
                <w:highlight w:val="none"/>
              </w:rPr>
              <w:t>/</w:t>
            </w:r>
          </w:p>
        </w:tc>
      </w:tr>
      <w:tr w14:paraId="06426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3023B1A">
            <w:pPr>
              <w:widowControl/>
              <w:adjustRightInd w:val="0"/>
              <w:snapToGrid w:val="0"/>
              <w:jc w:val="center"/>
              <w:rPr>
                <w:rFonts w:cs="宋体"/>
                <w:color w:val="auto"/>
                <w:highlight w:val="none"/>
              </w:rPr>
            </w:pPr>
            <w:r>
              <w:rPr>
                <w:rFonts w:hint="eastAsia" w:cs="宋体"/>
                <w:color w:val="auto"/>
                <w:kern w:val="0"/>
                <w:highlight w:val="none"/>
              </w:rPr>
              <w:t>1.11.1</w:t>
            </w:r>
          </w:p>
        </w:tc>
        <w:tc>
          <w:tcPr>
            <w:tcW w:w="937" w:type="pct"/>
            <w:vAlign w:val="center"/>
          </w:tcPr>
          <w:p w14:paraId="68E98AA1">
            <w:pPr>
              <w:widowControl/>
              <w:adjustRightInd w:val="0"/>
              <w:snapToGrid w:val="0"/>
              <w:jc w:val="center"/>
              <w:rPr>
                <w:rFonts w:cs="宋体"/>
                <w:color w:val="auto"/>
                <w:highlight w:val="none"/>
              </w:rPr>
            </w:pPr>
            <w:r>
              <w:rPr>
                <w:rFonts w:hint="eastAsia" w:cs="宋体"/>
                <w:color w:val="auto"/>
                <w:kern w:val="0"/>
                <w:highlight w:val="none"/>
              </w:rPr>
              <w:t>分包</w:t>
            </w:r>
          </w:p>
        </w:tc>
        <w:tc>
          <w:tcPr>
            <w:tcW w:w="3160" w:type="pct"/>
            <w:vAlign w:val="center"/>
          </w:tcPr>
          <w:p w14:paraId="4BEEBB85">
            <w:pPr>
              <w:widowControl/>
              <w:adjustRightInd w:val="0"/>
              <w:snapToGrid w:val="0"/>
              <w:rPr>
                <w:rFonts w:cs="宋体"/>
                <w:color w:val="auto"/>
                <w:kern w:val="0"/>
                <w:highlight w:val="none"/>
              </w:rPr>
            </w:pPr>
            <w:r>
              <w:rPr>
                <w:rFonts w:hint="eastAsia" w:cs="宋体"/>
                <w:color w:val="auto"/>
                <w:kern w:val="0"/>
                <w:highlight w:val="none"/>
              </w:rPr>
              <w:t>□允许</w:t>
            </w:r>
          </w:p>
          <w:p w14:paraId="6B9459CA">
            <w:pPr>
              <w:widowControl/>
              <w:adjustRightInd w:val="0"/>
              <w:snapToGrid w:val="0"/>
              <w:rPr>
                <w:rFonts w:cs="宋体"/>
                <w:color w:val="auto"/>
                <w:highlight w:val="none"/>
              </w:rPr>
            </w:pPr>
            <w:bookmarkStart w:id="78" w:name="_Hlk44358528"/>
            <w:r>
              <w:rPr>
                <w:rFonts w:hint="eastAsia" w:cs="宋体"/>
                <w:color w:val="auto"/>
                <w:kern w:val="0"/>
                <w:highlight w:val="none"/>
              </w:rPr>
              <w:sym w:font="Wingdings 2" w:char="0052"/>
            </w:r>
            <w:bookmarkEnd w:id="78"/>
            <w:r>
              <w:rPr>
                <w:rFonts w:hint="eastAsia" w:cs="宋体"/>
                <w:color w:val="auto"/>
                <w:kern w:val="0"/>
                <w:highlight w:val="none"/>
              </w:rPr>
              <w:t>不允许</w:t>
            </w:r>
          </w:p>
        </w:tc>
      </w:tr>
      <w:tr w14:paraId="1A335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C475B00">
            <w:pPr>
              <w:widowControl/>
              <w:adjustRightInd w:val="0"/>
              <w:snapToGrid w:val="0"/>
              <w:jc w:val="center"/>
              <w:rPr>
                <w:rFonts w:cs="宋体"/>
                <w:color w:val="auto"/>
                <w:highlight w:val="none"/>
              </w:rPr>
            </w:pPr>
            <w:r>
              <w:rPr>
                <w:rFonts w:hint="eastAsia" w:cs="宋体"/>
                <w:color w:val="auto"/>
                <w:kern w:val="0"/>
                <w:highlight w:val="none"/>
              </w:rPr>
              <w:t>2.1</w:t>
            </w:r>
          </w:p>
        </w:tc>
        <w:tc>
          <w:tcPr>
            <w:tcW w:w="937" w:type="pct"/>
            <w:vAlign w:val="center"/>
          </w:tcPr>
          <w:p w14:paraId="467AE351">
            <w:pPr>
              <w:widowControl/>
              <w:adjustRightInd w:val="0"/>
              <w:snapToGrid w:val="0"/>
              <w:jc w:val="center"/>
              <w:rPr>
                <w:rFonts w:cs="宋体"/>
                <w:color w:val="auto"/>
                <w:highlight w:val="none"/>
              </w:rPr>
            </w:pPr>
            <w:r>
              <w:rPr>
                <w:rFonts w:hint="eastAsia" w:cs="宋体"/>
                <w:color w:val="auto"/>
                <w:kern w:val="0"/>
                <w:highlight w:val="none"/>
              </w:rPr>
              <w:t>构成招标文件的其他材料</w:t>
            </w:r>
          </w:p>
        </w:tc>
        <w:tc>
          <w:tcPr>
            <w:tcW w:w="3160" w:type="pct"/>
            <w:vAlign w:val="center"/>
          </w:tcPr>
          <w:p w14:paraId="66D6B075">
            <w:pPr>
              <w:widowControl/>
              <w:adjustRightInd w:val="0"/>
              <w:snapToGrid w:val="0"/>
              <w:rPr>
                <w:rFonts w:cs="宋体"/>
                <w:color w:val="auto"/>
                <w:kern w:val="0"/>
                <w:highlight w:val="none"/>
              </w:rPr>
            </w:pPr>
            <w:r>
              <w:rPr>
                <w:rFonts w:hint="eastAsia" w:cs="宋体"/>
                <w:color w:val="auto"/>
                <w:kern w:val="0"/>
                <w:highlight w:val="none"/>
              </w:rPr>
              <w:t>/</w:t>
            </w:r>
          </w:p>
        </w:tc>
      </w:tr>
      <w:tr w14:paraId="3724A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AC62D3B">
            <w:pPr>
              <w:widowControl/>
              <w:adjustRightInd w:val="0"/>
              <w:snapToGrid w:val="0"/>
              <w:jc w:val="center"/>
              <w:rPr>
                <w:rFonts w:cs="宋体"/>
                <w:color w:val="auto"/>
                <w:highlight w:val="none"/>
              </w:rPr>
            </w:pPr>
            <w:r>
              <w:rPr>
                <w:rFonts w:hint="eastAsia" w:cs="宋体"/>
                <w:color w:val="auto"/>
                <w:kern w:val="0"/>
                <w:highlight w:val="none"/>
              </w:rPr>
              <w:t>2.2.1</w:t>
            </w:r>
          </w:p>
        </w:tc>
        <w:tc>
          <w:tcPr>
            <w:tcW w:w="937" w:type="pct"/>
            <w:vAlign w:val="center"/>
          </w:tcPr>
          <w:p w14:paraId="02A25B9B">
            <w:pPr>
              <w:autoSpaceDE w:val="0"/>
              <w:autoSpaceDN w:val="0"/>
              <w:adjustRightInd w:val="0"/>
              <w:snapToGrid w:val="0"/>
              <w:jc w:val="center"/>
              <w:rPr>
                <w:rFonts w:cs="宋体"/>
                <w:color w:val="auto"/>
                <w:kern w:val="0"/>
                <w:highlight w:val="none"/>
              </w:rPr>
            </w:pPr>
            <w:r>
              <w:rPr>
                <w:rFonts w:hint="eastAsia" w:cs="宋体"/>
                <w:color w:val="auto"/>
                <w:kern w:val="0"/>
                <w:highlight w:val="none"/>
              </w:rPr>
              <w:t>投标人要求澄清招标文件</w:t>
            </w:r>
          </w:p>
        </w:tc>
        <w:tc>
          <w:tcPr>
            <w:tcW w:w="3160" w:type="pct"/>
            <w:vAlign w:val="center"/>
          </w:tcPr>
          <w:p w14:paraId="30CA2489">
            <w:pPr>
              <w:rPr>
                <w:color w:val="auto"/>
                <w:highlight w:val="none"/>
              </w:rPr>
            </w:pPr>
            <w:r>
              <w:rPr>
                <w:rFonts w:hint="eastAsia"/>
                <w:color w:val="auto"/>
                <w:highlight w:val="none"/>
              </w:rPr>
              <w:t>时间：递交投标文件截止之日3天前</w:t>
            </w:r>
          </w:p>
          <w:p w14:paraId="546E8854">
            <w:pPr>
              <w:widowControl/>
              <w:adjustRightInd w:val="0"/>
              <w:snapToGrid w:val="0"/>
              <w:rPr>
                <w:rFonts w:cs="宋体"/>
                <w:color w:val="auto"/>
                <w:highlight w:val="none"/>
              </w:rPr>
            </w:pPr>
            <w:r>
              <w:rPr>
                <w:rFonts w:hint="eastAsia"/>
                <w:color w:val="auto"/>
                <w:highlight w:val="none"/>
              </w:rPr>
              <w:t>形式：传真或电子邮件</w:t>
            </w:r>
          </w:p>
        </w:tc>
      </w:tr>
      <w:tr w14:paraId="1B55C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508F4470">
            <w:pPr>
              <w:widowControl/>
              <w:adjustRightInd w:val="0"/>
              <w:snapToGrid w:val="0"/>
              <w:jc w:val="center"/>
              <w:rPr>
                <w:rFonts w:cs="宋体"/>
                <w:color w:val="auto"/>
                <w:highlight w:val="none"/>
              </w:rPr>
            </w:pPr>
            <w:r>
              <w:rPr>
                <w:rFonts w:hint="eastAsia" w:cs="宋体"/>
                <w:color w:val="auto"/>
                <w:kern w:val="0"/>
                <w:highlight w:val="none"/>
              </w:rPr>
              <w:t>2.2.2</w:t>
            </w:r>
          </w:p>
        </w:tc>
        <w:tc>
          <w:tcPr>
            <w:tcW w:w="937" w:type="pct"/>
            <w:vAlign w:val="center"/>
          </w:tcPr>
          <w:p w14:paraId="330D1E2A">
            <w:pPr>
              <w:widowControl/>
              <w:adjustRightInd w:val="0"/>
              <w:snapToGrid w:val="0"/>
              <w:jc w:val="center"/>
              <w:rPr>
                <w:rFonts w:cs="宋体"/>
                <w:color w:val="auto"/>
                <w:highlight w:val="none"/>
              </w:rPr>
            </w:pPr>
            <w:r>
              <w:rPr>
                <w:rFonts w:hint="eastAsia" w:cs="宋体"/>
                <w:color w:val="auto"/>
                <w:kern w:val="0"/>
                <w:highlight w:val="none"/>
              </w:rPr>
              <w:t>招标文件澄清发出的形式</w:t>
            </w:r>
          </w:p>
        </w:tc>
        <w:tc>
          <w:tcPr>
            <w:tcW w:w="3160" w:type="pct"/>
            <w:vAlign w:val="center"/>
          </w:tcPr>
          <w:p w14:paraId="5D961C91">
            <w:pPr>
              <w:widowControl/>
              <w:adjustRightInd w:val="0"/>
              <w:snapToGrid w:val="0"/>
              <w:rPr>
                <w:rFonts w:cs="宋体"/>
                <w:color w:val="auto"/>
                <w:highlight w:val="none"/>
              </w:rPr>
            </w:pPr>
            <w:r>
              <w:rPr>
                <w:rFonts w:hint="eastAsia"/>
                <w:color w:val="auto"/>
                <w:highlight w:val="none"/>
              </w:rPr>
              <w:t>网络下载或电子邮件</w:t>
            </w:r>
          </w:p>
        </w:tc>
      </w:tr>
      <w:tr w14:paraId="67886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0398A64D">
            <w:pPr>
              <w:widowControl/>
              <w:adjustRightInd w:val="0"/>
              <w:snapToGrid w:val="0"/>
              <w:jc w:val="center"/>
              <w:rPr>
                <w:rFonts w:cs="宋体"/>
                <w:color w:val="auto"/>
                <w:highlight w:val="none"/>
              </w:rPr>
            </w:pPr>
            <w:r>
              <w:rPr>
                <w:rFonts w:hint="eastAsia" w:cs="宋体"/>
                <w:color w:val="auto"/>
                <w:kern w:val="0"/>
                <w:highlight w:val="none"/>
              </w:rPr>
              <w:t>2.2.3</w:t>
            </w:r>
          </w:p>
        </w:tc>
        <w:tc>
          <w:tcPr>
            <w:tcW w:w="937" w:type="pct"/>
            <w:vAlign w:val="center"/>
          </w:tcPr>
          <w:p w14:paraId="092B4C63">
            <w:pPr>
              <w:autoSpaceDE w:val="0"/>
              <w:autoSpaceDN w:val="0"/>
              <w:adjustRightInd w:val="0"/>
              <w:snapToGrid w:val="0"/>
              <w:jc w:val="center"/>
              <w:rPr>
                <w:rFonts w:cs="宋体"/>
                <w:color w:val="auto"/>
                <w:kern w:val="0"/>
                <w:highlight w:val="none"/>
              </w:rPr>
            </w:pPr>
            <w:r>
              <w:rPr>
                <w:rFonts w:hint="eastAsia" w:cs="宋体"/>
                <w:color w:val="auto"/>
                <w:kern w:val="0"/>
                <w:highlight w:val="none"/>
              </w:rPr>
              <w:t>投标人确认收到招标文件澄清</w:t>
            </w:r>
          </w:p>
        </w:tc>
        <w:tc>
          <w:tcPr>
            <w:tcW w:w="3160" w:type="pct"/>
            <w:vAlign w:val="center"/>
          </w:tcPr>
          <w:p w14:paraId="06D005EF">
            <w:pPr>
              <w:adjustRightInd w:val="0"/>
              <w:snapToGrid w:val="0"/>
              <w:rPr>
                <w:color w:val="auto"/>
                <w:highlight w:val="none"/>
              </w:rPr>
            </w:pPr>
            <w:r>
              <w:rPr>
                <w:rFonts w:hint="eastAsia"/>
                <w:color w:val="auto"/>
                <w:highlight w:val="none"/>
              </w:rPr>
              <w:t>时间：收到澄清后_</w:t>
            </w:r>
            <w:r>
              <w:rPr>
                <w:rFonts w:hint="eastAsia"/>
                <w:color w:val="auto"/>
                <w:highlight w:val="none"/>
                <w:u w:val="single"/>
              </w:rPr>
              <w:t>24</w:t>
            </w:r>
            <w:r>
              <w:rPr>
                <w:rFonts w:hint="eastAsia"/>
                <w:color w:val="auto"/>
                <w:highlight w:val="none"/>
              </w:rPr>
              <w:t>小时内（以发出时间为准）</w:t>
            </w:r>
          </w:p>
          <w:p w14:paraId="39361052">
            <w:pPr>
              <w:adjustRightInd w:val="0"/>
              <w:snapToGrid w:val="0"/>
              <w:rPr>
                <w:rFonts w:cs="宋体"/>
                <w:color w:val="auto"/>
                <w:highlight w:val="none"/>
              </w:rPr>
            </w:pPr>
            <w:r>
              <w:rPr>
                <w:rFonts w:hint="eastAsia"/>
                <w:color w:val="auto"/>
                <w:highlight w:val="none"/>
              </w:rPr>
              <w:t>形式：传真或电子邮件</w:t>
            </w:r>
          </w:p>
        </w:tc>
      </w:tr>
      <w:tr w14:paraId="4C731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13A105B">
            <w:pPr>
              <w:widowControl/>
              <w:adjustRightInd w:val="0"/>
              <w:snapToGrid w:val="0"/>
              <w:jc w:val="center"/>
              <w:rPr>
                <w:rFonts w:cs="宋体"/>
                <w:color w:val="auto"/>
                <w:highlight w:val="none"/>
              </w:rPr>
            </w:pPr>
            <w:r>
              <w:rPr>
                <w:rFonts w:hint="eastAsia" w:cs="宋体"/>
                <w:color w:val="auto"/>
                <w:kern w:val="0"/>
                <w:highlight w:val="none"/>
              </w:rPr>
              <w:t>2.3.1</w:t>
            </w:r>
          </w:p>
        </w:tc>
        <w:tc>
          <w:tcPr>
            <w:tcW w:w="937" w:type="pct"/>
            <w:vAlign w:val="center"/>
          </w:tcPr>
          <w:p w14:paraId="10A0FB4B">
            <w:pPr>
              <w:autoSpaceDE w:val="0"/>
              <w:autoSpaceDN w:val="0"/>
              <w:adjustRightInd w:val="0"/>
              <w:snapToGrid w:val="0"/>
              <w:jc w:val="center"/>
              <w:rPr>
                <w:rFonts w:cs="宋体"/>
                <w:color w:val="auto"/>
                <w:kern w:val="0"/>
                <w:highlight w:val="none"/>
              </w:rPr>
            </w:pPr>
            <w:r>
              <w:rPr>
                <w:rFonts w:hint="eastAsia" w:cs="宋体"/>
                <w:color w:val="auto"/>
                <w:kern w:val="0"/>
                <w:highlight w:val="none"/>
              </w:rPr>
              <w:t>招标文件修改发出的形式</w:t>
            </w:r>
          </w:p>
        </w:tc>
        <w:tc>
          <w:tcPr>
            <w:tcW w:w="3160" w:type="pct"/>
            <w:vAlign w:val="center"/>
          </w:tcPr>
          <w:p w14:paraId="20931815">
            <w:pPr>
              <w:rPr>
                <w:rFonts w:cs="宋体"/>
                <w:color w:val="auto"/>
                <w:highlight w:val="none"/>
              </w:rPr>
            </w:pPr>
            <w:r>
              <w:rPr>
                <w:color w:val="auto"/>
                <w:highlight w:val="none"/>
              </w:rPr>
              <w:t>招标文件澄清以补遗书的形式在投标截止日</w:t>
            </w:r>
            <w:r>
              <w:rPr>
                <w:rFonts w:hint="eastAsia"/>
                <w:color w:val="auto"/>
                <w:highlight w:val="none"/>
              </w:rPr>
              <w:t>3</w:t>
            </w:r>
            <w:r>
              <w:rPr>
                <w:color w:val="auto"/>
                <w:highlight w:val="none"/>
              </w:rPr>
              <w:t>天前上传至</w:t>
            </w:r>
            <w:r>
              <w:rPr>
                <w:rFonts w:hint="eastAsia" w:ascii="宋体" w:hAnsi="宋体"/>
                <w:color w:val="auto"/>
                <w:highlight w:val="none"/>
              </w:rPr>
              <w:t>南通市交通运输局网站</w:t>
            </w:r>
            <w:r>
              <w:rPr>
                <w:color w:val="auto"/>
                <w:highlight w:val="none"/>
              </w:rPr>
              <w:t>本项目招标公告资料下载处，请投标人自行下载并按规定回复收件确认单。</w:t>
            </w:r>
          </w:p>
        </w:tc>
      </w:tr>
      <w:tr w14:paraId="5CC46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546CCE0">
            <w:pPr>
              <w:widowControl/>
              <w:adjustRightInd w:val="0"/>
              <w:snapToGrid w:val="0"/>
              <w:jc w:val="center"/>
              <w:rPr>
                <w:rFonts w:cs="宋体"/>
                <w:color w:val="auto"/>
                <w:highlight w:val="none"/>
              </w:rPr>
            </w:pPr>
            <w:r>
              <w:rPr>
                <w:rFonts w:hint="eastAsia" w:cs="宋体"/>
                <w:color w:val="auto"/>
                <w:kern w:val="0"/>
                <w:highlight w:val="none"/>
              </w:rPr>
              <w:t>2.3.2</w:t>
            </w:r>
          </w:p>
        </w:tc>
        <w:tc>
          <w:tcPr>
            <w:tcW w:w="937" w:type="pct"/>
            <w:vAlign w:val="center"/>
          </w:tcPr>
          <w:p w14:paraId="5D554EDC">
            <w:pPr>
              <w:widowControl/>
              <w:adjustRightInd w:val="0"/>
              <w:snapToGrid w:val="0"/>
              <w:jc w:val="center"/>
              <w:rPr>
                <w:rFonts w:cs="宋体"/>
                <w:color w:val="auto"/>
                <w:highlight w:val="none"/>
              </w:rPr>
            </w:pPr>
            <w:r>
              <w:rPr>
                <w:rFonts w:hint="eastAsia" w:cs="宋体"/>
                <w:color w:val="auto"/>
                <w:kern w:val="0"/>
                <w:highlight w:val="none"/>
              </w:rPr>
              <w:t>投标人确认收到招标文件修改</w:t>
            </w:r>
          </w:p>
        </w:tc>
        <w:tc>
          <w:tcPr>
            <w:tcW w:w="3160" w:type="pct"/>
            <w:vAlign w:val="center"/>
          </w:tcPr>
          <w:p w14:paraId="60FF119D">
            <w:pPr>
              <w:widowControl/>
              <w:adjustRightInd w:val="0"/>
              <w:snapToGrid w:val="0"/>
              <w:rPr>
                <w:rFonts w:cs="宋体"/>
                <w:color w:val="auto"/>
                <w:kern w:val="0"/>
                <w:highlight w:val="none"/>
              </w:rPr>
            </w:pPr>
            <w:r>
              <w:rPr>
                <w:rFonts w:hint="eastAsia" w:cs="宋体"/>
                <w:color w:val="auto"/>
                <w:kern w:val="0"/>
                <w:highlight w:val="none"/>
              </w:rPr>
              <w:t>时间：收到修改后24小时内（以发出时间为准）</w:t>
            </w:r>
          </w:p>
          <w:p w14:paraId="0C29C720">
            <w:pPr>
              <w:widowControl/>
              <w:adjustRightInd w:val="0"/>
              <w:snapToGrid w:val="0"/>
              <w:rPr>
                <w:rFonts w:cs="宋体"/>
                <w:color w:val="auto"/>
                <w:highlight w:val="none"/>
              </w:rPr>
            </w:pPr>
            <w:r>
              <w:rPr>
                <w:rFonts w:hint="eastAsia" w:cs="宋体"/>
                <w:color w:val="auto"/>
                <w:kern w:val="0"/>
                <w:highlight w:val="none"/>
              </w:rPr>
              <w:t>形式：将盖有法人章的补遗书扫描件发送至招标</w:t>
            </w:r>
            <w:r>
              <w:rPr>
                <w:rFonts w:hint="eastAsia" w:cs="宋体"/>
                <w:color w:val="auto"/>
                <w:kern w:val="0"/>
                <w:highlight w:val="none"/>
                <w:lang w:val="en-US" w:eastAsia="zh-CN"/>
              </w:rPr>
              <w:t>人</w:t>
            </w:r>
            <w:r>
              <w:rPr>
                <w:rFonts w:hint="eastAsia" w:cs="宋体"/>
                <w:color w:val="auto"/>
                <w:kern w:val="0"/>
                <w:highlight w:val="none"/>
              </w:rPr>
              <w:t>的电子邮箱，澄清中应留有联系人的姓名和电话，并电话联系招标人以确认澄清是否已被接收。</w:t>
            </w:r>
          </w:p>
        </w:tc>
      </w:tr>
      <w:tr w14:paraId="10639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1080B9D5">
            <w:pPr>
              <w:widowControl/>
              <w:adjustRightInd w:val="0"/>
              <w:snapToGrid w:val="0"/>
              <w:jc w:val="center"/>
              <w:rPr>
                <w:rFonts w:cs="宋体"/>
                <w:color w:val="auto"/>
                <w:highlight w:val="none"/>
              </w:rPr>
            </w:pPr>
            <w:r>
              <w:rPr>
                <w:rFonts w:hint="eastAsia" w:cs="宋体"/>
                <w:color w:val="auto"/>
                <w:kern w:val="0"/>
                <w:highlight w:val="none"/>
              </w:rPr>
              <w:t>3.1.1</w:t>
            </w:r>
          </w:p>
        </w:tc>
        <w:tc>
          <w:tcPr>
            <w:tcW w:w="937" w:type="pct"/>
            <w:vAlign w:val="center"/>
          </w:tcPr>
          <w:p w14:paraId="73EB4A1C">
            <w:pPr>
              <w:autoSpaceDE w:val="0"/>
              <w:autoSpaceDN w:val="0"/>
              <w:adjustRightInd w:val="0"/>
              <w:snapToGrid w:val="0"/>
              <w:jc w:val="center"/>
              <w:rPr>
                <w:rFonts w:cs="宋体"/>
                <w:color w:val="auto"/>
                <w:kern w:val="0"/>
                <w:highlight w:val="none"/>
              </w:rPr>
            </w:pPr>
            <w:r>
              <w:rPr>
                <w:rFonts w:hint="eastAsia" w:cs="宋体"/>
                <w:color w:val="auto"/>
                <w:kern w:val="0"/>
                <w:highlight w:val="none"/>
              </w:rPr>
              <w:t>投标文件密封</w:t>
            </w:r>
          </w:p>
          <w:p w14:paraId="3D2088B9">
            <w:pPr>
              <w:autoSpaceDE w:val="0"/>
              <w:autoSpaceDN w:val="0"/>
              <w:adjustRightInd w:val="0"/>
              <w:snapToGrid w:val="0"/>
              <w:jc w:val="center"/>
              <w:rPr>
                <w:rFonts w:cs="宋体"/>
                <w:color w:val="auto"/>
                <w:kern w:val="0"/>
                <w:highlight w:val="none"/>
              </w:rPr>
            </w:pPr>
            <w:r>
              <w:rPr>
                <w:rFonts w:hint="eastAsia" w:cs="宋体"/>
                <w:color w:val="auto"/>
                <w:kern w:val="0"/>
                <w:highlight w:val="none"/>
              </w:rPr>
              <w:t>形式</w:t>
            </w:r>
          </w:p>
        </w:tc>
        <w:tc>
          <w:tcPr>
            <w:tcW w:w="3160" w:type="pct"/>
            <w:vAlign w:val="center"/>
          </w:tcPr>
          <w:p w14:paraId="0C364A6B">
            <w:pPr>
              <w:widowControl/>
              <w:adjustRightInd w:val="0"/>
              <w:snapToGrid w:val="0"/>
              <w:rPr>
                <w:rFonts w:cs="宋体"/>
                <w:color w:val="auto"/>
                <w:kern w:val="0"/>
                <w:highlight w:val="none"/>
              </w:rPr>
            </w:pPr>
            <w:r>
              <w:rPr>
                <w:rFonts w:hint="eastAsia" w:cs="宋体"/>
                <w:color w:val="auto"/>
                <w:kern w:val="0"/>
                <w:highlight w:val="none"/>
              </w:rPr>
              <w:t>□单信封</w:t>
            </w:r>
          </w:p>
          <w:p w14:paraId="6251A0DF">
            <w:pPr>
              <w:widowControl/>
              <w:adjustRightInd w:val="0"/>
              <w:snapToGrid w:val="0"/>
              <w:rPr>
                <w:rFonts w:cs="宋体"/>
                <w:color w:val="auto"/>
                <w:highlight w:val="none"/>
              </w:rPr>
            </w:pPr>
            <w:r>
              <w:rPr>
                <w:rFonts w:hint="eastAsia" w:cs="宋体"/>
                <w:color w:val="auto"/>
                <w:kern w:val="0"/>
                <w:highlight w:val="none"/>
              </w:rPr>
              <w:sym w:font="Wingdings 2" w:char="0052"/>
            </w:r>
            <w:r>
              <w:rPr>
                <w:rFonts w:hint="eastAsia" w:cs="宋体"/>
                <w:color w:val="auto"/>
                <w:kern w:val="0"/>
                <w:highlight w:val="none"/>
              </w:rPr>
              <w:t>双信封</w:t>
            </w:r>
          </w:p>
        </w:tc>
      </w:tr>
      <w:tr w14:paraId="2E672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444E661">
            <w:pPr>
              <w:widowControl/>
              <w:adjustRightInd w:val="0"/>
              <w:snapToGrid w:val="0"/>
              <w:jc w:val="center"/>
              <w:rPr>
                <w:rFonts w:cs="宋体"/>
                <w:color w:val="auto"/>
                <w:highlight w:val="none"/>
              </w:rPr>
            </w:pPr>
            <w:r>
              <w:rPr>
                <w:rFonts w:hint="eastAsia" w:cs="宋体"/>
                <w:color w:val="auto"/>
                <w:kern w:val="0"/>
                <w:highlight w:val="none"/>
              </w:rPr>
              <w:t>3.1.1</w:t>
            </w:r>
          </w:p>
        </w:tc>
        <w:tc>
          <w:tcPr>
            <w:tcW w:w="937" w:type="pct"/>
            <w:vAlign w:val="center"/>
          </w:tcPr>
          <w:p w14:paraId="25F233BC">
            <w:pPr>
              <w:widowControl/>
              <w:adjustRightInd w:val="0"/>
              <w:snapToGrid w:val="0"/>
              <w:jc w:val="center"/>
              <w:rPr>
                <w:rFonts w:cs="宋体"/>
                <w:color w:val="auto"/>
                <w:highlight w:val="none"/>
              </w:rPr>
            </w:pPr>
            <w:r>
              <w:rPr>
                <w:rFonts w:hint="eastAsia" w:cs="宋体"/>
                <w:color w:val="auto"/>
                <w:kern w:val="0"/>
                <w:highlight w:val="none"/>
              </w:rPr>
              <w:t>构成投标文件的其他材料</w:t>
            </w:r>
          </w:p>
        </w:tc>
        <w:tc>
          <w:tcPr>
            <w:tcW w:w="3160" w:type="pct"/>
            <w:vAlign w:val="center"/>
          </w:tcPr>
          <w:p w14:paraId="1F21C5DF">
            <w:pPr>
              <w:widowControl/>
              <w:adjustRightInd w:val="0"/>
              <w:snapToGrid w:val="0"/>
              <w:rPr>
                <w:rFonts w:cs="宋体"/>
                <w:color w:val="auto"/>
                <w:highlight w:val="none"/>
              </w:rPr>
            </w:pPr>
            <w:r>
              <w:rPr>
                <w:rFonts w:hint="eastAsia" w:cs="宋体"/>
                <w:b w:val="0"/>
                <w:bCs w:val="0"/>
                <w:color w:val="auto"/>
                <w:kern w:val="0"/>
                <w:sz w:val="21"/>
                <w:szCs w:val="21"/>
                <w:highlight w:val="none"/>
                <w:lang w:val="en-US" w:eastAsia="zh-CN"/>
              </w:rPr>
              <w:t>见招标文件</w:t>
            </w:r>
            <w:r>
              <w:rPr>
                <w:rFonts w:hint="eastAsia" w:cs="宋体"/>
                <w:b w:val="0"/>
                <w:bCs w:val="0"/>
                <w:color w:val="auto"/>
                <w:kern w:val="0"/>
                <w:sz w:val="21"/>
                <w:szCs w:val="21"/>
                <w:highlight w:val="none"/>
                <w:lang w:eastAsia="zh-CN"/>
              </w:rPr>
              <w:t>第六章</w:t>
            </w:r>
            <w:r>
              <w:rPr>
                <w:rFonts w:hint="eastAsia" w:cs="宋体"/>
                <w:b w:val="0"/>
                <w:bCs w:val="0"/>
                <w:color w:val="auto"/>
                <w:kern w:val="0"/>
                <w:sz w:val="21"/>
                <w:szCs w:val="21"/>
                <w:highlight w:val="none"/>
              </w:rPr>
              <w:t>投标文件格式</w:t>
            </w:r>
            <w:r>
              <w:rPr>
                <w:rFonts w:hint="eastAsia" w:cs="宋体"/>
                <w:b w:val="0"/>
                <w:bCs w:val="0"/>
                <w:color w:val="auto"/>
                <w:kern w:val="0"/>
                <w:sz w:val="21"/>
                <w:szCs w:val="21"/>
                <w:highlight w:val="none"/>
                <w:lang w:val="en-US" w:eastAsia="zh-CN"/>
              </w:rPr>
              <w:t>要求。</w:t>
            </w:r>
          </w:p>
        </w:tc>
      </w:tr>
      <w:tr w14:paraId="75DA4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A82EC41">
            <w:pPr>
              <w:widowControl/>
              <w:adjustRightInd w:val="0"/>
              <w:snapToGrid w:val="0"/>
              <w:jc w:val="center"/>
              <w:rPr>
                <w:rFonts w:cs="宋体"/>
                <w:color w:val="auto"/>
                <w:kern w:val="0"/>
                <w:highlight w:val="none"/>
              </w:rPr>
            </w:pPr>
            <w:r>
              <w:rPr>
                <w:rFonts w:hint="eastAsia" w:cs="宋体"/>
                <w:color w:val="auto"/>
                <w:kern w:val="0"/>
                <w:highlight w:val="none"/>
              </w:rPr>
              <w:t>3.2.1</w:t>
            </w:r>
          </w:p>
        </w:tc>
        <w:tc>
          <w:tcPr>
            <w:tcW w:w="937" w:type="pct"/>
            <w:vAlign w:val="center"/>
          </w:tcPr>
          <w:p w14:paraId="448124C2">
            <w:pPr>
              <w:widowControl/>
              <w:adjustRightInd w:val="0"/>
              <w:snapToGrid w:val="0"/>
              <w:jc w:val="center"/>
              <w:rPr>
                <w:rFonts w:cs="宋体"/>
                <w:color w:val="auto"/>
                <w:kern w:val="0"/>
                <w:highlight w:val="none"/>
              </w:rPr>
            </w:pPr>
            <w:r>
              <w:rPr>
                <w:rFonts w:hint="eastAsia" w:cs="宋体"/>
                <w:color w:val="auto"/>
                <w:kern w:val="0"/>
                <w:highlight w:val="none"/>
              </w:rPr>
              <w:t>增值税税金的计算方法</w:t>
            </w:r>
          </w:p>
        </w:tc>
        <w:tc>
          <w:tcPr>
            <w:tcW w:w="3160" w:type="pct"/>
            <w:vAlign w:val="center"/>
          </w:tcPr>
          <w:p w14:paraId="72135651">
            <w:pPr>
              <w:widowControl/>
              <w:adjustRightInd w:val="0"/>
              <w:snapToGrid w:val="0"/>
              <w:rPr>
                <w:rFonts w:hint="eastAsia" w:eastAsia="宋体" w:cs="宋体"/>
                <w:color w:val="auto"/>
                <w:highlight w:val="none"/>
                <w:lang w:val="en-US" w:eastAsia="zh-CN"/>
              </w:rPr>
            </w:pPr>
            <w:r>
              <w:rPr>
                <w:rFonts w:hint="eastAsia" w:cs="宋体"/>
                <w:color w:val="auto"/>
                <w:highlight w:val="none"/>
              </w:rPr>
              <w:t>一般计税方法</w:t>
            </w:r>
            <w:r>
              <w:rPr>
                <w:rFonts w:hint="eastAsia" w:cs="宋体"/>
                <w:color w:val="auto"/>
                <w:highlight w:val="none"/>
                <w:lang w:val="en-US" w:eastAsia="zh-CN"/>
              </w:rPr>
              <w:t>或简易计税法皆可</w:t>
            </w:r>
            <w:r>
              <w:rPr>
                <w:rFonts w:hint="eastAsia" w:cs="宋体"/>
                <w:color w:val="auto"/>
                <w:highlight w:val="none"/>
              </w:rPr>
              <w:t>。</w:t>
            </w:r>
          </w:p>
        </w:tc>
      </w:tr>
      <w:tr w14:paraId="6CA50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02E761AF">
            <w:pPr>
              <w:widowControl/>
              <w:adjustRightInd w:val="0"/>
              <w:snapToGrid w:val="0"/>
              <w:jc w:val="center"/>
              <w:rPr>
                <w:rFonts w:cs="宋体"/>
                <w:color w:val="auto"/>
                <w:highlight w:val="none"/>
              </w:rPr>
            </w:pPr>
            <w:r>
              <w:rPr>
                <w:rFonts w:hint="eastAsia" w:cs="宋体"/>
                <w:color w:val="auto"/>
                <w:kern w:val="0"/>
                <w:highlight w:val="none"/>
              </w:rPr>
              <w:t>3.2.1</w:t>
            </w:r>
          </w:p>
        </w:tc>
        <w:tc>
          <w:tcPr>
            <w:tcW w:w="937" w:type="pct"/>
            <w:vAlign w:val="center"/>
          </w:tcPr>
          <w:p w14:paraId="40B926E2">
            <w:pPr>
              <w:widowControl/>
              <w:adjustRightInd w:val="0"/>
              <w:snapToGrid w:val="0"/>
              <w:jc w:val="center"/>
              <w:rPr>
                <w:rFonts w:cs="宋体"/>
                <w:color w:val="auto"/>
                <w:highlight w:val="none"/>
              </w:rPr>
            </w:pPr>
            <w:r>
              <w:rPr>
                <w:rFonts w:hint="eastAsia" w:cs="宋体"/>
                <w:color w:val="auto"/>
                <w:kern w:val="0"/>
                <w:highlight w:val="none"/>
              </w:rPr>
              <w:t>工程量清单的填写方式</w:t>
            </w:r>
          </w:p>
        </w:tc>
        <w:tc>
          <w:tcPr>
            <w:tcW w:w="3160" w:type="pct"/>
            <w:vAlign w:val="center"/>
          </w:tcPr>
          <w:p w14:paraId="4F5B32D9">
            <w:pPr>
              <w:widowControl/>
              <w:adjustRightInd w:val="0"/>
              <w:snapToGrid w:val="0"/>
              <w:rPr>
                <w:rFonts w:cs="宋体"/>
                <w:color w:val="auto"/>
                <w:highlight w:val="none"/>
              </w:rPr>
            </w:pPr>
            <w:r>
              <w:rPr>
                <w:rFonts w:hint="eastAsia"/>
                <w:color w:val="auto"/>
                <w:highlight w:val="none"/>
              </w:rPr>
              <w:t>投标人按照招标人提供的工程量清单电子文件填写工程量清单</w:t>
            </w:r>
          </w:p>
        </w:tc>
      </w:tr>
      <w:tr w14:paraId="3CA94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3331CD6C">
            <w:pPr>
              <w:widowControl/>
              <w:adjustRightInd w:val="0"/>
              <w:snapToGrid w:val="0"/>
              <w:jc w:val="center"/>
              <w:rPr>
                <w:rFonts w:cs="宋体"/>
                <w:color w:val="auto"/>
                <w:kern w:val="0"/>
                <w:highlight w:val="none"/>
              </w:rPr>
            </w:pPr>
            <w:r>
              <w:rPr>
                <w:rFonts w:hint="eastAsia" w:cs="宋体"/>
                <w:color w:val="auto"/>
                <w:kern w:val="0"/>
                <w:highlight w:val="none"/>
              </w:rPr>
              <w:t>3.2.3</w:t>
            </w:r>
          </w:p>
        </w:tc>
        <w:tc>
          <w:tcPr>
            <w:tcW w:w="937" w:type="pct"/>
            <w:vAlign w:val="center"/>
          </w:tcPr>
          <w:p w14:paraId="160FCA04">
            <w:pPr>
              <w:widowControl/>
              <w:adjustRightInd w:val="0"/>
              <w:snapToGrid w:val="0"/>
              <w:jc w:val="center"/>
              <w:rPr>
                <w:rFonts w:cs="宋体"/>
                <w:color w:val="auto"/>
                <w:kern w:val="0"/>
                <w:highlight w:val="none"/>
              </w:rPr>
            </w:pPr>
            <w:r>
              <w:rPr>
                <w:rFonts w:hint="eastAsia" w:cs="宋体"/>
                <w:color w:val="auto"/>
                <w:kern w:val="0"/>
                <w:highlight w:val="none"/>
              </w:rPr>
              <w:t>报价方式</w:t>
            </w:r>
          </w:p>
        </w:tc>
        <w:tc>
          <w:tcPr>
            <w:tcW w:w="3160" w:type="pct"/>
            <w:vAlign w:val="center"/>
          </w:tcPr>
          <w:p w14:paraId="0FBD91C2">
            <w:pPr>
              <w:widowControl/>
              <w:adjustRightInd w:val="0"/>
              <w:snapToGrid w:val="0"/>
              <w:rPr>
                <w:color w:val="auto"/>
                <w:highlight w:val="none"/>
              </w:rPr>
            </w:pPr>
            <w:r>
              <w:rPr>
                <w:color w:val="auto"/>
                <w:highlight w:val="none"/>
              </w:rPr>
              <w:sym w:font="Wingdings 2" w:char="0052"/>
            </w:r>
            <w:r>
              <w:rPr>
                <w:rFonts w:hint="eastAsia"/>
                <w:color w:val="auto"/>
                <w:highlight w:val="none"/>
              </w:rPr>
              <w:t>单价</w:t>
            </w:r>
          </w:p>
          <w:p w14:paraId="1E709976">
            <w:pPr>
              <w:widowControl/>
              <w:adjustRightInd w:val="0"/>
              <w:snapToGrid w:val="0"/>
              <w:rPr>
                <w:rFonts w:cs="宋体"/>
                <w:color w:val="auto"/>
                <w:highlight w:val="none"/>
              </w:rPr>
            </w:pPr>
            <w:r>
              <w:rPr>
                <w:rFonts w:cs="宋体"/>
                <w:color w:val="auto"/>
                <w:highlight w:val="none"/>
              </w:rPr>
              <w:sym w:font="Wingdings 2" w:char="00A3"/>
            </w:r>
            <w:r>
              <w:rPr>
                <w:rFonts w:hint="eastAsia"/>
                <w:color w:val="auto"/>
                <w:highlight w:val="none"/>
              </w:rPr>
              <w:t>总价</w:t>
            </w:r>
          </w:p>
        </w:tc>
      </w:tr>
      <w:tr w14:paraId="44509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7CB9668C">
            <w:pPr>
              <w:widowControl/>
              <w:adjustRightInd w:val="0"/>
              <w:snapToGrid w:val="0"/>
              <w:jc w:val="center"/>
              <w:rPr>
                <w:rFonts w:cs="宋体"/>
                <w:color w:val="auto"/>
                <w:highlight w:val="none"/>
              </w:rPr>
            </w:pPr>
            <w:r>
              <w:rPr>
                <w:rFonts w:hint="eastAsia" w:cs="宋体"/>
                <w:color w:val="auto"/>
                <w:kern w:val="0"/>
                <w:highlight w:val="none"/>
              </w:rPr>
              <w:t>3.2.6</w:t>
            </w:r>
          </w:p>
        </w:tc>
        <w:tc>
          <w:tcPr>
            <w:tcW w:w="937" w:type="pct"/>
            <w:vAlign w:val="center"/>
          </w:tcPr>
          <w:p w14:paraId="2F9DD2B4">
            <w:pPr>
              <w:widowControl/>
              <w:adjustRightInd w:val="0"/>
              <w:snapToGrid w:val="0"/>
              <w:jc w:val="center"/>
              <w:rPr>
                <w:rFonts w:cs="宋体"/>
                <w:color w:val="auto"/>
                <w:highlight w:val="none"/>
              </w:rPr>
            </w:pPr>
            <w:r>
              <w:rPr>
                <w:rFonts w:hint="eastAsia" w:cs="宋体"/>
                <w:color w:val="auto"/>
                <w:kern w:val="0"/>
                <w:highlight w:val="none"/>
              </w:rPr>
              <w:t>是否接受调价函</w:t>
            </w:r>
          </w:p>
        </w:tc>
        <w:tc>
          <w:tcPr>
            <w:tcW w:w="3160" w:type="pct"/>
            <w:vAlign w:val="center"/>
          </w:tcPr>
          <w:p w14:paraId="11612C40">
            <w:pPr>
              <w:widowControl/>
              <w:adjustRightInd w:val="0"/>
              <w:snapToGrid w:val="0"/>
              <w:rPr>
                <w:rFonts w:cs="宋体"/>
                <w:color w:val="auto"/>
                <w:highlight w:val="none"/>
              </w:rPr>
            </w:pPr>
            <w:r>
              <w:rPr>
                <w:rFonts w:hint="eastAsia" w:cs="宋体"/>
                <w:color w:val="auto"/>
                <w:highlight w:val="none"/>
              </w:rPr>
              <w:t>□是</w:t>
            </w:r>
          </w:p>
          <w:p w14:paraId="21898306">
            <w:pPr>
              <w:widowControl/>
              <w:adjustRightInd w:val="0"/>
              <w:snapToGrid w:val="0"/>
              <w:rPr>
                <w:rFonts w:cs="宋体"/>
                <w:color w:val="auto"/>
                <w:highlight w:val="none"/>
              </w:rPr>
            </w:pPr>
            <w:r>
              <w:rPr>
                <w:rFonts w:hint="eastAsia" w:cs="宋体"/>
                <w:color w:val="auto"/>
                <w:highlight w:val="none"/>
              </w:rPr>
              <w:sym w:font="Wingdings 2" w:char="0052"/>
            </w:r>
            <w:r>
              <w:rPr>
                <w:rFonts w:hint="eastAsia" w:cs="宋体"/>
                <w:color w:val="auto"/>
                <w:highlight w:val="none"/>
              </w:rPr>
              <w:t>否</w:t>
            </w:r>
          </w:p>
        </w:tc>
      </w:tr>
      <w:tr w14:paraId="08A81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50843AEC">
            <w:pPr>
              <w:widowControl/>
              <w:adjustRightInd w:val="0"/>
              <w:snapToGrid w:val="0"/>
              <w:jc w:val="center"/>
              <w:rPr>
                <w:rFonts w:cs="宋体"/>
                <w:color w:val="auto"/>
                <w:kern w:val="0"/>
                <w:highlight w:val="none"/>
              </w:rPr>
            </w:pPr>
            <w:r>
              <w:rPr>
                <w:rFonts w:hint="eastAsia" w:cs="宋体"/>
                <w:color w:val="auto"/>
                <w:kern w:val="0"/>
                <w:highlight w:val="none"/>
              </w:rPr>
              <w:t>3.2.7</w:t>
            </w:r>
          </w:p>
        </w:tc>
        <w:tc>
          <w:tcPr>
            <w:tcW w:w="937" w:type="pct"/>
            <w:vAlign w:val="center"/>
          </w:tcPr>
          <w:p w14:paraId="3EEF28BC">
            <w:pPr>
              <w:widowControl/>
              <w:adjustRightInd w:val="0"/>
              <w:snapToGrid w:val="0"/>
              <w:jc w:val="center"/>
              <w:rPr>
                <w:rFonts w:cs="宋体"/>
                <w:color w:val="auto"/>
                <w:kern w:val="0"/>
                <w:highlight w:val="none"/>
              </w:rPr>
            </w:pPr>
            <w:r>
              <w:rPr>
                <w:rFonts w:hint="eastAsia" w:cs="宋体"/>
                <w:color w:val="auto"/>
                <w:kern w:val="0"/>
                <w:highlight w:val="none"/>
              </w:rPr>
              <w:t>最高投标限价</w:t>
            </w:r>
          </w:p>
        </w:tc>
        <w:tc>
          <w:tcPr>
            <w:tcW w:w="3160" w:type="pct"/>
            <w:vAlign w:val="center"/>
          </w:tcPr>
          <w:p w14:paraId="5A3CB3E3">
            <w:pPr>
              <w:widowControl/>
              <w:adjustRightInd w:val="0"/>
              <w:snapToGrid w:val="0"/>
              <w:rPr>
                <w:rFonts w:cs="宋体"/>
                <w:color w:val="auto"/>
                <w:highlight w:val="none"/>
              </w:rPr>
            </w:pPr>
            <w:r>
              <w:rPr>
                <w:rFonts w:hint="eastAsia" w:cs="宋体"/>
                <w:color w:val="auto"/>
                <w:highlight w:val="none"/>
              </w:rPr>
              <w:t>□无</w:t>
            </w:r>
          </w:p>
          <w:p w14:paraId="5DE45AAC">
            <w:pPr>
              <w:widowControl/>
              <w:adjustRightInd w:val="0"/>
              <w:snapToGrid w:val="0"/>
              <w:rPr>
                <w:b/>
                <w:color w:val="auto"/>
                <w:kern w:val="0"/>
                <w:highlight w:val="none"/>
              </w:rPr>
            </w:pPr>
            <w:r>
              <w:rPr>
                <w:rFonts w:hint="eastAsia" w:cs="宋体"/>
                <w:color w:val="auto"/>
                <w:highlight w:val="none"/>
              </w:rPr>
              <w:sym w:font="Wingdings 2" w:char="0052"/>
            </w:r>
            <w:r>
              <w:rPr>
                <w:rFonts w:hint="eastAsia" w:cs="宋体"/>
                <w:color w:val="auto"/>
                <w:highlight w:val="none"/>
              </w:rPr>
              <w:t>有，</w:t>
            </w:r>
            <w:r>
              <w:rPr>
                <w:rFonts w:hint="eastAsia" w:cs="宋体"/>
                <w:color w:val="auto"/>
                <w:highlight w:val="none"/>
              </w:rPr>
              <w:t>最高投标限价：</w:t>
            </w:r>
            <w:r>
              <w:rPr>
                <w:rFonts w:hint="eastAsia"/>
                <w:b/>
                <w:color w:val="auto"/>
                <w:kern w:val="0"/>
                <w:highlight w:val="none"/>
              </w:rPr>
              <w:t>人民币</w:t>
            </w:r>
            <w:r>
              <w:rPr>
                <w:rFonts w:hint="eastAsia"/>
                <w:b/>
                <w:color w:val="auto"/>
                <w:kern w:val="0"/>
                <w:highlight w:val="none"/>
                <w:lang w:val="en-US" w:eastAsia="zh-CN"/>
              </w:rPr>
              <w:t>贰万捌仟</w:t>
            </w:r>
            <w:r>
              <w:rPr>
                <w:rFonts w:hint="eastAsia"/>
                <w:b/>
                <w:color w:val="auto"/>
                <w:kern w:val="0"/>
                <w:highlight w:val="none"/>
              </w:rPr>
              <w:t>元（¥</w:t>
            </w:r>
            <w:r>
              <w:rPr>
                <w:rFonts w:hint="eastAsia"/>
                <w:b/>
                <w:color w:val="auto"/>
                <w:kern w:val="0"/>
                <w:highlight w:val="none"/>
                <w:lang w:val="en-US" w:eastAsia="zh-CN"/>
              </w:rPr>
              <w:t>28000</w:t>
            </w:r>
            <w:r>
              <w:rPr>
                <w:rFonts w:hint="eastAsia"/>
                <w:b/>
                <w:color w:val="auto"/>
                <w:kern w:val="0"/>
                <w:highlight w:val="none"/>
              </w:rPr>
              <w:t>）</w:t>
            </w:r>
            <w:r>
              <w:rPr>
                <w:rFonts w:hint="eastAsia"/>
                <w:b/>
                <w:color w:val="auto"/>
                <w:kern w:val="0"/>
                <w:highlight w:val="none"/>
              </w:rPr>
              <w:t>。</w:t>
            </w:r>
          </w:p>
          <w:p w14:paraId="54D9E222">
            <w:pPr>
              <w:widowControl/>
              <w:adjustRightInd w:val="0"/>
              <w:snapToGrid w:val="0"/>
              <w:rPr>
                <w:rFonts w:cs="宋体"/>
                <w:color w:val="auto"/>
                <w:highlight w:val="none"/>
              </w:rPr>
            </w:pPr>
            <w:r>
              <w:rPr>
                <w:rFonts w:hint="eastAsia"/>
                <w:b/>
                <w:color w:val="auto"/>
                <w:kern w:val="0"/>
                <w:highlight w:val="none"/>
              </w:rPr>
              <w:t>超过该</w:t>
            </w:r>
            <w:r>
              <w:rPr>
                <w:rFonts w:hint="eastAsia" w:cs="宋体"/>
                <w:color w:val="auto"/>
                <w:highlight w:val="none"/>
              </w:rPr>
              <w:t>最高投标限价</w:t>
            </w:r>
            <w:r>
              <w:rPr>
                <w:rFonts w:hint="eastAsia"/>
                <w:b/>
                <w:color w:val="auto"/>
                <w:kern w:val="0"/>
                <w:highlight w:val="none"/>
              </w:rPr>
              <w:t>（总价）的投标作否决投标处理。</w:t>
            </w:r>
          </w:p>
        </w:tc>
      </w:tr>
      <w:tr w14:paraId="2E68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3" w:hRule="atLeast"/>
        </w:trPr>
        <w:tc>
          <w:tcPr>
            <w:tcW w:w="901" w:type="pct"/>
            <w:vAlign w:val="center"/>
          </w:tcPr>
          <w:p w14:paraId="754F6E88">
            <w:pPr>
              <w:widowControl/>
              <w:adjustRightInd w:val="0"/>
              <w:snapToGrid w:val="0"/>
              <w:jc w:val="center"/>
              <w:rPr>
                <w:rFonts w:cs="宋体"/>
                <w:color w:val="auto"/>
                <w:kern w:val="0"/>
                <w:highlight w:val="none"/>
              </w:rPr>
            </w:pPr>
            <w:r>
              <w:rPr>
                <w:rFonts w:hint="eastAsia" w:cs="宋体"/>
                <w:color w:val="auto"/>
                <w:kern w:val="0"/>
                <w:highlight w:val="none"/>
              </w:rPr>
              <w:t>3.2.8</w:t>
            </w:r>
          </w:p>
        </w:tc>
        <w:tc>
          <w:tcPr>
            <w:tcW w:w="937" w:type="pct"/>
            <w:vAlign w:val="center"/>
          </w:tcPr>
          <w:p w14:paraId="0E1CEA09">
            <w:pPr>
              <w:widowControl/>
              <w:adjustRightInd w:val="0"/>
              <w:snapToGrid w:val="0"/>
              <w:jc w:val="center"/>
              <w:rPr>
                <w:rFonts w:cs="宋体"/>
                <w:color w:val="auto"/>
                <w:kern w:val="0"/>
                <w:highlight w:val="none"/>
              </w:rPr>
            </w:pPr>
            <w:r>
              <w:rPr>
                <w:rFonts w:hint="eastAsia" w:cs="宋体"/>
                <w:color w:val="auto"/>
                <w:kern w:val="0"/>
                <w:highlight w:val="none"/>
              </w:rPr>
              <w:t>投标报价的其他要求</w:t>
            </w:r>
          </w:p>
        </w:tc>
        <w:tc>
          <w:tcPr>
            <w:tcW w:w="3160" w:type="pct"/>
            <w:vAlign w:val="center"/>
          </w:tcPr>
          <w:p w14:paraId="35AF2719">
            <w:pPr>
              <w:widowControl/>
              <w:adjustRightInd w:val="0"/>
              <w:snapToGrid w:val="0"/>
              <w:rPr>
                <w:rFonts w:cs="宋体"/>
                <w:color w:val="auto"/>
                <w:highlight w:val="none"/>
              </w:rPr>
            </w:pPr>
            <w:r>
              <w:rPr>
                <w:rFonts w:hint="eastAsia" w:cs="宋体"/>
                <w:color w:val="auto"/>
                <w:highlight w:val="none"/>
              </w:rPr>
              <w:t>1、本合同采用</w:t>
            </w:r>
            <w:r>
              <w:rPr>
                <w:rFonts w:hint="eastAsia" w:cs="宋体"/>
                <w:color w:val="auto"/>
                <w:highlight w:val="none"/>
              </w:rPr>
              <w:t>综合单价合同</w:t>
            </w:r>
            <w:r>
              <w:rPr>
                <w:rFonts w:hint="eastAsia" w:cs="宋体"/>
                <w:color w:val="auto"/>
                <w:highlight w:val="none"/>
              </w:rPr>
              <w:t>。投标报价应包括招标文件所确定的招标范围内相应工程量清单及相关资料及规范、规定等全部内容，包含但不限于投标人承担本合同项目全部工程的实施、材料费（含运输及二次搬运费）、人工费、交通费、保险费、机械/设备费、劳务费、管理费、维护费、安全生产费、保险费、利润、规费、税金等以及合同明示或暗示的所有一般风险责任和义务费用，以及为完成上述内容所必须的附属工程、临时工程、材料、劳务、机械、成品保护、垂直运输、脚手架搭设使用、与各工种间的协调配合工作、清洗、养护、验收、安全措施、技术措施，作为一名有经验的投标人所应考虑到的各种因素、风险及所需的全部费用。</w:t>
            </w:r>
          </w:p>
        </w:tc>
      </w:tr>
      <w:tr w14:paraId="6AB04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8797364">
            <w:pPr>
              <w:widowControl/>
              <w:adjustRightInd w:val="0"/>
              <w:snapToGrid w:val="0"/>
              <w:jc w:val="center"/>
              <w:rPr>
                <w:rFonts w:cs="宋体"/>
                <w:color w:val="auto"/>
                <w:highlight w:val="none"/>
              </w:rPr>
            </w:pPr>
            <w:r>
              <w:rPr>
                <w:rFonts w:hint="eastAsia" w:cs="宋体"/>
                <w:color w:val="auto"/>
                <w:kern w:val="0"/>
                <w:highlight w:val="none"/>
              </w:rPr>
              <w:t>3.3.1</w:t>
            </w:r>
          </w:p>
        </w:tc>
        <w:tc>
          <w:tcPr>
            <w:tcW w:w="937" w:type="pct"/>
            <w:vAlign w:val="center"/>
          </w:tcPr>
          <w:p w14:paraId="66919C07">
            <w:pPr>
              <w:widowControl/>
              <w:adjustRightInd w:val="0"/>
              <w:snapToGrid w:val="0"/>
              <w:jc w:val="center"/>
              <w:rPr>
                <w:rFonts w:cs="宋体"/>
                <w:color w:val="auto"/>
                <w:highlight w:val="none"/>
              </w:rPr>
            </w:pPr>
            <w:r>
              <w:rPr>
                <w:rFonts w:hint="eastAsia" w:cs="宋体"/>
                <w:color w:val="auto"/>
                <w:kern w:val="0"/>
                <w:highlight w:val="none"/>
              </w:rPr>
              <w:t>投标有效期</w:t>
            </w:r>
          </w:p>
        </w:tc>
        <w:tc>
          <w:tcPr>
            <w:tcW w:w="3160" w:type="pct"/>
            <w:vAlign w:val="center"/>
          </w:tcPr>
          <w:p w14:paraId="41CB882D">
            <w:pPr>
              <w:widowControl/>
              <w:adjustRightInd w:val="0"/>
              <w:snapToGrid w:val="0"/>
              <w:rPr>
                <w:rFonts w:cs="宋体"/>
                <w:b/>
                <w:color w:val="auto"/>
                <w:highlight w:val="none"/>
              </w:rPr>
            </w:pPr>
            <w:r>
              <w:rPr>
                <w:rFonts w:hint="eastAsia" w:cs="宋体"/>
                <w:color w:val="auto"/>
                <w:kern w:val="0"/>
                <w:highlight w:val="none"/>
              </w:rPr>
              <w:t>自投标人提交投标文件截止之日起计算90天</w:t>
            </w:r>
          </w:p>
        </w:tc>
      </w:tr>
      <w:tr w14:paraId="5C183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4" w:hRule="atLeast"/>
        </w:trPr>
        <w:tc>
          <w:tcPr>
            <w:tcW w:w="901" w:type="pct"/>
            <w:vAlign w:val="center"/>
          </w:tcPr>
          <w:p w14:paraId="088175D1">
            <w:pPr>
              <w:widowControl/>
              <w:adjustRightInd w:val="0"/>
              <w:snapToGrid w:val="0"/>
              <w:jc w:val="center"/>
              <w:rPr>
                <w:rFonts w:cs="宋体"/>
                <w:color w:val="auto"/>
                <w:highlight w:val="none"/>
              </w:rPr>
            </w:pPr>
            <w:r>
              <w:rPr>
                <w:rFonts w:hint="eastAsia" w:cs="宋体"/>
                <w:color w:val="auto"/>
                <w:kern w:val="0"/>
                <w:highlight w:val="none"/>
              </w:rPr>
              <w:t>3.4.1</w:t>
            </w:r>
          </w:p>
        </w:tc>
        <w:tc>
          <w:tcPr>
            <w:tcW w:w="937" w:type="pct"/>
            <w:vAlign w:val="center"/>
          </w:tcPr>
          <w:p w14:paraId="39357A20">
            <w:pPr>
              <w:widowControl/>
              <w:adjustRightInd w:val="0"/>
              <w:snapToGrid w:val="0"/>
              <w:jc w:val="center"/>
              <w:rPr>
                <w:rFonts w:cs="宋体"/>
                <w:color w:val="auto"/>
                <w:highlight w:val="none"/>
              </w:rPr>
            </w:pPr>
            <w:r>
              <w:rPr>
                <w:rFonts w:hint="eastAsia" w:cs="宋体"/>
                <w:color w:val="auto"/>
                <w:kern w:val="0"/>
                <w:highlight w:val="none"/>
              </w:rPr>
              <w:t>投标保证金</w:t>
            </w:r>
          </w:p>
        </w:tc>
        <w:tc>
          <w:tcPr>
            <w:tcW w:w="3160" w:type="pct"/>
            <w:vAlign w:val="center"/>
          </w:tcPr>
          <w:p w14:paraId="0D1BEB43">
            <w:pPr>
              <w:autoSpaceDE w:val="0"/>
              <w:autoSpaceDN w:val="0"/>
              <w:adjustRightInd w:val="0"/>
              <w:rPr>
                <w:rFonts w:cs="T3Font_0"/>
                <w:color w:val="auto"/>
                <w:kern w:val="0"/>
                <w:highlight w:val="none"/>
              </w:rPr>
            </w:pPr>
            <w:r>
              <w:rPr>
                <w:rFonts w:hint="eastAsia" w:cs="T3Font_0"/>
                <w:color w:val="auto"/>
                <w:kern w:val="0"/>
                <w:highlight w:val="none"/>
              </w:rPr>
              <w:t>本项目不设投标保证金。</w:t>
            </w:r>
          </w:p>
        </w:tc>
      </w:tr>
      <w:tr w14:paraId="6FEC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6EE6C899">
            <w:pPr>
              <w:widowControl/>
              <w:adjustRightInd w:val="0"/>
              <w:snapToGrid w:val="0"/>
              <w:jc w:val="center"/>
              <w:rPr>
                <w:rFonts w:cs="宋体"/>
                <w:color w:val="auto"/>
                <w:kern w:val="0"/>
                <w:highlight w:val="none"/>
              </w:rPr>
            </w:pPr>
            <w:r>
              <w:rPr>
                <w:rFonts w:hint="eastAsia" w:cs="宋体"/>
                <w:color w:val="auto"/>
                <w:kern w:val="0"/>
                <w:highlight w:val="none"/>
              </w:rPr>
              <w:t>3.5</w:t>
            </w:r>
          </w:p>
        </w:tc>
        <w:tc>
          <w:tcPr>
            <w:tcW w:w="937" w:type="pct"/>
            <w:vAlign w:val="center"/>
          </w:tcPr>
          <w:p w14:paraId="0DD932EC">
            <w:pPr>
              <w:widowControl/>
              <w:adjustRightInd w:val="0"/>
              <w:snapToGrid w:val="0"/>
              <w:jc w:val="center"/>
              <w:rPr>
                <w:rFonts w:cs="宋体"/>
                <w:color w:val="auto"/>
                <w:kern w:val="0"/>
                <w:highlight w:val="none"/>
              </w:rPr>
            </w:pPr>
            <w:r>
              <w:rPr>
                <w:rFonts w:hint="eastAsia" w:cs="宋体"/>
                <w:color w:val="auto"/>
                <w:kern w:val="0"/>
                <w:highlight w:val="none"/>
              </w:rPr>
              <w:t>资格审查资料的特殊要求</w:t>
            </w:r>
          </w:p>
        </w:tc>
        <w:tc>
          <w:tcPr>
            <w:tcW w:w="3160" w:type="pct"/>
            <w:vAlign w:val="center"/>
          </w:tcPr>
          <w:p w14:paraId="759CCEFE">
            <w:pPr>
              <w:widowControl/>
              <w:adjustRightInd w:val="0"/>
              <w:snapToGrid w:val="0"/>
              <w:rPr>
                <w:color w:val="auto"/>
                <w:kern w:val="0"/>
                <w:highlight w:val="none"/>
              </w:rPr>
            </w:pPr>
            <w:r>
              <w:rPr>
                <w:rFonts w:hint="eastAsia"/>
                <w:color w:val="auto"/>
                <w:kern w:val="0"/>
                <w:highlight w:val="none"/>
              </w:rPr>
              <w:sym w:font="Wingdings 2" w:char="0052"/>
            </w:r>
            <w:r>
              <w:rPr>
                <w:rFonts w:hint="eastAsia"/>
                <w:color w:val="auto"/>
                <w:kern w:val="0"/>
                <w:highlight w:val="none"/>
              </w:rPr>
              <w:t>无</w:t>
            </w:r>
          </w:p>
          <w:p w14:paraId="3406AD13">
            <w:pPr>
              <w:widowControl/>
              <w:adjustRightInd w:val="0"/>
              <w:snapToGrid w:val="0"/>
              <w:rPr>
                <w:color w:val="auto"/>
                <w:kern w:val="0"/>
                <w:highlight w:val="none"/>
              </w:rPr>
            </w:pPr>
            <w:r>
              <w:rPr>
                <w:rFonts w:hint="eastAsia"/>
                <w:color w:val="auto"/>
                <w:kern w:val="0"/>
                <w:highlight w:val="none"/>
              </w:rPr>
              <w:sym w:font="Wingdings 2" w:char="00A3"/>
            </w:r>
            <w:r>
              <w:rPr>
                <w:rFonts w:hint="eastAsia"/>
                <w:color w:val="auto"/>
                <w:kern w:val="0"/>
                <w:highlight w:val="none"/>
              </w:rPr>
              <w:t>有,具体要求：</w:t>
            </w:r>
          </w:p>
        </w:tc>
      </w:tr>
      <w:tr w14:paraId="18C04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C95BEF5">
            <w:pPr>
              <w:widowControl/>
              <w:adjustRightInd w:val="0"/>
              <w:snapToGrid w:val="0"/>
              <w:jc w:val="center"/>
              <w:rPr>
                <w:rFonts w:cs="宋体"/>
                <w:color w:val="auto"/>
                <w:highlight w:val="none"/>
              </w:rPr>
            </w:pPr>
            <w:r>
              <w:rPr>
                <w:rFonts w:hint="eastAsia" w:cs="宋体"/>
                <w:color w:val="auto"/>
                <w:kern w:val="0"/>
                <w:highlight w:val="none"/>
              </w:rPr>
              <w:t>3.6</w:t>
            </w:r>
          </w:p>
        </w:tc>
        <w:tc>
          <w:tcPr>
            <w:tcW w:w="937" w:type="pct"/>
            <w:vAlign w:val="center"/>
          </w:tcPr>
          <w:p w14:paraId="73CA6AFF">
            <w:pPr>
              <w:widowControl/>
              <w:adjustRightInd w:val="0"/>
              <w:snapToGrid w:val="0"/>
              <w:jc w:val="center"/>
              <w:rPr>
                <w:rFonts w:cs="宋体"/>
                <w:color w:val="auto"/>
                <w:highlight w:val="none"/>
              </w:rPr>
            </w:pPr>
            <w:r>
              <w:rPr>
                <w:rFonts w:hint="eastAsia" w:cs="宋体"/>
                <w:color w:val="auto"/>
                <w:kern w:val="0"/>
                <w:highlight w:val="none"/>
              </w:rPr>
              <w:t>是否允许递交备选投标方案</w:t>
            </w:r>
          </w:p>
        </w:tc>
        <w:tc>
          <w:tcPr>
            <w:tcW w:w="3160" w:type="pct"/>
            <w:vAlign w:val="center"/>
          </w:tcPr>
          <w:p w14:paraId="507767C0">
            <w:pPr>
              <w:widowControl/>
              <w:adjustRightInd w:val="0"/>
              <w:snapToGrid w:val="0"/>
              <w:rPr>
                <w:color w:val="auto"/>
                <w:kern w:val="0"/>
                <w:highlight w:val="none"/>
              </w:rPr>
            </w:pPr>
            <w:r>
              <w:rPr>
                <w:rFonts w:hint="eastAsia"/>
                <w:color w:val="auto"/>
                <w:kern w:val="0"/>
                <w:highlight w:val="none"/>
              </w:rPr>
              <w:t>□允许</w:t>
            </w:r>
          </w:p>
          <w:p w14:paraId="3E816A2A">
            <w:pPr>
              <w:widowControl/>
              <w:adjustRightInd w:val="0"/>
              <w:snapToGrid w:val="0"/>
              <w:rPr>
                <w:rFonts w:cs="宋体"/>
                <w:color w:val="auto"/>
                <w:highlight w:val="none"/>
                <w:u w:val="single"/>
              </w:rPr>
            </w:pPr>
            <w:r>
              <w:rPr>
                <w:rFonts w:hint="eastAsia"/>
                <w:color w:val="auto"/>
                <w:kern w:val="0"/>
                <w:highlight w:val="none"/>
              </w:rPr>
              <w:sym w:font="Wingdings 2" w:char="0052"/>
            </w:r>
            <w:r>
              <w:rPr>
                <w:rFonts w:hint="eastAsia"/>
                <w:color w:val="auto"/>
                <w:kern w:val="0"/>
                <w:highlight w:val="none"/>
              </w:rPr>
              <w:t>不允许</w:t>
            </w:r>
          </w:p>
        </w:tc>
      </w:tr>
      <w:tr w14:paraId="2C25D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71B04F1D">
            <w:pPr>
              <w:widowControl/>
              <w:adjustRightInd w:val="0"/>
              <w:snapToGrid w:val="0"/>
              <w:jc w:val="center"/>
              <w:rPr>
                <w:rFonts w:cs="宋体"/>
                <w:color w:val="auto"/>
                <w:highlight w:val="none"/>
              </w:rPr>
            </w:pPr>
            <w:r>
              <w:rPr>
                <w:rFonts w:hint="eastAsia" w:cs="宋体"/>
                <w:color w:val="auto"/>
                <w:kern w:val="0"/>
                <w:highlight w:val="none"/>
              </w:rPr>
              <w:t>3.7.4</w:t>
            </w:r>
          </w:p>
        </w:tc>
        <w:tc>
          <w:tcPr>
            <w:tcW w:w="937" w:type="pct"/>
            <w:vAlign w:val="center"/>
          </w:tcPr>
          <w:p w14:paraId="15988AE6">
            <w:pPr>
              <w:jc w:val="center"/>
              <w:rPr>
                <w:rFonts w:cs="宋体"/>
                <w:color w:val="auto"/>
                <w:highlight w:val="none"/>
              </w:rPr>
            </w:pPr>
            <w:r>
              <w:rPr>
                <w:rFonts w:hint="eastAsia" w:cs="宋体"/>
                <w:color w:val="auto"/>
                <w:highlight w:val="none"/>
              </w:rPr>
              <w:t>投标文件副本份数及其他要求</w:t>
            </w:r>
          </w:p>
        </w:tc>
        <w:tc>
          <w:tcPr>
            <w:tcW w:w="3160" w:type="pct"/>
            <w:vAlign w:val="center"/>
          </w:tcPr>
          <w:p w14:paraId="086C61A2">
            <w:pPr>
              <w:pStyle w:val="9"/>
              <w:topLinePunct/>
              <w:ind w:firstLine="210" w:firstLineChars="100"/>
              <w:rPr>
                <w:rFonts w:ascii="Times New Roman"/>
                <w:color w:val="auto"/>
                <w:kern w:val="0"/>
                <w:sz w:val="21"/>
                <w:szCs w:val="21"/>
                <w:highlight w:val="none"/>
              </w:rPr>
            </w:pPr>
            <w:r>
              <w:rPr>
                <w:rFonts w:hint="eastAsia" w:ascii="Times New Roman"/>
                <w:color w:val="auto"/>
                <w:kern w:val="0"/>
                <w:sz w:val="21"/>
                <w:szCs w:val="21"/>
                <w:highlight w:val="none"/>
              </w:rPr>
              <w:t>须提供壹份正本，叁份副本，评标结果公示期满后，领取中标通知书前提供电子版投标文件（U盘一份），且必须保证与纸质版投标文件完全一致，电子文件不得设置密码并保证无病毒。</w:t>
            </w:r>
          </w:p>
          <w:p w14:paraId="49ABC525">
            <w:pPr>
              <w:pStyle w:val="9"/>
              <w:topLinePunct/>
              <w:ind w:firstLine="210" w:firstLineChars="100"/>
              <w:rPr>
                <w:rFonts w:ascii="Times New Roman"/>
                <w:color w:val="auto"/>
                <w:kern w:val="0"/>
                <w:sz w:val="21"/>
                <w:szCs w:val="21"/>
                <w:highlight w:val="none"/>
              </w:rPr>
            </w:pPr>
            <w:r>
              <w:rPr>
                <w:rFonts w:hint="eastAsia" w:ascii="Times New Roman"/>
                <w:color w:val="auto"/>
                <w:kern w:val="0"/>
                <w:sz w:val="21"/>
                <w:szCs w:val="21"/>
                <w:highlight w:val="none"/>
              </w:rPr>
              <w:t>全套投标文件应无修改和行间插字，如有修改，须在修改处加盖投标人公章或由投标人法定代表人或其委托代理人在修改处签字。</w:t>
            </w:r>
          </w:p>
        </w:tc>
      </w:tr>
      <w:tr w14:paraId="58895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7DBF1E2A">
            <w:pPr>
              <w:adjustRightInd w:val="0"/>
              <w:snapToGrid w:val="0"/>
              <w:jc w:val="center"/>
              <w:rPr>
                <w:rFonts w:cs="宋体"/>
                <w:color w:val="auto"/>
                <w:kern w:val="0"/>
                <w:highlight w:val="none"/>
              </w:rPr>
            </w:pPr>
            <w:r>
              <w:rPr>
                <w:color w:val="auto"/>
                <w:highlight w:val="none"/>
              </w:rPr>
              <w:t>3.7.5</w:t>
            </w:r>
          </w:p>
        </w:tc>
        <w:tc>
          <w:tcPr>
            <w:tcW w:w="937" w:type="pct"/>
            <w:vAlign w:val="center"/>
          </w:tcPr>
          <w:p w14:paraId="22E449D2">
            <w:pPr>
              <w:adjustRightInd w:val="0"/>
              <w:snapToGrid w:val="0"/>
              <w:jc w:val="center"/>
              <w:rPr>
                <w:rFonts w:cs="宋体"/>
                <w:color w:val="auto"/>
                <w:highlight w:val="none"/>
              </w:rPr>
            </w:pPr>
            <w:r>
              <w:rPr>
                <w:color w:val="auto"/>
                <w:highlight w:val="none"/>
              </w:rPr>
              <w:t>装订的其他要求</w:t>
            </w:r>
          </w:p>
        </w:tc>
        <w:tc>
          <w:tcPr>
            <w:tcW w:w="3160" w:type="pct"/>
            <w:vAlign w:val="center"/>
          </w:tcPr>
          <w:p w14:paraId="700F4D15">
            <w:pPr>
              <w:adjustRightInd w:val="0"/>
              <w:snapToGrid w:val="0"/>
              <w:rPr>
                <w:color w:val="auto"/>
                <w:highlight w:val="none"/>
              </w:rPr>
            </w:pPr>
            <w:r>
              <w:rPr>
                <w:b/>
                <w:color w:val="auto"/>
                <w:highlight w:val="none"/>
              </w:rPr>
              <w:t>投标文件应分正副本装订成册</w:t>
            </w:r>
            <w:r>
              <w:rPr>
                <w:color w:val="auto"/>
                <w:highlight w:val="none"/>
              </w:rPr>
              <w:t>，应编制目录，且逐页标注连续页码。投标文件不得采用活页夹装订。投标文件应编制目录，并标注页码，否则，招标人对由于投标文件装订松散而造成的丢失或其它后果不承担任何责任。</w:t>
            </w:r>
          </w:p>
        </w:tc>
      </w:tr>
      <w:tr w14:paraId="2FB0D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1" w:type="pct"/>
            <w:vAlign w:val="center"/>
          </w:tcPr>
          <w:p w14:paraId="15092D0D">
            <w:pPr>
              <w:jc w:val="center"/>
              <w:rPr>
                <w:rFonts w:cs="宋体"/>
                <w:color w:val="auto"/>
                <w:kern w:val="0"/>
                <w:highlight w:val="none"/>
              </w:rPr>
            </w:pPr>
            <w:r>
              <w:rPr>
                <w:rFonts w:hint="eastAsia" w:ascii="宋体" w:hAnsi="宋体"/>
                <w:color w:val="auto"/>
                <w:highlight w:val="none"/>
              </w:rPr>
              <w:t>4.1.2</w:t>
            </w:r>
          </w:p>
        </w:tc>
        <w:tc>
          <w:tcPr>
            <w:tcW w:w="937" w:type="pct"/>
            <w:vAlign w:val="center"/>
          </w:tcPr>
          <w:p w14:paraId="7FC6E4AB">
            <w:pPr>
              <w:jc w:val="center"/>
              <w:rPr>
                <w:rFonts w:cs="宋体"/>
                <w:color w:val="auto"/>
                <w:highlight w:val="none"/>
              </w:rPr>
            </w:pPr>
            <w:r>
              <w:rPr>
                <w:rFonts w:hint="eastAsia"/>
                <w:color w:val="auto"/>
                <w:highlight w:val="none"/>
              </w:rPr>
              <w:t>封套上写明</w:t>
            </w:r>
          </w:p>
        </w:tc>
        <w:tc>
          <w:tcPr>
            <w:tcW w:w="3160" w:type="pct"/>
            <w:vAlign w:val="center"/>
          </w:tcPr>
          <w:p w14:paraId="6A1C39CF">
            <w:pPr>
              <w:rPr>
                <w:rFonts w:ascii="宋体" w:hAnsi="宋体"/>
                <w:color w:val="auto"/>
                <w:highlight w:val="none"/>
              </w:rPr>
            </w:pPr>
            <w:r>
              <w:rPr>
                <w:rFonts w:hint="eastAsia" w:ascii="宋体" w:hAnsi="宋体"/>
                <w:color w:val="auto"/>
                <w:highlight w:val="none"/>
              </w:rPr>
              <w:t>投标文件（资格审查文件）封套：</w:t>
            </w:r>
          </w:p>
          <w:p w14:paraId="44A3C7C3">
            <w:pPr>
              <w:rPr>
                <w:rFonts w:ascii="宋体" w:hAnsi="宋体"/>
                <w:color w:val="auto"/>
                <w:highlight w:val="none"/>
              </w:rPr>
            </w:pPr>
            <w:r>
              <w:rPr>
                <w:rFonts w:hint="eastAsia" w:ascii="宋体" w:hAnsi="宋体"/>
                <w:color w:val="auto"/>
                <w:highlight w:val="none"/>
              </w:rPr>
              <w:t>招标人名称：__________________</w:t>
            </w:r>
          </w:p>
          <w:p w14:paraId="4C2AF8E2">
            <w:pPr>
              <w:rPr>
                <w:rFonts w:ascii="宋体" w:hAnsi="宋体"/>
                <w:color w:val="auto"/>
                <w:highlight w:val="none"/>
              </w:rPr>
            </w:pPr>
            <w:r>
              <w:rPr>
                <w:rFonts w:hint="eastAsia" w:ascii="宋体" w:hAnsi="宋体"/>
                <w:color w:val="auto"/>
                <w:highlight w:val="none"/>
              </w:rPr>
              <w:t>招标人地址：__________________</w:t>
            </w:r>
          </w:p>
          <w:p w14:paraId="6A35A6E6">
            <w:pPr>
              <w:rPr>
                <w:rFonts w:ascii="宋体" w:hAnsi="宋体"/>
                <w:color w:val="auto"/>
                <w:highlight w:val="none"/>
              </w:rPr>
            </w:pPr>
            <w:r>
              <w:rPr>
                <w:rFonts w:hint="eastAsia" w:ascii="宋体" w:hAnsi="宋体"/>
                <w:color w:val="auto"/>
                <w:highlight w:val="none"/>
              </w:rPr>
              <w:t>______(项目名称)投标文件（资格审查文件）</w:t>
            </w:r>
          </w:p>
          <w:p w14:paraId="1E4AD6BB">
            <w:pPr>
              <w:rPr>
                <w:rFonts w:ascii="宋体" w:hAnsi="宋体"/>
                <w:color w:val="auto"/>
                <w:highlight w:val="none"/>
              </w:rPr>
            </w:pPr>
            <w:r>
              <w:rPr>
                <w:rFonts w:hint="eastAsia" w:ascii="宋体" w:hAnsi="宋体"/>
                <w:color w:val="auto"/>
                <w:highlight w:val="none"/>
              </w:rPr>
              <w:t>在_____年_____月_____日_____时_____分前不得开启</w:t>
            </w:r>
          </w:p>
          <w:p w14:paraId="2BBA5A0C">
            <w:pPr>
              <w:rPr>
                <w:rFonts w:ascii="宋体" w:hAnsi="宋体"/>
                <w:color w:val="auto"/>
                <w:highlight w:val="none"/>
              </w:rPr>
            </w:pPr>
            <w:r>
              <w:rPr>
                <w:rFonts w:hint="eastAsia" w:ascii="宋体" w:hAnsi="宋体"/>
                <w:color w:val="auto"/>
                <w:highlight w:val="none"/>
              </w:rPr>
              <w:t>投标人名称：__________________</w:t>
            </w:r>
          </w:p>
          <w:p w14:paraId="2CE007DA">
            <w:pPr>
              <w:rPr>
                <w:rFonts w:ascii="宋体" w:hAnsi="宋体"/>
                <w:color w:val="auto"/>
                <w:highlight w:val="none"/>
              </w:rPr>
            </w:pPr>
          </w:p>
          <w:p w14:paraId="11025986">
            <w:pPr>
              <w:rPr>
                <w:rFonts w:ascii="宋体" w:hAnsi="宋体"/>
                <w:color w:val="auto"/>
                <w:highlight w:val="none"/>
              </w:rPr>
            </w:pPr>
            <w:r>
              <w:rPr>
                <w:rFonts w:hint="eastAsia" w:ascii="宋体" w:hAnsi="宋体"/>
                <w:color w:val="auto"/>
                <w:highlight w:val="none"/>
              </w:rPr>
              <w:t>投标文件（报价文件）封套：</w:t>
            </w:r>
          </w:p>
          <w:p w14:paraId="17A9D0EC">
            <w:pPr>
              <w:rPr>
                <w:rFonts w:ascii="宋体" w:hAnsi="宋体"/>
                <w:color w:val="auto"/>
                <w:highlight w:val="none"/>
              </w:rPr>
            </w:pPr>
            <w:r>
              <w:rPr>
                <w:rFonts w:hint="eastAsia" w:ascii="宋体" w:hAnsi="宋体"/>
                <w:color w:val="auto"/>
                <w:highlight w:val="none"/>
              </w:rPr>
              <w:t>招标人名称：__________________</w:t>
            </w:r>
          </w:p>
          <w:p w14:paraId="2B6007D2">
            <w:pPr>
              <w:rPr>
                <w:rFonts w:ascii="宋体" w:hAnsi="宋体"/>
                <w:color w:val="auto"/>
                <w:highlight w:val="none"/>
              </w:rPr>
            </w:pPr>
            <w:r>
              <w:rPr>
                <w:rFonts w:hint="eastAsia" w:ascii="宋体" w:hAnsi="宋体"/>
                <w:color w:val="auto"/>
                <w:highlight w:val="none"/>
              </w:rPr>
              <w:t>招标人地址：__________________</w:t>
            </w:r>
          </w:p>
          <w:p w14:paraId="777EB5E5">
            <w:pPr>
              <w:rPr>
                <w:rFonts w:ascii="宋体" w:hAnsi="宋体"/>
                <w:color w:val="auto"/>
                <w:highlight w:val="none"/>
              </w:rPr>
            </w:pPr>
            <w:r>
              <w:rPr>
                <w:rFonts w:hint="eastAsia" w:ascii="宋体" w:hAnsi="宋体"/>
                <w:color w:val="auto"/>
                <w:highlight w:val="none"/>
              </w:rPr>
              <w:t>______(项目名称）投标文件（报价文件）</w:t>
            </w:r>
          </w:p>
          <w:p w14:paraId="2A3D10E3">
            <w:pPr>
              <w:rPr>
                <w:rFonts w:ascii="宋体" w:hAnsi="宋体"/>
                <w:color w:val="auto"/>
                <w:highlight w:val="none"/>
              </w:rPr>
            </w:pPr>
            <w:r>
              <w:rPr>
                <w:rFonts w:hint="eastAsia" w:ascii="宋体" w:hAnsi="宋体"/>
                <w:color w:val="auto"/>
                <w:highlight w:val="none"/>
              </w:rPr>
              <w:t>在投标文件（报价文件)开标前不得开启</w:t>
            </w:r>
          </w:p>
          <w:p w14:paraId="4002408A">
            <w:pPr>
              <w:rPr>
                <w:rFonts w:ascii="宋体" w:hAnsi="宋体"/>
                <w:color w:val="auto"/>
                <w:highlight w:val="none"/>
              </w:rPr>
            </w:pPr>
            <w:r>
              <w:rPr>
                <w:rFonts w:hint="eastAsia" w:ascii="宋体" w:hAnsi="宋体"/>
                <w:color w:val="auto"/>
                <w:highlight w:val="none"/>
              </w:rPr>
              <w:t>投标人名称：__________________</w:t>
            </w:r>
          </w:p>
          <w:p w14:paraId="7CC72F6F">
            <w:pPr>
              <w:rPr>
                <w:color w:val="auto"/>
                <w:highlight w:val="none"/>
              </w:rPr>
            </w:pPr>
            <w:r>
              <w:rPr>
                <w:rFonts w:hint="eastAsia" w:ascii="宋体" w:hAnsi="宋体"/>
                <w:color w:val="auto"/>
                <w:highlight w:val="none"/>
              </w:rPr>
              <w:t>投标人地址：__________________</w:t>
            </w:r>
          </w:p>
        </w:tc>
      </w:tr>
      <w:tr w14:paraId="23029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4CD0AE0">
            <w:pPr>
              <w:adjustRightInd w:val="0"/>
              <w:snapToGrid w:val="0"/>
              <w:jc w:val="center"/>
              <w:rPr>
                <w:rFonts w:cs="宋体"/>
                <w:color w:val="auto"/>
                <w:kern w:val="0"/>
                <w:highlight w:val="none"/>
              </w:rPr>
            </w:pPr>
            <w:r>
              <w:rPr>
                <w:color w:val="auto"/>
                <w:highlight w:val="none"/>
              </w:rPr>
              <w:t>4.2.2</w:t>
            </w:r>
          </w:p>
        </w:tc>
        <w:tc>
          <w:tcPr>
            <w:tcW w:w="937" w:type="pct"/>
            <w:vAlign w:val="center"/>
          </w:tcPr>
          <w:p w14:paraId="46A61557">
            <w:pPr>
              <w:adjustRightInd w:val="0"/>
              <w:snapToGrid w:val="0"/>
              <w:jc w:val="center"/>
              <w:rPr>
                <w:rFonts w:cs="宋体"/>
                <w:color w:val="auto"/>
                <w:highlight w:val="none"/>
              </w:rPr>
            </w:pPr>
            <w:r>
              <w:rPr>
                <w:color w:val="auto"/>
                <w:highlight w:val="none"/>
              </w:rPr>
              <w:t>递交投标文件地点</w:t>
            </w:r>
          </w:p>
        </w:tc>
        <w:tc>
          <w:tcPr>
            <w:tcW w:w="3160" w:type="pct"/>
            <w:vAlign w:val="center"/>
          </w:tcPr>
          <w:p w14:paraId="3AA68B3E">
            <w:pPr>
              <w:rPr>
                <w:color w:val="auto"/>
                <w:highlight w:val="none"/>
              </w:rPr>
            </w:pPr>
            <w:r>
              <w:rPr>
                <w:rFonts w:hint="eastAsia" w:ascii="宋体" w:hAnsi="宋体"/>
                <w:color w:val="auto"/>
                <w:kern w:val="0"/>
                <w:highlight w:val="none"/>
              </w:rPr>
              <w:t>详见招标公告及补遗书（若有）</w:t>
            </w:r>
          </w:p>
        </w:tc>
      </w:tr>
      <w:tr w14:paraId="0E9EC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39D6C481">
            <w:pPr>
              <w:widowControl/>
              <w:adjustRightInd w:val="0"/>
              <w:snapToGrid w:val="0"/>
              <w:jc w:val="center"/>
              <w:rPr>
                <w:rFonts w:cs="宋体"/>
                <w:color w:val="auto"/>
                <w:kern w:val="0"/>
                <w:highlight w:val="none"/>
              </w:rPr>
            </w:pPr>
            <w:r>
              <w:rPr>
                <w:rFonts w:hint="eastAsia" w:cs="宋体"/>
                <w:color w:val="auto"/>
                <w:kern w:val="0"/>
                <w:highlight w:val="none"/>
              </w:rPr>
              <w:t>5.1</w:t>
            </w:r>
          </w:p>
        </w:tc>
        <w:tc>
          <w:tcPr>
            <w:tcW w:w="937" w:type="pct"/>
            <w:vAlign w:val="center"/>
          </w:tcPr>
          <w:p w14:paraId="6A94EA1D">
            <w:pPr>
              <w:widowControl/>
              <w:adjustRightInd w:val="0"/>
              <w:snapToGrid w:val="0"/>
              <w:jc w:val="center"/>
              <w:rPr>
                <w:rFonts w:cs="宋体"/>
                <w:color w:val="auto"/>
                <w:highlight w:val="none"/>
              </w:rPr>
            </w:pPr>
            <w:r>
              <w:rPr>
                <w:rFonts w:hint="eastAsia" w:cs="宋体"/>
                <w:color w:val="auto"/>
                <w:kern w:val="0"/>
                <w:highlight w:val="none"/>
              </w:rPr>
              <w:t>开标时间和地点</w:t>
            </w:r>
          </w:p>
        </w:tc>
        <w:tc>
          <w:tcPr>
            <w:tcW w:w="3160" w:type="pct"/>
            <w:vAlign w:val="center"/>
          </w:tcPr>
          <w:p w14:paraId="3D7E94E3">
            <w:pPr>
              <w:widowControl/>
              <w:adjustRightInd w:val="0"/>
              <w:snapToGrid w:val="0"/>
              <w:rPr>
                <w:rFonts w:cs="宋体"/>
                <w:color w:val="auto"/>
                <w:kern w:val="0"/>
                <w:highlight w:val="none"/>
              </w:rPr>
            </w:pPr>
            <w:r>
              <w:rPr>
                <w:rFonts w:hint="eastAsia" w:cs="宋体"/>
                <w:color w:val="auto"/>
                <w:highlight w:val="none"/>
              </w:rPr>
              <w:t>详见招标公告及补遗书。</w:t>
            </w:r>
          </w:p>
        </w:tc>
      </w:tr>
      <w:tr w14:paraId="44DF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36AF5175">
            <w:pPr>
              <w:widowControl/>
              <w:adjustRightInd w:val="0"/>
              <w:snapToGrid w:val="0"/>
              <w:jc w:val="center"/>
              <w:rPr>
                <w:rFonts w:cs="宋体"/>
                <w:color w:val="auto"/>
                <w:highlight w:val="none"/>
              </w:rPr>
            </w:pPr>
            <w:r>
              <w:rPr>
                <w:rFonts w:hint="eastAsia" w:cs="宋体"/>
                <w:color w:val="auto"/>
                <w:kern w:val="0"/>
                <w:highlight w:val="none"/>
              </w:rPr>
              <w:t>5.2.1</w:t>
            </w:r>
          </w:p>
        </w:tc>
        <w:tc>
          <w:tcPr>
            <w:tcW w:w="937" w:type="pct"/>
            <w:vAlign w:val="center"/>
          </w:tcPr>
          <w:p w14:paraId="72D85D2C">
            <w:pPr>
              <w:widowControl/>
              <w:adjustRightInd w:val="0"/>
              <w:snapToGrid w:val="0"/>
              <w:jc w:val="center"/>
              <w:rPr>
                <w:rFonts w:cs="宋体"/>
                <w:color w:val="auto"/>
                <w:highlight w:val="none"/>
              </w:rPr>
            </w:pPr>
            <w:r>
              <w:rPr>
                <w:rFonts w:hint="eastAsia" w:cs="宋体"/>
                <w:color w:val="auto"/>
                <w:kern w:val="0"/>
                <w:highlight w:val="none"/>
              </w:rPr>
              <w:t>开标程序</w:t>
            </w:r>
          </w:p>
        </w:tc>
        <w:tc>
          <w:tcPr>
            <w:tcW w:w="3160" w:type="pct"/>
            <w:vAlign w:val="center"/>
          </w:tcPr>
          <w:p w14:paraId="50F0DA79">
            <w:pPr>
              <w:widowControl/>
              <w:adjustRightInd w:val="0"/>
              <w:snapToGrid w:val="0"/>
              <w:rPr>
                <w:rFonts w:cs="宋体"/>
                <w:color w:val="auto"/>
                <w:kern w:val="0"/>
                <w:highlight w:val="none"/>
              </w:rPr>
            </w:pPr>
            <w:r>
              <w:rPr>
                <w:rFonts w:hint="eastAsia" w:cs="宋体"/>
                <w:color w:val="auto"/>
                <w:kern w:val="0"/>
                <w:highlight w:val="none"/>
              </w:rPr>
              <w:t>（1）密封情况检查：</w:t>
            </w:r>
          </w:p>
          <w:p w14:paraId="4B11C49A">
            <w:pPr>
              <w:widowControl/>
              <w:adjustRightInd w:val="0"/>
              <w:snapToGrid w:val="0"/>
              <w:rPr>
                <w:rFonts w:cs="宋体"/>
                <w:color w:val="auto"/>
                <w:kern w:val="0"/>
                <w:highlight w:val="none"/>
              </w:rPr>
            </w:pPr>
            <w:r>
              <w:rPr>
                <w:rFonts w:hint="eastAsia" w:cs="宋体"/>
                <w:color w:val="auto"/>
                <w:kern w:val="0"/>
                <w:highlight w:val="none"/>
              </w:rPr>
              <w:t>由□行政监督部门□公证部门</w:t>
            </w:r>
            <w:r>
              <w:rPr>
                <w:rFonts w:hint="eastAsia" w:cs="宋体"/>
                <w:color w:val="auto"/>
                <w:kern w:val="0"/>
                <w:highlight w:val="none"/>
              </w:rPr>
              <w:sym w:font="Wingdings 2" w:char="0052"/>
            </w:r>
            <w:r>
              <w:rPr>
                <w:rFonts w:hint="eastAsia" w:cs="宋体"/>
                <w:color w:val="auto"/>
                <w:kern w:val="0"/>
                <w:highlight w:val="none"/>
              </w:rPr>
              <w:t>投标人的代表按照4.1款规定检查投标文件的密封情况；</w:t>
            </w:r>
          </w:p>
          <w:p w14:paraId="48A83B38">
            <w:pPr>
              <w:widowControl/>
              <w:adjustRightInd w:val="0"/>
              <w:snapToGrid w:val="0"/>
              <w:rPr>
                <w:rFonts w:cs="宋体"/>
                <w:color w:val="auto"/>
                <w:kern w:val="0"/>
                <w:highlight w:val="none"/>
              </w:rPr>
            </w:pPr>
            <w:r>
              <w:rPr>
                <w:rFonts w:hint="eastAsia" w:cs="宋体"/>
                <w:color w:val="auto"/>
                <w:kern w:val="0"/>
                <w:highlight w:val="none"/>
              </w:rPr>
              <w:t>（2）投标人的法定代表人或其委托代理人不参加开标的，视同该投标人承认开标记录，不得事后对开标程序和记录提出任何异议；</w:t>
            </w:r>
          </w:p>
          <w:p w14:paraId="5989F500">
            <w:pPr>
              <w:widowControl/>
              <w:adjustRightInd w:val="0"/>
              <w:snapToGrid w:val="0"/>
              <w:rPr>
                <w:rFonts w:cs="宋体"/>
                <w:color w:val="auto"/>
                <w:kern w:val="0"/>
                <w:highlight w:val="none"/>
              </w:rPr>
            </w:pPr>
            <w:r>
              <w:rPr>
                <w:rFonts w:hint="eastAsia" w:cs="宋体"/>
                <w:color w:val="auto"/>
                <w:kern w:val="0"/>
                <w:highlight w:val="none"/>
              </w:rPr>
              <w:t>（3）开标顺序：随机</w:t>
            </w:r>
          </w:p>
        </w:tc>
      </w:tr>
      <w:tr w14:paraId="6E4C3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 w:hRule="atLeast"/>
        </w:trPr>
        <w:tc>
          <w:tcPr>
            <w:tcW w:w="901" w:type="pct"/>
            <w:vAlign w:val="center"/>
          </w:tcPr>
          <w:p w14:paraId="25FC3494">
            <w:pPr>
              <w:widowControl/>
              <w:adjustRightInd w:val="0"/>
              <w:snapToGrid w:val="0"/>
              <w:jc w:val="center"/>
              <w:rPr>
                <w:rFonts w:cs="宋体"/>
                <w:color w:val="auto"/>
                <w:highlight w:val="none"/>
              </w:rPr>
            </w:pPr>
            <w:r>
              <w:rPr>
                <w:rFonts w:hint="eastAsia" w:cs="宋体"/>
                <w:color w:val="auto"/>
                <w:kern w:val="0"/>
                <w:highlight w:val="none"/>
              </w:rPr>
              <w:t>6.1.1</w:t>
            </w:r>
          </w:p>
        </w:tc>
        <w:tc>
          <w:tcPr>
            <w:tcW w:w="937" w:type="pct"/>
            <w:vAlign w:val="center"/>
          </w:tcPr>
          <w:p w14:paraId="530FD1AF">
            <w:pPr>
              <w:widowControl/>
              <w:adjustRightInd w:val="0"/>
              <w:snapToGrid w:val="0"/>
              <w:jc w:val="center"/>
              <w:rPr>
                <w:rFonts w:cs="宋体"/>
                <w:color w:val="auto"/>
                <w:highlight w:val="none"/>
              </w:rPr>
            </w:pPr>
            <w:r>
              <w:rPr>
                <w:rFonts w:hint="eastAsia" w:cs="宋体"/>
                <w:color w:val="auto"/>
                <w:kern w:val="0"/>
                <w:highlight w:val="none"/>
              </w:rPr>
              <w:t>评标委员会的组建</w:t>
            </w:r>
          </w:p>
        </w:tc>
        <w:tc>
          <w:tcPr>
            <w:tcW w:w="3160" w:type="pct"/>
            <w:vAlign w:val="center"/>
          </w:tcPr>
          <w:p w14:paraId="031D7FA5">
            <w:pPr>
              <w:widowControl/>
              <w:adjustRightInd w:val="0"/>
              <w:snapToGrid w:val="0"/>
              <w:rPr>
                <w:rFonts w:cs="宋体"/>
                <w:color w:val="auto"/>
                <w:kern w:val="0"/>
                <w:highlight w:val="none"/>
              </w:rPr>
            </w:pPr>
            <w:r>
              <w:rPr>
                <w:rFonts w:hint="eastAsia" w:cs="宋体"/>
                <w:color w:val="auto"/>
                <w:kern w:val="0"/>
                <w:highlight w:val="none"/>
              </w:rPr>
              <w:t>评标委员会构成：3人或3人以上单数；</w:t>
            </w:r>
            <w:r>
              <w:rPr>
                <w:rFonts w:cs="宋体"/>
                <w:color w:val="auto"/>
                <w:kern w:val="0"/>
                <w:highlight w:val="none"/>
              </w:rPr>
              <w:t xml:space="preserve"> </w:t>
            </w:r>
          </w:p>
        </w:tc>
      </w:tr>
      <w:tr w14:paraId="6E6F8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trPr>
        <w:tc>
          <w:tcPr>
            <w:tcW w:w="901" w:type="pct"/>
            <w:vAlign w:val="center"/>
          </w:tcPr>
          <w:p w14:paraId="030345F9">
            <w:pPr>
              <w:widowControl/>
              <w:adjustRightInd w:val="0"/>
              <w:snapToGrid w:val="0"/>
              <w:jc w:val="center"/>
              <w:rPr>
                <w:rFonts w:cs="宋体"/>
                <w:color w:val="auto"/>
                <w:kern w:val="0"/>
                <w:highlight w:val="none"/>
              </w:rPr>
            </w:pPr>
            <w:r>
              <w:rPr>
                <w:rFonts w:hint="eastAsia" w:cs="宋体"/>
                <w:color w:val="auto"/>
                <w:kern w:val="0"/>
                <w:highlight w:val="none"/>
              </w:rPr>
              <w:t>6.3.2</w:t>
            </w:r>
          </w:p>
        </w:tc>
        <w:tc>
          <w:tcPr>
            <w:tcW w:w="937" w:type="pct"/>
            <w:vAlign w:val="center"/>
          </w:tcPr>
          <w:p w14:paraId="3F85A65E">
            <w:pPr>
              <w:widowControl/>
              <w:adjustRightInd w:val="0"/>
              <w:snapToGrid w:val="0"/>
              <w:jc w:val="center"/>
              <w:rPr>
                <w:rFonts w:cs="宋体"/>
                <w:color w:val="auto"/>
                <w:kern w:val="0"/>
                <w:highlight w:val="none"/>
              </w:rPr>
            </w:pPr>
            <w:r>
              <w:rPr>
                <w:rFonts w:hint="eastAsia" w:cs="宋体"/>
                <w:color w:val="auto"/>
                <w:kern w:val="0"/>
                <w:highlight w:val="none"/>
              </w:rPr>
              <w:t>评标委员会推荐中标候选人的人数</w:t>
            </w:r>
          </w:p>
        </w:tc>
        <w:tc>
          <w:tcPr>
            <w:tcW w:w="3160" w:type="pct"/>
            <w:vAlign w:val="center"/>
          </w:tcPr>
          <w:p w14:paraId="7C28BA6F">
            <w:pPr>
              <w:widowControl/>
              <w:adjustRightInd w:val="0"/>
              <w:snapToGrid w:val="0"/>
              <w:rPr>
                <w:rFonts w:cs="宋体"/>
                <w:color w:val="auto"/>
                <w:highlight w:val="none"/>
              </w:rPr>
            </w:pPr>
            <w:r>
              <w:rPr>
                <w:rFonts w:hint="eastAsia" w:cs="宋体"/>
                <w:color w:val="auto"/>
                <w:highlight w:val="none"/>
              </w:rPr>
              <w:t>评标委员会推荐的中标候选人的数量为</w:t>
            </w:r>
            <w:r>
              <w:rPr>
                <w:color w:val="auto"/>
                <w:highlight w:val="none"/>
              </w:rPr>
              <w:t>3</w:t>
            </w:r>
            <w:r>
              <w:rPr>
                <w:rFonts w:hint="eastAsia" w:cs="宋体"/>
                <w:color w:val="auto"/>
                <w:highlight w:val="none"/>
              </w:rPr>
              <w:t>家，若有效投标人不足</w:t>
            </w:r>
            <w:r>
              <w:rPr>
                <w:color w:val="auto"/>
                <w:highlight w:val="none"/>
              </w:rPr>
              <w:t>3</w:t>
            </w:r>
            <w:r>
              <w:rPr>
                <w:rFonts w:hint="eastAsia" w:cs="宋体"/>
                <w:color w:val="auto"/>
                <w:highlight w:val="none"/>
              </w:rPr>
              <w:t>家的，则推荐的中标候选人的数量为有效投标人的数量。</w:t>
            </w:r>
          </w:p>
        </w:tc>
      </w:tr>
      <w:tr w14:paraId="55F20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rPr>
        <w:tc>
          <w:tcPr>
            <w:tcW w:w="901" w:type="pct"/>
            <w:vAlign w:val="center"/>
          </w:tcPr>
          <w:p w14:paraId="51064A5F">
            <w:pPr>
              <w:widowControl/>
              <w:adjustRightInd w:val="0"/>
              <w:snapToGrid w:val="0"/>
              <w:jc w:val="center"/>
              <w:rPr>
                <w:rFonts w:cs="宋体"/>
                <w:color w:val="auto"/>
                <w:highlight w:val="none"/>
              </w:rPr>
            </w:pPr>
            <w:r>
              <w:rPr>
                <w:rFonts w:hint="eastAsia" w:cs="宋体"/>
                <w:color w:val="auto"/>
                <w:kern w:val="0"/>
                <w:highlight w:val="none"/>
              </w:rPr>
              <w:t>7.4</w:t>
            </w:r>
          </w:p>
        </w:tc>
        <w:tc>
          <w:tcPr>
            <w:tcW w:w="937" w:type="pct"/>
            <w:vAlign w:val="center"/>
          </w:tcPr>
          <w:p w14:paraId="0539C1FA">
            <w:pPr>
              <w:autoSpaceDE w:val="0"/>
              <w:autoSpaceDN w:val="0"/>
              <w:adjustRightInd w:val="0"/>
              <w:snapToGrid w:val="0"/>
              <w:jc w:val="center"/>
              <w:rPr>
                <w:rFonts w:cs="宋体"/>
                <w:color w:val="auto"/>
                <w:kern w:val="0"/>
                <w:highlight w:val="none"/>
              </w:rPr>
            </w:pPr>
            <w:r>
              <w:rPr>
                <w:rFonts w:hint="eastAsia" w:cs="宋体"/>
                <w:color w:val="auto"/>
                <w:kern w:val="0"/>
                <w:highlight w:val="none"/>
              </w:rPr>
              <w:t>是否授权评标委员会确定中标人</w:t>
            </w:r>
          </w:p>
        </w:tc>
        <w:tc>
          <w:tcPr>
            <w:tcW w:w="3160" w:type="pct"/>
            <w:vAlign w:val="center"/>
          </w:tcPr>
          <w:p w14:paraId="2780337B">
            <w:pPr>
              <w:widowControl/>
              <w:adjustRightInd w:val="0"/>
              <w:snapToGrid w:val="0"/>
              <w:rPr>
                <w:color w:val="auto"/>
                <w:highlight w:val="none"/>
              </w:rPr>
            </w:pPr>
            <w:r>
              <w:rPr>
                <w:rFonts w:hint="eastAsia"/>
                <w:color w:val="auto"/>
                <w:highlight w:val="none"/>
              </w:rPr>
              <w:t>□是</w:t>
            </w:r>
          </w:p>
          <w:p w14:paraId="727B351B">
            <w:pPr>
              <w:widowControl/>
              <w:adjustRightInd w:val="0"/>
              <w:snapToGrid w:val="0"/>
              <w:rPr>
                <w:color w:val="auto"/>
                <w:highlight w:val="none"/>
              </w:rPr>
            </w:pPr>
            <w:r>
              <w:rPr>
                <w:rFonts w:hint="eastAsia"/>
                <w:color w:val="auto"/>
                <w:highlight w:val="none"/>
              </w:rPr>
              <w:sym w:font="Wingdings 2" w:char="0052"/>
            </w:r>
            <w:r>
              <w:rPr>
                <w:rFonts w:hint="eastAsia"/>
                <w:color w:val="auto"/>
                <w:highlight w:val="none"/>
              </w:rPr>
              <w:t xml:space="preserve">否 </w:t>
            </w:r>
          </w:p>
        </w:tc>
      </w:tr>
      <w:tr w14:paraId="341DB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1" w:type="pct"/>
            <w:vAlign w:val="center"/>
          </w:tcPr>
          <w:p w14:paraId="4A603F77">
            <w:pPr>
              <w:widowControl/>
              <w:adjustRightInd w:val="0"/>
              <w:snapToGrid w:val="0"/>
              <w:jc w:val="center"/>
              <w:rPr>
                <w:rFonts w:cs="宋体"/>
                <w:color w:val="auto"/>
                <w:kern w:val="0"/>
                <w:highlight w:val="none"/>
              </w:rPr>
            </w:pPr>
            <w:r>
              <w:rPr>
                <w:rFonts w:hint="eastAsia" w:cs="宋体"/>
                <w:color w:val="auto"/>
                <w:kern w:val="0"/>
                <w:highlight w:val="none"/>
              </w:rPr>
              <w:t>7.5</w:t>
            </w:r>
          </w:p>
        </w:tc>
        <w:tc>
          <w:tcPr>
            <w:tcW w:w="937" w:type="pct"/>
            <w:vAlign w:val="center"/>
          </w:tcPr>
          <w:p w14:paraId="61B887B2">
            <w:pPr>
              <w:autoSpaceDE w:val="0"/>
              <w:autoSpaceDN w:val="0"/>
              <w:adjustRightInd w:val="0"/>
              <w:snapToGrid w:val="0"/>
              <w:jc w:val="center"/>
              <w:rPr>
                <w:rFonts w:cs="宋体"/>
                <w:color w:val="auto"/>
                <w:kern w:val="0"/>
                <w:highlight w:val="none"/>
              </w:rPr>
            </w:pPr>
            <w:r>
              <w:rPr>
                <w:rFonts w:hint="eastAsia" w:cs="宋体"/>
                <w:color w:val="auto"/>
                <w:kern w:val="0"/>
                <w:highlight w:val="none"/>
              </w:rPr>
              <w:t>中标通知书和中标结果通知发出的形式</w:t>
            </w:r>
          </w:p>
        </w:tc>
        <w:tc>
          <w:tcPr>
            <w:tcW w:w="3160" w:type="pct"/>
            <w:vAlign w:val="center"/>
          </w:tcPr>
          <w:p w14:paraId="134B4005">
            <w:pPr>
              <w:widowControl/>
              <w:adjustRightInd w:val="0"/>
              <w:snapToGrid w:val="0"/>
              <w:rPr>
                <w:color w:val="auto"/>
                <w:highlight w:val="none"/>
              </w:rPr>
            </w:pPr>
            <w:r>
              <w:rPr>
                <w:rFonts w:hint="eastAsia"/>
                <w:color w:val="auto"/>
                <w:highlight w:val="none"/>
              </w:rPr>
              <w:t>1.中标通知书发出的形式：以传真或电子邮件的形式将中标通知书扫描件发送给中标人，中标通知书原件由中标人自行至招标人处领取。</w:t>
            </w:r>
          </w:p>
          <w:p w14:paraId="05DACED5">
            <w:pPr>
              <w:widowControl/>
              <w:adjustRightInd w:val="0"/>
              <w:snapToGrid w:val="0"/>
              <w:rPr>
                <w:rFonts w:cs="宋体"/>
                <w:color w:val="auto"/>
                <w:highlight w:val="none"/>
              </w:rPr>
            </w:pPr>
            <w:r>
              <w:rPr>
                <w:rFonts w:hint="eastAsia"/>
                <w:color w:val="auto"/>
                <w:highlight w:val="none"/>
              </w:rPr>
              <w:t>2.中标结果通知发出的形式：以传真或电子邮件的形式将中标结果通知扫描件发送给未中标的投标人。</w:t>
            </w:r>
          </w:p>
        </w:tc>
      </w:tr>
      <w:tr w14:paraId="044F0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0" w:hRule="atLeast"/>
        </w:trPr>
        <w:tc>
          <w:tcPr>
            <w:tcW w:w="901" w:type="pct"/>
            <w:vAlign w:val="center"/>
          </w:tcPr>
          <w:p w14:paraId="01CCE540">
            <w:pPr>
              <w:widowControl/>
              <w:adjustRightInd w:val="0"/>
              <w:snapToGrid w:val="0"/>
              <w:jc w:val="center"/>
              <w:rPr>
                <w:rFonts w:cs="宋体"/>
                <w:color w:val="auto"/>
                <w:highlight w:val="none"/>
              </w:rPr>
            </w:pPr>
            <w:r>
              <w:rPr>
                <w:rFonts w:hint="eastAsia" w:cs="宋体"/>
                <w:color w:val="auto"/>
                <w:kern w:val="0"/>
                <w:highlight w:val="none"/>
              </w:rPr>
              <w:t>7.7.1</w:t>
            </w:r>
          </w:p>
        </w:tc>
        <w:tc>
          <w:tcPr>
            <w:tcW w:w="937" w:type="pct"/>
            <w:vAlign w:val="center"/>
          </w:tcPr>
          <w:p w14:paraId="1F7D7EBB">
            <w:pPr>
              <w:widowControl/>
              <w:adjustRightInd w:val="0"/>
              <w:snapToGrid w:val="0"/>
              <w:jc w:val="center"/>
              <w:rPr>
                <w:rFonts w:cs="宋体"/>
                <w:color w:val="auto"/>
                <w:highlight w:val="none"/>
              </w:rPr>
            </w:pPr>
            <w:r>
              <w:rPr>
                <w:rFonts w:hint="eastAsia" w:cs="宋体"/>
                <w:color w:val="auto"/>
                <w:kern w:val="0"/>
                <w:highlight w:val="none"/>
              </w:rPr>
              <w:t>履约保证金</w:t>
            </w:r>
          </w:p>
        </w:tc>
        <w:tc>
          <w:tcPr>
            <w:tcW w:w="3160" w:type="pct"/>
            <w:vAlign w:val="center"/>
          </w:tcPr>
          <w:p w14:paraId="3D9CA549">
            <w:pPr>
              <w:widowControl/>
              <w:adjustRightInd w:val="0"/>
              <w:snapToGrid w:val="0"/>
              <w:rPr>
                <w:color w:val="auto"/>
                <w:highlight w:val="none"/>
                <w:lang w:val="zh-CN"/>
              </w:rPr>
            </w:pPr>
            <w:r>
              <w:rPr>
                <w:rFonts w:hint="eastAsia"/>
                <w:color w:val="auto"/>
                <w:highlight w:val="none"/>
                <w:lang w:val="zh-CN"/>
              </w:rPr>
              <w:t>是否要求中标人提交履约保证金：</w:t>
            </w:r>
          </w:p>
          <w:p w14:paraId="3AA88B91">
            <w:pPr>
              <w:widowControl/>
              <w:adjustRightInd w:val="0"/>
              <w:snapToGrid w:val="0"/>
              <w:rPr>
                <w:color w:val="auto"/>
                <w:highlight w:val="none"/>
                <w:lang w:val="zh-CN"/>
              </w:rPr>
            </w:pPr>
            <w:r>
              <w:rPr>
                <w:rFonts w:hint="eastAsia"/>
                <w:color w:val="auto"/>
                <w:highlight w:val="none"/>
                <w:lang w:val="zh-CN"/>
              </w:rPr>
              <w:sym w:font="Wingdings 2" w:char="00A3"/>
            </w:r>
            <w:r>
              <w:rPr>
                <w:rFonts w:hint="eastAsia"/>
                <w:color w:val="auto"/>
                <w:highlight w:val="none"/>
                <w:lang w:val="zh-CN"/>
              </w:rPr>
              <w:t>要求，履约保证金的形式：不限</w:t>
            </w:r>
          </w:p>
          <w:p w14:paraId="067AAB42">
            <w:pPr>
              <w:widowControl/>
              <w:adjustRightInd w:val="0"/>
              <w:snapToGrid w:val="0"/>
              <w:rPr>
                <w:color w:val="auto"/>
                <w:highlight w:val="none"/>
              </w:rPr>
            </w:pPr>
            <w:r>
              <w:rPr>
                <w:rFonts w:hint="eastAsia"/>
                <w:color w:val="auto"/>
                <w:highlight w:val="none"/>
                <w:lang w:val="zh-CN"/>
              </w:rPr>
              <w:t>履约保证金的金额：</w:t>
            </w:r>
            <w:r>
              <w:rPr>
                <w:rFonts w:hint="eastAsia"/>
                <w:color w:val="auto"/>
                <w:highlight w:val="none"/>
              </w:rPr>
              <w:t>/</w:t>
            </w:r>
          </w:p>
          <w:p w14:paraId="6B24564C">
            <w:pPr>
              <w:widowControl/>
              <w:adjustRightInd w:val="0"/>
              <w:snapToGrid w:val="0"/>
              <w:rPr>
                <w:rFonts w:cs="宋体"/>
                <w:color w:val="auto"/>
                <w:highlight w:val="none"/>
                <w:u w:val="single"/>
              </w:rPr>
            </w:pPr>
            <w:r>
              <w:rPr>
                <w:rFonts w:hint="eastAsia"/>
                <w:color w:val="auto"/>
                <w:highlight w:val="none"/>
                <w:lang w:val="zh-CN"/>
              </w:rPr>
              <w:t>☑不要求</w:t>
            </w:r>
          </w:p>
        </w:tc>
      </w:tr>
      <w:tr w14:paraId="6171B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trPr>
        <w:tc>
          <w:tcPr>
            <w:tcW w:w="901" w:type="pct"/>
            <w:vAlign w:val="center"/>
          </w:tcPr>
          <w:p w14:paraId="3D87A86D">
            <w:pPr>
              <w:jc w:val="center"/>
              <w:rPr>
                <w:color w:val="auto"/>
                <w:highlight w:val="none"/>
              </w:rPr>
            </w:pPr>
            <w:r>
              <w:rPr>
                <w:color w:val="auto"/>
                <w:highlight w:val="none"/>
              </w:rPr>
              <w:t>9</w:t>
            </w:r>
          </w:p>
        </w:tc>
        <w:tc>
          <w:tcPr>
            <w:tcW w:w="937" w:type="pct"/>
            <w:vAlign w:val="center"/>
          </w:tcPr>
          <w:p w14:paraId="432A08A4">
            <w:pPr>
              <w:jc w:val="center"/>
              <w:rPr>
                <w:color w:val="auto"/>
                <w:highlight w:val="none"/>
              </w:rPr>
            </w:pPr>
            <w:r>
              <w:rPr>
                <w:rFonts w:hint="eastAsia"/>
                <w:color w:val="auto"/>
                <w:highlight w:val="none"/>
              </w:rPr>
              <w:t>是否采用电子招标投标</w:t>
            </w:r>
          </w:p>
        </w:tc>
        <w:tc>
          <w:tcPr>
            <w:tcW w:w="3160" w:type="pct"/>
            <w:vAlign w:val="center"/>
          </w:tcPr>
          <w:p w14:paraId="7CB5160D">
            <w:pPr>
              <w:rPr>
                <w:color w:val="auto"/>
                <w:highlight w:val="none"/>
              </w:rPr>
            </w:pPr>
            <w:r>
              <w:rPr>
                <w:color w:val="auto"/>
                <w:highlight w:val="none"/>
              </w:rPr>
              <w:sym w:font="Wingdings 2" w:char="0052"/>
            </w:r>
            <w:r>
              <w:rPr>
                <w:rFonts w:hint="eastAsia"/>
                <w:color w:val="auto"/>
                <w:highlight w:val="none"/>
              </w:rPr>
              <w:t>否</w:t>
            </w:r>
          </w:p>
          <w:p w14:paraId="598BFA68">
            <w:pPr>
              <w:rPr>
                <w:color w:val="auto"/>
                <w:highlight w:val="none"/>
                <w:lang w:val="zh-CN"/>
              </w:rPr>
            </w:pPr>
            <w:r>
              <w:rPr>
                <w:color w:val="auto"/>
                <w:sz w:val="32"/>
                <w:highlight w:val="none"/>
              </w:rPr>
              <w:t>□</w:t>
            </w:r>
            <w:r>
              <w:rPr>
                <w:rFonts w:hint="eastAsia"/>
                <w:color w:val="auto"/>
                <w:highlight w:val="none"/>
              </w:rPr>
              <w:t>是，具体要求：</w:t>
            </w:r>
            <w:r>
              <w:rPr>
                <w:color w:val="auto"/>
                <w:highlight w:val="none"/>
                <w:u w:val="single"/>
              </w:rPr>
              <w:t xml:space="preserve">            </w:t>
            </w:r>
          </w:p>
        </w:tc>
      </w:tr>
      <w:tr w14:paraId="2CE69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gridSpan w:val="3"/>
            <w:vAlign w:val="center"/>
          </w:tcPr>
          <w:p w14:paraId="3F040874">
            <w:pPr>
              <w:widowControl/>
              <w:adjustRightInd w:val="0"/>
              <w:snapToGrid w:val="0"/>
              <w:rPr>
                <w:rFonts w:cs="宋体"/>
                <w:color w:val="auto"/>
                <w:kern w:val="0"/>
                <w:highlight w:val="none"/>
              </w:rPr>
            </w:pPr>
            <w:r>
              <w:rPr>
                <w:rFonts w:hint="eastAsia" w:cs="宋体"/>
                <w:color w:val="auto"/>
                <w:kern w:val="0"/>
                <w:highlight w:val="none"/>
              </w:rPr>
              <w:t>需要补充的其他内容</w:t>
            </w:r>
          </w:p>
        </w:tc>
      </w:tr>
      <w:tr w14:paraId="4A383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39" w:type="pct"/>
            <w:gridSpan w:val="2"/>
            <w:vAlign w:val="center"/>
          </w:tcPr>
          <w:p w14:paraId="399320E1">
            <w:pPr>
              <w:widowControl/>
              <w:adjustRightInd w:val="0"/>
              <w:snapToGrid w:val="0"/>
              <w:jc w:val="center"/>
              <w:rPr>
                <w:color w:val="auto"/>
                <w:highlight w:val="none"/>
              </w:rPr>
            </w:pPr>
            <w:r>
              <w:rPr>
                <w:rFonts w:hint="eastAsia"/>
                <w:color w:val="auto"/>
                <w:highlight w:val="none"/>
              </w:rPr>
              <w:t>10.2</w:t>
            </w:r>
          </w:p>
        </w:tc>
        <w:tc>
          <w:tcPr>
            <w:tcW w:w="3160" w:type="pct"/>
            <w:vAlign w:val="center"/>
          </w:tcPr>
          <w:p w14:paraId="79938018">
            <w:pPr>
              <w:widowControl/>
              <w:adjustRightInd w:val="0"/>
              <w:snapToGrid w:val="0"/>
              <w:rPr>
                <w:color w:val="auto"/>
                <w:highlight w:val="none"/>
                <w:lang w:val="zh-CN"/>
              </w:rPr>
            </w:pPr>
            <w:r>
              <w:rPr>
                <w:rFonts w:hint="eastAsia"/>
                <w:color w:val="auto"/>
                <w:highlight w:val="none"/>
                <w:lang w:val="zh-CN"/>
              </w:rPr>
              <w:t>工程量清单中所列工程数量是估算的，仅作为投标报价的共同基础，不能作为最终结算与支付的依据。工程量清单中所列工程量的任何错误、遗漏和变动，丝毫不会降低或影响合同条款的效力，也不免除承包人按规定的义务和其应按图纸、规范履行合同的责任。</w:t>
            </w:r>
          </w:p>
          <w:p w14:paraId="77821511">
            <w:pPr>
              <w:widowControl/>
              <w:adjustRightInd w:val="0"/>
              <w:snapToGrid w:val="0"/>
              <w:rPr>
                <w:color w:val="auto"/>
                <w:highlight w:val="none"/>
                <w:lang w:val="zh-CN"/>
              </w:rPr>
            </w:pPr>
            <w:r>
              <w:rPr>
                <w:rFonts w:hint="eastAsia"/>
                <w:color w:val="auto"/>
                <w:highlight w:val="none"/>
                <w:lang w:val="zh-CN"/>
              </w:rPr>
              <w:t>除非合同另有规定，工程量清单中有标价的单价和总额价均已包括了实施和完成合同工程所需的劳务、材料、机械、质检（自检）、安装、缺陷修复、管理、保险、税费、利润等费用，以及合同明示或暗示的所有责任、义务和一般风险。</w:t>
            </w:r>
          </w:p>
          <w:p w14:paraId="4AA1730D">
            <w:pPr>
              <w:widowControl/>
              <w:adjustRightInd w:val="0"/>
              <w:snapToGrid w:val="0"/>
              <w:rPr>
                <w:color w:val="auto"/>
                <w:highlight w:val="none"/>
                <w:lang w:val="zh-CN"/>
              </w:rPr>
            </w:pPr>
            <w:r>
              <w:rPr>
                <w:rFonts w:hint="eastAsia"/>
                <w:color w:val="auto"/>
                <w:highlight w:val="none"/>
                <w:lang w:val="zh-CN"/>
              </w:rPr>
              <w:t>投标人应认真填写工程量清单中所列工程细目的单价、合价和总额价。</w:t>
            </w:r>
          </w:p>
          <w:p w14:paraId="762701CE">
            <w:pPr>
              <w:widowControl/>
              <w:adjustRightInd w:val="0"/>
              <w:snapToGrid w:val="0"/>
              <w:rPr>
                <w:color w:val="auto"/>
                <w:highlight w:val="none"/>
                <w:lang w:val="zh-CN"/>
              </w:rPr>
            </w:pPr>
            <w:r>
              <w:rPr>
                <w:rFonts w:hint="eastAsia"/>
                <w:color w:val="auto"/>
                <w:highlight w:val="none"/>
                <w:lang w:val="zh-CN"/>
              </w:rPr>
              <w:t>工程量清单中投标人没有填入单价或价格的子目，其费用视为已分摊在工程量清单中其他相关子目的单价或价格之中，发包人将不予支付。承包人仍应按照</w:t>
            </w:r>
            <w:r>
              <w:rPr>
                <w:rFonts w:hint="eastAsia"/>
                <w:color w:val="auto"/>
                <w:highlight w:val="none"/>
              </w:rPr>
              <w:t>发包</w:t>
            </w:r>
            <w:r>
              <w:rPr>
                <w:rFonts w:hint="eastAsia"/>
                <w:color w:val="auto"/>
                <w:highlight w:val="none"/>
                <w:lang w:val="zh-CN"/>
              </w:rPr>
              <w:t>人指令完成工程量中未填入单价或总额价的子目，但不能得到结算与支付。</w:t>
            </w:r>
          </w:p>
          <w:p w14:paraId="2A1938D9">
            <w:pPr>
              <w:widowControl/>
              <w:adjustRightInd w:val="0"/>
              <w:snapToGrid w:val="0"/>
              <w:rPr>
                <w:color w:val="auto"/>
                <w:highlight w:val="none"/>
                <w:lang w:val="zh-CN"/>
              </w:rPr>
            </w:pPr>
            <w:r>
              <w:rPr>
                <w:rFonts w:hint="eastAsia"/>
                <w:color w:val="auto"/>
                <w:highlight w:val="none"/>
                <w:lang w:val="zh-CN"/>
              </w:rPr>
              <w:t>符合合同条款规定的全部费用应认为已被计入有标价的工程量清单所列各子目之中，未列子目不予计量的工作，其费用应视为分摊在相应合同工程的有关子目的单价或总额价中。</w:t>
            </w:r>
          </w:p>
          <w:p w14:paraId="5468B373">
            <w:pPr>
              <w:widowControl/>
              <w:adjustRightInd w:val="0"/>
              <w:snapToGrid w:val="0"/>
              <w:rPr>
                <w:color w:val="auto"/>
                <w:highlight w:val="none"/>
                <w:lang w:val="zh-CN"/>
              </w:rPr>
            </w:pPr>
            <w:r>
              <w:rPr>
                <w:rFonts w:hint="eastAsia"/>
                <w:color w:val="auto"/>
                <w:highlight w:val="none"/>
                <w:lang w:val="zh-CN"/>
              </w:rPr>
              <w:t>本次招标采用工程量固化清单，投标人编制报价工程量清单时，只需按照设定的格式填入单价（招标人指定单价项目，投标人不得修改），投标人不得对招标人给定的工程量清单进行修改（包括细目名称、细目号、工程数量及指定单价项目的单价、运算定义等），若投标人擅自修改工程量清单或者投标人的报价发生了算术性修正，属重大偏差，投标文件按否决投标处理。</w:t>
            </w:r>
          </w:p>
        </w:tc>
      </w:tr>
    </w:tbl>
    <w:p w14:paraId="3862EBE7">
      <w:pPr>
        <w:pStyle w:val="3"/>
        <w:spacing w:before="0" w:after="0" w:line="360" w:lineRule="auto"/>
        <w:ind w:firstLine="486" w:firstLineChars="200"/>
        <w:rPr>
          <w:rFonts w:ascii="宋体" w:hAnsi="宋体" w:cs="宋体"/>
          <w:b w:val="0"/>
          <w:color w:val="auto"/>
          <w:sz w:val="21"/>
          <w:szCs w:val="21"/>
          <w:highlight w:val="none"/>
        </w:rPr>
      </w:pPr>
      <w:r>
        <w:rPr>
          <w:rFonts w:hint="eastAsia" w:cs="宋体"/>
          <w:color w:val="auto"/>
          <w:spacing w:val="1"/>
          <w:sz w:val="24"/>
          <w:szCs w:val="24"/>
          <w:highlight w:val="none"/>
        </w:rPr>
        <w:br w:type="page"/>
      </w:r>
      <w:bookmarkEnd w:id="67"/>
      <w:bookmarkEnd w:id="68"/>
      <w:bookmarkEnd w:id="69"/>
      <w:bookmarkEnd w:id="70"/>
      <w:bookmarkEnd w:id="71"/>
      <w:bookmarkEnd w:id="72"/>
      <w:bookmarkEnd w:id="73"/>
      <w:bookmarkEnd w:id="74"/>
      <w:bookmarkEnd w:id="75"/>
      <w:r>
        <w:rPr>
          <w:rFonts w:hint="eastAsia" w:ascii="宋体" w:hAnsi="宋体" w:cs="宋体"/>
          <w:b w:val="0"/>
          <w:color w:val="auto"/>
          <w:sz w:val="21"/>
          <w:szCs w:val="21"/>
          <w:highlight w:val="none"/>
        </w:rPr>
        <w:t>1. 总则</w:t>
      </w:r>
    </w:p>
    <w:p w14:paraId="124ECE54">
      <w:pPr>
        <w:pStyle w:val="3"/>
        <w:spacing w:before="0" w:after="0" w:line="360" w:lineRule="auto"/>
        <w:ind w:firstLine="420" w:firstLineChars="200"/>
        <w:rPr>
          <w:rFonts w:ascii="宋体" w:hAnsi="宋体" w:cs="宋体"/>
          <w:b w:val="0"/>
          <w:color w:val="auto"/>
          <w:sz w:val="21"/>
          <w:szCs w:val="21"/>
          <w:highlight w:val="none"/>
        </w:rPr>
      </w:pPr>
      <w:bookmarkStart w:id="79" w:name="_Toc234832871"/>
      <w:bookmarkStart w:id="80" w:name="_Toc517787504"/>
      <w:r>
        <w:rPr>
          <w:rFonts w:hint="eastAsia" w:ascii="宋体" w:hAnsi="宋体" w:cs="宋体"/>
          <w:b w:val="0"/>
          <w:color w:val="auto"/>
          <w:sz w:val="21"/>
          <w:szCs w:val="21"/>
          <w:highlight w:val="none"/>
        </w:rPr>
        <w:t>1.1 项目概况</w:t>
      </w:r>
      <w:bookmarkEnd w:id="79"/>
      <w:bookmarkEnd w:id="80"/>
    </w:p>
    <w:p w14:paraId="52EE3B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1.1.1 根据《中华人民共和国招标投标法》《中华人民共和国招标投标法实施条例》《江苏省国有资金投资工程建设项目招标投标管理办法》《省交通运输厅关于进一步规范公路水运工程建设项目招标投标活动的通知》（苏交规〔2019〕1号）等有关</w:t>
      </w:r>
      <w:r>
        <w:rPr>
          <w:rFonts w:hint="eastAsia" w:ascii="宋体" w:hAnsi="宋体" w:cs="宋体"/>
          <w:color w:val="auto"/>
          <w:highlight w:val="none"/>
          <w:lang w:eastAsia="zh-CN"/>
        </w:rPr>
        <w:t>法律法规</w:t>
      </w:r>
      <w:r>
        <w:rPr>
          <w:rFonts w:hint="eastAsia" w:ascii="宋体" w:hAnsi="宋体" w:cs="宋体"/>
          <w:color w:val="auto"/>
          <w:highlight w:val="none"/>
        </w:rPr>
        <w:t>和规章的规定，本招标项目已具备招标条件，现对本标段施工进行招标。</w:t>
      </w:r>
    </w:p>
    <w:p w14:paraId="583FD6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本招标项目招标人：见投标人须知前附表。</w:t>
      </w:r>
    </w:p>
    <w:p w14:paraId="2D8643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1.1.3 本标段招标代理机构：见投标人须知前附表。</w:t>
      </w:r>
    </w:p>
    <w:p w14:paraId="0E7F42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1.1.4 本招标项目名称：见投标人须知前附表。</w:t>
      </w:r>
    </w:p>
    <w:p w14:paraId="270140C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1.1.5 本标段建设地点：见投标人须知前附表。</w:t>
      </w:r>
    </w:p>
    <w:p w14:paraId="741B27E8">
      <w:pPr>
        <w:pStyle w:val="3"/>
        <w:spacing w:before="0" w:after="0" w:line="360" w:lineRule="auto"/>
        <w:ind w:firstLine="420" w:firstLineChars="200"/>
        <w:rPr>
          <w:rFonts w:ascii="宋体" w:hAnsi="宋体" w:cs="宋体"/>
          <w:b w:val="0"/>
          <w:color w:val="auto"/>
          <w:sz w:val="21"/>
          <w:szCs w:val="21"/>
          <w:highlight w:val="none"/>
        </w:rPr>
      </w:pPr>
      <w:bookmarkStart w:id="81" w:name="_Toc517787505"/>
      <w:bookmarkStart w:id="82" w:name="_Toc234832872"/>
      <w:r>
        <w:rPr>
          <w:rFonts w:hint="eastAsia" w:ascii="宋体" w:hAnsi="宋体" w:cs="宋体"/>
          <w:b w:val="0"/>
          <w:color w:val="auto"/>
          <w:sz w:val="21"/>
          <w:szCs w:val="21"/>
          <w:highlight w:val="none"/>
        </w:rPr>
        <w:t>1.2 招标项目的资金来源和落实情况</w:t>
      </w:r>
      <w:bookmarkEnd w:id="81"/>
      <w:bookmarkEnd w:id="82"/>
      <w:r>
        <w:rPr>
          <w:rFonts w:hint="eastAsia" w:ascii="宋体" w:hAnsi="宋体" w:cs="宋体"/>
          <w:b w:val="0"/>
          <w:color w:val="auto"/>
          <w:sz w:val="21"/>
          <w:szCs w:val="21"/>
          <w:highlight w:val="none"/>
        </w:rPr>
        <w:t xml:space="preserve"> </w:t>
      </w:r>
    </w:p>
    <w:p w14:paraId="39310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1.2.1 资金来源及比例：见投标人须知前附表。</w:t>
      </w:r>
    </w:p>
    <w:p w14:paraId="4AB4B0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1.2.2 资金落实情况：见投标人须知前附表。</w:t>
      </w:r>
    </w:p>
    <w:p w14:paraId="16C7F2BB">
      <w:pPr>
        <w:pStyle w:val="3"/>
        <w:spacing w:before="0" w:after="0" w:line="360" w:lineRule="auto"/>
        <w:ind w:firstLine="420" w:firstLineChars="200"/>
        <w:rPr>
          <w:rFonts w:ascii="宋体" w:hAnsi="宋体" w:cs="宋体"/>
          <w:b w:val="0"/>
          <w:color w:val="auto"/>
          <w:sz w:val="21"/>
          <w:szCs w:val="21"/>
          <w:highlight w:val="none"/>
        </w:rPr>
      </w:pPr>
      <w:bookmarkStart w:id="83" w:name="_Toc234832873"/>
      <w:bookmarkStart w:id="84" w:name="_Toc517787506"/>
      <w:r>
        <w:rPr>
          <w:rFonts w:hint="eastAsia" w:ascii="宋体" w:hAnsi="宋体" w:cs="宋体"/>
          <w:b w:val="0"/>
          <w:color w:val="auto"/>
          <w:sz w:val="21"/>
          <w:szCs w:val="21"/>
          <w:highlight w:val="none"/>
        </w:rPr>
        <w:t>1.3 招标范围、计划工期、质量要求</w:t>
      </w:r>
      <w:bookmarkEnd w:id="83"/>
      <w:r>
        <w:rPr>
          <w:rFonts w:hint="eastAsia" w:ascii="宋体" w:hAnsi="宋体" w:cs="宋体"/>
          <w:b w:val="0"/>
          <w:color w:val="auto"/>
          <w:sz w:val="21"/>
          <w:szCs w:val="21"/>
          <w:highlight w:val="none"/>
        </w:rPr>
        <w:t>和安全目标</w:t>
      </w:r>
      <w:bookmarkEnd w:id="84"/>
    </w:p>
    <w:p w14:paraId="39CEC2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1.3.1 招标范围：见投标人须知前附表。</w:t>
      </w:r>
    </w:p>
    <w:p w14:paraId="631E5E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1.3.2 本标段的计划工期：见投标人须知前附表。</w:t>
      </w:r>
    </w:p>
    <w:p w14:paraId="1A05B1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1.3.3 本标段的质量要求：见投标人须知前附表。</w:t>
      </w:r>
    </w:p>
    <w:p w14:paraId="0A79298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1.3.4 本标段的安全目标：见投标人须知前附表。</w:t>
      </w:r>
    </w:p>
    <w:p w14:paraId="36966E34">
      <w:pPr>
        <w:pStyle w:val="3"/>
        <w:spacing w:before="0" w:after="0" w:line="360" w:lineRule="auto"/>
        <w:ind w:firstLine="420" w:firstLineChars="200"/>
        <w:rPr>
          <w:rFonts w:ascii="宋体" w:hAnsi="宋体" w:cs="宋体"/>
          <w:b w:val="0"/>
          <w:color w:val="auto"/>
          <w:sz w:val="21"/>
          <w:szCs w:val="21"/>
          <w:highlight w:val="none"/>
        </w:rPr>
      </w:pPr>
      <w:bookmarkStart w:id="85" w:name="_Toc234832875"/>
      <w:bookmarkStart w:id="86" w:name="_Toc517787508"/>
      <w:r>
        <w:rPr>
          <w:rFonts w:hint="eastAsia" w:ascii="宋体" w:hAnsi="宋体" w:cs="宋体"/>
          <w:b w:val="0"/>
          <w:color w:val="auto"/>
          <w:sz w:val="21"/>
          <w:szCs w:val="21"/>
          <w:highlight w:val="none"/>
        </w:rPr>
        <w:t>1.4 投标人资格要求</w:t>
      </w:r>
      <w:bookmarkEnd w:id="85"/>
      <w:bookmarkEnd w:id="86"/>
    </w:p>
    <w:p w14:paraId="70248A6B">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rPr>
        <w:t>1.4.1 投标人应具备承担本标段施工的资质条件、能力和信誉。</w:t>
      </w:r>
    </w:p>
    <w:p w14:paraId="136AC41E">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rPr>
        <w:t>（1）资质要求：见投标人须知前附表；</w:t>
      </w:r>
    </w:p>
    <w:p w14:paraId="22B1AC87">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rPr>
        <w:t>（2）项目经理资格要求：见投标人须知前附表；</w:t>
      </w:r>
    </w:p>
    <w:p w14:paraId="1DD585A3">
      <w:pPr>
        <w:topLinePunct/>
        <w:spacing w:line="360" w:lineRule="auto"/>
        <w:ind w:firstLine="420" w:firstLineChars="200"/>
        <w:rPr>
          <w:rFonts w:ascii="宋体" w:hAnsi="宋体" w:cs="宋体"/>
          <w:color w:val="auto"/>
          <w:highlight w:val="none"/>
        </w:rPr>
      </w:pPr>
      <w:r>
        <w:rPr>
          <w:rFonts w:hint="eastAsia" w:ascii="宋体" w:hAnsi="宋体" w:cs="宋体"/>
          <w:color w:val="auto"/>
          <w:highlight w:val="none"/>
        </w:rPr>
        <w:t>（3）其他要求：见投标人须知前附表。</w:t>
      </w:r>
    </w:p>
    <w:p w14:paraId="3BD261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需要提交的相关证明材料见本章第3.5款的规定。</w:t>
      </w:r>
    </w:p>
    <w:p w14:paraId="09FFBB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1.4.2 投标人须知前附表规定接受联合体投标的，联合体除应符合本章第1.4.1项和投标人须知前附表的要求外，还应遵守以下规定：</w:t>
      </w:r>
    </w:p>
    <w:p w14:paraId="7E8868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（1）联合体各方应按招标文件提供的格式签订联合体协议书，明确联合体牵头人和各方权利义务，并承诺就中标项目向招标人承担连带责任；</w:t>
      </w:r>
    </w:p>
    <w:p w14:paraId="163B33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14:paraId="1EBA6F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（3）联合体各方不得再以自己名义单独或参加其他联合体在同一标段中投标；</w:t>
      </w:r>
    </w:p>
    <w:p w14:paraId="670812A3">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4D57FBA7">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（5）尽管委任了联合体牵头人，但联合体各成员在投标、签订合同与履行合同过程中，仍负有连带的和各自的法律责任。</w:t>
      </w:r>
    </w:p>
    <w:p w14:paraId="2440FA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联合体协议应当明确各成员在合同工程中所承担的专业工程或工作内容及范围。联合体各方应当具备联合体协议书中承担相应专业工程的资质；不承担联合体协议中相关专业工程的成员，其相关的专业资质不作为该联合体该专业的资质进行资格审查；</w:t>
      </w:r>
    </w:p>
    <w:p w14:paraId="210BF1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（7）联合体信用等级按联合体成员最低信用等级确定。</w:t>
      </w:r>
    </w:p>
    <w:p w14:paraId="07681A56">
      <w:pPr>
        <w:tabs>
          <w:tab w:val="left" w:pos="360"/>
          <w:tab w:val="left" w:pos="54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1.4.3 投标人（包括联合体各成员）不得与本标段相关单位存在下列关联关系：</w:t>
      </w:r>
    </w:p>
    <w:p w14:paraId="2594895C">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（1）为招标人不具有独立法人资格的附属机构（单位）；</w:t>
      </w:r>
    </w:p>
    <w:p w14:paraId="27FB0EDF">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（2）与招标人存在利害关系且可能影响招标公正性；</w:t>
      </w:r>
    </w:p>
    <w:p w14:paraId="12239692">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（3）与本标段的其他投标人单位负责人为同一个人；</w:t>
      </w:r>
    </w:p>
    <w:p w14:paraId="4B00D52B">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（4）与本标段的其他投标人存在控股、管理关系；</w:t>
      </w:r>
    </w:p>
    <w:p w14:paraId="5914E7FA">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（5）为本标段前期准备提供设计或咨询服务的法人或其任何附属机构（单位）；</w:t>
      </w:r>
    </w:p>
    <w:p w14:paraId="39DB5BF5">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（6）为本标段的监理人；</w:t>
      </w:r>
    </w:p>
    <w:p w14:paraId="22811306">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（7）为本标段的代建人；</w:t>
      </w:r>
    </w:p>
    <w:p w14:paraId="366701AB">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（8）为本标段的招标代理机构；</w:t>
      </w:r>
    </w:p>
    <w:p w14:paraId="08CE33C7">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（9）与本标段的监理人或代建人或招标代理机构同为一个法定代表人；</w:t>
      </w:r>
    </w:p>
    <w:p w14:paraId="4012C130">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（10）与本标段的监理人或代建人或招标代理机构存在控股或参股关系；</w:t>
      </w:r>
    </w:p>
    <w:p w14:paraId="6241672A">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（11）法律法规或投标人须知前附表规定的其他情形。</w:t>
      </w:r>
    </w:p>
    <w:p w14:paraId="77573A5C">
      <w:pPr>
        <w:tabs>
          <w:tab w:val="left" w:pos="360"/>
          <w:tab w:val="left" w:pos="54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1.4.4 投标人（包括联合体各成员）不得存在下列不良状况或不良信用记录：</w:t>
      </w:r>
    </w:p>
    <w:p w14:paraId="6DEFB769">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（1）被责令停业，暂扣或吊销执照，或吊销资质证书；</w:t>
      </w:r>
    </w:p>
    <w:p w14:paraId="2CD74B5B">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（2）进入清算程序，或被宣告破产，或其他丧失履约能力的情形；</w:t>
      </w:r>
    </w:p>
    <w:p w14:paraId="147C8B78">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（3）在国家企业信用信息公示系统（http://www.gsxt.gov.cn/）中被列入严重违法失信企业名单；</w:t>
      </w:r>
    </w:p>
    <w:p w14:paraId="750F66FA">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（4）在“信用中国”网站（http://www.creditchina.gov.cn/）中被列入失信被执行人名单；</w:t>
      </w:r>
    </w:p>
    <w:p w14:paraId="1D10A334">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（5）投标人或其法定代表人、拟委任的项目经理在近三年内有行贿犯罪行为的；</w:t>
      </w:r>
    </w:p>
    <w:p w14:paraId="2D3FEDCC">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（6）法律法规或投标人须知前附表规定的其他情形。</w:t>
      </w:r>
    </w:p>
    <w:p w14:paraId="7E457BCB">
      <w:pPr>
        <w:pStyle w:val="3"/>
        <w:spacing w:before="0" w:after="0" w:line="360" w:lineRule="auto"/>
        <w:ind w:firstLine="420" w:firstLineChars="200"/>
        <w:rPr>
          <w:rFonts w:ascii="宋体" w:hAnsi="宋体" w:cs="宋体"/>
          <w:b w:val="0"/>
          <w:color w:val="auto"/>
          <w:sz w:val="21"/>
          <w:szCs w:val="21"/>
          <w:highlight w:val="none"/>
        </w:rPr>
      </w:pPr>
      <w:bookmarkStart w:id="87" w:name="_Toc517787509"/>
      <w:bookmarkStart w:id="88" w:name="_Toc234832876"/>
      <w:r>
        <w:rPr>
          <w:rFonts w:hint="eastAsia" w:ascii="宋体" w:hAnsi="宋体" w:cs="宋体"/>
          <w:b w:val="0"/>
          <w:color w:val="auto"/>
          <w:sz w:val="21"/>
          <w:szCs w:val="21"/>
          <w:highlight w:val="none"/>
        </w:rPr>
        <w:t>1.5 费用承担</w:t>
      </w:r>
      <w:bookmarkEnd w:id="87"/>
      <w:bookmarkEnd w:id="88"/>
    </w:p>
    <w:p w14:paraId="0F32589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投标人准备和参加投标活动发生的费用自理。</w:t>
      </w:r>
    </w:p>
    <w:p w14:paraId="58B3B0C7">
      <w:pPr>
        <w:pStyle w:val="3"/>
        <w:spacing w:before="0" w:after="0" w:line="360" w:lineRule="auto"/>
        <w:ind w:firstLine="420" w:firstLineChars="200"/>
        <w:rPr>
          <w:rFonts w:ascii="宋体" w:hAnsi="宋体" w:cs="宋体"/>
          <w:b w:val="0"/>
          <w:color w:val="auto"/>
          <w:sz w:val="21"/>
          <w:szCs w:val="21"/>
          <w:highlight w:val="none"/>
        </w:rPr>
      </w:pPr>
      <w:bookmarkStart w:id="89" w:name="_Toc234832877"/>
      <w:bookmarkStart w:id="90" w:name="_Toc517787510"/>
      <w:r>
        <w:rPr>
          <w:rFonts w:hint="eastAsia" w:ascii="宋体" w:hAnsi="宋体" w:cs="宋体"/>
          <w:b w:val="0"/>
          <w:color w:val="auto"/>
          <w:sz w:val="21"/>
          <w:szCs w:val="21"/>
          <w:highlight w:val="none"/>
        </w:rPr>
        <w:t>1.6 保密</w:t>
      </w:r>
      <w:bookmarkEnd w:id="89"/>
      <w:bookmarkEnd w:id="90"/>
    </w:p>
    <w:p w14:paraId="6B5640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参与招标投标活动的各方应对招标文件和投标文件中的商业和技术等秘密保密，</w:t>
      </w:r>
      <w:r>
        <w:rPr>
          <w:rFonts w:hint="eastAsia" w:ascii="宋体" w:hAnsi="宋体" w:cs="宋体"/>
          <w:color w:val="auto"/>
          <w:kern w:val="0"/>
          <w:highlight w:val="none"/>
        </w:rPr>
        <w:t>否则应承担相应的法律责任。</w:t>
      </w:r>
    </w:p>
    <w:p w14:paraId="1B3941D8">
      <w:pPr>
        <w:pStyle w:val="3"/>
        <w:spacing w:before="0" w:after="0" w:line="360" w:lineRule="auto"/>
        <w:ind w:firstLine="420" w:firstLineChars="200"/>
        <w:rPr>
          <w:rFonts w:ascii="宋体" w:hAnsi="宋体" w:cs="宋体"/>
          <w:b w:val="0"/>
          <w:color w:val="auto"/>
          <w:sz w:val="21"/>
          <w:szCs w:val="21"/>
          <w:highlight w:val="none"/>
        </w:rPr>
      </w:pPr>
      <w:bookmarkStart w:id="91" w:name="_Toc517787511"/>
      <w:bookmarkStart w:id="92" w:name="_Toc234832878"/>
      <w:r>
        <w:rPr>
          <w:rFonts w:hint="eastAsia" w:ascii="宋体" w:hAnsi="宋体" w:cs="宋体"/>
          <w:b w:val="0"/>
          <w:color w:val="auto"/>
          <w:sz w:val="21"/>
          <w:szCs w:val="21"/>
          <w:highlight w:val="none"/>
        </w:rPr>
        <w:t>1.7 语言文字</w:t>
      </w:r>
      <w:bookmarkEnd w:id="91"/>
      <w:bookmarkEnd w:id="92"/>
    </w:p>
    <w:p w14:paraId="4230D4EA">
      <w:pPr>
        <w:spacing w:line="360" w:lineRule="auto"/>
        <w:ind w:firstLine="420" w:firstLineChars="200"/>
        <w:rPr>
          <w:rFonts w:ascii="宋体" w:hAnsi="宋体" w:cs="宋体"/>
          <w:color w:val="auto"/>
          <w:kern w:val="0"/>
          <w:highlight w:val="none"/>
        </w:rPr>
      </w:pPr>
      <w:r>
        <w:rPr>
          <w:rFonts w:hint="eastAsia" w:ascii="宋体" w:hAnsi="宋体" w:cs="宋体"/>
          <w:color w:val="auto"/>
          <w:kern w:val="0"/>
          <w:highlight w:val="none"/>
        </w:rPr>
        <w:t>招标投标文件使用的语言文字为中文。专用术语使用外文的，应附有中文注释。</w:t>
      </w:r>
    </w:p>
    <w:p w14:paraId="04CEC7B0">
      <w:pPr>
        <w:pStyle w:val="3"/>
        <w:spacing w:before="0" w:after="0" w:line="360" w:lineRule="auto"/>
        <w:ind w:firstLine="420" w:firstLineChars="200"/>
        <w:rPr>
          <w:rFonts w:ascii="宋体" w:hAnsi="宋体" w:cs="宋体"/>
          <w:b w:val="0"/>
          <w:color w:val="auto"/>
          <w:sz w:val="21"/>
          <w:szCs w:val="21"/>
          <w:highlight w:val="none"/>
        </w:rPr>
      </w:pPr>
      <w:bookmarkStart w:id="93" w:name="_Toc234832879"/>
      <w:bookmarkStart w:id="94" w:name="_Toc517787512"/>
      <w:r>
        <w:rPr>
          <w:rFonts w:hint="eastAsia" w:ascii="宋体" w:hAnsi="宋体" w:cs="宋体"/>
          <w:b w:val="0"/>
          <w:color w:val="auto"/>
          <w:sz w:val="21"/>
          <w:szCs w:val="21"/>
          <w:highlight w:val="none"/>
        </w:rPr>
        <w:t>1.8 计量单位</w:t>
      </w:r>
      <w:bookmarkEnd w:id="93"/>
      <w:bookmarkEnd w:id="94"/>
    </w:p>
    <w:p w14:paraId="2E4F400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所有计量均采用中华人民共和国法定计量单位。</w:t>
      </w:r>
    </w:p>
    <w:p w14:paraId="5A3646B1">
      <w:pPr>
        <w:pStyle w:val="3"/>
        <w:spacing w:before="0" w:after="0" w:line="360" w:lineRule="auto"/>
        <w:ind w:firstLine="420" w:firstLineChars="200"/>
        <w:rPr>
          <w:rFonts w:ascii="宋体" w:hAnsi="宋体" w:cs="宋体"/>
          <w:b w:val="0"/>
          <w:color w:val="auto"/>
          <w:sz w:val="21"/>
          <w:szCs w:val="21"/>
          <w:highlight w:val="none"/>
        </w:rPr>
      </w:pPr>
      <w:bookmarkStart w:id="95" w:name="_Toc517787513"/>
      <w:bookmarkStart w:id="96" w:name="_Toc234832880"/>
      <w:r>
        <w:rPr>
          <w:rFonts w:hint="eastAsia" w:ascii="宋体" w:hAnsi="宋体" w:cs="宋体"/>
          <w:b w:val="0"/>
          <w:color w:val="auto"/>
          <w:sz w:val="21"/>
          <w:szCs w:val="21"/>
          <w:highlight w:val="none"/>
        </w:rPr>
        <w:t>1.9 踏勘现场</w:t>
      </w:r>
      <w:bookmarkEnd w:id="95"/>
      <w:bookmarkEnd w:id="96"/>
    </w:p>
    <w:p w14:paraId="624844A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1B9DCB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1.9.2 投标人踏勘现场发生的费用自理。</w:t>
      </w:r>
    </w:p>
    <w:p w14:paraId="3F06DEC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1.9.3 除招标人的原因外，投标人自行负责在踏勘现场中所发生的人员伤亡和财产损失。</w:t>
      </w:r>
    </w:p>
    <w:p w14:paraId="57194A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1.9.4 招标人在踏勘现场中介绍的工程场地和相关的周边环境情况，供投标人在编制投标文件时参考，招标人不对投标人据此作出的判断和决策负责。</w:t>
      </w:r>
    </w:p>
    <w:p w14:paraId="27FE0917">
      <w:pPr>
        <w:pStyle w:val="3"/>
        <w:spacing w:before="0" w:after="0" w:line="360" w:lineRule="auto"/>
        <w:ind w:firstLine="420" w:firstLineChars="200"/>
        <w:rPr>
          <w:rFonts w:ascii="宋体" w:hAnsi="宋体" w:cs="宋体"/>
          <w:b w:val="0"/>
          <w:color w:val="auto"/>
          <w:sz w:val="21"/>
          <w:szCs w:val="21"/>
          <w:highlight w:val="none"/>
        </w:rPr>
      </w:pPr>
      <w:bookmarkStart w:id="97" w:name="_Toc517787514"/>
      <w:bookmarkStart w:id="98" w:name="_Toc234832881"/>
      <w:r>
        <w:rPr>
          <w:rFonts w:hint="eastAsia" w:ascii="宋体" w:hAnsi="宋体" w:cs="宋体"/>
          <w:b w:val="0"/>
          <w:color w:val="auto"/>
          <w:sz w:val="21"/>
          <w:szCs w:val="21"/>
          <w:highlight w:val="none"/>
        </w:rPr>
        <w:t>1.10 投标预备会</w:t>
      </w:r>
      <w:bookmarkEnd w:id="97"/>
      <w:bookmarkEnd w:id="98"/>
    </w:p>
    <w:p w14:paraId="6C688B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1.10.1 第一章“招标公告”或“投标邀请书”规定召开投标预备会的，招标人按规定的时间和地点召开投标预备会，澄清投标人提出的问题。</w:t>
      </w:r>
    </w:p>
    <w:p w14:paraId="3B0BE8B9">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1.10.2 投标人应按投标人须知前附表规定的时间和形式将提出的问题送达招标人，以便招标人在会议期间澄清。</w:t>
      </w:r>
    </w:p>
    <w:p w14:paraId="48016145">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1.10.3 投标预备会后，招标人将对投标人所提问题的澄清，以本章第2.2款规定的形式通知所有购买招标文件的投标人。该澄清内容为招标文件的组成部分。</w:t>
      </w:r>
    </w:p>
    <w:p w14:paraId="62D02C9E">
      <w:pPr>
        <w:pStyle w:val="3"/>
        <w:spacing w:before="0" w:after="0" w:line="360" w:lineRule="auto"/>
        <w:ind w:firstLine="420" w:firstLineChars="200"/>
        <w:rPr>
          <w:rFonts w:ascii="宋体" w:hAnsi="宋体" w:cs="宋体"/>
          <w:b w:val="0"/>
          <w:color w:val="auto"/>
          <w:sz w:val="21"/>
          <w:szCs w:val="21"/>
          <w:highlight w:val="none"/>
        </w:rPr>
      </w:pPr>
      <w:bookmarkStart w:id="99" w:name="_Toc234832882"/>
      <w:bookmarkStart w:id="100" w:name="_Toc517787515"/>
      <w:r>
        <w:rPr>
          <w:rFonts w:hint="eastAsia" w:ascii="宋体" w:hAnsi="宋体" w:cs="宋体"/>
          <w:b w:val="0"/>
          <w:color w:val="auto"/>
          <w:sz w:val="21"/>
          <w:szCs w:val="21"/>
          <w:highlight w:val="none"/>
        </w:rPr>
        <w:t>1.11 分包</w:t>
      </w:r>
      <w:bookmarkEnd w:id="99"/>
      <w:bookmarkEnd w:id="100"/>
    </w:p>
    <w:p w14:paraId="27CF3B97">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1.11.1 投标人拟在中标后将中标项目的部分非主体、非关键性工作进行分包的，应符合以下规定：</w:t>
      </w:r>
    </w:p>
    <w:p w14:paraId="377164E0">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（1）分包内容要求：允许分包的工程范围仅限于非关键性工程或适合专业化队伍施工的专项工程。招标人允许分包或不允许分包的专项工程（如有）应在投标人须知前附表中载明。</w:t>
      </w:r>
    </w:p>
    <w:p w14:paraId="1D838A82">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（2）接受分包的第三人资格要求：分包人的资格能力应与其分包工程的标准和规模相适应，且具备投标人须知前附表中规定的资格条件。</w:t>
      </w:r>
    </w:p>
    <w:p w14:paraId="154832E8">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（3）其他要求：投标人如有分包计划，应按第九章“投标文件格式”的要求填写“拟分包项目情况表”，明确拟分包的工程及规模，且投标人中标后的分包应满足合同条款第4.3款的相关要求</w:t>
      </w:r>
      <w:r>
        <w:rPr>
          <w:rFonts w:hint="eastAsia" w:hAnsi="宋体"/>
          <w:color w:val="auto"/>
          <w:sz w:val="21"/>
          <w:szCs w:val="21"/>
          <w:highlight w:val="none"/>
          <w:lang w:eastAsia="zh-CN"/>
        </w:rPr>
        <w:t>（</w:t>
      </w:r>
      <w:r>
        <w:rPr>
          <w:rFonts w:hint="eastAsia" w:hAnsi="宋体"/>
          <w:color w:val="auto"/>
          <w:sz w:val="21"/>
          <w:szCs w:val="21"/>
          <w:highlight w:val="none"/>
          <w:lang w:val="en-US" w:eastAsia="zh-CN"/>
        </w:rPr>
        <w:t>本款不适用</w:t>
      </w:r>
      <w:r>
        <w:rPr>
          <w:rFonts w:hint="eastAsia" w:hAnsi="宋体"/>
          <w:color w:val="auto"/>
          <w:sz w:val="21"/>
          <w:szCs w:val="21"/>
          <w:highlight w:val="none"/>
          <w:lang w:eastAsia="zh-CN"/>
        </w:rPr>
        <w:t>）</w:t>
      </w:r>
      <w:r>
        <w:rPr>
          <w:rFonts w:hint="eastAsia" w:hAnsi="宋体"/>
          <w:color w:val="auto"/>
          <w:sz w:val="21"/>
          <w:szCs w:val="21"/>
          <w:highlight w:val="none"/>
        </w:rPr>
        <w:t>。</w:t>
      </w:r>
    </w:p>
    <w:p w14:paraId="6159944A">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1.11.2 中标人不得向他人转让中标项目，接受分包的人不得再次分包。中标人应就分包项目向招标人负责，接受分包的人就分包项目承担连带责任。</w:t>
      </w:r>
    </w:p>
    <w:p w14:paraId="2EB8B0A8">
      <w:pPr>
        <w:pStyle w:val="3"/>
        <w:spacing w:before="0" w:after="0" w:line="360" w:lineRule="auto"/>
        <w:ind w:firstLine="420" w:firstLineChars="200"/>
        <w:rPr>
          <w:rFonts w:ascii="宋体" w:hAnsi="宋体" w:cs="宋体"/>
          <w:b w:val="0"/>
          <w:color w:val="auto"/>
          <w:sz w:val="21"/>
          <w:szCs w:val="21"/>
          <w:highlight w:val="none"/>
        </w:rPr>
      </w:pPr>
      <w:bookmarkStart w:id="101" w:name="_Toc234832883"/>
      <w:bookmarkStart w:id="102" w:name="_Toc517787516"/>
      <w:r>
        <w:rPr>
          <w:rFonts w:hint="eastAsia" w:ascii="宋体" w:hAnsi="宋体" w:cs="宋体"/>
          <w:b w:val="0"/>
          <w:color w:val="auto"/>
          <w:sz w:val="21"/>
          <w:szCs w:val="21"/>
          <w:highlight w:val="none"/>
        </w:rPr>
        <w:t xml:space="preserve">1.12 </w:t>
      </w:r>
      <w:bookmarkEnd w:id="101"/>
      <w:r>
        <w:rPr>
          <w:rFonts w:hint="eastAsia" w:ascii="宋体" w:hAnsi="宋体" w:cs="宋体"/>
          <w:b w:val="0"/>
          <w:color w:val="auto"/>
          <w:sz w:val="21"/>
          <w:szCs w:val="21"/>
          <w:highlight w:val="none"/>
        </w:rPr>
        <w:t>响应和偏差</w:t>
      </w:r>
      <w:bookmarkEnd w:id="102"/>
    </w:p>
    <w:p w14:paraId="1658713C">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1.12.1 投标文件偏离招标文件某些要求，视为投标文件存在偏差。偏差包括重大偏差和细微偏差。</w:t>
      </w:r>
    </w:p>
    <w:p w14:paraId="791DA877">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1.12.2 投标文件应对招标文件的实质性要求和条件作出满足性或更有利于招标人的响应，否则，视为投标文件存在重大偏差，投标人的投标将被否决。</w:t>
      </w:r>
    </w:p>
    <w:p w14:paraId="56DAFE0F">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投标文件存在第三章“评标办法”中所列任一否决投标情形的，均属于存在重大偏差。</w:t>
      </w:r>
    </w:p>
    <w:p w14:paraId="3CEC3B8E">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1.12.3 投标文件中的下列偏差为细微偏差：</w:t>
      </w:r>
    </w:p>
    <w:p w14:paraId="74DAE368">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（1）项目管理机构不够完善；</w:t>
      </w:r>
    </w:p>
    <w:p w14:paraId="2C997B8D">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（2）投标文件页码不连续、采用活页夹装订、个别文字有遗漏错误等不影响投标文件实质性内容的偏差。</w:t>
      </w:r>
    </w:p>
    <w:p w14:paraId="1F948CDA">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1.12.4 评标委员会对投标文件中的细微偏差按如下规定处理：</w:t>
      </w:r>
    </w:p>
    <w:p w14:paraId="42F94CD2">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对于本章第1.12.3项（1）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10C0B4B2">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（2）对于本章第1.12.3项（2）目所述的细微偏差，可要求投标人对细微偏差进行澄清。</w:t>
      </w:r>
    </w:p>
    <w:p w14:paraId="2FB0B268">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1.12.5 投标人应根据招标文件的要求提供相关内容以对招标文件作出响应。</w:t>
      </w:r>
    </w:p>
    <w:p w14:paraId="6649788C">
      <w:pPr>
        <w:pStyle w:val="3"/>
        <w:spacing w:before="0" w:after="0" w:line="360" w:lineRule="auto"/>
        <w:ind w:firstLine="420" w:firstLineChars="200"/>
        <w:rPr>
          <w:rFonts w:ascii="宋体" w:hAnsi="宋体" w:cs="宋体"/>
          <w:b w:val="0"/>
          <w:color w:val="auto"/>
          <w:sz w:val="21"/>
          <w:szCs w:val="21"/>
          <w:highlight w:val="none"/>
        </w:rPr>
      </w:pPr>
      <w:bookmarkStart w:id="103" w:name="_Toc517787517"/>
      <w:bookmarkStart w:id="104" w:name="_Toc234832884"/>
      <w:r>
        <w:rPr>
          <w:rFonts w:hint="eastAsia" w:ascii="宋体" w:hAnsi="宋体" w:cs="宋体"/>
          <w:b w:val="0"/>
          <w:color w:val="auto"/>
          <w:sz w:val="21"/>
          <w:szCs w:val="21"/>
          <w:highlight w:val="none"/>
        </w:rPr>
        <w:t>2. 招标文件</w:t>
      </w:r>
      <w:bookmarkEnd w:id="103"/>
      <w:bookmarkEnd w:id="104"/>
    </w:p>
    <w:p w14:paraId="0C99A73D">
      <w:pPr>
        <w:pStyle w:val="3"/>
        <w:spacing w:before="0" w:after="0" w:line="360" w:lineRule="auto"/>
        <w:ind w:firstLine="420" w:firstLineChars="200"/>
        <w:rPr>
          <w:rFonts w:ascii="宋体" w:hAnsi="宋体" w:cs="宋体"/>
          <w:b w:val="0"/>
          <w:color w:val="auto"/>
          <w:sz w:val="21"/>
          <w:szCs w:val="21"/>
          <w:highlight w:val="none"/>
        </w:rPr>
      </w:pPr>
      <w:bookmarkStart w:id="105" w:name="_Toc517787518"/>
      <w:bookmarkStart w:id="106" w:name="_Toc234832885"/>
      <w:r>
        <w:rPr>
          <w:rFonts w:hint="eastAsia" w:ascii="宋体" w:hAnsi="宋体" w:cs="宋体"/>
          <w:b w:val="0"/>
          <w:color w:val="auto"/>
          <w:sz w:val="21"/>
          <w:szCs w:val="21"/>
          <w:highlight w:val="none"/>
        </w:rPr>
        <w:t>2.1 招标文件的组成</w:t>
      </w:r>
      <w:bookmarkEnd w:id="105"/>
      <w:bookmarkEnd w:id="106"/>
    </w:p>
    <w:p w14:paraId="2A77B6C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本招标文件包括：</w:t>
      </w:r>
    </w:p>
    <w:p w14:paraId="11C72D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（1）招标公告（或投标邀请书）；</w:t>
      </w:r>
    </w:p>
    <w:p w14:paraId="2882B9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（2）投标人须知；</w:t>
      </w:r>
    </w:p>
    <w:p w14:paraId="1FF49E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（3）评标办法；</w:t>
      </w:r>
    </w:p>
    <w:p w14:paraId="5711F5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（4）合同条款及格式；</w:t>
      </w:r>
    </w:p>
    <w:p w14:paraId="64011BF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w:t>
      </w:r>
      <w:r>
        <w:rPr>
          <w:rFonts w:hint="eastAsia" w:ascii="宋体" w:hAnsi="宋体" w:cs="宋体"/>
          <w:color w:val="auto"/>
          <w:highlight w:val="none"/>
          <w:lang w:val="en-US" w:eastAsia="zh-CN"/>
        </w:rPr>
        <w:t>发包人要求</w:t>
      </w:r>
      <w:r>
        <w:rPr>
          <w:rFonts w:hint="eastAsia" w:ascii="宋体" w:hAnsi="宋体" w:cs="宋体"/>
          <w:color w:val="auto"/>
          <w:highlight w:val="none"/>
        </w:rPr>
        <w:t>；</w:t>
      </w:r>
    </w:p>
    <w:p w14:paraId="2D838F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（6）投标文件格式；</w:t>
      </w:r>
    </w:p>
    <w:p w14:paraId="066752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（7）投标人须知前附表规定的其他资料。</w:t>
      </w:r>
    </w:p>
    <w:p w14:paraId="282D65D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根据本章第1.10款、第2.2款和第2.3款对招标文件所作的澄清、修改，构成招标文件的组成部分。</w:t>
      </w:r>
    </w:p>
    <w:p w14:paraId="3FFF33ED">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当招标文件、招标文件的澄清或修改等在同一内容的表述上不一致时，以最后发出的文件为准。</w:t>
      </w:r>
    </w:p>
    <w:p w14:paraId="267B76B2">
      <w:pPr>
        <w:pStyle w:val="3"/>
        <w:spacing w:before="0" w:after="0" w:line="360" w:lineRule="auto"/>
        <w:ind w:firstLine="420" w:firstLineChars="200"/>
        <w:rPr>
          <w:rFonts w:ascii="宋体" w:hAnsi="宋体" w:cs="宋体"/>
          <w:b w:val="0"/>
          <w:color w:val="auto"/>
          <w:sz w:val="21"/>
          <w:szCs w:val="21"/>
          <w:highlight w:val="none"/>
        </w:rPr>
      </w:pPr>
      <w:bookmarkStart w:id="107" w:name="_Toc517787519"/>
      <w:bookmarkStart w:id="108" w:name="_Toc234832886"/>
      <w:r>
        <w:rPr>
          <w:rFonts w:hint="eastAsia" w:ascii="宋体" w:hAnsi="宋体" w:cs="宋体"/>
          <w:b w:val="0"/>
          <w:color w:val="auto"/>
          <w:sz w:val="21"/>
          <w:szCs w:val="21"/>
          <w:highlight w:val="none"/>
        </w:rPr>
        <w:t>2.2 招标文件的澄清</w:t>
      </w:r>
      <w:bookmarkEnd w:id="107"/>
      <w:bookmarkEnd w:id="108"/>
    </w:p>
    <w:p w14:paraId="6DB0F5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5B6519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招标文件的澄清以投标人须知前附表规定的形式发给所有购买招标文件的投标人，但不指明澄清问题的来源。澄清发出的时间距本章第4.2.1项规定的投标截止时间不足15日（或3日），且澄清内容可能影响投标文件编制的，将相应延长投标截止时间。</w:t>
      </w:r>
    </w:p>
    <w:p w14:paraId="6A012E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2.2.3 投标人在收到澄清后，应按投标人须知前附表规定的时间和形式通知招标人，确认已收到该澄清。</w:t>
      </w:r>
    </w:p>
    <w:p w14:paraId="16E4DB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2.2.4 除非招标人认为确有必要答复，否则，招标人有权拒绝回复投标人在本章第2.2.1项规定的时间后提出的任何澄清要求。</w:t>
      </w:r>
    </w:p>
    <w:p w14:paraId="58ECE4BD">
      <w:pPr>
        <w:pStyle w:val="3"/>
        <w:spacing w:before="0" w:after="0" w:line="360" w:lineRule="auto"/>
        <w:ind w:firstLine="420" w:firstLineChars="200"/>
        <w:rPr>
          <w:rFonts w:ascii="宋体" w:hAnsi="宋体" w:cs="宋体"/>
          <w:b w:val="0"/>
          <w:color w:val="auto"/>
          <w:sz w:val="21"/>
          <w:szCs w:val="21"/>
          <w:highlight w:val="none"/>
        </w:rPr>
      </w:pPr>
      <w:bookmarkStart w:id="109" w:name="_Toc517787520"/>
      <w:bookmarkStart w:id="110" w:name="_Toc234832887"/>
      <w:r>
        <w:rPr>
          <w:rFonts w:hint="eastAsia" w:ascii="宋体" w:hAnsi="宋体" w:cs="宋体"/>
          <w:b w:val="0"/>
          <w:color w:val="auto"/>
          <w:sz w:val="21"/>
          <w:szCs w:val="21"/>
          <w:highlight w:val="none"/>
        </w:rPr>
        <w:t>2.3 招标文件的修改</w:t>
      </w:r>
      <w:bookmarkEnd w:id="109"/>
      <w:bookmarkEnd w:id="110"/>
    </w:p>
    <w:p w14:paraId="0AA55BE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2.3.1 招标人以投标人须知前附表规定的形式修改招标文件，并通知所有已购买招标文件的投标人。修改招标文件的时间距本章第4.2.1项规定的投标截止时间不足15日（或3日），且修改内容可能影响投标文件编制的，将相应延长投标截止时间。</w:t>
      </w:r>
    </w:p>
    <w:p w14:paraId="040C6F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2.3.2 投标人收到修改内容后，应按投标人须知前附表规定的时间和形式通知招标人，确认已收到该修改。</w:t>
      </w:r>
    </w:p>
    <w:p w14:paraId="5D8B13CB">
      <w:pPr>
        <w:pStyle w:val="3"/>
        <w:spacing w:before="0" w:after="0" w:line="360" w:lineRule="auto"/>
        <w:ind w:firstLine="420" w:firstLineChars="200"/>
        <w:rPr>
          <w:rFonts w:ascii="宋体" w:hAnsi="宋体" w:cs="宋体"/>
          <w:b w:val="0"/>
          <w:color w:val="auto"/>
          <w:sz w:val="21"/>
          <w:szCs w:val="21"/>
          <w:highlight w:val="none"/>
        </w:rPr>
      </w:pPr>
      <w:bookmarkStart w:id="111" w:name="_Toc517787521"/>
      <w:r>
        <w:rPr>
          <w:rFonts w:hint="eastAsia" w:ascii="宋体" w:hAnsi="宋体" w:cs="宋体"/>
          <w:b w:val="0"/>
          <w:color w:val="auto"/>
          <w:sz w:val="21"/>
          <w:szCs w:val="21"/>
          <w:highlight w:val="none"/>
        </w:rPr>
        <w:t>2.4 招标文件的异议</w:t>
      </w:r>
      <w:bookmarkEnd w:id="111"/>
    </w:p>
    <w:p w14:paraId="5D15B33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投标人或其他利害关系人对招标文件有异议的，应在投标截止时间10日前以书面形式提出。招标人将在收到异议之日起3日内作出答复；作出答复前，将暂停招标投标活动。</w:t>
      </w:r>
    </w:p>
    <w:p w14:paraId="1FA53D15">
      <w:pPr>
        <w:pStyle w:val="3"/>
        <w:spacing w:before="0" w:after="0" w:line="360" w:lineRule="auto"/>
        <w:ind w:firstLine="420" w:firstLineChars="200"/>
        <w:rPr>
          <w:rFonts w:ascii="宋体" w:hAnsi="宋体" w:cs="宋体"/>
          <w:b w:val="0"/>
          <w:color w:val="auto"/>
          <w:sz w:val="21"/>
          <w:szCs w:val="21"/>
          <w:highlight w:val="none"/>
        </w:rPr>
      </w:pPr>
      <w:bookmarkStart w:id="112" w:name="_Toc234832888"/>
      <w:bookmarkStart w:id="113" w:name="_Toc517787522"/>
      <w:r>
        <w:rPr>
          <w:rFonts w:hint="eastAsia" w:ascii="宋体" w:hAnsi="宋体" w:cs="宋体"/>
          <w:b w:val="0"/>
          <w:color w:val="auto"/>
          <w:sz w:val="21"/>
          <w:szCs w:val="21"/>
          <w:highlight w:val="none"/>
        </w:rPr>
        <w:t>3. 投标文件</w:t>
      </w:r>
      <w:bookmarkEnd w:id="112"/>
      <w:bookmarkEnd w:id="113"/>
    </w:p>
    <w:p w14:paraId="7D302698">
      <w:pPr>
        <w:pStyle w:val="3"/>
        <w:spacing w:before="0" w:after="0" w:line="360" w:lineRule="auto"/>
        <w:ind w:firstLine="420" w:firstLineChars="200"/>
        <w:rPr>
          <w:rFonts w:ascii="宋体" w:hAnsi="宋体" w:cs="宋体"/>
          <w:b w:val="0"/>
          <w:color w:val="auto"/>
          <w:sz w:val="21"/>
          <w:szCs w:val="21"/>
          <w:highlight w:val="none"/>
        </w:rPr>
      </w:pPr>
      <w:bookmarkStart w:id="114" w:name="_Toc234832889"/>
      <w:bookmarkStart w:id="115" w:name="_Toc517787523"/>
      <w:r>
        <w:rPr>
          <w:rFonts w:hint="eastAsia" w:ascii="宋体" w:hAnsi="宋体" w:cs="宋体"/>
          <w:b w:val="0"/>
          <w:color w:val="auto"/>
          <w:sz w:val="21"/>
          <w:szCs w:val="21"/>
          <w:highlight w:val="none"/>
        </w:rPr>
        <w:t>3.1</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投标文件的组成</w:t>
      </w:r>
      <w:bookmarkEnd w:id="114"/>
      <w:bookmarkEnd w:id="115"/>
    </w:p>
    <w:p w14:paraId="522971E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投标文件采用双信封形式，投标文件的组成应满足相应条款要求。</w:t>
      </w:r>
    </w:p>
    <w:p w14:paraId="718952A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 投标文件应包括下列内容：</w:t>
      </w:r>
    </w:p>
    <w:p w14:paraId="73A3FB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w:t>
      </w:r>
    </w:p>
    <w:p w14:paraId="006F04C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（1）投标函；</w:t>
      </w:r>
    </w:p>
    <w:p w14:paraId="0FEE4A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（2）授权委托书或法定代表人身份证明；</w:t>
      </w:r>
    </w:p>
    <w:p w14:paraId="4422341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（3）资格审查资料； </w:t>
      </w:r>
    </w:p>
    <w:p w14:paraId="13A04E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（4）投标人须知前附表规定的其他资料。</w:t>
      </w:r>
    </w:p>
    <w:p w14:paraId="26FD18B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第二个信封（报价文件）：</w:t>
      </w:r>
    </w:p>
    <w:p w14:paraId="3302DB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（1）投标函；</w:t>
      </w:r>
    </w:p>
    <w:p w14:paraId="6DE62DE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（2）已标价工程量清单；</w:t>
      </w:r>
    </w:p>
    <w:p w14:paraId="3CB799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投标人在评标过程中作出的符合法律法规和招标文件规定的澄清确认，构成投标文件的组成部分。</w:t>
      </w:r>
    </w:p>
    <w:p w14:paraId="2BD1C5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 投标人须知前附表规定不接受联合体投标的，或投标人没有组成联合体的，投标文件不包括本章第3.1.1（3）目所指的联合体协议书。</w:t>
      </w:r>
    </w:p>
    <w:p w14:paraId="5D13ADF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 投标人须知前附表未要求提交投标保证金的，投标文件不包括本章第3.1.1（4）目所指的投标保证金。</w:t>
      </w:r>
    </w:p>
    <w:p w14:paraId="0D3961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投标人须知前附表未要求编制施工组织设计的，投标文件不包括本章第3.1.1（6）目所指的施工组织设计。</w:t>
      </w:r>
    </w:p>
    <w:p w14:paraId="30B83BA8">
      <w:pPr>
        <w:pStyle w:val="3"/>
        <w:spacing w:before="0" w:after="0" w:line="360" w:lineRule="auto"/>
        <w:ind w:firstLine="420" w:firstLineChars="200"/>
        <w:rPr>
          <w:rFonts w:ascii="宋体" w:hAnsi="宋体" w:cs="宋体"/>
          <w:b w:val="0"/>
          <w:color w:val="auto"/>
          <w:sz w:val="21"/>
          <w:szCs w:val="21"/>
          <w:highlight w:val="none"/>
        </w:rPr>
      </w:pPr>
      <w:bookmarkStart w:id="116" w:name="_Toc517787524"/>
      <w:bookmarkStart w:id="117" w:name="_Toc234832890"/>
      <w:r>
        <w:rPr>
          <w:rFonts w:hint="eastAsia" w:ascii="宋体" w:hAnsi="宋体" w:cs="宋体"/>
          <w:b w:val="0"/>
          <w:color w:val="auto"/>
          <w:sz w:val="21"/>
          <w:szCs w:val="21"/>
          <w:highlight w:val="none"/>
        </w:rPr>
        <w:t>3.2 投标报价</w:t>
      </w:r>
      <w:bookmarkEnd w:id="116"/>
      <w:bookmarkEnd w:id="117"/>
      <w:r>
        <w:rPr>
          <w:rFonts w:hint="eastAsia" w:ascii="宋体" w:hAnsi="宋体" w:cs="宋体"/>
          <w:b w:val="0"/>
          <w:color w:val="auto"/>
          <w:sz w:val="21"/>
          <w:szCs w:val="21"/>
          <w:highlight w:val="none"/>
        </w:rPr>
        <w:t xml:space="preserve"> </w:t>
      </w:r>
    </w:p>
    <w:p w14:paraId="1BAB7A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3.2.1 投标报价应包括国家规定的增值税税金，除投标人须知前附表另有规定外，增值税税金按一般计税方法计算。投标人应按</w:t>
      </w:r>
      <w:r>
        <w:rPr>
          <w:rFonts w:hint="eastAsia" w:ascii="宋体" w:hAnsi="宋体" w:cs="宋体"/>
          <w:color w:val="auto"/>
          <w:highlight w:val="none"/>
          <w:lang w:eastAsia="zh-CN"/>
        </w:rPr>
        <w:t>第六章</w:t>
      </w:r>
      <w:r>
        <w:rPr>
          <w:rFonts w:hint="eastAsia" w:ascii="宋体" w:hAnsi="宋体" w:cs="宋体"/>
          <w:color w:val="auto"/>
          <w:highlight w:val="none"/>
        </w:rPr>
        <w:t>“投标文件格式”的要求在投标函中进行报价并填写工程量清单相应表格。</w:t>
      </w:r>
    </w:p>
    <w:p w14:paraId="3A9E9E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项目招标采用工程量清单，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70C064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投标人根据招标人提供的工程量清单电子文件填报完成并打印的投标工程量清单中的投标报价和投标函大写金额报价应一致，如果报价金额出现差异，其投标将被否决。</w:t>
      </w:r>
    </w:p>
    <w:p w14:paraId="2512F8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3.2.2 投标人应充分了解本项目的总体情况以及影响投标报价的其他要素。</w:t>
      </w:r>
    </w:p>
    <w:p w14:paraId="74B4FD3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3.2.3 本项目的报价方式见投标人须知前附表。投标人在投标截止时间前修改投标函中的投标总报价，应同时修改投标文件“已标价工程量清单”中的相应报价。此修改须符合本章第4.3款的有关要求。</w:t>
      </w:r>
    </w:p>
    <w:p w14:paraId="0E3B035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3.2.4 投标人如果发现工程量清单中的数量与图纸中数量不一致时，应立即通知招标人核查，除非招标人以书面方式予以更正，否则，应以工程量清单中列出的数量为准。</w:t>
      </w:r>
    </w:p>
    <w:p w14:paraId="023CC5A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3.2.5 除投标人须知前附表另有规定外，招标人不接受调价函。若招标人接受调价函，则应在招标文件中给出调价函的格式。投标人若有调价函则应遵循如下规定：</w:t>
      </w:r>
    </w:p>
    <w:p w14:paraId="29E2A7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（1）调价函必须采用招标文件规定的格式；调价函应说明调价后的最终报价，并以最终报价为准，而且投标人只能有一次调价的机会；</w:t>
      </w:r>
    </w:p>
    <w:p w14:paraId="7E8F80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（2）工程量清单中招标人指定的报价不允许调价； </w:t>
      </w:r>
    </w:p>
    <w:p w14:paraId="418C5ED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（3）调价函必须附有调价后的工程量清单；调价函必须与投标文件正本封面机械装订在一起，与投标文件一起密封提交。</w:t>
      </w:r>
    </w:p>
    <w:p w14:paraId="69A59F3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若投标人未提交调价后的工程量清单，或调价函未与投标文件正本封面机械装订在一起，调价函均视为无效，仍以原报价作为最终报价。若投标人提交的调价函多于一个，或对不允许调价的内容进行了调价，或调价函有附加条件，其投标将被否决。</w:t>
      </w:r>
    </w:p>
    <w:p w14:paraId="7D2D48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（4）若招标人接受调价函，投标人调价后的工程量清单和有效调价函的大写金额报价应保持一致，如果报价金额出现差异，则以有效调价函的大写金额报价为准。</w:t>
      </w:r>
    </w:p>
    <w:p w14:paraId="41A5D9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3.2.6在合同实施期间，投标人填写的单价、合价和总额价是否由于物价波动进行价格调整按照合同条款第16.1款的规定处理。</w:t>
      </w:r>
    </w:p>
    <w:p w14:paraId="0AA2B7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3.2.7招标人设有最高投标限价的，投标人的投标报价不得超过最高投标限价，最高投标限价在投标</w:t>
      </w:r>
      <w:bookmarkStart w:id="118" w:name="_Toc300834965"/>
      <w:bookmarkStart w:id="119" w:name="_Toc361508600"/>
      <w:bookmarkStart w:id="120" w:name="_Toc10429"/>
      <w:bookmarkStart w:id="121" w:name="_Toc144974512"/>
      <w:bookmarkStart w:id="122" w:name="_Toc352691488"/>
      <w:bookmarkStart w:id="123" w:name="_Toc369531531"/>
      <w:bookmarkStart w:id="124" w:name="_Toc247527569"/>
      <w:bookmarkStart w:id="125" w:name="_Toc152042320"/>
      <w:bookmarkStart w:id="126" w:name="_Toc152045544"/>
      <w:bookmarkStart w:id="127" w:name="_Toc247513968"/>
      <w:bookmarkStart w:id="128" w:name="_Toc384308225"/>
      <w:r>
        <w:rPr>
          <w:rFonts w:hint="eastAsia" w:ascii="宋体" w:hAnsi="宋体" w:cs="宋体"/>
          <w:color w:val="auto"/>
          <w:highlight w:val="none"/>
        </w:rPr>
        <w:t>人须知前附表中载明。</w:t>
      </w:r>
      <w:bookmarkEnd w:id="118"/>
      <w:bookmarkEnd w:id="119"/>
      <w:bookmarkEnd w:id="120"/>
      <w:bookmarkEnd w:id="121"/>
      <w:bookmarkEnd w:id="122"/>
      <w:bookmarkEnd w:id="123"/>
      <w:bookmarkEnd w:id="124"/>
      <w:bookmarkEnd w:id="125"/>
      <w:bookmarkEnd w:id="126"/>
      <w:bookmarkEnd w:id="127"/>
      <w:bookmarkEnd w:id="128"/>
    </w:p>
    <w:p w14:paraId="7ABF0A0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3.2.8投标报价的其他要求见投标人须知前附表。</w:t>
      </w:r>
    </w:p>
    <w:p w14:paraId="174EA1F9">
      <w:pPr>
        <w:pStyle w:val="3"/>
        <w:spacing w:before="0" w:after="0" w:line="360" w:lineRule="auto"/>
        <w:ind w:firstLine="420" w:firstLineChars="200"/>
        <w:rPr>
          <w:rFonts w:ascii="宋体" w:hAnsi="宋体" w:cs="宋体"/>
          <w:b w:val="0"/>
          <w:color w:val="auto"/>
          <w:sz w:val="21"/>
          <w:szCs w:val="21"/>
          <w:highlight w:val="none"/>
        </w:rPr>
      </w:pPr>
      <w:bookmarkStart w:id="129" w:name="_Toc234832891"/>
      <w:bookmarkStart w:id="130" w:name="_Toc517787525"/>
      <w:r>
        <w:rPr>
          <w:rFonts w:hint="eastAsia" w:ascii="宋体" w:hAnsi="宋体" w:cs="宋体"/>
          <w:b w:val="0"/>
          <w:color w:val="auto"/>
          <w:sz w:val="21"/>
          <w:szCs w:val="21"/>
          <w:highlight w:val="none"/>
        </w:rPr>
        <w:t>3.3</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投标有效期</w:t>
      </w:r>
      <w:bookmarkEnd w:id="129"/>
      <w:bookmarkEnd w:id="130"/>
    </w:p>
    <w:p w14:paraId="345456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投标有效期为90日。</w:t>
      </w:r>
    </w:p>
    <w:p w14:paraId="6BE3B8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3.3.2 在投标有效期内，投标人撤销投标文件的，应承担招标文件和法律规定的责任。</w:t>
      </w:r>
    </w:p>
    <w:p w14:paraId="452952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0A1CCACD">
      <w:pPr>
        <w:pStyle w:val="3"/>
        <w:spacing w:before="0" w:after="0" w:line="360" w:lineRule="auto"/>
        <w:ind w:firstLine="420" w:firstLineChars="200"/>
        <w:rPr>
          <w:rFonts w:ascii="宋体" w:hAnsi="宋体" w:cs="宋体"/>
          <w:b w:val="0"/>
          <w:color w:val="auto"/>
          <w:sz w:val="21"/>
          <w:szCs w:val="21"/>
          <w:highlight w:val="none"/>
        </w:rPr>
      </w:pPr>
      <w:bookmarkStart w:id="131" w:name="_Toc517787526"/>
      <w:bookmarkStart w:id="132" w:name="_Toc234832892"/>
      <w:r>
        <w:rPr>
          <w:rFonts w:hint="eastAsia" w:ascii="宋体" w:hAnsi="宋体" w:cs="宋体"/>
          <w:b w:val="0"/>
          <w:color w:val="auto"/>
          <w:sz w:val="21"/>
          <w:szCs w:val="21"/>
          <w:highlight w:val="none"/>
        </w:rPr>
        <w:t>3.4</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 xml:space="preserve"> 投标保证金</w:t>
      </w:r>
      <w:bookmarkEnd w:id="131"/>
      <w:bookmarkEnd w:id="132"/>
    </w:p>
    <w:p w14:paraId="7C4EDE2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3.4.1 本项目不设投标保证金。</w:t>
      </w:r>
    </w:p>
    <w:p w14:paraId="7DD17413">
      <w:pPr>
        <w:pStyle w:val="3"/>
        <w:spacing w:before="0" w:after="0" w:line="360" w:lineRule="auto"/>
        <w:ind w:firstLine="420" w:firstLineChars="200"/>
        <w:rPr>
          <w:rFonts w:ascii="宋体" w:hAnsi="宋体" w:cs="宋体"/>
          <w:b w:val="0"/>
          <w:color w:val="auto"/>
          <w:sz w:val="21"/>
          <w:szCs w:val="21"/>
          <w:highlight w:val="none"/>
        </w:rPr>
      </w:pPr>
      <w:bookmarkStart w:id="133" w:name="_Toc234832894"/>
      <w:bookmarkStart w:id="134" w:name="_Toc517787528"/>
      <w:r>
        <w:rPr>
          <w:rFonts w:hint="eastAsia" w:ascii="宋体" w:hAnsi="宋体" w:cs="宋体"/>
          <w:b w:val="0"/>
          <w:color w:val="auto"/>
          <w:sz w:val="21"/>
          <w:szCs w:val="21"/>
          <w:highlight w:val="none"/>
        </w:rPr>
        <w:t>3.5</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 xml:space="preserve"> 资格审查资料</w:t>
      </w:r>
      <w:bookmarkEnd w:id="133"/>
      <w:bookmarkEnd w:id="134"/>
    </w:p>
    <w:p w14:paraId="3C2EE40A">
      <w:pPr>
        <w:spacing w:line="360" w:lineRule="auto"/>
        <w:ind w:firstLine="420" w:firstLineChars="200"/>
        <w:rPr>
          <w:rFonts w:ascii="宋体" w:hAnsi="宋体" w:cs="宋体"/>
          <w:color w:val="auto"/>
          <w:highlight w:val="none"/>
        </w:rPr>
      </w:pPr>
      <w:bookmarkStart w:id="135" w:name="_Toc517787529"/>
      <w:bookmarkStart w:id="136" w:name="_Toc234832895"/>
      <w:r>
        <w:rPr>
          <w:rFonts w:hint="eastAsia" w:ascii="宋体" w:hAnsi="宋体" w:cs="宋体"/>
          <w:color w:val="auto"/>
          <w:highlight w:val="none"/>
        </w:rPr>
        <w:t>3.5.1投标人应按照招标文件</w:t>
      </w:r>
      <w:r>
        <w:rPr>
          <w:rFonts w:hint="eastAsia" w:ascii="宋体" w:hAnsi="宋体" w:cs="宋体"/>
          <w:color w:val="auto"/>
          <w:highlight w:val="none"/>
          <w:lang w:eastAsia="zh-CN"/>
        </w:rPr>
        <w:t>第六章</w:t>
      </w:r>
      <w:r>
        <w:rPr>
          <w:rFonts w:hint="eastAsia" w:ascii="宋体" w:hAnsi="宋体" w:cs="宋体"/>
          <w:color w:val="auto"/>
          <w:highlight w:val="none"/>
        </w:rPr>
        <w:t>“投标文件格式”“</w:t>
      </w:r>
      <w:r>
        <w:rPr>
          <w:rFonts w:hint="eastAsia" w:ascii="宋体" w:hAnsi="宋体" w:cs="宋体"/>
          <w:color w:val="auto"/>
          <w:highlight w:val="none"/>
          <w:lang w:val="en-US" w:eastAsia="zh-CN"/>
        </w:rPr>
        <w:t>三</w:t>
      </w:r>
      <w:r>
        <w:rPr>
          <w:rFonts w:hint="eastAsia" w:ascii="宋体" w:hAnsi="宋体" w:cs="宋体"/>
          <w:color w:val="auto"/>
          <w:highlight w:val="none"/>
        </w:rPr>
        <w:t>、资格审查资料（适用于不采用系统生成投标报表作为资格审查资料的）”部分相应规定和格式，自行编制并打印下列《投标报表》作为投标文件中的资格审查资料组成内容：</w:t>
      </w:r>
    </w:p>
    <w:p w14:paraId="1E5B948B">
      <w:pPr>
        <w:spacing w:line="360" w:lineRule="auto"/>
        <w:ind w:firstLine="420" w:firstLineChars="200"/>
        <w:rPr>
          <w:rFonts w:hint="default" w:ascii="宋体" w:hAnsi="宋体" w:eastAsia="宋体" w:cs="宋体"/>
          <w:color w:val="auto"/>
          <w:highlight w:val="none"/>
          <w:lang w:val="en-US" w:eastAsia="zh-CN"/>
        </w:rPr>
      </w:pPr>
      <w:r>
        <w:rPr>
          <w:rFonts w:hint="eastAsia" w:ascii="宋体" w:hAnsi="宋体" w:cs="宋体"/>
          <w:color w:val="auto"/>
          <w:highlight w:val="none"/>
        </w:rPr>
        <w:t>（1）企业基本信息表</w:t>
      </w:r>
      <w:r>
        <w:rPr>
          <w:rFonts w:hint="eastAsia" w:ascii="宋体" w:hAnsi="宋体" w:cs="宋体"/>
          <w:color w:val="auto"/>
          <w:highlight w:val="none"/>
          <w:lang w:val="en-US" w:eastAsia="zh-CN"/>
        </w:rPr>
        <w:t>及相关附件</w:t>
      </w:r>
    </w:p>
    <w:p w14:paraId="7F172B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（2）拟投入本标段主要人员情况表</w:t>
      </w:r>
      <w:r>
        <w:rPr>
          <w:rFonts w:hint="eastAsia" w:ascii="宋体" w:hAnsi="宋体" w:cs="宋体"/>
          <w:color w:val="auto"/>
          <w:highlight w:val="none"/>
          <w:lang w:val="en-US" w:eastAsia="zh-CN"/>
        </w:rPr>
        <w:t>及相关附件</w:t>
      </w:r>
    </w:p>
    <w:p w14:paraId="791D27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）其他资料。</w:t>
      </w:r>
    </w:p>
    <w:p w14:paraId="620616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3.5.2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w:t>
      </w:r>
    </w:p>
    <w:p w14:paraId="26B67C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3.5.3本项目无须提供投标人及其法定代表人、拟委任的项目经理无行贿犯罪行为的查询记录证明。</w:t>
      </w:r>
    </w:p>
    <w:p w14:paraId="1195A710">
      <w:pPr>
        <w:pStyle w:val="3"/>
        <w:spacing w:before="0" w:after="0" w:line="360" w:lineRule="auto"/>
        <w:ind w:firstLine="420" w:firstLineChars="200"/>
        <w:rPr>
          <w:rFonts w:ascii="宋体" w:hAnsi="宋体" w:cs="宋体"/>
          <w:b w:val="0"/>
          <w:color w:val="auto"/>
          <w:sz w:val="21"/>
          <w:szCs w:val="21"/>
          <w:highlight w:val="none"/>
        </w:rPr>
      </w:pPr>
      <w:r>
        <w:rPr>
          <w:rFonts w:hint="eastAsia" w:ascii="宋体" w:hAnsi="宋体" w:cs="宋体"/>
          <w:b w:val="0"/>
          <w:color w:val="auto"/>
          <w:sz w:val="21"/>
          <w:szCs w:val="21"/>
          <w:highlight w:val="none"/>
        </w:rPr>
        <w:t>3.6 备选投标方案</w:t>
      </w:r>
      <w:bookmarkEnd w:id="135"/>
      <w:bookmarkEnd w:id="136"/>
    </w:p>
    <w:p w14:paraId="7A0F2C8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3.6.1 本项目不允许递交备选投标方案，否则其投标将被否决。</w:t>
      </w:r>
    </w:p>
    <w:p w14:paraId="1DA8C41A">
      <w:pPr>
        <w:pStyle w:val="3"/>
        <w:spacing w:before="0" w:after="0" w:line="360" w:lineRule="auto"/>
        <w:ind w:firstLine="420" w:firstLineChars="200"/>
        <w:rPr>
          <w:rFonts w:ascii="宋体" w:hAnsi="宋体" w:cs="宋体"/>
          <w:b w:val="0"/>
          <w:color w:val="auto"/>
          <w:sz w:val="21"/>
          <w:szCs w:val="21"/>
          <w:highlight w:val="none"/>
        </w:rPr>
      </w:pPr>
      <w:bookmarkStart w:id="137" w:name="_Toc234832896"/>
      <w:bookmarkStart w:id="138" w:name="_Toc517787530"/>
      <w:r>
        <w:rPr>
          <w:rFonts w:hint="eastAsia" w:ascii="宋体" w:hAnsi="宋体" w:cs="宋体"/>
          <w:b w:val="0"/>
          <w:color w:val="auto"/>
          <w:sz w:val="21"/>
          <w:szCs w:val="21"/>
          <w:highlight w:val="none"/>
        </w:rPr>
        <w:t>3.7 投标文件的编制</w:t>
      </w:r>
      <w:bookmarkEnd w:id="137"/>
      <w:bookmarkEnd w:id="138"/>
    </w:p>
    <w:p w14:paraId="5325C6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3.7.1 投标文件应按</w:t>
      </w:r>
      <w:r>
        <w:rPr>
          <w:rFonts w:hint="eastAsia" w:ascii="宋体" w:hAnsi="宋体" w:cs="宋体"/>
          <w:color w:val="auto"/>
          <w:highlight w:val="none"/>
          <w:lang w:eastAsia="zh-CN"/>
        </w:rPr>
        <w:t>第六章</w:t>
      </w:r>
      <w:r>
        <w:rPr>
          <w:rFonts w:hint="eastAsia" w:ascii="宋体" w:hAnsi="宋体" w:cs="宋体"/>
          <w:color w:val="auto"/>
          <w:highlight w:val="none"/>
        </w:rPr>
        <w:t>“投标文件格式”进行编写，如有必要，可以增加附页，作为投标文件的组成部分。其中，投标函附录在满足招标文件实质性要求的基础上，可以提出比招标文件要求更有利于招标人的承诺。</w:t>
      </w:r>
    </w:p>
    <w:p w14:paraId="16578E2F">
      <w:pPr>
        <w:spacing w:line="360" w:lineRule="auto"/>
        <w:ind w:firstLine="420" w:firstLineChars="200"/>
        <w:rPr>
          <w:rFonts w:ascii="宋体" w:hAnsi="宋体" w:cs="宋体"/>
          <w:iCs/>
          <w:color w:val="auto"/>
          <w:highlight w:val="none"/>
        </w:rPr>
      </w:pPr>
      <w:r>
        <w:rPr>
          <w:rFonts w:hint="eastAsia" w:ascii="宋体" w:hAnsi="宋体" w:cs="宋体"/>
          <w:color w:val="auto"/>
          <w:highlight w:val="none"/>
        </w:rPr>
        <w:t>3.7.2 投标文件应对招标文件有关</w:t>
      </w:r>
      <w:r>
        <w:rPr>
          <w:rFonts w:hint="eastAsia" w:ascii="宋体" w:hAnsi="宋体" w:cs="宋体"/>
          <w:iCs/>
          <w:color w:val="auto"/>
          <w:highlight w:val="none"/>
        </w:rPr>
        <w:t>工期、质量要求、</w:t>
      </w:r>
      <w:r>
        <w:rPr>
          <w:rFonts w:hint="eastAsia" w:ascii="宋体" w:hAnsi="宋体" w:cs="宋体"/>
          <w:color w:val="auto"/>
          <w:highlight w:val="none"/>
        </w:rPr>
        <w:t>安全目标、</w:t>
      </w:r>
      <w:r>
        <w:rPr>
          <w:rFonts w:hint="eastAsia" w:ascii="宋体" w:hAnsi="宋体" w:cs="宋体"/>
          <w:iCs/>
          <w:color w:val="auto"/>
          <w:highlight w:val="none"/>
        </w:rPr>
        <w:t>招标范围等实质性内容作出响应。</w:t>
      </w:r>
    </w:p>
    <w:p w14:paraId="033EB1D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3.7.3 投标文件应用不褪色的材料书写或打印。投标文件格式中明确要求投标人法定代表人或其委托代理人签字</w:t>
      </w:r>
      <w:r>
        <w:rPr>
          <w:rFonts w:hint="eastAsia" w:ascii="宋体" w:hAnsi="宋体" w:cs="宋体"/>
          <w:color w:val="auto"/>
          <w:sz w:val="21"/>
          <w:highlight w:val="none"/>
          <w:u w:val="none"/>
        </w:rPr>
        <w:t>或签名章</w:t>
      </w:r>
      <w:r>
        <w:rPr>
          <w:rFonts w:hint="eastAsia" w:ascii="宋体" w:hAnsi="宋体" w:cs="宋体"/>
          <w:color w:val="auto"/>
          <w:highlight w:val="none"/>
        </w:rPr>
        <w:t>之处，必须由相关人员亲笔签名</w:t>
      </w:r>
      <w:r>
        <w:rPr>
          <w:rFonts w:hint="eastAsia" w:ascii="宋体" w:hAnsi="宋体" w:cs="宋体"/>
          <w:color w:val="auto"/>
          <w:sz w:val="21"/>
          <w:highlight w:val="none"/>
          <w:u w:val="none"/>
        </w:rPr>
        <w:t>或</w:t>
      </w:r>
      <w:r>
        <w:rPr>
          <w:rFonts w:hint="eastAsia" w:ascii="宋体" w:hAnsi="宋体" w:cs="宋体"/>
          <w:color w:val="auto"/>
          <w:sz w:val="21"/>
          <w:highlight w:val="none"/>
          <w:u w:val="none"/>
          <w:lang w:val="en-US" w:eastAsia="zh-CN"/>
        </w:rPr>
        <w:t>加盖</w:t>
      </w:r>
      <w:r>
        <w:rPr>
          <w:rFonts w:hint="eastAsia" w:ascii="宋体" w:hAnsi="宋体" w:cs="宋体"/>
          <w:color w:val="auto"/>
          <w:sz w:val="21"/>
          <w:highlight w:val="none"/>
          <w:u w:val="none"/>
        </w:rPr>
        <w:t>签名章</w:t>
      </w:r>
      <w:r>
        <w:rPr>
          <w:rFonts w:hint="eastAsia" w:ascii="宋体" w:hAnsi="宋体" w:cs="宋体"/>
          <w:color w:val="auto"/>
          <w:highlight w:val="none"/>
          <w:lang w:eastAsia="zh-CN"/>
        </w:rPr>
        <w:t>。</w:t>
      </w:r>
      <w:r>
        <w:rPr>
          <w:rFonts w:hint="eastAsia" w:ascii="宋体" w:hAnsi="宋体" w:cs="宋体"/>
          <w:color w:val="auto"/>
          <w:highlight w:val="none"/>
        </w:rPr>
        <w:t>明确要求投标人加盖单位章之处，必须加盖单位章。其中，投标函、调价函及对投标文件的澄清和说明应加盖投标人单位章，或由投标人的法定代表人或其委托代理人签字</w:t>
      </w:r>
      <w:r>
        <w:rPr>
          <w:rFonts w:hint="eastAsia" w:ascii="宋体" w:hAnsi="宋体" w:cs="宋体"/>
          <w:color w:val="auto"/>
          <w:sz w:val="21"/>
          <w:highlight w:val="none"/>
          <w:u w:val="none"/>
        </w:rPr>
        <w:t>或</w:t>
      </w:r>
      <w:r>
        <w:rPr>
          <w:rFonts w:hint="eastAsia" w:ascii="宋体" w:hAnsi="宋体" w:cs="宋体"/>
          <w:color w:val="auto"/>
          <w:sz w:val="21"/>
          <w:highlight w:val="none"/>
          <w:u w:val="none"/>
          <w:lang w:val="en-US" w:eastAsia="zh-CN"/>
        </w:rPr>
        <w:t>加盖</w:t>
      </w:r>
      <w:r>
        <w:rPr>
          <w:rFonts w:hint="eastAsia" w:ascii="宋体" w:hAnsi="宋体" w:cs="宋体"/>
          <w:color w:val="auto"/>
          <w:sz w:val="21"/>
          <w:highlight w:val="none"/>
          <w:u w:val="none"/>
        </w:rPr>
        <w:t>签名章</w:t>
      </w:r>
      <w:r>
        <w:rPr>
          <w:rFonts w:hint="eastAsia" w:ascii="宋体" w:hAnsi="宋体" w:cs="宋体"/>
          <w:color w:val="auto"/>
          <w:highlight w:val="none"/>
        </w:rPr>
        <w:t>。</w:t>
      </w:r>
    </w:p>
    <w:p w14:paraId="213068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如果投标文件由委托代理人签署，则投标人须提交授权委托书，授权委托书应按</w:t>
      </w:r>
      <w:r>
        <w:rPr>
          <w:rFonts w:hint="eastAsia" w:ascii="宋体" w:hAnsi="宋体" w:cs="宋体"/>
          <w:color w:val="auto"/>
          <w:highlight w:val="none"/>
          <w:lang w:eastAsia="zh-CN"/>
        </w:rPr>
        <w:t>第六章</w:t>
      </w:r>
      <w:r>
        <w:rPr>
          <w:rFonts w:hint="eastAsia" w:ascii="宋体" w:hAnsi="宋体" w:cs="宋体"/>
          <w:color w:val="auto"/>
          <w:highlight w:val="none"/>
        </w:rPr>
        <w:t>“投标文件格式”的要求出具，并由法定代表人和委托代理人亲笔签名</w:t>
      </w:r>
      <w:r>
        <w:rPr>
          <w:rFonts w:hint="eastAsia" w:ascii="宋体" w:hAnsi="宋体" w:cs="宋体"/>
          <w:color w:val="auto"/>
          <w:sz w:val="21"/>
          <w:highlight w:val="none"/>
          <w:u w:val="none"/>
        </w:rPr>
        <w:t>或</w:t>
      </w:r>
      <w:r>
        <w:rPr>
          <w:rFonts w:hint="eastAsia" w:ascii="宋体" w:hAnsi="宋体" w:cs="宋体"/>
          <w:color w:val="auto"/>
          <w:sz w:val="21"/>
          <w:highlight w:val="none"/>
          <w:u w:val="none"/>
          <w:lang w:val="en-US" w:eastAsia="zh-CN"/>
        </w:rPr>
        <w:t>加盖</w:t>
      </w:r>
      <w:r>
        <w:rPr>
          <w:rFonts w:hint="eastAsia" w:ascii="宋体" w:hAnsi="宋体" w:cs="宋体"/>
          <w:color w:val="auto"/>
          <w:sz w:val="21"/>
          <w:highlight w:val="none"/>
          <w:u w:val="none"/>
        </w:rPr>
        <w:t>签名章</w:t>
      </w:r>
      <w:r>
        <w:rPr>
          <w:rFonts w:hint="eastAsia" w:ascii="宋体" w:hAnsi="宋体" w:cs="宋体"/>
          <w:color w:val="auto"/>
          <w:highlight w:val="none"/>
        </w:rPr>
        <w:t>。</w:t>
      </w:r>
    </w:p>
    <w:p w14:paraId="568DFD3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如果由投标人的法定代表人亲自签署投标文件，则投标人须提交法定代表人身份证明，身份证明应符合</w:t>
      </w:r>
      <w:r>
        <w:rPr>
          <w:rFonts w:hint="eastAsia" w:ascii="宋体" w:hAnsi="宋体" w:cs="宋体"/>
          <w:color w:val="auto"/>
          <w:highlight w:val="none"/>
          <w:lang w:eastAsia="zh-CN"/>
        </w:rPr>
        <w:t>第六章</w:t>
      </w:r>
      <w:r>
        <w:rPr>
          <w:rFonts w:hint="eastAsia" w:ascii="宋体" w:hAnsi="宋体" w:cs="宋体"/>
          <w:color w:val="auto"/>
          <w:highlight w:val="none"/>
        </w:rPr>
        <w:t>“投标文件格式”的要求。</w:t>
      </w:r>
    </w:p>
    <w:p w14:paraId="3D6E2B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14:paraId="5C5998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投标文件应尽量避免涂改、行间插字或删除。如果出现上述情况，改动之处应由投标人的法定代表人或其授权的代理人签字</w:t>
      </w:r>
      <w:r>
        <w:rPr>
          <w:rFonts w:hint="eastAsia" w:ascii="宋体" w:hAnsi="宋体" w:cs="宋体"/>
          <w:color w:val="auto"/>
          <w:sz w:val="21"/>
          <w:highlight w:val="none"/>
          <w:u w:val="none"/>
        </w:rPr>
        <w:t>或</w:t>
      </w:r>
      <w:r>
        <w:rPr>
          <w:rFonts w:hint="eastAsia" w:ascii="宋体" w:hAnsi="宋体" w:cs="宋体"/>
          <w:color w:val="auto"/>
          <w:sz w:val="21"/>
          <w:highlight w:val="none"/>
          <w:u w:val="none"/>
          <w:lang w:val="en-US" w:eastAsia="zh-CN"/>
        </w:rPr>
        <w:t>加盖</w:t>
      </w:r>
      <w:r>
        <w:rPr>
          <w:rFonts w:hint="eastAsia" w:ascii="宋体" w:hAnsi="宋体" w:cs="宋体"/>
          <w:color w:val="auto"/>
          <w:sz w:val="21"/>
          <w:highlight w:val="none"/>
          <w:u w:val="none"/>
        </w:rPr>
        <w:t>签名章</w:t>
      </w:r>
      <w:r>
        <w:rPr>
          <w:rFonts w:hint="eastAsia" w:ascii="宋体" w:hAnsi="宋体" w:cs="宋体"/>
          <w:color w:val="auto"/>
          <w:highlight w:val="none"/>
        </w:rPr>
        <w:t>或盖单位章。</w:t>
      </w:r>
    </w:p>
    <w:p w14:paraId="1D5BFAF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3.7.4 投标文件正本一份， 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498AAA1F">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3.7.5 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14:paraId="68BA4396">
      <w:pPr>
        <w:pStyle w:val="3"/>
        <w:spacing w:before="0" w:after="0" w:line="360" w:lineRule="auto"/>
        <w:ind w:firstLine="420" w:firstLineChars="200"/>
        <w:rPr>
          <w:rFonts w:ascii="宋体" w:hAnsi="宋体" w:cs="宋体"/>
          <w:b w:val="0"/>
          <w:color w:val="auto"/>
          <w:sz w:val="21"/>
          <w:szCs w:val="21"/>
          <w:highlight w:val="none"/>
        </w:rPr>
      </w:pPr>
      <w:bookmarkStart w:id="139" w:name="_Toc234832897"/>
      <w:bookmarkStart w:id="140" w:name="_Toc517787531"/>
      <w:r>
        <w:rPr>
          <w:rFonts w:hint="eastAsia" w:ascii="宋体" w:hAnsi="宋体" w:cs="宋体"/>
          <w:b w:val="0"/>
          <w:color w:val="auto"/>
          <w:sz w:val="21"/>
          <w:szCs w:val="21"/>
          <w:highlight w:val="none"/>
        </w:rPr>
        <w:t>4. 投标</w:t>
      </w:r>
      <w:bookmarkEnd w:id="139"/>
      <w:bookmarkEnd w:id="140"/>
      <w:r>
        <w:rPr>
          <w:rFonts w:hint="eastAsia" w:ascii="宋体" w:hAnsi="宋体" w:cs="宋体"/>
          <w:b w:val="0"/>
          <w:color w:val="auto"/>
          <w:sz w:val="21"/>
          <w:szCs w:val="21"/>
          <w:highlight w:val="none"/>
        </w:rPr>
        <w:tab/>
      </w:r>
    </w:p>
    <w:p w14:paraId="57B2478A">
      <w:pPr>
        <w:pStyle w:val="3"/>
        <w:spacing w:before="0" w:after="0" w:line="360" w:lineRule="auto"/>
        <w:ind w:firstLine="420" w:firstLineChars="200"/>
        <w:rPr>
          <w:rFonts w:ascii="宋体" w:hAnsi="宋体" w:cs="宋体"/>
          <w:b w:val="0"/>
          <w:color w:val="auto"/>
          <w:sz w:val="21"/>
          <w:szCs w:val="21"/>
          <w:highlight w:val="none"/>
        </w:rPr>
      </w:pPr>
      <w:bookmarkStart w:id="141" w:name="_Toc234832898"/>
      <w:bookmarkStart w:id="142" w:name="_Toc517787532"/>
      <w:r>
        <w:rPr>
          <w:rFonts w:hint="eastAsia" w:ascii="宋体" w:hAnsi="宋体" w:cs="宋体"/>
          <w:b w:val="0"/>
          <w:color w:val="auto"/>
          <w:sz w:val="21"/>
          <w:szCs w:val="21"/>
          <w:highlight w:val="none"/>
        </w:rPr>
        <w:t>4.1 投标文件的密封和标识</w:t>
      </w:r>
      <w:bookmarkEnd w:id="141"/>
      <w:bookmarkEnd w:id="142"/>
    </w:p>
    <w:p w14:paraId="3FD02916">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4.1.1 投标文件应采用双信封形式密封。投标文件第一个信封（</w:t>
      </w:r>
      <w:r>
        <w:rPr>
          <w:rFonts w:hint="eastAsia" w:hAnsi="宋体"/>
          <w:color w:val="auto"/>
          <w:sz w:val="21"/>
          <w:szCs w:val="21"/>
          <w:highlight w:val="none"/>
          <w:lang w:val="en-US" w:eastAsia="zh-CN"/>
        </w:rPr>
        <w:t>资格审查</w:t>
      </w:r>
      <w:r>
        <w:rPr>
          <w:rFonts w:hint="eastAsia" w:hAnsi="宋体"/>
          <w:color w:val="auto"/>
          <w:sz w:val="21"/>
          <w:szCs w:val="21"/>
          <w:highlight w:val="none"/>
        </w:rPr>
        <w:t>文件）以及第二个信封（报价文件）应单独密封包装。</w:t>
      </w:r>
      <w:r>
        <w:rPr>
          <w:rFonts w:hint="eastAsia" w:hAnsi="宋体"/>
          <w:color w:val="auto"/>
          <w:sz w:val="21"/>
          <w:szCs w:val="21"/>
          <w:highlight w:val="none"/>
          <w:lang w:val="en-US" w:eastAsia="zh-CN"/>
        </w:rPr>
        <w:t>资格审查</w:t>
      </w:r>
      <w:r>
        <w:rPr>
          <w:rFonts w:hint="eastAsia" w:hAnsi="宋体"/>
          <w:color w:val="auto"/>
          <w:sz w:val="21"/>
          <w:szCs w:val="21"/>
          <w:highlight w:val="none"/>
        </w:rPr>
        <w:t>文件的正本与副本应统一密封在一个封套中。报价文件的正本与副本应统一密封在另一个封套中。</w:t>
      </w:r>
      <w:r>
        <w:rPr>
          <w:rFonts w:hint="eastAsia" w:hAnsi="宋体"/>
          <w:color w:val="auto"/>
          <w:sz w:val="21"/>
          <w:szCs w:val="21"/>
          <w:highlight w:val="none"/>
          <w:lang w:val="en-US" w:eastAsia="zh-CN"/>
        </w:rPr>
        <w:t>封套上</w:t>
      </w:r>
      <w:r>
        <w:rPr>
          <w:rFonts w:hint="eastAsia" w:hAnsi="宋体"/>
          <w:color w:val="auto"/>
          <w:sz w:val="21"/>
          <w:szCs w:val="21"/>
          <w:highlight w:val="none"/>
        </w:rPr>
        <w:t xml:space="preserve">加盖投标人单位章。 </w:t>
      </w:r>
    </w:p>
    <w:p w14:paraId="7235CCC1">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4.1.2 投标文件第一个信封（</w:t>
      </w:r>
      <w:r>
        <w:rPr>
          <w:rFonts w:hint="eastAsia" w:hAnsi="宋体"/>
          <w:color w:val="auto"/>
          <w:sz w:val="21"/>
          <w:szCs w:val="21"/>
          <w:highlight w:val="none"/>
          <w:lang w:eastAsia="zh-CN"/>
        </w:rPr>
        <w:t>资格审查文件</w:t>
      </w:r>
      <w:r>
        <w:rPr>
          <w:rFonts w:hint="eastAsia" w:hAnsi="宋体"/>
          <w:color w:val="auto"/>
          <w:sz w:val="21"/>
          <w:szCs w:val="21"/>
          <w:highlight w:val="none"/>
        </w:rPr>
        <w:t>）、第二个信封（报价文件）封套上应写明的内容见投标人须知前附表。</w:t>
      </w:r>
    </w:p>
    <w:p w14:paraId="7C6612D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4.1.3 未按本章第4.1.1项要求密封的投标文件，招标人将予以拒收。</w:t>
      </w:r>
    </w:p>
    <w:p w14:paraId="243BA5A5">
      <w:pPr>
        <w:pStyle w:val="3"/>
        <w:spacing w:before="0" w:after="0" w:line="360" w:lineRule="auto"/>
        <w:ind w:firstLine="420" w:firstLineChars="200"/>
        <w:rPr>
          <w:rFonts w:ascii="宋体" w:hAnsi="宋体" w:cs="宋体"/>
          <w:b w:val="0"/>
          <w:color w:val="auto"/>
          <w:sz w:val="21"/>
          <w:szCs w:val="21"/>
          <w:highlight w:val="none"/>
        </w:rPr>
      </w:pPr>
      <w:bookmarkStart w:id="143" w:name="_Toc517787533"/>
      <w:bookmarkStart w:id="144" w:name="_Toc234832899"/>
      <w:r>
        <w:rPr>
          <w:rFonts w:hint="eastAsia" w:ascii="宋体" w:hAnsi="宋体" w:cs="宋体"/>
          <w:b w:val="0"/>
          <w:color w:val="auto"/>
          <w:sz w:val="21"/>
          <w:szCs w:val="21"/>
          <w:highlight w:val="none"/>
        </w:rPr>
        <w:t>4.2</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 xml:space="preserve"> 投标文件的递交</w:t>
      </w:r>
      <w:bookmarkEnd w:id="143"/>
      <w:bookmarkEnd w:id="144"/>
    </w:p>
    <w:p w14:paraId="4220B3D9">
      <w:pPr>
        <w:pStyle w:val="9"/>
        <w:topLinePunct/>
        <w:spacing w:line="360" w:lineRule="auto"/>
        <w:ind w:firstLine="420" w:firstLineChars="200"/>
        <w:rPr>
          <w:rFonts w:hAnsi="宋体"/>
          <w:color w:val="auto"/>
          <w:sz w:val="21"/>
          <w:szCs w:val="21"/>
          <w:highlight w:val="none"/>
        </w:rPr>
      </w:pPr>
      <w:r>
        <w:rPr>
          <w:rFonts w:hint="eastAsia" w:hAnsi="宋体"/>
          <w:color w:val="auto"/>
          <w:sz w:val="21"/>
          <w:szCs w:val="21"/>
          <w:highlight w:val="none"/>
        </w:rPr>
        <w:t>4.2.1 投标人应在第一章“招标公告”规定的投标截止时间前递交投标文件。</w:t>
      </w:r>
    </w:p>
    <w:p w14:paraId="0FC4D2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4.2.2 投标人递交投标文件的地点：见第一章“招标公告”。</w:t>
      </w:r>
    </w:p>
    <w:p w14:paraId="20D175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4.2.3 除投标人须知前附表另有规定外，投标人所递交的投标文件不予退还。投标人少于3个的，投标文件当场退还给投标人。</w:t>
      </w:r>
    </w:p>
    <w:p w14:paraId="764FDF6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4.2.4 招标人收到投标文件后，向投标人出具签收凭证。</w:t>
      </w:r>
    </w:p>
    <w:p w14:paraId="328A22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4.2.5 逾期送达的或未送达指定地点的投标文件，招标人将予以拒收。</w:t>
      </w:r>
    </w:p>
    <w:p w14:paraId="61A3FA83">
      <w:pPr>
        <w:pStyle w:val="3"/>
        <w:spacing w:before="0" w:after="0" w:line="360" w:lineRule="auto"/>
        <w:ind w:firstLine="420" w:firstLineChars="200"/>
        <w:rPr>
          <w:rFonts w:ascii="宋体" w:hAnsi="宋体" w:cs="宋体"/>
          <w:b w:val="0"/>
          <w:color w:val="auto"/>
          <w:sz w:val="21"/>
          <w:szCs w:val="21"/>
          <w:highlight w:val="none"/>
        </w:rPr>
      </w:pPr>
      <w:bookmarkStart w:id="145" w:name="_Toc517787534"/>
      <w:bookmarkStart w:id="146" w:name="_Toc234832900"/>
      <w:r>
        <w:rPr>
          <w:rFonts w:hint="eastAsia" w:ascii="宋体" w:hAnsi="宋体" w:cs="宋体"/>
          <w:b w:val="0"/>
          <w:color w:val="auto"/>
          <w:sz w:val="21"/>
          <w:szCs w:val="21"/>
          <w:highlight w:val="none"/>
        </w:rPr>
        <w:t>4.3 投标文件的修改与撤回</w:t>
      </w:r>
      <w:bookmarkEnd w:id="145"/>
      <w:bookmarkEnd w:id="146"/>
    </w:p>
    <w:p w14:paraId="32E6C7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4.3.1 在本章第4.2.1项规定的投标截止时间前，投标人可以修改或撤回已递交的投标文件，但应以书面形式通知招标人。</w:t>
      </w:r>
    </w:p>
    <w:p w14:paraId="7D6B7B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4.3.2 投标人修改或撤回已递交投标文件的书面通知应按照本章第3.7.3项的要求签字或盖章。招标人收到书面通知后，向投标人出具签收凭证。</w:t>
      </w:r>
    </w:p>
    <w:p w14:paraId="002A8F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4.3.3 投标人撤回投标文件的，招标人自收到投标人书面撤回通知之日起5日内退还已收取的投标保证金。</w:t>
      </w:r>
    </w:p>
    <w:p w14:paraId="4DD3AA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4.3.4 修改的内容为投标文件的组成部分。修改的投标文件应按照本章第3条、第4条的规定进行编制、密封、标记和递交，并标明“修改”字样。</w:t>
      </w:r>
    </w:p>
    <w:p w14:paraId="38AD087E">
      <w:pPr>
        <w:pStyle w:val="3"/>
        <w:spacing w:before="0" w:after="0" w:line="360" w:lineRule="auto"/>
        <w:ind w:firstLine="420" w:firstLineChars="200"/>
        <w:rPr>
          <w:rFonts w:ascii="宋体" w:hAnsi="宋体" w:cs="宋体"/>
          <w:b w:val="0"/>
          <w:color w:val="auto"/>
          <w:sz w:val="21"/>
          <w:szCs w:val="21"/>
          <w:highlight w:val="none"/>
        </w:rPr>
      </w:pPr>
      <w:bookmarkStart w:id="147" w:name="_Toc234832901"/>
      <w:bookmarkStart w:id="148" w:name="_Toc517787535"/>
      <w:r>
        <w:rPr>
          <w:rFonts w:hint="eastAsia" w:ascii="宋体" w:hAnsi="宋体" w:cs="宋体"/>
          <w:b w:val="0"/>
          <w:color w:val="auto"/>
          <w:sz w:val="21"/>
          <w:szCs w:val="21"/>
          <w:highlight w:val="none"/>
        </w:rPr>
        <w:t>5. 开标</w:t>
      </w:r>
      <w:bookmarkEnd w:id="147"/>
      <w:bookmarkEnd w:id="148"/>
    </w:p>
    <w:p w14:paraId="7D7D9D98">
      <w:pPr>
        <w:pStyle w:val="3"/>
        <w:spacing w:before="0" w:after="0" w:line="360" w:lineRule="auto"/>
        <w:ind w:firstLine="420" w:firstLineChars="200"/>
        <w:rPr>
          <w:rFonts w:ascii="宋体" w:hAnsi="宋体" w:cs="宋体"/>
          <w:b w:val="0"/>
          <w:color w:val="auto"/>
          <w:sz w:val="21"/>
          <w:szCs w:val="21"/>
          <w:highlight w:val="none"/>
        </w:rPr>
      </w:pPr>
      <w:bookmarkStart w:id="149" w:name="_Toc517787536"/>
      <w:bookmarkStart w:id="150" w:name="_Toc234832902"/>
      <w:r>
        <w:rPr>
          <w:rFonts w:hint="eastAsia" w:ascii="宋体" w:hAnsi="宋体" w:cs="宋体"/>
          <w:b w:val="0"/>
          <w:color w:val="auto"/>
          <w:sz w:val="21"/>
          <w:szCs w:val="21"/>
          <w:highlight w:val="none"/>
        </w:rPr>
        <w:t>5.1 开标时间和地点</w:t>
      </w:r>
      <w:bookmarkEnd w:id="149"/>
    </w:p>
    <w:p w14:paraId="1CCE29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招标人在本章第4.2.1项规定的投标截止时间（开标时间）和投标人须知前附表规定的地点对收到的投标文件第一个信封（</w:t>
      </w:r>
      <w:r>
        <w:rPr>
          <w:rFonts w:hint="eastAsia" w:hAnsi="宋体"/>
          <w:color w:val="auto"/>
          <w:sz w:val="21"/>
          <w:szCs w:val="21"/>
          <w:highlight w:val="none"/>
          <w:lang w:val="en-US" w:eastAsia="zh-CN"/>
        </w:rPr>
        <w:t>资格审查</w:t>
      </w:r>
      <w:r>
        <w:rPr>
          <w:rFonts w:hint="eastAsia" w:hAnsi="宋体"/>
          <w:color w:val="auto"/>
          <w:sz w:val="21"/>
          <w:szCs w:val="21"/>
          <w:highlight w:val="none"/>
        </w:rPr>
        <w:t>文件</w:t>
      </w:r>
      <w:r>
        <w:rPr>
          <w:rFonts w:hint="eastAsia" w:ascii="宋体" w:hAnsi="宋体" w:cs="宋体"/>
          <w:color w:val="auto"/>
          <w:highlight w:val="none"/>
        </w:rPr>
        <w:t>）公开开标，并邀请所有投标人的法定代表人或其委托代理人准时参加。</w:t>
      </w:r>
    </w:p>
    <w:p w14:paraId="77ED2773">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招标人在投标人须知前附表规定的时间和地点对投标文件第二个信封（报价文件）公开开标，并邀请所有投标人的法定代表人或其委托代理人准时参加。</w:t>
      </w:r>
    </w:p>
    <w:p w14:paraId="33AAE90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投标人若未派法定代表人或委托代理人出席开标活动，视为该投标人默认开标结果。</w:t>
      </w:r>
    </w:p>
    <w:bookmarkEnd w:id="150"/>
    <w:p w14:paraId="04E25ED3">
      <w:pPr>
        <w:pStyle w:val="3"/>
        <w:spacing w:before="0" w:after="0" w:line="360" w:lineRule="auto"/>
        <w:ind w:firstLine="420" w:firstLineChars="200"/>
        <w:rPr>
          <w:rFonts w:ascii="宋体" w:hAnsi="宋体" w:cs="宋体"/>
          <w:b w:val="0"/>
          <w:color w:val="auto"/>
          <w:sz w:val="21"/>
          <w:szCs w:val="21"/>
          <w:highlight w:val="none"/>
        </w:rPr>
      </w:pPr>
      <w:bookmarkStart w:id="151" w:name="_Toc234832905"/>
      <w:bookmarkStart w:id="152" w:name="_Toc517787537"/>
      <w:r>
        <w:rPr>
          <w:rFonts w:hint="eastAsia" w:ascii="宋体" w:hAnsi="宋体" w:cs="宋体"/>
          <w:b w:val="0"/>
          <w:color w:val="auto"/>
          <w:sz w:val="21"/>
          <w:szCs w:val="21"/>
          <w:highlight w:val="none"/>
        </w:rPr>
        <w:t>5.2</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开标程序</w:t>
      </w:r>
      <w:bookmarkEnd w:id="151"/>
      <w:bookmarkEnd w:id="152"/>
    </w:p>
    <w:p w14:paraId="753B7F6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5.2.1 主持人按下列程序对投标文件第一个信封（</w:t>
      </w:r>
      <w:r>
        <w:rPr>
          <w:rFonts w:hint="eastAsia" w:hAnsi="宋体"/>
          <w:color w:val="auto"/>
          <w:sz w:val="21"/>
          <w:szCs w:val="21"/>
          <w:highlight w:val="none"/>
          <w:lang w:val="en-US" w:eastAsia="zh-CN"/>
        </w:rPr>
        <w:t>资格审查</w:t>
      </w:r>
      <w:r>
        <w:rPr>
          <w:rFonts w:hint="eastAsia" w:hAnsi="宋体"/>
          <w:color w:val="auto"/>
          <w:sz w:val="21"/>
          <w:szCs w:val="21"/>
          <w:highlight w:val="none"/>
        </w:rPr>
        <w:t>文件</w:t>
      </w:r>
      <w:r>
        <w:rPr>
          <w:rFonts w:hint="eastAsia" w:ascii="宋体" w:hAnsi="宋体" w:cs="宋体"/>
          <w:color w:val="auto"/>
          <w:highlight w:val="none"/>
        </w:rPr>
        <w:t>）进行开标：</w:t>
      </w:r>
    </w:p>
    <w:p w14:paraId="309011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（1）宣布开标纪律；</w:t>
      </w:r>
    </w:p>
    <w:p w14:paraId="2A17DE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（2）公布在投标截止时间前递交投标文件的投标人数量；</w:t>
      </w:r>
    </w:p>
    <w:p w14:paraId="322DF8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）由投标人推选的代表或公证机构（如果有）代表检查第一个信封和第二个信封投标文件的密封情况，仅检查两个信封投标文件是否存在提前开启情况；</w:t>
      </w:r>
    </w:p>
    <w:p w14:paraId="2B01F2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）按照随机顺序当众开标，公布标段名称、投标人名称的递交情况、工期及其他内容，并记录在案；</w:t>
      </w:r>
    </w:p>
    <w:p w14:paraId="3EFF70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）由投标人、招标人、招标代理机构或公证机构代表（如果有）抽取参与计算平均值的评标基准价系数（如果有）；</w:t>
      </w:r>
    </w:p>
    <w:p w14:paraId="1F5ABB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）投标人代表、招标人代表、记录人等有关人员在开标记录上签字确认；</w:t>
      </w:r>
    </w:p>
    <w:p w14:paraId="6DFBD2E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）开标结束。</w:t>
      </w:r>
    </w:p>
    <w:p w14:paraId="6ADD281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5.2.2 在投标文件第一个信封（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）开标现场，投标文件第二个信封（报价文件）不予开封，由招标人密封保存。</w:t>
      </w:r>
    </w:p>
    <w:p w14:paraId="193072A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5.2.3 招标人将按照本章第5.1款规定的时间和地点对投标文件第二个信封（报价文件）进行开标。主持人按下列程序进行开标：</w:t>
      </w:r>
    </w:p>
    <w:p w14:paraId="5ED5501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（1）宣布开标纪律；</w:t>
      </w:r>
    </w:p>
    <w:p w14:paraId="45D7E36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（2）当众宣布通过投标文件第一个信封（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）评审的投标人名单；</w:t>
      </w:r>
    </w:p>
    <w:p w14:paraId="5D34BD1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）由通过投标文件第一个信封（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）评审的投标人推选的代表或公证机构（如果有）代表检查第二个信封（报价文件）的密封情况，仅检查报价文件是否存在提前开启情况；</w:t>
      </w:r>
    </w:p>
    <w:p w14:paraId="1434CB4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）按照随机顺序当众开标，开标人拆封所有通过第一个信封（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）评审的投标文件第二个信封（报价文件），公布标段名称、投标人名称、投标报价及其他内容，并记录在案；</w:t>
      </w:r>
    </w:p>
    <w:p w14:paraId="4382169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）计算并宣布评标基准价；</w:t>
      </w:r>
    </w:p>
    <w:p w14:paraId="1F675A2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）投标人代表、招标人代表、记录人等有关人员在开标记录上签字确认；</w:t>
      </w:r>
    </w:p>
    <w:p w14:paraId="2F9B92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）将未通过投标文件第一个信封（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）评审的投标文件第二个信封（报价文件）退还给投标人；</w:t>
      </w:r>
    </w:p>
    <w:p w14:paraId="307F3B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）开标结束。</w:t>
      </w:r>
    </w:p>
    <w:p w14:paraId="4BDE60E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5.2.4 在投标文件第二个信封（报价文件）开标现场，招标人将按第三章“评标办法”规定的原则计算并宣布评标基准价。若招标人发现投标文件出现以下任一情况，其投标报价将不再参加评标基准价的计算：</w:t>
      </w:r>
    </w:p>
    <w:p w14:paraId="1174AC7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（1）未在投标函上填写投标总价；</w:t>
      </w:r>
    </w:p>
    <w:p w14:paraId="50A9825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（2）投标报价中的报价超出招标人公布的最高投标限价（如有）；</w:t>
      </w:r>
    </w:p>
    <w:p w14:paraId="290200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（3）投标报价中报价的大写金额无法确定具体数值；</w:t>
      </w:r>
    </w:p>
    <w:p w14:paraId="19242FE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（4）投标函上填写的项目名称及标段号与投标文件封套上标记的项目名称及标段号不一致。</w:t>
      </w:r>
    </w:p>
    <w:p w14:paraId="76D2582A">
      <w:pPr>
        <w:widowControl/>
        <w:spacing w:line="360" w:lineRule="auto"/>
        <w:ind w:left="0" w:leftChars="0" w:right="0" w:rightChars="0" w:firstLine="420" w:firstLineChars="200"/>
        <w:jc w:val="left"/>
        <w:rPr>
          <w:rFonts w:hint="eastAsia" w:ascii="宋体" w:hAnsi="宋体" w:eastAsia="宋体" w:cs="宋体"/>
          <w:b w:val="0"/>
          <w:color w:val="auto"/>
          <w:kern w:val="2"/>
          <w:szCs w:val="21"/>
          <w:highlight w:val="none"/>
          <w:lang w:val="zh-CN"/>
        </w:rPr>
      </w:pPr>
      <w:r>
        <w:rPr>
          <w:rFonts w:hint="eastAsia" w:ascii="宋体" w:hAnsi="宋体" w:eastAsia="宋体" w:cs="宋体"/>
          <w:b w:val="0"/>
          <w:color w:val="auto"/>
          <w:kern w:val="2"/>
          <w:szCs w:val="21"/>
          <w:highlight w:val="none"/>
          <w:lang w:val="zh-CN"/>
        </w:rPr>
        <w:t>如果投标人认为某一标段的评标基准价计算有误，有权在开标现场提出，经招标人当场核实确认之后，可重新宣布评标基准价。</w:t>
      </w:r>
      <w:r>
        <w:rPr>
          <w:rFonts w:hint="eastAsia" w:ascii="宋体" w:hAnsi="宋体" w:eastAsia="宋体" w:cs="宋体"/>
          <w:b w:val="0"/>
          <w:color w:val="auto"/>
          <w:spacing w:val="0"/>
          <w:kern w:val="2"/>
          <w:sz w:val="21"/>
          <w:szCs w:val="21"/>
          <w:highlight w:val="none"/>
          <w:lang w:val="zh-CN"/>
        </w:rPr>
        <w:t>在评标过程中，评标委员会应对招标人计算的评标基准价进行复核，存在计算错误的应予以修正并在评标报告中作出说明。除此之外，评标基准价在任何情况下（包括因</w:t>
      </w:r>
      <w:r>
        <w:rPr>
          <w:rFonts w:hint="eastAsia" w:ascii="宋体" w:hAnsi="宋体" w:eastAsia="宋体" w:cs="宋体"/>
          <w:b w:val="0"/>
          <w:color w:val="auto"/>
          <w:spacing w:val="0"/>
          <w:kern w:val="2"/>
          <w:sz w:val="21"/>
          <w:szCs w:val="21"/>
          <w:highlight w:val="none"/>
          <w:lang w:val="en-US" w:eastAsia="zh-CN"/>
        </w:rPr>
        <w:t>异议或</w:t>
      </w:r>
      <w:r>
        <w:rPr>
          <w:rFonts w:hint="eastAsia" w:ascii="宋体" w:hAnsi="宋体" w:eastAsia="宋体" w:cs="宋体"/>
          <w:b w:val="0"/>
          <w:color w:val="auto"/>
          <w:spacing w:val="0"/>
          <w:kern w:val="2"/>
          <w:sz w:val="21"/>
          <w:szCs w:val="21"/>
          <w:highlight w:val="none"/>
          <w:lang w:val="zh-CN"/>
        </w:rPr>
        <w:t>投诉或其他原因而进行的评标复议期间）都保持不变。</w:t>
      </w:r>
    </w:p>
    <w:p w14:paraId="3FB1350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5.2.5 在投标文件第一个信封（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14:paraId="106CCA59">
      <w:pPr>
        <w:pStyle w:val="3"/>
        <w:spacing w:before="0" w:after="0" w:line="360" w:lineRule="auto"/>
        <w:ind w:firstLine="420" w:firstLineChars="200"/>
        <w:rPr>
          <w:rFonts w:ascii="宋体" w:hAnsi="宋体" w:cs="宋体"/>
          <w:b w:val="0"/>
          <w:color w:val="auto"/>
          <w:sz w:val="21"/>
          <w:szCs w:val="21"/>
          <w:highlight w:val="none"/>
        </w:rPr>
      </w:pPr>
      <w:bookmarkStart w:id="153" w:name="_Toc517787538"/>
      <w:r>
        <w:rPr>
          <w:rFonts w:hint="eastAsia" w:ascii="宋体" w:hAnsi="宋体" w:cs="宋体"/>
          <w:b w:val="0"/>
          <w:color w:val="auto"/>
          <w:sz w:val="21"/>
          <w:szCs w:val="21"/>
          <w:highlight w:val="none"/>
        </w:rPr>
        <w:t>5.3</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 xml:space="preserve"> 开标异议</w:t>
      </w:r>
      <w:bookmarkEnd w:id="153"/>
    </w:p>
    <w:p w14:paraId="330DC9DC">
      <w:pPr>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投标人对开标有异议的，应在开标现场提出，招标人当场作出答复，并制作记录，有异议的投标人代表、招标人代表、记录人等有关人员在记录上签字确认。</w:t>
      </w:r>
    </w:p>
    <w:p w14:paraId="05C4A99D">
      <w:pPr>
        <w:pStyle w:val="3"/>
        <w:spacing w:before="0" w:after="0" w:line="360" w:lineRule="auto"/>
        <w:ind w:firstLine="420" w:firstLineChars="200"/>
        <w:rPr>
          <w:rFonts w:ascii="宋体" w:hAnsi="宋体" w:cs="宋体"/>
          <w:b w:val="0"/>
          <w:color w:val="auto"/>
          <w:sz w:val="21"/>
          <w:szCs w:val="21"/>
          <w:highlight w:val="none"/>
        </w:rPr>
      </w:pPr>
      <w:bookmarkStart w:id="154" w:name="_Toc234832906"/>
      <w:bookmarkStart w:id="155" w:name="_Toc517787539"/>
      <w:r>
        <w:rPr>
          <w:rFonts w:hint="eastAsia" w:ascii="宋体" w:hAnsi="宋体" w:cs="宋体"/>
          <w:b w:val="0"/>
          <w:color w:val="auto"/>
          <w:sz w:val="21"/>
          <w:szCs w:val="21"/>
          <w:highlight w:val="none"/>
        </w:rPr>
        <w:t>6. 评标</w:t>
      </w:r>
      <w:bookmarkEnd w:id="154"/>
      <w:bookmarkEnd w:id="155"/>
    </w:p>
    <w:p w14:paraId="249423E7">
      <w:pPr>
        <w:pStyle w:val="3"/>
        <w:spacing w:before="0" w:after="0" w:line="360" w:lineRule="auto"/>
        <w:ind w:firstLine="420" w:firstLineChars="200"/>
        <w:rPr>
          <w:rFonts w:ascii="宋体" w:hAnsi="宋体" w:cs="宋体"/>
          <w:b w:val="0"/>
          <w:color w:val="auto"/>
          <w:sz w:val="21"/>
          <w:szCs w:val="21"/>
          <w:highlight w:val="none"/>
        </w:rPr>
      </w:pPr>
      <w:bookmarkStart w:id="156" w:name="_Toc517787540"/>
      <w:bookmarkStart w:id="157" w:name="_Toc234832907"/>
      <w:r>
        <w:rPr>
          <w:rFonts w:hint="eastAsia" w:ascii="宋体" w:hAnsi="宋体" w:cs="宋体"/>
          <w:b w:val="0"/>
          <w:color w:val="auto"/>
          <w:sz w:val="21"/>
          <w:szCs w:val="21"/>
          <w:highlight w:val="none"/>
        </w:rPr>
        <w:t>6.1</w:t>
      </w:r>
      <w:r>
        <w:rPr>
          <w:rFonts w:hint="eastAsia" w:ascii="宋体" w:hAnsi="宋体" w:cs="宋体"/>
          <w:b w:val="0"/>
          <w:color w:val="auto"/>
          <w:sz w:val="21"/>
          <w:szCs w:val="21"/>
          <w:highlight w:val="none"/>
        </w:rPr>
        <w:tab/>
      </w:r>
      <w:r>
        <w:rPr>
          <w:rFonts w:hint="eastAsia" w:ascii="宋体" w:hAnsi="宋体" w:cs="宋体"/>
          <w:b w:val="0"/>
          <w:color w:val="auto"/>
          <w:sz w:val="21"/>
          <w:szCs w:val="21"/>
          <w:highlight w:val="none"/>
        </w:rPr>
        <w:t xml:space="preserve"> 评标委员会</w:t>
      </w:r>
      <w:bookmarkEnd w:id="156"/>
      <w:bookmarkEnd w:id="157"/>
    </w:p>
    <w:p w14:paraId="3048A72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0BCDED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6.1.2 评标委员会成员有下列情形之一的，应主动提出回避：</w:t>
      </w:r>
    </w:p>
    <w:p w14:paraId="03A93F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（1）为负责招标项目监督管理的交通运输主管部门的工作人员；</w:t>
      </w:r>
    </w:p>
    <w:p w14:paraId="6D6FD2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（2）与投标人法定代表人或其委托代理人有近亲属关系；</w:t>
      </w:r>
    </w:p>
    <w:p w14:paraId="350B10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（3）为投标人的工作人员或退休人员；</w:t>
      </w:r>
    </w:p>
    <w:p w14:paraId="73FA97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（4）与投标人有其他利害关系，可能影响评标活动公正性；</w:t>
      </w:r>
    </w:p>
    <w:p w14:paraId="7A18532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（5）在与招标投标有关的活动中有过违法违规行为、曾受过行政处罚或刑事处罚。</w:t>
      </w:r>
    </w:p>
    <w:p w14:paraId="575BE7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6.1.3 评标过程中，评标委员会成员有回避事由、擅离职守或因健康等原因不能继续评标的，招标人有权更换。被更换的评标委员会成员作出的评审结论无效，由更换后的评标委员会成员重新进行评审。</w:t>
      </w:r>
    </w:p>
    <w:p w14:paraId="444DD875">
      <w:pPr>
        <w:pStyle w:val="3"/>
        <w:spacing w:before="0" w:after="0" w:line="360" w:lineRule="auto"/>
        <w:ind w:firstLine="420" w:firstLineChars="200"/>
        <w:rPr>
          <w:rFonts w:ascii="宋体" w:hAnsi="宋体" w:cs="宋体"/>
          <w:b w:val="0"/>
          <w:color w:val="auto"/>
          <w:sz w:val="21"/>
          <w:szCs w:val="21"/>
          <w:highlight w:val="none"/>
        </w:rPr>
      </w:pPr>
      <w:bookmarkStart w:id="158" w:name="_Toc234832908"/>
      <w:bookmarkStart w:id="159" w:name="_Toc517787541"/>
      <w:r>
        <w:rPr>
          <w:rFonts w:hint="eastAsia" w:ascii="宋体" w:hAnsi="宋体" w:cs="宋体"/>
          <w:b w:val="0"/>
          <w:color w:val="auto"/>
          <w:sz w:val="21"/>
          <w:szCs w:val="21"/>
          <w:highlight w:val="none"/>
        </w:rPr>
        <w:t>6.2 评标原则</w:t>
      </w:r>
      <w:bookmarkEnd w:id="158"/>
      <w:bookmarkEnd w:id="159"/>
    </w:p>
    <w:p w14:paraId="3058684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评标活动遵循公平、公正、科学和择优的原则。</w:t>
      </w:r>
    </w:p>
    <w:p w14:paraId="2B25A705">
      <w:pPr>
        <w:pStyle w:val="3"/>
        <w:spacing w:before="0" w:after="0" w:line="360" w:lineRule="auto"/>
        <w:ind w:firstLine="420" w:firstLineChars="200"/>
        <w:rPr>
          <w:rFonts w:ascii="宋体" w:hAnsi="宋体" w:cs="宋体"/>
          <w:b w:val="0"/>
          <w:color w:val="auto"/>
          <w:sz w:val="21"/>
          <w:szCs w:val="21"/>
          <w:highlight w:val="none"/>
        </w:rPr>
      </w:pPr>
      <w:bookmarkStart w:id="160" w:name="_Toc234832909"/>
      <w:bookmarkStart w:id="161" w:name="_Toc517787542"/>
      <w:r>
        <w:rPr>
          <w:rFonts w:hint="eastAsia" w:ascii="宋体" w:hAnsi="宋体" w:cs="宋体"/>
          <w:b w:val="0"/>
          <w:color w:val="auto"/>
          <w:sz w:val="21"/>
          <w:szCs w:val="21"/>
          <w:highlight w:val="none"/>
        </w:rPr>
        <w:t>6.3 评标</w:t>
      </w:r>
      <w:bookmarkEnd w:id="160"/>
      <w:bookmarkEnd w:id="161"/>
    </w:p>
    <w:p w14:paraId="035B18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6.3.1 评标委员会按照第三章“评标办法”规定的方法、评审因素、标准和程序对投标文件进行评审。第三章“评标办法”没有规定的方法、评审因素和标准，不作为评标依据。</w:t>
      </w:r>
    </w:p>
    <w:p w14:paraId="3B5B92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6.3.2 评标完成后，评标委员会应向招标人提交书面评标报告和中标候选人名单。评标委员会推荐中标</w:t>
      </w:r>
      <w:bookmarkStart w:id="162" w:name="_Toc369531546"/>
      <w:bookmarkStart w:id="163" w:name="_Toc247513982"/>
      <w:bookmarkStart w:id="164" w:name="_Toc384308240"/>
      <w:bookmarkStart w:id="165" w:name="_Toc247527583"/>
      <w:bookmarkStart w:id="166" w:name="_Toc152045558"/>
      <w:bookmarkStart w:id="167" w:name="_Toc300834979"/>
      <w:bookmarkStart w:id="168" w:name="_Toc361508615"/>
      <w:bookmarkStart w:id="169" w:name="_Toc352691502"/>
      <w:bookmarkStart w:id="170" w:name="_Toc144974526"/>
      <w:bookmarkStart w:id="171" w:name="_Toc152042334"/>
      <w:bookmarkStart w:id="172" w:name="_Toc12259"/>
      <w:r>
        <w:rPr>
          <w:rFonts w:hint="eastAsia" w:ascii="宋体" w:hAnsi="宋体" w:cs="宋体"/>
          <w:color w:val="auto"/>
          <w:highlight w:val="none"/>
        </w:rPr>
        <w:t>候选人的人数见投标人须知前附</w:t>
      </w:r>
      <w:bookmarkEnd w:id="162"/>
      <w:bookmarkEnd w:id="163"/>
      <w:bookmarkEnd w:id="164"/>
      <w:bookmarkEnd w:id="165"/>
      <w:bookmarkEnd w:id="166"/>
      <w:bookmarkEnd w:id="167"/>
      <w:bookmarkEnd w:id="168"/>
      <w:bookmarkEnd w:id="169"/>
      <w:bookmarkEnd w:id="170"/>
      <w:bookmarkEnd w:id="171"/>
      <w:bookmarkEnd w:id="172"/>
      <w:r>
        <w:rPr>
          <w:rFonts w:hint="eastAsia" w:ascii="宋体" w:hAnsi="宋体" w:cs="宋体"/>
          <w:color w:val="auto"/>
          <w:highlight w:val="none"/>
        </w:rPr>
        <w:t>表。</w:t>
      </w:r>
    </w:p>
    <w:p w14:paraId="592873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6.3.3评标委员会应当根据《</w:t>
      </w:r>
      <w:r>
        <w:rPr>
          <w:rFonts w:hint="eastAsia" w:ascii="宋体" w:hAnsi="宋体" w:cs="宋体"/>
          <w:color w:val="auto"/>
          <w:highlight w:val="none"/>
          <w:lang w:eastAsia="zh-CN"/>
        </w:rPr>
        <w:t>中华人民共和国招标投标法实施条例</w:t>
      </w:r>
      <w:r>
        <w:rPr>
          <w:rFonts w:hint="eastAsia" w:ascii="宋体" w:hAnsi="宋体" w:cs="宋体"/>
          <w:color w:val="auto"/>
          <w:highlight w:val="none"/>
        </w:rPr>
        <w:t>》第三十九条、第四十条、第四十一条的有关规定，对在评标过程中发现的投标人与投标人之间、投标人与招标人之间存在的串通投标的情形进行评审和认定；存在串通投标情形的，评标委员会应当予以否决其投标。投标人以他人名义投标、以行贿手段谋取中标，或者投标弄虚作假的，评标委员会应当否决其投标。</w:t>
      </w:r>
    </w:p>
    <w:p w14:paraId="26D74285">
      <w:pPr>
        <w:pStyle w:val="3"/>
        <w:spacing w:before="0" w:after="0" w:line="360" w:lineRule="auto"/>
        <w:ind w:firstLine="420" w:firstLineChars="200"/>
        <w:rPr>
          <w:rFonts w:ascii="宋体" w:hAnsi="宋体" w:cs="宋体"/>
          <w:b w:val="0"/>
          <w:color w:val="auto"/>
          <w:sz w:val="21"/>
          <w:szCs w:val="21"/>
          <w:highlight w:val="none"/>
        </w:rPr>
      </w:pPr>
      <w:bookmarkStart w:id="173" w:name="_Toc517787543"/>
      <w:bookmarkStart w:id="174" w:name="_Toc234832910"/>
      <w:r>
        <w:rPr>
          <w:rFonts w:hint="eastAsia" w:ascii="宋体" w:hAnsi="宋体" w:cs="宋体"/>
          <w:b w:val="0"/>
          <w:color w:val="auto"/>
          <w:sz w:val="21"/>
          <w:szCs w:val="21"/>
          <w:highlight w:val="none"/>
        </w:rPr>
        <w:t>7. 合同授予</w:t>
      </w:r>
      <w:bookmarkEnd w:id="173"/>
      <w:bookmarkEnd w:id="174"/>
    </w:p>
    <w:p w14:paraId="6B61977B">
      <w:pPr>
        <w:pStyle w:val="3"/>
        <w:spacing w:before="0" w:after="0" w:line="360" w:lineRule="auto"/>
        <w:ind w:firstLine="420" w:firstLineChars="200"/>
        <w:rPr>
          <w:rFonts w:ascii="宋体" w:hAnsi="宋体" w:cs="宋体"/>
          <w:b w:val="0"/>
          <w:color w:val="auto"/>
          <w:sz w:val="21"/>
          <w:szCs w:val="21"/>
          <w:highlight w:val="none"/>
        </w:rPr>
      </w:pPr>
      <w:bookmarkStart w:id="175" w:name="_Toc517787544"/>
      <w:bookmarkStart w:id="176" w:name="_Toc234832911"/>
      <w:r>
        <w:rPr>
          <w:rFonts w:hint="eastAsia" w:ascii="宋体" w:hAnsi="宋体" w:cs="宋体"/>
          <w:b w:val="0"/>
          <w:color w:val="auto"/>
          <w:sz w:val="21"/>
          <w:szCs w:val="21"/>
          <w:highlight w:val="none"/>
        </w:rPr>
        <w:t>7.1 中标候选人公示</w:t>
      </w:r>
      <w:bookmarkEnd w:id="175"/>
    </w:p>
    <w:p w14:paraId="14E30E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招标人在收到评标报告之日起3日内，按照投标人须知前附表规定的公示媒介和期限公示中标候选人，公示期不得少于3日，公示内容包括：</w:t>
      </w:r>
    </w:p>
    <w:p w14:paraId="7791B08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（1）中标候选人排序、名称、投标报价；</w:t>
      </w:r>
    </w:p>
    <w:p w14:paraId="5D959B8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（2）中标候选人在投标文件中承诺的项目经理姓名；</w:t>
      </w:r>
    </w:p>
    <w:p w14:paraId="0ECCE9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）被否决投标的投标人名称、否决依据和原因；</w:t>
      </w:r>
    </w:p>
    <w:p w14:paraId="5C814D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）提出异议的渠道和方式；</w:t>
      </w:r>
    </w:p>
    <w:p w14:paraId="231256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）各投标人的最终总得分；</w:t>
      </w:r>
    </w:p>
    <w:p w14:paraId="36A80F8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6</w:t>
      </w:r>
      <w:r>
        <w:rPr>
          <w:rFonts w:hint="eastAsia" w:ascii="宋体" w:hAnsi="宋体" w:cs="宋体"/>
          <w:color w:val="auto"/>
          <w:highlight w:val="none"/>
        </w:rPr>
        <w:t>）投标人须知前附表规定公示的其他内容。</w:t>
      </w:r>
    </w:p>
    <w:p w14:paraId="2D7E0D10">
      <w:pPr>
        <w:pStyle w:val="3"/>
        <w:spacing w:before="0" w:after="0" w:line="360" w:lineRule="auto"/>
        <w:ind w:firstLine="420" w:firstLineChars="200"/>
        <w:rPr>
          <w:rFonts w:ascii="宋体" w:hAnsi="宋体" w:cs="宋体"/>
          <w:b w:val="0"/>
          <w:color w:val="auto"/>
          <w:sz w:val="21"/>
          <w:szCs w:val="21"/>
          <w:highlight w:val="none"/>
        </w:rPr>
      </w:pPr>
      <w:bookmarkStart w:id="177" w:name="_Toc517787545"/>
      <w:r>
        <w:rPr>
          <w:rFonts w:hint="eastAsia" w:ascii="宋体" w:hAnsi="宋体" w:cs="宋体"/>
          <w:b w:val="0"/>
          <w:color w:val="auto"/>
          <w:sz w:val="21"/>
          <w:szCs w:val="21"/>
          <w:highlight w:val="none"/>
        </w:rPr>
        <w:t>7.2 评标结果异议</w:t>
      </w:r>
      <w:bookmarkEnd w:id="177"/>
    </w:p>
    <w:p w14:paraId="7010E64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投标人或其他利害关系人对依法必须进行招标的项目的评标结果有异议的，应在中标候选人公示期间提出。招标人将在收到异议之日起3日内作出答复；作出答复前，将暂停招标投标活动。</w:t>
      </w:r>
    </w:p>
    <w:p w14:paraId="644B355B">
      <w:pPr>
        <w:pStyle w:val="3"/>
        <w:spacing w:before="0" w:after="0" w:line="360" w:lineRule="auto"/>
        <w:ind w:firstLine="420" w:firstLineChars="200"/>
        <w:rPr>
          <w:rFonts w:ascii="宋体" w:hAnsi="宋体" w:cs="宋体"/>
          <w:b w:val="0"/>
          <w:color w:val="auto"/>
          <w:sz w:val="21"/>
          <w:szCs w:val="21"/>
          <w:highlight w:val="none"/>
        </w:rPr>
      </w:pPr>
      <w:bookmarkStart w:id="178" w:name="_Toc517787546"/>
      <w:r>
        <w:rPr>
          <w:rFonts w:hint="eastAsia" w:ascii="宋体" w:hAnsi="宋体" w:cs="宋体"/>
          <w:b w:val="0"/>
          <w:color w:val="auto"/>
          <w:sz w:val="21"/>
          <w:szCs w:val="21"/>
          <w:highlight w:val="none"/>
        </w:rPr>
        <w:t>7.3 中标候选人履约能力审查</w:t>
      </w:r>
      <w:bookmarkEnd w:id="178"/>
    </w:p>
    <w:p w14:paraId="44A158E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26D139A0">
      <w:pPr>
        <w:pStyle w:val="3"/>
        <w:spacing w:before="0" w:after="0" w:line="360" w:lineRule="auto"/>
        <w:ind w:firstLine="420" w:firstLineChars="200"/>
        <w:rPr>
          <w:rFonts w:ascii="宋体" w:hAnsi="宋体" w:cs="宋体"/>
          <w:b w:val="0"/>
          <w:color w:val="auto"/>
          <w:sz w:val="21"/>
          <w:szCs w:val="21"/>
          <w:highlight w:val="none"/>
        </w:rPr>
      </w:pPr>
      <w:bookmarkStart w:id="179" w:name="_Toc517787547"/>
      <w:r>
        <w:rPr>
          <w:rFonts w:hint="eastAsia" w:ascii="宋体" w:hAnsi="宋体" w:cs="宋体"/>
          <w:b w:val="0"/>
          <w:color w:val="auto"/>
          <w:sz w:val="21"/>
          <w:szCs w:val="21"/>
          <w:highlight w:val="none"/>
        </w:rPr>
        <w:t>7.4 定标</w:t>
      </w:r>
      <w:bookmarkEnd w:id="176"/>
      <w:bookmarkEnd w:id="179"/>
    </w:p>
    <w:p w14:paraId="0DC97E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按照投标人须知前附表的规定，招标人或招标人授权的评标委员会依法确定中标人。</w:t>
      </w:r>
    </w:p>
    <w:p w14:paraId="4E6449BB">
      <w:pPr>
        <w:pStyle w:val="3"/>
        <w:spacing w:before="0" w:after="0" w:line="360" w:lineRule="auto"/>
        <w:ind w:firstLine="420" w:firstLineChars="200"/>
        <w:rPr>
          <w:rFonts w:ascii="宋体" w:hAnsi="宋体" w:cs="宋体"/>
          <w:b w:val="0"/>
          <w:color w:val="auto"/>
          <w:sz w:val="21"/>
          <w:szCs w:val="21"/>
          <w:highlight w:val="none"/>
        </w:rPr>
      </w:pPr>
      <w:bookmarkStart w:id="180" w:name="_Toc234832912"/>
      <w:bookmarkStart w:id="181" w:name="_Toc517787548"/>
      <w:r>
        <w:rPr>
          <w:rFonts w:hint="eastAsia" w:ascii="宋体" w:hAnsi="宋体" w:cs="宋体"/>
          <w:b w:val="0"/>
          <w:color w:val="auto"/>
          <w:sz w:val="21"/>
          <w:szCs w:val="21"/>
          <w:highlight w:val="none"/>
        </w:rPr>
        <w:t>7.5 中标通知</w:t>
      </w:r>
      <w:bookmarkEnd w:id="180"/>
      <w:bookmarkEnd w:id="181"/>
    </w:p>
    <w:p w14:paraId="5325D2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在本章第3.3款规定的投标有效期内，招标人以投标人须知前附表规定的形式向中标人发出中标通知书，同时将中标结果通知未中标的投标人。</w:t>
      </w:r>
    </w:p>
    <w:p w14:paraId="5CE8F1E5">
      <w:pPr>
        <w:pStyle w:val="3"/>
        <w:spacing w:before="0" w:after="0" w:line="360" w:lineRule="auto"/>
        <w:ind w:firstLine="420" w:firstLineChars="200"/>
        <w:rPr>
          <w:rFonts w:ascii="宋体" w:hAnsi="宋体" w:cs="宋体"/>
          <w:b w:val="0"/>
          <w:color w:val="auto"/>
          <w:sz w:val="21"/>
          <w:szCs w:val="21"/>
          <w:highlight w:val="none"/>
        </w:rPr>
      </w:pPr>
      <w:bookmarkStart w:id="182" w:name="_Toc234832913"/>
      <w:bookmarkStart w:id="183" w:name="_Toc517787550"/>
      <w:r>
        <w:rPr>
          <w:rFonts w:hint="eastAsia" w:ascii="宋体" w:hAnsi="宋体" w:cs="宋体"/>
          <w:b w:val="0"/>
          <w:color w:val="auto"/>
          <w:sz w:val="21"/>
          <w:szCs w:val="21"/>
          <w:highlight w:val="none"/>
        </w:rPr>
        <w:t>7.6履约</w:t>
      </w:r>
      <w:bookmarkEnd w:id="182"/>
      <w:r>
        <w:rPr>
          <w:rFonts w:hint="eastAsia" w:ascii="宋体" w:hAnsi="宋体" w:cs="宋体"/>
          <w:b w:val="0"/>
          <w:color w:val="auto"/>
          <w:sz w:val="21"/>
          <w:szCs w:val="21"/>
          <w:highlight w:val="none"/>
        </w:rPr>
        <w:t>保证金</w:t>
      </w:r>
      <w:bookmarkEnd w:id="183"/>
    </w:p>
    <w:p w14:paraId="708E04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7.6.1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5%。联合体中标的，其履约保证金以联合体各方或联合体中牵头人的名义提交。</w:t>
      </w:r>
    </w:p>
    <w:p w14:paraId="613F90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采用银行保函时，应由符合投标人须知前附表规定级别的银行开具，所需的费用由中标人承担，中标人应保证银行保函有效。</w:t>
      </w:r>
    </w:p>
    <w:p w14:paraId="34E12F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7.6.2 中标人不能按本章第7.7.1项要求提交履约保证金的，视为放弃中标，其投标保证金不予退还，给招标人造成的损失超过投标保证金数额的，中标人还应对超过部分予以赔偿。</w:t>
      </w:r>
    </w:p>
    <w:p w14:paraId="45D31BCD">
      <w:pPr>
        <w:pStyle w:val="3"/>
        <w:spacing w:before="0" w:after="0" w:line="360" w:lineRule="auto"/>
        <w:ind w:firstLine="420" w:firstLineChars="200"/>
        <w:rPr>
          <w:rFonts w:ascii="宋体" w:hAnsi="宋体" w:cs="宋体"/>
          <w:b w:val="0"/>
          <w:color w:val="auto"/>
          <w:sz w:val="21"/>
          <w:szCs w:val="21"/>
          <w:highlight w:val="none"/>
        </w:rPr>
      </w:pPr>
      <w:bookmarkStart w:id="184" w:name="_Toc517787551"/>
      <w:bookmarkStart w:id="185" w:name="_Toc234832914"/>
      <w:r>
        <w:rPr>
          <w:rFonts w:hint="eastAsia" w:ascii="宋体" w:hAnsi="宋体" w:cs="宋体"/>
          <w:b w:val="0"/>
          <w:color w:val="auto"/>
          <w:sz w:val="21"/>
          <w:szCs w:val="21"/>
          <w:highlight w:val="none"/>
        </w:rPr>
        <w:t>7.7 签订合同</w:t>
      </w:r>
      <w:bookmarkEnd w:id="184"/>
      <w:bookmarkEnd w:id="185"/>
    </w:p>
    <w:p w14:paraId="3675FAB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7.7.1 招标人和中标人应在中标通知书发出之日起30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 </w:t>
      </w:r>
    </w:p>
    <w:p w14:paraId="0D8C5D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7.7.2 发出中标通知书后，招标人无正当理由拒签合同，或在签订合同时向中标人提出附加条件的，招标人向中标人退还投标保证金；给中标人造成损失的，还应赔偿损失。</w:t>
      </w:r>
    </w:p>
    <w:p w14:paraId="29D7EE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7.7.3 签约合同价为中标人的投标文件中投标函大写金额报价。</w:t>
      </w:r>
    </w:p>
    <w:p w14:paraId="6E68B77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7.7.4 联合体中标的，联合体各方应共同与招标人签订合同，就中标项目向招标人承担连带责任。</w:t>
      </w:r>
    </w:p>
    <w:p w14:paraId="4805852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7.7.5 招标人和中标人在签订合同协议书的同时，须按照本招标文件规定的格式和要求签订廉政合同及安全生产合同，明确双方在廉政建设和安全生产方面的权利和义务以及应承担的违约责任。</w:t>
      </w:r>
    </w:p>
    <w:p w14:paraId="2F83DB80">
      <w:pPr>
        <w:pStyle w:val="3"/>
        <w:spacing w:before="0" w:after="0" w:line="360" w:lineRule="auto"/>
        <w:ind w:firstLine="420" w:firstLineChars="200"/>
        <w:rPr>
          <w:rFonts w:ascii="宋体" w:hAnsi="宋体" w:cs="宋体"/>
          <w:b w:val="0"/>
          <w:color w:val="auto"/>
          <w:sz w:val="21"/>
          <w:szCs w:val="21"/>
          <w:highlight w:val="none"/>
        </w:rPr>
      </w:pPr>
      <w:bookmarkStart w:id="186" w:name="_Toc517787552"/>
      <w:bookmarkStart w:id="187" w:name="_Toc234832918"/>
      <w:r>
        <w:rPr>
          <w:rFonts w:hint="eastAsia" w:ascii="宋体" w:hAnsi="宋体" w:cs="宋体"/>
          <w:b w:val="0"/>
          <w:color w:val="auto"/>
          <w:sz w:val="21"/>
          <w:szCs w:val="21"/>
          <w:highlight w:val="none"/>
        </w:rPr>
        <w:t>8. 纪律和监督</w:t>
      </w:r>
      <w:bookmarkEnd w:id="186"/>
      <w:bookmarkEnd w:id="187"/>
    </w:p>
    <w:p w14:paraId="11AB8B2E">
      <w:pPr>
        <w:pStyle w:val="3"/>
        <w:spacing w:before="0" w:after="0" w:line="360" w:lineRule="auto"/>
        <w:ind w:firstLine="420" w:firstLineChars="200"/>
        <w:rPr>
          <w:rFonts w:ascii="宋体" w:hAnsi="宋体" w:cs="宋体"/>
          <w:b w:val="0"/>
          <w:color w:val="auto"/>
          <w:sz w:val="21"/>
          <w:szCs w:val="21"/>
          <w:highlight w:val="none"/>
        </w:rPr>
      </w:pPr>
      <w:bookmarkStart w:id="188" w:name="_Toc517787553"/>
      <w:bookmarkStart w:id="189" w:name="_Toc234832919"/>
      <w:r>
        <w:rPr>
          <w:rFonts w:hint="eastAsia" w:ascii="宋体" w:hAnsi="宋体" w:cs="宋体"/>
          <w:b w:val="0"/>
          <w:color w:val="auto"/>
          <w:sz w:val="21"/>
          <w:szCs w:val="21"/>
          <w:highlight w:val="none"/>
        </w:rPr>
        <w:t>8.1 对招标人的纪律要求</w:t>
      </w:r>
      <w:bookmarkEnd w:id="188"/>
      <w:bookmarkEnd w:id="189"/>
    </w:p>
    <w:p w14:paraId="298BF9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招标人不得泄露招标投标活动中应保密的情况和资料，不得与投标人串通损害国家利益、社会公共利益或他人合法权益。</w:t>
      </w:r>
    </w:p>
    <w:p w14:paraId="57CC6706">
      <w:pPr>
        <w:pStyle w:val="3"/>
        <w:spacing w:before="0" w:after="0" w:line="360" w:lineRule="auto"/>
        <w:ind w:firstLine="420" w:firstLineChars="200"/>
        <w:rPr>
          <w:rFonts w:ascii="宋体" w:hAnsi="宋体" w:cs="宋体"/>
          <w:b w:val="0"/>
          <w:color w:val="auto"/>
          <w:sz w:val="21"/>
          <w:szCs w:val="21"/>
          <w:highlight w:val="none"/>
        </w:rPr>
      </w:pPr>
      <w:bookmarkStart w:id="190" w:name="_Toc517787554"/>
      <w:bookmarkStart w:id="191" w:name="_Toc234832920"/>
      <w:r>
        <w:rPr>
          <w:rFonts w:hint="eastAsia" w:ascii="宋体" w:hAnsi="宋体" w:cs="宋体"/>
          <w:b w:val="0"/>
          <w:color w:val="auto"/>
          <w:sz w:val="21"/>
          <w:szCs w:val="21"/>
          <w:highlight w:val="none"/>
        </w:rPr>
        <w:t>8.2 对投标人的纪律要求</w:t>
      </w:r>
      <w:bookmarkEnd w:id="190"/>
      <w:bookmarkEnd w:id="191"/>
    </w:p>
    <w:p w14:paraId="18C444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投标人不得相互串通投标或与招标人串通投标，不得向招标人或评标委员会成员行贿谋取中标，不得以他人名义投标或以其他方式弄虚作假骗取中标；投标人不得以任何方式干扰、影响评标工作。</w:t>
      </w:r>
    </w:p>
    <w:p w14:paraId="539627C9">
      <w:pPr>
        <w:pStyle w:val="3"/>
        <w:spacing w:before="0" w:after="0" w:line="360" w:lineRule="auto"/>
        <w:ind w:firstLine="420" w:firstLineChars="200"/>
        <w:rPr>
          <w:rFonts w:ascii="宋体" w:hAnsi="宋体" w:cs="宋体"/>
          <w:b w:val="0"/>
          <w:color w:val="auto"/>
          <w:sz w:val="21"/>
          <w:szCs w:val="21"/>
          <w:highlight w:val="none"/>
        </w:rPr>
      </w:pPr>
      <w:bookmarkStart w:id="192" w:name="_Toc517787555"/>
      <w:bookmarkStart w:id="193" w:name="_Toc234832921"/>
      <w:r>
        <w:rPr>
          <w:rFonts w:hint="eastAsia" w:ascii="宋体" w:hAnsi="宋体" w:cs="宋体"/>
          <w:b w:val="0"/>
          <w:color w:val="auto"/>
          <w:sz w:val="21"/>
          <w:szCs w:val="21"/>
          <w:highlight w:val="none"/>
        </w:rPr>
        <w:t>8.3 对评标委员会成员的纪律要求</w:t>
      </w:r>
      <w:bookmarkEnd w:id="192"/>
      <w:bookmarkEnd w:id="193"/>
    </w:p>
    <w:p w14:paraId="3C3ACB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61CE7725">
      <w:pPr>
        <w:pStyle w:val="3"/>
        <w:spacing w:before="0" w:after="0" w:line="360" w:lineRule="auto"/>
        <w:ind w:firstLine="420" w:firstLineChars="200"/>
        <w:rPr>
          <w:rFonts w:ascii="宋体" w:hAnsi="宋体" w:cs="宋体"/>
          <w:b w:val="0"/>
          <w:color w:val="auto"/>
          <w:sz w:val="21"/>
          <w:szCs w:val="21"/>
          <w:highlight w:val="none"/>
        </w:rPr>
      </w:pPr>
      <w:bookmarkStart w:id="194" w:name="_Toc517787556"/>
      <w:bookmarkStart w:id="195" w:name="_Toc234832922"/>
      <w:r>
        <w:rPr>
          <w:rFonts w:hint="eastAsia" w:ascii="宋体" w:hAnsi="宋体" w:cs="宋体"/>
          <w:b w:val="0"/>
          <w:color w:val="auto"/>
          <w:sz w:val="21"/>
          <w:szCs w:val="21"/>
          <w:highlight w:val="none"/>
        </w:rPr>
        <w:t>8.4 对与评标活动有关的工作人员的纪律要求</w:t>
      </w:r>
      <w:bookmarkEnd w:id="194"/>
      <w:bookmarkEnd w:id="195"/>
    </w:p>
    <w:p w14:paraId="531F6BD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202AB8FB">
      <w:pPr>
        <w:pStyle w:val="3"/>
        <w:spacing w:before="0" w:after="0" w:line="360" w:lineRule="auto"/>
        <w:ind w:firstLine="420" w:firstLineChars="200"/>
        <w:rPr>
          <w:rFonts w:ascii="宋体" w:hAnsi="宋体" w:cs="宋体"/>
          <w:b w:val="0"/>
          <w:color w:val="auto"/>
          <w:sz w:val="21"/>
          <w:szCs w:val="21"/>
          <w:highlight w:val="none"/>
        </w:rPr>
      </w:pPr>
      <w:bookmarkStart w:id="196" w:name="_Toc234832923"/>
      <w:bookmarkStart w:id="197" w:name="_Toc517787557"/>
      <w:r>
        <w:rPr>
          <w:rFonts w:hint="eastAsia" w:ascii="宋体" w:hAnsi="宋体" w:cs="宋体"/>
          <w:b w:val="0"/>
          <w:color w:val="auto"/>
          <w:sz w:val="21"/>
          <w:szCs w:val="21"/>
          <w:highlight w:val="none"/>
        </w:rPr>
        <w:t>8.5 投诉</w:t>
      </w:r>
      <w:bookmarkEnd w:id="196"/>
      <w:bookmarkEnd w:id="197"/>
    </w:p>
    <w:p w14:paraId="7A6332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8.5.1 投标人或其他利害关系人认为招标投标活动不符合法律、行政法规规定的，可以自知道或应当知道之日起10日内向有关行政监督部门投诉，投诉应有明确的请求和必要的证明材料。对于按法律法规规定需要先提出异议的投诉，交通运输主管部门在受理投诉时应要求投诉人递交提出异议的证明文件，已向其他有关行政监督部门投诉的，应当一并说明。未按规定提出异议或者未提交已提出异议的证明文件的投诉，交通运输主管部门不予受理。</w:t>
      </w:r>
    </w:p>
    <w:p w14:paraId="5CBB10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诉处理期间，交通运输主管部门有权查阅、复制有关文件、资料，调查有关情况，相关单位和人员应当予以配合。必要时，交通运输主管部门可以责令暂停招标投标活动。投诉人缺乏事实根据或者法律依据进行投诉的，或者有证据表明投诉人捏造事实、伪造材料的，或者投诉人以非法手段取得证明材料进行投诉的，交通运输主管部门应当予以驳回，并对恶意投诉按照有关规定追究投诉人责任。</w:t>
      </w:r>
    </w:p>
    <w:p w14:paraId="6E473E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监督部门的联系方式见投标人须知前附表。</w:t>
      </w:r>
    </w:p>
    <w:p w14:paraId="40A135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8.5.2 投标人或其他利害关系人对招标文件、开标和评标结果提出投诉的，应按照本章第2.4款、第5.3款和第7.2款的规定先向招标人提出异议。异议答复期间</w:t>
      </w:r>
      <w:bookmarkStart w:id="198" w:name="_Toc361508630"/>
      <w:bookmarkStart w:id="199" w:name="_Toc300834993"/>
      <w:bookmarkStart w:id="200" w:name="_Toc247527595"/>
      <w:bookmarkStart w:id="201" w:name="_Toc352691517"/>
      <w:bookmarkStart w:id="202" w:name="_Toc369531561"/>
      <w:bookmarkStart w:id="203" w:name="_Toc247513994"/>
      <w:bookmarkStart w:id="204" w:name="_Toc12776"/>
      <w:bookmarkStart w:id="205" w:name="_Toc384308255"/>
      <w:bookmarkStart w:id="206" w:name="_Toc152042346"/>
      <w:bookmarkStart w:id="207" w:name="_Toc144974538"/>
      <w:bookmarkStart w:id="208" w:name="_Toc152045570"/>
      <w:r>
        <w:rPr>
          <w:rFonts w:hint="eastAsia" w:ascii="宋体" w:hAnsi="宋体" w:cs="宋体"/>
          <w:color w:val="auto"/>
          <w:highlight w:val="none"/>
        </w:rPr>
        <w:t>不计算在第8.5.</w:t>
      </w:r>
      <w:bookmarkEnd w:id="198"/>
      <w:bookmarkEnd w:id="199"/>
      <w:bookmarkEnd w:id="200"/>
      <w:bookmarkEnd w:id="201"/>
      <w:bookmarkEnd w:id="202"/>
      <w:bookmarkEnd w:id="203"/>
      <w:bookmarkEnd w:id="204"/>
      <w:bookmarkEnd w:id="205"/>
      <w:bookmarkEnd w:id="206"/>
      <w:bookmarkEnd w:id="207"/>
      <w:bookmarkEnd w:id="208"/>
      <w:r>
        <w:rPr>
          <w:rFonts w:hint="eastAsia" w:ascii="宋体" w:hAnsi="宋体" w:cs="宋体"/>
          <w:color w:val="auto"/>
          <w:highlight w:val="none"/>
        </w:rPr>
        <w:t>1项规定的期限内。</w:t>
      </w:r>
    </w:p>
    <w:p w14:paraId="7D8D6FF2">
      <w:pPr>
        <w:pStyle w:val="3"/>
        <w:spacing w:before="0" w:after="0" w:line="360" w:lineRule="auto"/>
        <w:ind w:firstLine="420" w:firstLineChars="200"/>
        <w:rPr>
          <w:rFonts w:ascii="宋体" w:hAnsi="宋体" w:cs="宋体"/>
          <w:b w:val="0"/>
          <w:color w:val="auto"/>
          <w:sz w:val="21"/>
          <w:szCs w:val="21"/>
          <w:highlight w:val="none"/>
        </w:rPr>
      </w:pPr>
      <w:bookmarkStart w:id="209" w:name="_Toc517787558"/>
      <w:r>
        <w:rPr>
          <w:rFonts w:hint="eastAsia" w:ascii="宋体" w:hAnsi="宋体" w:cs="宋体"/>
          <w:b w:val="0"/>
          <w:color w:val="auto"/>
          <w:sz w:val="21"/>
          <w:szCs w:val="21"/>
          <w:highlight w:val="none"/>
        </w:rPr>
        <w:t>9. 是否采用电子招标投标</w:t>
      </w:r>
      <w:bookmarkEnd w:id="209"/>
    </w:p>
    <w:p w14:paraId="7E7062B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本招标项目是否采用电子招标投标方式，见投标人须知前附表。</w:t>
      </w:r>
    </w:p>
    <w:p w14:paraId="5F853CCF">
      <w:pPr>
        <w:pStyle w:val="3"/>
        <w:spacing w:before="0" w:after="0" w:line="360" w:lineRule="auto"/>
        <w:ind w:firstLine="420" w:firstLineChars="200"/>
        <w:rPr>
          <w:rFonts w:ascii="宋体" w:hAnsi="宋体" w:cs="宋体"/>
          <w:b w:val="0"/>
          <w:color w:val="auto"/>
          <w:sz w:val="21"/>
          <w:szCs w:val="21"/>
          <w:highlight w:val="none"/>
        </w:rPr>
      </w:pPr>
      <w:bookmarkStart w:id="210" w:name="_Toc517787559"/>
      <w:bookmarkStart w:id="211" w:name="_Toc234832924"/>
      <w:r>
        <w:rPr>
          <w:rFonts w:hint="eastAsia" w:ascii="宋体" w:hAnsi="宋体" w:cs="宋体"/>
          <w:b w:val="0"/>
          <w:color w:val="auto"/>
          <w:sz w:val="21"/>
          <w:szCs w:val="21"/>
          <w:highlight w:val="none"/>
        </w:rPr>
        <w:t>10. 需要补充的其他内容</w:t>
      </w:r>
      <w:bookmarkEnd w:id="210"/>
      <w:bookmarkEnd w:id="211"/>
    </w:p>
    <w:p w14:paraId="7C9ACF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10.1 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6F41403A">
      <w:pPr>
        <w:widowControl/>
        <w:jc w:val="left"/>
        <w:rPr>
          <w:color w:val="auto"/>
          <w:kern w:val="44"/>
          <w:sz w:val="36"/>
          <w:szCs w:val="36"/>
          <w:highlight w:val="none"/>
        </w:rPr>
      </w:pPr>
      <w:bookmarkStart w:id="212" w:name="_Toc144974565"/>
      <w:bookmarkStart w:id="213" w:name="_Toc234675077"/>
      <w:bookmarkStart w:id="214" w:name="_Toc234744445"/>
      <w:bookmarkStart w:id="215" w:name="_Toc238559186"/>
      <w:bookmarkStart w:id="216" w:name="_Toc179632616"/>
      <w:bookmarkStart w:id="217" w:name="_Toc460366498"/>
      <w:bookmarkStart w:id="218" w:name="_Toc152045598"/>
      <w:bookmarkStart w:id="219" w:name="_Toc152042375"/>
      <w:bookmarkStart w:id="220" w:name="_Toc508615694"/>
      <w:bookmarkStart w:id="221" w:name="_Toc15332"/>
      <w:bookmarkStart w:id="222" w:name="_Toc18877"/>
      <w:bookmarkStart w:id="223" w:name="_Toc1776"/>
      <w:r>
        <w:rPr>
          <w:b/>
          <w:bCs/>
          <w:color w:val="auto"/>
          <w:sz w:val="36"/>
          <w:szCs w:val="36"/>
          <w:highlight w:val="none"/>
        </w:rPr>
        <w:br w:type="page"/>
      </w:r>
    </w:p>
    <w:p w14:paraId="09ABEB2F">
      <w:pPr>
        <w:pStyle w:val="3"/>
        <w:spacing w:before="120" w:beforeLines="50" w:after="120" w:afterLines="50" w:line="240" w:lineRule="auto"/>
        <w:jc w:val="center"/>
        <w:rPr>
          <w:b w:val="0"/>
          <w:bCs w:val="0"/>
          <w:color w:val="auto"/>
          <w:sz w:val="36"/>
          <w:szCs w:val="36"/>
          <w:highlight w:val="none"/>
        </w:rPr>
      </w:pPr>
      <w:r>
        <w:rPr>
          <w:b w:val="0"/>
          <w:bCs w:val="0"/>
          <w:color w:val="auto"/>
          <w:sz w:val="36"/>
          <w:szCs w:val="36"/>
          <w:highlight w:val="none"/>
        </w:rPr>
        <w:t>第</w:t>
      </w:r>
      <w:r>
        <w:rPr>
          <w:rFonts w:hint="eastAsia"/>
          <w:b w:val="0"/>
          <w:bCs w:val="0"/>
          <w:color w:val="auto"/>
          <w:sz w:val="36"/>
          <w:szCs w:val="36"/>
          <w:highlight w:val="none"/>
          <w:lang w:val="en-US" w:eastAsia="zh-CN"/>
        </w:rPr>
        <w:t>三</w:t>
      </w:r>
      <w:r>
        <w:rPr>
          <w:b w:val="0"/>
          <w:bCs w:val="0"/>
          <w:color w:val="auto"/>
          <w:sz w:val="36"/>
          <w:szCs w:val="36"/>
          <w:highlight w:val="none"/>
        </w:rPr>
        <w:t>章评标办法</w:t>
      </w:r>
      <w:bookmarkEnd w:id="212"/>
      <w:bookmarkEnd w:id="213"/>
      <w:bookmarkEnd w:id="214"/>
      <w:bookmarkEnd w:id="215"/>
      <w:bookmarkEnd w:id="216"/>
      <w:bookmarkEnd w:id="217"/>
      <w:bookmarkEnd w:id="218"/>
      <w:bookmarkEnd w:id="219"/>
      <w:r>
        <w:rPr>
          <w:rFonts w:hint="eastAsia"/>
          <w:b w:val="0"/>
          <w:bCs w:val="0"/>
          <w:color w:val="auto"/>
          <w:sz w:val="36"/>
          <w:szCs w:val="36"/>
          <w:highlight w:val="none"/>
        </w:rPr>
        <w:t>（合理低价法）</w:t>
      </w:r>
      <w:bookmarkEnd w:id="220"/>
      <w:bookmarkEnd w:id="221"/>
      <w:bookmarkEnd w:id="222"/>
      <w:bookmarkEnd w:id="223"/>
    </w:p>
    <w:p w14:paraId="634BDF59">
      <w:pPr>
        <w:pStyle w:val="21"/>
        <w:spacing w:before="36" w:after="120" w:afterLines="50"/>
        <w:ind w:left="-3" w:leftChars="-84" w:hanging="173" w:hangingChars="62"/>
        <w:rPr>
          <w:rFonts w:ascii="宋体" w:hAnsi="宋体" w:eastAsia="宋体"/>
          <w:color w:val="auto"/>
          <w:highlight w:val="none"/>
        </w:rPr>
      </w:pPr>
      <w:r>
        <w:rPr>
          <w:rFonts w:hint="eastAsia" w:ascii="宋体" w:hAnsi="宋体" w:eastAsia="宋体" w:cs="宋体"/>
          <w:color w:val="auto"/>
          <w:highlight w:val="none"/>
        </w:rPr>
        <w:t>评标办法前附表</w:t>
      </w:r>
    </w:p>
    <w:tbl>
      <w:tblPr>
        <w:tblStyle w:val="17"/>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36"/>
        <w:gridCol w:w="1165"/>
        <w:gridCol w:w="6901"/>
      </w:tblGrid>
      <w:tr w14:paraId="7B73CD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167" w:type="pct"/>
            <w:gridSpan w:val="2"/>
            <w:tcBorders>
              <w:top w:val="single" w:color="auto" w:sz="4" w:space="0"/>
              <w:bottom w:val="single" w:color="auto" w:sz="4" w:space="0"/>
              <w:right w:val="single" w:color="auto" w:sz="4" w:space="0"/>
            </w:tcBorders>
            <w:vAlign w:val="center"/>
          </w:tcPr>
          <w:p w14:paraId="19997051">
            <w:pPr>
              <w:jc w:val="center"/>
              <w:rPr>
                <w:rFonts w:ascii="宋体" w:hAnsi="宋体" w:cs="宋体"/>
                <w:b/>
                <w:color w:val="auto"/>
                <w:highlight w:val="none"/>
              </w:rPr>
            </w:pPr>
            <w:r>
              <w:rPr>
                <w:rFonts w:hint="eastAsia" w:ascii="宋体" w:hAnsi="宋体" w:cs="宋体"/>
                <w:b/>
                <w:color w:val="auto"/>
                <w:highlight w:val="none"/>
              </w:rPr>
              <w:t>条款号</w:t>
            </w:r>
          </w:p>
        </w:tc>
        <w:tc>
          <w:tcPr>
            <w:tcW w:w="3832" w:type="pct"/>
            <w:tcBorders>
              <w:top w:val="single" w:color="auto" w:sz="4" w:space="0"/>
              <w:left w:val="single" w:color="auto" w:sz="4" w:space="0"/>
              <w:bottom w:val="single" w:color="auto" w:sz="4" w:space="0"/>
            </w:tcBorders>
            <w:vAlign w:val="center"/>
          </w:tcPr>
          <w:p w14:paraId="3B43D264">
            <w:pPr>
              <w:jc w:val="center"/>
              <w:rPr>
                <w:rFonts w:ascii="宋体" w:hAnsi="宋体" w:cs="宋体"/>
                <w:b/>
                <w:color w:val="auto"/>
                <w:highlight w:val="none"/>
              </w:rPr>
            </w:pPr>
            <w:r>
              <w:rPr>
                <w:rFonts w:hint="eastAsia" w:ascii="宋体" w:hAnsi="宋体" w:cs="宋体"/>
                <w:b/>
                <w:color w:val="auto"/>
                <w:highlight w:val="none"/>
              </w:rPr>
              <w:t>评审因素与评审标准</w:t>
            </w:r>
          </w:p>
        </w:tc>
      </w:tr>
      <w:tr w14:paraId="68E9B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20" w:type="pct"/>
            <w:tcBorders>
              <w:top w:val="single" w:color="auto" w:sz="4" w:space="0"/>
              <w:bottom w:val="single" w:color="auto" w:sz="4" w:space="0"/>
              <w:right w:val="single" w:color="auto" w:sz="4" w:space="0"/>
            </w:tcBorders>
            <w:vAlign w:val="center"/>
          </w:tcPr>
          <w:p w14:paraId="392A602D">
            <w:pPr>
              <w:jc w:val="center"/>
              <w:rPr>
                <w:rFonts w:ascii="宋体" w:hAnsi="宋体" w:cs="宋体"/>
                <w:color w:val="auto"/>
                <w:highlight w:val="none"/>
              </w:rPr>
            </w:pPr>
            <w:r>
              <w:rPr>
                <w:rFonts w:hint="eastAsia" w:ascii="宋体" w:hAnsi="宋体" w:cs="宋体"/>
                <w:color w:val="auto"/>
                <w:highlight w:val="none"/>
              </w:rPr>
              <w:t>1</w:t>
            </w:r>
          </w:p>
        </w:tc>
        <w:tc>
          <w:tcPr>
            <w:tcW w:w="647" w:type="pct"/>
            <w:tcBorders>
              <w:top w:val="single" w:color="auto" w:sz="4" w:space="0"/>
              <w:bottom w:val="single" w:color="auto" w:sz="4" w:space="0"/>
              <w:right w:val="single" w:color="auto" w:sz="4" w:space="0"/>
            </w:tcBorders>
            <w:vAlign w:val="center"/>
          </w:tcPr>
          <w:p w14:paraId="22970E20">
            <w:pPr>
              <w:jc w:val="center"/>
              <w:rPr>
                <w:rFonts w:ascii="宋体" w:hAnsi="宋体" w:cs="宋体"/>
                <w:color w:val="auto"/>
                <w:highlight w:val="none"/>
              </w:rPr>
            </w:pPr>
            <w:r>
              <w:rPr>
                <w:rFonts w:hint="eastAsia" w:ascii="宋体" w:hAnsi="宋体" w:cs="宋体"/>
                <w:color w:val="auto"/>
                <w:highlight w:val="none"/>
              </w:rPr>
              <w:t>评标方法</w:t>
            </w:r>
          </w:p>
        </w:tc>
        <w:tc>
          <w:tcPr>
            <w:tcW w:w="3832" w:type="pct"/>
            <w:tcBorders>
              <w:top w:val="single" w:color="auto" w:sz="4" w:space="0"/>
              <w:left w:val="single" w:color="auto" w:sz="4" w:space="0"/>
            </w:tcBorders>
            <w:vAlign w:val="center"/>
          </w:tcPr>
          <w:p w14:paraId="4DBCC502">
            <w:pPr>
              <w:rPr>
                <w:rFonts w:ascii="宋体" w:hAnsi="宋体"/>
                <w:color w:val="auto"/>
                <w:highlight w:val="none"/>
              </w:rPr>
            </w:pPr>
            <w:r>
              <w:rPr>
                <w:rFonts w:hint="eastAsia" w:ascii="宋体" w:hAnsi="宋体"/>
                <w:color w:val="auto"/>
                <w:highlight w:val="none"/>
              </w:rPr>
              <w:t>1、综合评分相等时，评标委员会依次按照以下优先顺序推荐中标候选人或确定中标人：</w:t>
            </w:r>
          </w:p>
          <w:p w14:paraId="4FBF81B0">
            <w:pPr>
              <w:rPr>
                <w:rFonts w:ascii="宋体" w:hAnsi="宋体"/>
                <w:color w:val="auto"/>
                <w:highlight w:val="none"/>
              </w:rPr>
            </w:pPr>
            <w:r>
              <w:rPr>
                <w:rFonts w:hint="eastAsia" w:ascii="宋体" w:hAnsi="宋体"/>
                <w:color w:val="auto"/>
                <w:highlight w:val="none"/>
              </w:rPr>
              <w:t>（1）评标价低的投标人优先；</w:t>
            </w:r>
          </w:p>
          <w:p w14:paraId="59B9AE3F">
            <w:pPr>
              <w:rPr>
                <w:rFonts w:ascii="宋体" w:hAnsi="宋体"/>
                <w:color w:val="auto"/>
                <w:highlight w:val="none"/>
              </w:rPr>
            </w:pPr>
            <w:r>
              <w:rPr>
                <w:rFonts w:hint="eastAsia" w:ascii="宋体" w:hAnsi="宋体"/>
                <w:color w:val="auto"/>
                <w:highlight w:val="none"/>
              </w:rPr>
              <w:t>（2）由招标人代表抽签确定。</w:t>
            </w:r>
          </w:p>
          <w:p w14:paraId="1C44A4FE">
            <w:pPr>
              <w:pStyle w:val="2"/>
              <w:rPr>
                <w:rFonts w:ascii="宋体" w:hAnsi="宋体"/>
                <w:color w:val="auto"/>
                <w:highlight w:val="none"/>
              </w:rPr>
            </w:pPr>
            <w:r>
              <w:rPr>
                <w:rFonts w:hint="eastAsia" w:ascii="宋体" w:hAnsi="宋体"/>
                <w:color w:val="auto"/>
                <w:highlight w:val="none"/>
              </w:rPr>
              <w:t>2、通过投标文件资格审查文件评审的投标人不足3家的，评标委员会可以否决全部投标；未否决全部投标的，评标委员会应当在评标报告中阐明理由，招标人可按照第二章“投标人须知”第5.1款规定的时间和地点对投标文件报价文件进行开标，但评标委员会在进行报价文件评审时仍有权否决全部投标；评标委员会未在报价文件评审时否决全部投标的，应当在评标报告中阐明理由。</w:t>
            </w:r>
          </w:p>
        </w:tc>
      </w:tr>
      <w:tr w14:paraId="549C7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1" w:hRule="atLeast"/>
          <w:jc w:val="center"/>
        </w:trPr>
        <w:tc>
          <w:tcPr>
            <w:tcW w:w="520" w:type="pct"/>
            <w:tcBorders>
              <w:top w:val="single" w:color="auto" w:sz="4" w:space="0"/>
              <w:bottom w:val="single" w:color="auto" w:sz="4" w:space="0"/>
              <w:right w:val="single" w:color="auto" w:sz="4" w:space="0"/>
            </w:tcBorders>
            <w:vAlign w:val="center"/>
          </w:tcPr>
          <w:p w14:paraId="0A317054">
            <w:pPr>
              <w:jc w:val="center"/>
              <w:rPr>
                <w:rFonts w:ascii="宋体" w:hAnsi="宋体" w:cs="宋体"/>
                <w:color w:val="auto"/>
                <w:highlight w:val="none"/>
              </w:rPr>
            </w:pPr>
            <w:r>
              <w:rPr>
                <w:rFonts w:hint="eastAsia" w:ascii="宋体" w:hAnsi="宋体" w:cs="宋体"/>
                <w:color w:val="auto"/>
                <w:highlight w:val="none"/>
              </w:rPr>
              <w:t>2.1.1</w:t>
            </w:r>
          </w:p>
          <w:p w14:paraId="73ACAB5A">
            <w:pPr>
              <w:jc w:val="center"/>
              <w:rPr>
                <w:rFonts w:ascii="宋体" w:hAnsi="宋体" w:cs="宋体"/>
                <w:color w:val="auto"/>
                <w:highlight w:val="none"/>
              </w:rPr>
            </w:pPr>
            <w:r>
              <w:rPr>
                <w:rFonts w:hint="eastAsia" w:ascii="宋体" w:hAnsi="宋体" w:cs="宋体"/>
                <w:color w:val="auto"/>
                <w:highlight w:val="none"/>
              </w:rPr>
              <w:t>2.1.3</w:t>
            </w:r>
          </w:p>
        </w:tc>
        <w:tc>
          <w:tcPr>
            <w:tcW w:w="647" w:type="pct"/>
            <w:tcBorders>
              <w:top w:val="single" w:color="auto" w:sz="4" w:space="0"/>
              <w:bottom w:val="single" w:color="auto" w:sz="4" w:space="0"/>
              <w:right w:val="single" w:color="auto" w:sz="4" w:space="0"/>
            </w:tcBorders>
            <w:vAlign w:val="center"/>
          </w:tcPr>
          <w:p w14:paraId="58B9A822">
            <w:pPr>
              <w:jc w:val="center"/>
              <w:rPr>
                <w:rFonts w:ascii="宋体" w:hAnsi="宋体" w:cs="宋体"/>
                <w:color w:val="auto"/>
                <w:highlight w:val="none"/>
              </w:rPr>
            </w:pPr>
            <w:r>
              <w:rPr>
                <w:rFonts w:hint="eastAsia" w:ascii="宋体" w:hAnsi="宋体" w:cs="宋体"/>
                <w:color w:val="auto"/>
                <w:highlight w:val="none"/>
              </w:rPr>
              <w:t>形式评审与响应性评审标准</w:t>
            </w:r>
          </w:p>
        </w:tc>
        <w:tc>
          <w:tcPr>
            <w:tcW w:w="3832" w:type="pct"/>
            <w:tcBorders>
              <w:top w:val="single" w:color="auto" w:sz="4" w:space="0"/>
              <w:left w:val="single" w:color="auto" w:sz="4" w:space="0"/>
              <w:bottom w:val="single" w:color="auto" w:sz="4" w:space="0"/>
            </w:tcBorders>
            <w:vAlign w:val="center"/>
          </w:tcPr>
          <w:p w14:paraId="1D052102">
            <w:pPr>
              <w:rPr>
                <w:rFonts w:ascii="宋体" w:hAnsi="宋体" w:cs="宋体"/>
                <w:b/>
                <w:color w:val="auto"/>
                <w:highlight w:val="none"/>
              </w:rPr>
            </w:pPr>
            <w:r>
              <w:rPr>
                <w:rFonts w:hint="eastAsia" w:ascii="宋体" w:hAnsi="宋体" w:cs="宋体"/>
                <w:b/>
                <w:color w:val="auto"/>
                <w:highlight w:val="none"/>
              </w:rPr>
              <w:t>资格审查文件评审标准：</w:t>
            </w:r>
          </w:p>
          <w:p w14:paraId="122D3B62">
            <w:pPr>
              <w:rPr>
                <w:rFonts w:ascii="宋体" w:hAnsi="宋体" w:cs="宋体"/>
                <w:color w:val="auto"/>
                <w:highlight w:val="none"/>
              </w:rPr>
            </w:pPr>
            <w:r>
              <w:rPr>
                <w:rFonts w:hint="eastAsia" w:ascii="宋体" w:hAnsi="宋体" w:cs="宋体"/>
                <w:color w:val="auto"/>
                <w:highlight w:val="none"/>
              </w:rPr>
              <w:t>（1）投标文件按照招标文件规定的格式、内容填写，字迹清晰可辨：</w:t>
            </w:r>
          </w:p>
          <w:p w14:paraId="694CEAE9">
            <w:pPr>
              <w:rPr>
                <w:rFonts w:ascii="宋体" w:hAnsi="宋体" w:cs="宋体"/>
                <w:color w:val="auto"/>
                <w:highlight w:val="none"/>
              </w:rPr>
            </w:pPr>
            <w:r>
              <w:rPr>
                <w:rFonts w:hint="eastAsia" w:ascii="宋体" w:hAnsi="宋体" w:cs="宋体"/>
                <w:color w:val="auto"/>
                <w:highlight w:val="none"/>
              </w:rPr>
              <w:t>a.投标函按招标文件规定填报了项目名称、补遗书编号（如有）、工期、工程质量要求及安全目标；</w:t>
            </w:r>
          </w:p>
          <w:p w14:paraId="691259E3">
            <w:pPr>
              <w:rPr>
                <w:rFonts w:ascii="宋体" w:hAnsi="宋体" w:cs="宋体"/>
                <w:color w:val="auto"/>
                <w:highlight w:val="none"/>
              </w:rPr>
            </w:pPr>
            <w:r>
              <w:rPr>
                <w:rFonts w:hint="eastAsia" w:ascii="宋体" w:hAnsi="宋体" w:cs="宋体"/>
                <w:color w:val="auto"/>
                <w:highlight w:val="none"/>
              </w:rPr>
              <w:t>b.投标文件组成齐全完整，内容均按规定填写。</w:t>
            </w:r>
          </w:p>
          <w:p w14:paraId="18BE22E8">
            <w:pPr>
              <w:rPr>
                <w:rFonts w:ascii="宋体" w:hAnsi="宋体" w:cs="宋体"/>
                <w:color w:val="auto"/>
                <w:highlight w:val="none"/>
              </w:rPr>
            </w:pPr>
            <w:r>
              <w:rPr>
                <w:rFonts w:hint="eastAsia" w:ascii="宋体" w:hAnsi="宋体" w:cs="宋体"/>
                <w:color w:val="auto"/>
                <w:highlight w:val="none"/>
              </w:rPr>
              <w:t>（2）投标文件上法定代表人或其委托代理人的签字</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或签章</w:t>
            </w:r>
            <w:r>
              <w:rPr>
                <w:rFonts w:hint="eastAsia" w:ascii="宋体" w:hAnsi="宋体" w:cs="宋体"/>
                <w:color w:val="auto"/>
                <w:highlight w:val="none"/>
                <w:lang w:eastAsia="zh-CN"/>
              </w:rPr>
              <w:t>）</w:t>
            </w:r>
            <w:r>
              <w:rPr>
                <w:rFonts w:hint="eastAsia" w:ascii="宋体" w:hAnsi="宋体" w:cs="宋体"/>
                <w:color w:val="auto"/>
                <w:highlight w:val="none"/>
              </w:rPr>
              <w:t>、投标人的单位章盖章齐全，符合招标文件规定。</w:t>
            </w:r>
          </w:p>
          <w:p w14:paraId="57C13689">
            <w:pPr>
              <w:rPr>
                <w:rFonts w:ascii="宋体" w:hAnsi="宋体" w:cs="宋体"/>
                <w:color w:val="auto"/>
                <w:highlight w:val="none"/>
              </w:rPr>
            </w:pPr>
            <w:r>
              <w:rPr>
                <w:rFonts w:hint="eastAsia" w:ascii="宋体" w:hAnsi="宋体" w:cs="宋体"/>
                <w:color w:val="auto"/>
                <w:highlight w:val="none"/>
              </w:rPr>
              <w:t>（3）投标人法定代表人授权委托代理人签署投标文件的，须提交授权委托书，且授权人和被授权人均在授权委托书上签名</w:t>
            </w:r>
            <w:r>
              <w:rPr>
                <w:rFonts w:hint="eastAsia" w:ascii="宋体" w:hAnsi="宋体" w:cs="宋体"/>
                <w:color w:val="auto"/>
                <w:highlight w:val="none"/>
                <w:lang w:eastAsia="zh-CN"/>
              </w:rPr>
              <w:t>（</w:t>
            </w:r>
            <w:r>
              <w:rPr>
                <w:rFonts w:hint="eastAsia" w:ascii="宋体" w:hAnsi="宋体" w:cs="宋体"/>
                <w:color w:val="auto"/>
                <w:highlight w:val="none"/>
              </w:rPr>
              <w:t>或签章</w:t>
            </w:r>
            <w:r>
              <w:rPr>
                <w:rFonts w:hint="eastAsia" w:ascii="宋体" w:hAnsi="宋体" w:cs="宋体"/>
                <w:color w:val="auto"/>
                <w:highlight w:val="none"/>
                <w:lang w:eastAsia="zh-CN"/>
              </w:rPr>
              <w:t>）</w:t>
            </w:r>
            <w:r>
              <w:rPr>
                <w:rFonts w:hint="eastAsia" w:ascii="宋体" w:hAnsi="宋体" w:cs="宋体"/>
                <w:color w:val="auto"/>
                <w:highlight w:val="none"/>
              </w:rPr>
              <w:t>。</w:t>
            </w:r>
          </w:p>
          <w:p w14:paraId="5C06936C">
            <w:pPr>
              <w:rPr>
                <w:rFonts w:ascii="宋体" w:hAnsi="宋体" w:cs="宋体"/>
                <w:color w:val="auto"/>
                <w:highlight w:val="none"/>
              </w:rPr>
            </w:pPr>
            <w:r>
              <w:rPr>
                <w:rFonts w:hint="eastAsia" w:ascii="宋体" w:hAnsi="宋体" w:cs="宋体"/>
                <w:color w:val="auto"/>
                <w:highlight w:val="none"/>
              </w:rPr>
              <w:t>（4）投标人法定代表人亲自签署投标文件的，提供了法定代表人身份证明，且法定代表人在法定代表人身份证明上签名</w:t>
            </w:r>
            <w:r>
              <w:rPr>
                <w:rFonts w:hint="eastAsia" w:ascii="宋体" w:hAnsi="宋体" w:cs="宋体"/>
                <w:color w:val="auto"/>
                <w:highlight w:val="none"/>
                <w:lang w:eastAsia="zh-CN"/>
              </w:rPr>
              <w:t>（</w:t>
            </w:r>
            <w:r>
              <w:rPr>
                <w:rFonts w:hint="eastAsia" w:ascii="宋体" w:hAnsi="宋体" w:cs="宋体"/>
                <w:color w:val="auto"/>
                <w:highlight w:val="none"/>
              </w:rPr>
              <w:t>或签章</w:t>
            </w:r>
            <w:r>
              <w:rPr>
                <w:rFonts w:hint="eastAsia" w:ascii="宋体" w:hAnsi="宋体" w:cs="宋体"/>
                <w:color w:val="auto"/>
                <w:highlight w:val="none"/>
                <w:lang w:eastAsia="zh-CN"/>
              </w:rPr>
              <w:t>）</w:t>
            </w:r>
            <w:r>
              <w:rPr>
                <w:rFonts w:hint="eastAsia" w:ascii="宋体" w:hAnsi="宋体" w:cs="宋体"/>
                <w:color w:val="auto"/>
                <w:highlight w:val="none"/>
              </w:rPr>
              <w:t>。</w:t>
            </w:r>
          </w:p>
          <w:p w14:paraId="6E791C53">
            <w:pPr>
              <w:rPr>
                <w:rFonts w:ascii="宋体" w:hAnsi="宋体" w:cs="宋体"/>
                <w:color w:val="auto"/>
                <w:highlight w:val="none"/>
              </w:rPr>
            </w:pPr>
            <w:r>
              <w:rPr>
                <w:rFonts w:hint="eastAsia" w:ascii="宋体" w:hAnsi="宋体" w:cs="宋体"/>
                <w:color w:val="auto"/>
                <w:highlight w:val="none"/>
              </w:rPr>
              <w:t>（5）投标人未以联合体形式投标时；</w:t>
            </w:r>
          </w:p>
          <w:p w14:paraId="4622A70D">
            <w:pPr>
              <w:rPr>
                <w:rFonts w:ascii="宋体" w:hAnsi="宋体" w:cs="宋体"/>
                <w:color w:val="auto"/>
                <w:highlight w:val="none"/>
              </w:rPr>
            </w:pPr>
            <w:r>
              <w:rPr>
                <w:rFonts w:hint="eastAsia" w:ascii="宋体" w:hAnsi="宋体" w:cs="宋体"/>
                <w:color w:val="auto"/>
                <w:highlight w:val="none"/>
              </w:rPr>
              <w:t>（6）同一投标人未提交两个以上不同的投标文件，但招标文件要求提交备选投标的除外。</w:t>
            </w:r>
          </w:p>
          <w:p w14:paraId="4C052DB1">
            <w:pPr>
              <w:rPr>
                <w:rFonts w:ascii="宋体" w:hAnsi="宋体" w:cs="宋体"/>
                <w:color w:val="auto"/>
                <w:highlight w:val="none"/>
              </w:rPr>
            </w:pPr>
            <w:r>
              <w:rPr>
                <w:rFonts w:hint="eastAsia" w:ascii="宋体" w:hAnsi="宋体" w:cs="宋体"/>
                <w:color w:val="auto"/>
                <w:highlight w:val="none"/>
              </w:rPr>
              <w:t>（7）投标文件中未出现有关投标报价的内容。</w:t>
            </w:r>
          </w:p>
          <w:p w14:paraId="230C90B4">
            <w:pPr>
              <w:rPr>
                <w:rFonts w:ascii="宋体" w:hAnsi="宋体" w:cs="宋体"/>
                <w:color w:val="auto"/>
                <w:highlight w:val="none"/>
              </w:rPr>
            </w:pPr>
            <w:r>
              <w:rPr>
                <w:rFonts w:hint="eastAsia" w:ascii="宋体" w:hAnsi="宋体" w:cs="宋体"/>
                <w:color w:val="auto"/>
                <w:highlight w:val="none"/>
              </w:rPr>
              <w:t>（8）投标文件载明的招标项目完成期限未超过招标文件规定的时限。</w:t>
            </w:r>
          </w:p>
          <w:p w14:paraId="445965C0">
            <w:pPr>
              <w:rPr>
                <w:rFonts w:ascii="宋体" w:hAnsi="宋体" w:cs="宋体"/>
                <w:color w:val="auto"/>
                <w:highlight w:val="none"/>
              </w:rPr>
            </w:pPr>
            <w:r>
              <w:rPr>
                <w:rFonts w:hint="eastAsia" w:ascii="宋体" w:hAnsi="宋体" w:cs="宋体"/>
                <w:color w:val="auto"/>
                <w:highlight w:val="none"/>
              </w:rPr>
              <w:t>（9）投标文件对招标文件的实质性要求和条件作出响应。</w:t>
            </w:r>
          </w:p>
          <w:p w14:paraId="3701DC7A">
            <w:pPr>
              <w:rPr>
                <w:rFonts w:ascii="宋体" w:hAnsi="宋体" w:cs="宋体"/>
                <w:color w:val="auto"/>
                <w:highlight w:val="none"/>
              </w:rPr>
            </w:pPr>
            <w:r>
              <w:rPr>
                <w:rFonts w:hint="eastAsia" w:ascii="宋体" w:hAnsi="宋体" w:cs="宋体"/>
                <w:color w:val="auto"/>
                <w:highlight w:val="none"/>
              </w:rPr>
              <w:t>（10）权利义务符合招标文件规定：</w:t>
            </w:r>
          </w:p>
          <w:p w14:paraId="46F6CD6C">
            <w:pPr>
              <w:rPr>
                <w:rFonts w:ascii="宋体" w:hAnsi="宋体" w:cs="宋体"/>
                <w:color w:val="auto"/>
                <w:highlight w:val="none"/>
              </w:rPr>
            </w:pPr>
            <w:r>
              <w:rPr>
                <w:rFonts w:hint="eastAsia" w:ascii="宋体" w:hAnsi="宋体" w:cs="宋体"/>
                <w:color w:val="auto"/>
                <w:highlight w:val="none"/>
              </w:rPr>
              <w:t>a.投标人应接受招标文件规定的风险划分原则，未提出新的风险划分办法；</w:t>
            </w:r>
          </w:p>
          <w:p w14:paraId="16E24C33">
            <w:pPr>
              <w:rPr>
                <w:rFonts w:ascii="宋体" w:hAnsi="宋体" w:cs="宋体"/>
                <w:color w:val="auto"/>
                <w:highlight w:val="none"/>
              </w:rPr>
            </w:pPr>
            <w:r>
              <w:rPr>
                <w:rFonts w:hint="eastAsia" w:ascii="宋体" w:hAnsi="宋体" w:cs="宋体"/>
                <w:color w:val="auto"/>
                <w:highlight w:val="none"/>
              </w:rPr>
              <w:t>b.投标人未增加发包人的责任范围，或减少投标人义务；</w:t>
            </w:r>
          </w:p>
          <w:p w14:paraId="45847197">
            <w:pPr>
              <w:rPr>
                <w:rFonts w:ascii="宋体" w:hAnsi="宋体" w:cs="宋体"/>
                <w:color w:val="auto"/>
                <w:highlight w:val="none"/>
              </w:rPr>
            </w:pPr>
            <w:r>
              <w:rPr>
                <w:rFonts w:hint="eastAsia" w:ascii="宋体" w:hAnsi="宋体" w:cs="宋体"/>
                <w:color w:val="auto"/>
                <w:highlight w:val="none"/>
              </w:rPr>
              <w:t>c.投标人未提出不同的工程验收、计量、支付办法；</w:t>
            </w:r>
          </w:p>
          <w:p w14:paraId="323D6D0B">
            <w:pPr>
              <w:rPr>
                <w:rFonts w:ascii="宋体" w:hAnsi="宋体" w:cs="宋体"/>
                <w:color w:val="auto"/>
                <w:highlight w:val="none"/>
              </w:rPr>
            </w:pPr>
            <w:r>
              <w:rPr>
                <w:rFonts w:hint="eastAsia" w:ascii="宋体" w:hAnsi="宋体" w:cs="宋体"/>
                <w:color w:val="auto"/>
                <w:highlight w:val="none"/>
              </w:rPr>
              <w:t>d.投标人对合同纠纷、事故处理办法未提出异议；</w:t>
            </w:r>
          </w:p>
          <w:p w14:paraId="07A7DD54">
            <w:pPr>
              <w:rPr>
                <w:rFonts w:ascii="宋体" w:hAnsi="宋体" w:cs="宋体"/>
                <w:color w:val="auto"/>
                <w:highlight w:val="none"/>
              </w:rPr>
            </w:pPr>
            <w:r>
              <w:rPr>
                <w:rFonts w:hint="eastAsia" w:ascii="宋体" w:hAnsi="宋体" w:cs="宋体"/>
                <w:color w:val="auto"/>
                <w:highlight w:val="none"/>
              </w:rPr>
              <w:t>e.投标人在投标活动中无欺诈行为；</w:t>
            </w:r>
          </w:p>
          <w:p w14:paraId="5D08CCBE">
            <w:pPr>
              <w:rPr>
                <w:rFonts w:ascii="宋体" w:hAnsi="宋体" w:cs="宋体"/>
                <w:color w:val="auto"/>
                <w:highlight w:val="none"/>
              </w:rPr>
            </w:pPr>
            <w:r>
              <w:rPr>
                <w:rFonts w:hint="eastAsia" w:ascii="宋体" w:hAnsi="宋体" w:cs="宋体"/>
                <w:color w:val="auto"/>
                <w:highlight w:val="none"/>
              </w:rPr>
              <w:t>f.投标人未对合同条款有重要保留。</w:t>
            </w:r>
          </w:p>
          <w:p w14:paraId="472A8A70">
            <w:pPr>
              <w:rPr>
                <w:rFonts w:ascii="宋体" w:hAnsi="宋体" w:cs="宋体"/>
                <w:color w:val="auto"/>
                <w:highlight w:val="none"/>
              </w:rPr>
            </w:pPr>
            <w:r>
              <w:rPr>
                <w:rFonts w:hint="eastAsia" w:ascii="宋体" w:hAnsi="宋体" w:cs="宋体"/>
                <w:color w:val="auto"/>
                <w:highlight w:val="none"/>
              </w:rPr>
              <w:t>（11）投标文件正、副本份数符合招标文件第二章“投标人须知”第3.7.4项规定。</w:t>
            </w:r>
          </w:p>
          <w:p w14:paraId="62489483">
            <w:pPr>
              <w:rPr>
                <w:rFonts w:ascii="宋体" w:hAnsi="宋体" w:cs="宋体"/>
                <w:b/>
                <w:bCs/>
                <w:color w:val="auto"/>
                <w:highlight w:val="none"/>
              </w:rPr>
            </w:pPr>
            <w:r>
              <w:rPr>
                <w:rFonts w:hint="eastAsia" w:ascii="宋体" w:hAnsi="宋体" w:cs="宋体"/>
                <w:b/>
                <w:bCs/>
                <w:color w:val="auto"/>
                <w:highlight w:val="none"/>
              </w:rPr>
              <w:t>报价文件评审标准：</w:t>
            </w:r>
          </w:p>
          <w:p w14:paraId="41910E91">
            <w:pPr>
              <w:rPr>
                <w:rFonts w:ascii="宋体" w:hAnsi="宋体" w:cs="宋体"/>
                <w:b/>
                <w:bCs/>
                <w:color w:val="auto"/>
                <w:highlight w:val="none"/>
              </w:rPr>
            </w:pPr>
            <w:r>
              <w:rPr>
                <w:rFonts w:hint="eastAsia" w:ascii="宋体" w:hAnsi="宋体" w:cs="宋体"/>
                <w:color w:val="auto"/>
                <w:highlight w:val="none"/>
              </w:rPr>
              <w:t>（1）投标文件按照招标文件规定的格式、内容填写，字迹清晰可辨：</w:t>
            </w:r>
          </w:p>
          <w:p w14:paraId="5D0BA13E">
            <w:pPr>
              <w:rPr>
                <w:rFonts w:ascii="宋体" w:hAnsi="宋体" w:cs="宋体"/>
                <w:color w:val="auto"/>
                <w:highlight w:val="none"/>
              </w:rPr>
            </w:pPr>
            <w:r>
              <w:rPr>
                <w:rFonts w:hint="eastAsia" w:ascii="宋体" w:hAnsi="宋体" w:cs="宋体"/>
                <w:color w:val="auto"/>
                <w:highlight w:val="none"/>
              </w:rPr>
              <w:t>a.投标函按招标文件规定填报了项目名称、补遗书编号（如有）、投标价（包括大写金额和小写金额）；</w:t>
            </w:r>
          </w:p>
          <w:p w14:paraId="3DD2E1B3">
            <w:pPr>
              <w:rPr>
                <w:rFonts w:ascii="宋体" w:hAnsi="宋体" w:cs="宋体"/>
                <w:color w:val="auto"/>
                <w:highlight w:val="none"/>
              </w:rPr>
            </w:pPr>
            <w:r>
              <w:rPr>
                <w:rFonts w:hint="eastAsia" w:ascii="宋体" w:hAnsi="宋体" w:cs="宋体"/>
                <w:color w:val="auto"/>
                <w:highlight w:val="none"/>
              </w:rPr>
              <w:t>b.已标价工程量清单说明文字</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w:t>
            </w:r>
            <w:r>
              <w:rPr>
                <w:rFonts w:hint="eastAsia" w:ascii="宋体" w:hAnsi="宋体" w:cs="宋体"/>
                <w:color w:val="auto"/>
                <w:highlight w:val="none"/>
              </w:rPr>
              <w:t>与招标文件规定一致，未进行实质性修改和删减；</w:t>
            </w:r>
          </w:p>
          <w:p w14:paraId="0FD836B0">
            <w:pPr>
              <w:rPr>
                <w:rFonts w:ascii="宋体" w:hAnsi="宋体" w:cs="宋体"/>
                <w:color w:val="auto"/>
                <w:highlight w:val="none"/>
              </w:rPr>
            </w:pPr>
            <w:r>
              <w:rPr>
                <w:rFonts w:hint="eastAsia" w:ascii="宋体" w:hAnsi="宋体" w:cs="宋体"/>
                <w:color w:val="auto"/>
                <w:highlight w:val="none"/>
              </w:rPr>
              <w:t>c.投标文件组成齐全完整，内容均按规定填写。</w:t>
            </w:r>
          </w:p>
          <w:p w14:paraId="0E434D79">
            <w:pPr>
              <w:rPr>
                <w:rFonts w:ascii="宋体" w:hAnsi="宋体" w:cs="宋体"/>
                <w:color w:val="auto"/>
                <w:highlight w:val="none"/>
              </w:rPr>
            </w:pPr>
            <w:r>
              <w:rPr>
                <w:rFonts w:hint="eastAsia" w:ascii="宋体" w:hAnsi="宋体" w:cs="宋体"/>
                <w:color w:val="auto"/>
                <w:highlight w:val="none"/>
              </w:rPr>
              <w:t>（2）投标文件上法定代表人或其委托代理人的签字</w:t>
            </w:r>
            <w:r>
              <w:rPr>
                <w:rFonts w:hint="eastAsia" w:ascii="宋体" w:hAnsi="宋体" w:cs="宋体"/>
                <w:color w:val="auto"/>
                <w:highlight w:val="none"/>
                <w:lang w:eastAsia="zh-CN"/>
              </w:rPr>
              <w:t>（</w:t>
            </w:r>
            <w:r>
              <w:rPr>
                <w:rFonts w:hint="eastAsia" w:ascii="宋体" w:hAnsi="宋体" w:cs="宋体"/>
                <w:color w:val="auto"/>
                <w:highlight w:val="none"/>
              </w:rPr>
              <w:t>或签章</w:t>
            </w:r>
            <w:r>
              <w:rPr>
                <w:rFonts w:hint="eastAsia" w:ascii="宋体" w:hAnsi="宋体" w:cs="宋体"/>
                <w:color w:val="auto"/>
                <w:highlight w:val="none"/>
                <w:lang w:eastAsia="zh-CN"/>
              </w:rPr>
              <w:t>）</w:t>
            </w:r>
            <w:r>
              <w:rPr>
                <w:rFonts w:hint="eastAsia" w:ascii="宋体" w:hAnsi="宋体" w:cs="宋体"/>
                <w:color w:val="auto"/>
                <w:highlight w:val="none"/>
              </w:rPr>
              <w:t>、投标人的单位章盖章齐全，符合招标文件规定。</w:t>
            </w:r>
          </w:p>
          <w:p w14:paraId="389D081C">
            <w:pPr>
              <w:rPr>
                <w:rFonts w:ascii="宋体" w:hAnsi="宋体" w:cs="宋体"/>
                <w:color w:val="auto"/>
                <w:highlight w:val="none"/>
              </w:rPr>
            </w:pPr>
            <w:r>
              <w:rPr>
                <w:rFonts w:hint="eastAsia" w:ascii="宋体" w:hAnsi="宋体" w:cs="宋体"/>
                <w:color w:val="auto"/>
                <w:highlight w:val="none"/>
              </w:rPr>
              <w:t>（3）投标报价中报价未超过招标文件设定的最高投标限价（如有）。</w:t>
            </w:r>
          </w:p>
          <w:p w14:paraId="7A59F342">
            <w:pPr>
              <w:rPr>
                <w:rFonts w:ascii="宋体" w:hAnsi="宋体" w:cs="宋体"/>
                <w:color w:val="auto"/>
                <w:highlight w:val="none"/>
              </w:rPr>
            </w:pPr>
            <w:r>
              <w:rPr>
                <w:rFonts w:hint="eastAsia" w:ascii="宋体" w:hAnsi="宋体" w:cs="宋体"/>
                <w:color w:val="auto"/>
                <w:highlight w:val="none"/>
              </w:rPr>
              <w:t>（4）投标报价中报价的大写金额能够确定具体数值。</w:t>
            </w:r>
          </w:p>
          <w:p w14:paraId="237479FE">
            <w:pPr>
              <w:rPr>
                <w:rFonts w:ascii="宋体" w:hAnsi="宋体" w:cs="宋体"/>
                <w:color w:val="auto"/>
                <w:highlight w:val="none"/>
              </w:rPr>
            </w:pPr>
            <w:r>
              <w:rPr>
                <w:rFonts w:hint="eastAsia" w:ascii="宋体" w:hAnsi="宋体" w:cs="宋体"/>
                <w:color w:val="auto"/>
                <w:highlight w:val="none"/>
              </w:rPr>
              <w:t>（5）同一投标人未提交两个以上不同的投标报价，但招标文件要求提交备选投标的除外。</w:t>
            </w:r>
          </w:p>
          <w:p w14:paraId="3CC92191">
            <w:pPr>
              <w:rPr>
                <w:rFonts w:ascii="宋体" w:hAnsi="宋体" w:cs="宋体"/>
                <w:color w:val="auto"/>
                <w:highlight w:val="none"/>
              </w:rPr>
            </w:pPr>
            <w:r>
              <w:rPr>
                <w:rFonts w:hint="eastAsia" w:ascii="宋体" w:hAnsi="宋体" w:cs="宋体"/>
                <w:color w:val="auto"/>
                <w:highlight w:val="none"/>
              </w:rPr>
              <w:t>（6）工程量清单中的投标报价和投标函大写金额报价一致。</w:t>
            </w:r>
          </w:p>
          <w:p w14:paraId="0F3A95FE">
            <w:pPr>
              <w:rPr>
                <w:rFonts w:ascii="宋体" w:hAnsi="宋体" w:cs="宋体"/>
                <w:color w:val="auto"/>
                <w:highlight w:val="none"/>
              </w:rPr>
            </w:pPr>
            <w:r>
              <w:rPr>
                <w:rFonts w:hint="eastAsia" w:ascii="宋体" w:hAnsi="宋体" w:cs="宋体"/>
                <w:color w:val="auto"/>
                <w:highlight w:val="none"/>
              </w:rPr>
              <w:t>（7）投标文件正、副本份数符合招标文件第二章“投标人须知”第3.7.4项规定。</w:t>
            </w:r>
          </w:p>
        </w:tc>
      </w:tr>
      <w:tr w14:paraId="6340C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520" w:type="pct"/>
            <w:tcBorders>
              <w:top w:val="single" w:color="auto" w:sz="4" w:space="0"/>
              <w:bottom w:val="single" w:color="auto" w:sz="4" w:space="0"/>
              <w:right w:val="single" w:color="auto" w:sz="4" w:space="0"/>
            </w:tcBorders>
            <w:vAlign w:val="center"/>
          </w:tcPr>
          <w:p w14:paraId="1638AF75">
            <w:pPr>
              <w:jc w:val="center"/>
              <w:rPr>
                <w:rFonts w:ascii="宋体" w:hAnsi="宋体" w:cs="宋体"/>
                <w:color w:val="auto"/>
                <w:highlight w:val="none"/>
              </w:rPr>
            </w:pPr>
            <w:r>
              <w:rPr>
                <w:rFonts w:ascii="宋体" w:hAnsi="宋体"/>
                <w:color w:val="auto"/>
                <w:highlight w:val="none"/>
              </w:rPr>
              <w:t>2.1.2</w:t>
            </w:r>
          </w:p>
        </w:tc>
        <w:tc>
          <w:tcPr>
            <w:tcW w:w="647" w:type="pct"/>
            <w:tcBorders>
              <w:top w:val="single" w:color="auto" w:sz="4" w:space="0"/>
              <w:right w:val="single" w:color="auto" w:sz="4" w:space="0"/>
            </w:tcBorders>
            <w:vAlign w:val="center"/>
          </w:tcPr>
          <w:p w14:paraId="16E354C7">
            <w:pPr>
              <w:jc w:val="center"/>
              <w:rPr>
                <w:rFonts w:ascii="宋体" w:hAnsi="宋体" w:cs="宋体"/>
                <w:color w:val="auto"/>
                <w:highlight w:val="none"/>
              </w:rPr>
            </w:pPr>
            <w:r>
              <w:rPr>
                <w:rFonts w:hint="eastAsia" w:ascii="宋体" w:hAnsi="宋体"/>
                <w:color w:val="auto"/>
                <w:highlight w:val="none"/>
              </w:rPr>
              <w:t>资格评审标准</w:t>
            </w:r>
          </w:p>
        </w:tc>
        <w:tc>
          <w:tcPr>
            <w:tcW w:w="3832" w:type="pct"/>
            <w:tcBorders>
              <w:top w:val="single" w:color="auto" w:sz="4" w:space="0"/>
              <w:left w:val="single" w:color="auto" w:sz="4" w:space="0"/>
            </w:tcBorders>
            <w:vAlign w:val="center"/>
          </w:tcPr>
          <w:p w14:paraId="5B3F519A">
            <w:pPr>
              <w:rPr>
                <w:rFonts w:ascii="宋体" w:hAnsi="宋体"/>
                <w:color w:val="auto"/>
                <w:highlight w:val="none"/>
              </w:rPr>
            </w:pPr>
            <w:r>
              <w:rPr>
                <w:rFonts w:hint="eastAsia" w:ascii="宋体" w:hAnsi="宋体"/>
                <w:color w:val="auto"/>
                <w:highlight w:val="none"/>
              </w:rPr>
              <w:t>（1）资质条件：投标人应具</w:t>
            </w:r>
            <w:r>
              <w:rPr>
                <w:rFonts w:hint="eastAsia" w:ascii="宋体" w:hAnsi="宋体"/>
                <w:color w:val="auto"/>
                <w:highlight w:val="none"/>
                <w:lang w:val="en-US" w:eastAsia="zh-CN"/>
              </w:rPr>
              <w:t>有有效的</w:t>
            </w:r>
            <w:r>
              <w:rPr>
                <w:rFonts w:hint="eastAsia" w:ascii="宋体" w:hAnsi="宋体"/>
                <w:color w:val="auto"/>
                <w:highlight w:val="none"/>
              </w:rPr>
              <w:t>建设行政主管部门颁发的建筑工程施工总承包叁级及以上资质，并具有有效的省级（或以上）建设行政主管部门核发的《安全生产许可证》；</w:t>
            </w:r>
          </w:p>
          <w:p w14:paraId="5D341A44">
            <w:pPr>
              <w:rPr>
                <w:rFonts w:ascii="宋体" w:hAnsi="宋体"/>
                <w:color w:val="auto"/>
                <w:highlight w:val="none"/>
              </w:rPr>
            </w:pPr>
            <w:r>
              <w:rPr>
                <w:rFonts w:hint="eastAsia" w:ascii="宋体" w:hAnsi="宋体"/>
                <w:color w:val="auto"/>
                <w:highlight w:val="none"/>
              </w:rPr>
              <w:t>（2） 项目经理资格要求：项目经理须具有有效的二级或以上建筑工程专业注册建造师资格；具有有效的建设行政主管部门核发的《建筑施工企业项目负责人安全生产考核合格证书》（B证）。</w:t>
            </w:r>
          </w:p>
          <w:p w14:paraId="2885360D">
            <w:pPr>
              <w:rPr>
                <w:rFonts w:ascii="宋体" w:hAnsi="宋体" w:cs="宋体"/>
                <w:color w:val="auto"/>
                <w:highlight w:val="none"/>
              </w:rPr>
            </w:pPr>
            <w:r>
              <w:rPr>
                <w:rFonts w:hint="eastAsia" w:ascii="宋体" w:hAnsi="宋体"/>
                <w:color w:val="auto"/>
                <w:highlight w:val="none"/>
              </w:rPr>
              <w:t>（3） 本次招标不接受联合体投标。</w:t>
            </w:r>
            <w:r>
              <w:rPr>
                <w:rFonts w:ascii="宋体" w:hAnsi="宋体"/>
                <w:color w:val="auto"/>
                <w:highlight w:val="none"/>
              </w:rPr>
              <w:t xml:space="preserve"> </w:t>
            </w:r>
          </w:p>
        </w:tc>
      </w:tr>
    </w:tbl>
    <w:p w14:paraId="45E0B174">
      <w:pPr>
        <w:rPr>
          <w:rFonts w:ascii="宋体" w:hAnsi="宋体" w:cs="宋体"/>
          <w:color w:val="auto"/>
          <w:highlight w:val="none"/>
        </w:rPr>
      </w:pPr>
    </w:p>
    <w:tbl>
      <w:tblPr>
        <w:tblStyle w:val="17"/>
        <w:tblW w:w="499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93"/>
        <w:gridCol w:w="1545"/>
        <w:gridCol w:w="5362"/>
      </w:tblGrid>
      <w:tr w14:paraId="65EC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163" w:type="pct"/>
            <w:tcBorders>
              <w:top w:val="single" w:color="auto" w:sz="4" w:space="0"/>
              <w:bottom w:val="single" w:color="auto" w:sz="4" w:space="0"/>
              <w:right w:val="single" w:color="auto" w:sz="4" w:space="0"/>
            </w:tcBorders>
            <w:vAlign w:val="center"/>
          </w:tcPr>
          <w:p w14:paraId="33826280">
            <w:pPr>
              <w:jc w:val="center"/>
              <w:rPr>
                <w:rFonts w:ascii="宋体" w:hAnsi="宋体" w:cs="宋体"/>
                <w:b/>
                <w:color w:val="auto"/>
                <w:highlight w:val="none"/>
              </w:rPr>
            </w:pPr>
            <w:r>
              <w:rPr>
                <w:rFonts w:hint="eastAsia" w:ascii="宋体" w:hAnsi="宋体" w:cs="宋体"/>
                <w:b/>
                <w:color w:val="auto"/>
                <w:highlight w:val="none"/>
              </w:rPr>
              <w:t>条款号</w:t>
            </w:r>
          </w:p>
        </w:tc>
        <w:tc>
          <w:tcPr>
            <w:tcW w:w="858" w:type="pct"/>
            <w:tcBorders>
              <w:top w:val="single" w:color="auto" w:sz="4" w:space="0"/>
              <w:left w:val="single" w:color="auto" w:sz="4" w:space="0"/>
              <w:bottom w:val="single" w:color="auto" w:sz="4" w:space="0"/>
              <w:right w:val="single" w:color="auto" w:sz="4" w:space="0"/>
            </w:tcBorders>
            <w:vAlign w:val="center"/>
          </w:tcPr>
          <w:p w14:paraId="1FA097A8">
            <w:pPr>
              <w:jc w:val="center"/>
              <w:rPr>
                <w:rFonts w:ascii="宋体" w:hAnsi="宋体" w:cs="宋体"/>
                <w:b/>
                <w:color w:val="auto"/>
                <w:highlight w:val="none"/>
              </w:rPr>
            </w:pPr>
            <w:r>
              <w:rPr>
                <w:rFonts w:hint="eastAsia" w:ascii="宋体" w:hAnsi="宋体" w:cs="宋体"/>
                <w:b/>
                <w:color w:val="auto"/>
                <w:highlight w:val="none"/>
              </w:rPr>
              <w:t>条款内容</w:t>
            </w:r>
          </w:p>
        </w:tc>
        <w:tc>
          <w:tcPr>
            <w:tcW w:w="2978" w:type="pct"/>
            <w:tcBorders>
              <w:top w:val="single" w:color="auto" w:sz="4" w:space="0"/>
              <w:left w:val="single" w:color="auto" w:sz="4" w:space="0"/>
              <w:bottom w:val="single" w:color="auto" w:sz="4" w:space="0"/>
            </w:tcBorders>
            <w:vAlign w:val="center"/>
          </w:tcPr>
          <w:p w14:paraId="065D8116">
            <w:pPr>
              <w:jc w:val="center"/>
              <w:rPr>
                <w:rFonts w:ascii="宋体" w:hAnsi="宋体" w:cs="宋体"/>
                <w:b/>
                <w:color w:val="auto"/>
                <w:highlight w:val="none"/>
              </w:rPr>
            </w:pPr>
            <w:r>
              <w:rPr>
                <w:rFonts w:hint="eastAsia" w:ascii="宋体" w:hAnsi="宋体" w:cs="宋体"/>
                <w:b/>
                <w:color w:val="auto"/>
                <w:highlight w:val="none"/>
              </w:rPr>
              <w:t>编列内容</w:t>
            </w:r>
          </w:p>
        </w:tc>
      </w:tr>
      <w:tr w14:paraId="671E6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163" w:type="pct"/>
            <w:tcBorders>
              <w:bottom w:val="single" w:color="auto" w:sz="4" w:space="0"/>
              <w:right w:val="single" w:color="auto" w:sz="4" w:space="0"/>
            </w:tcBorders>
            <w:vAlign w:val="center"/>
          </w:tcPr>
          <w:p w14:paraId="33C50F14">
            <w:pPr>
              <w:jc w:val="center"/>
              <w:rPr>
                <w:rFonts w:ascii="宋体" w:hAnsi="宋体" w:cs="宋体"/>
                <w:color w:val="auto"/>
                <w:highlight w:val="none"/>
              </w:rPr>
            </w:pPr>
            <w:r>
              <w:rPr>
                <w:rFonts w:hint="eastAsia" w:ascii="宋体" w:hAnsi="宋体" w:cs="宋体"/>
                <w:color w:val="auto"/>
                <w:highlight w:val="none"/>
              </w:rPr>
              <w:t>2.2.1</w:t>
            </w:r>
          </w:p>
        </w:tc>
        <w:tc>
          <w:tcPr>
            <w:tcW w:w="858" w:type="pct"/>
            <w:tcBorders>
              <w:top w:val="single" w:color="auto" w:sz="4" w:space="0"/>
              <w:left w:val="single" w:color="auto" w:sz="4" w:space="0"/>
              <w:bottom w:val="single" w:color="auto" w:sz="4" w:space="0"/>
              <w:right w:val="single" w:color="auto" w:sz="4" w:space="0"/>
            </w:tcBorders>
            <w:vAlign w:val="center"/>
          </w:tcPr>
          <w:p w14:paraId="24655AD8">
            <w:pPr>
              <w:jc w:val="center"/>
              <w:rPr>
                <w:rFonts w:ascii="宋体" w:hAnsi="宋体" w:cs="宋体"/>
                <w:color w:val="auto"/>
                <w:highlight w:val="none"/>
              </w:rPr>
            </w:pPr>
            <w:r>
              <w:rPr>
                <w:rFonts w:hint="eastAsia" w:ascii="宋体" w:hAnsi="宋体" w:cs="宋体"/>
                <w:color w:val="auto"/>
                <w:highlight w:val="none"/>
              </w:rPr>
              <w:t>分值构成（总分100分）</w:t>
            </w:r>
          </w:p>
        </w:tc>
        <w:tc>
          <w:tcPr>
            <w:tcW w:w="2978" w:type="pct"/>
            <w:tcBorders>
              <w:top w:val="single" w:color="auto" w:sz="4" w:space="0"/>
              <w:left w:val="single" w:color="auto" w:sz="4" w:space="0"/>
              <w:bottom w:val="single" w:color="auto" w:sz="4" w:space="0"/>
            </w:tcBorders>
            <w:vAlign w:val="center"/>
          </w:tcPr>
          <w:p w14:paraId="1C40E4BE">
            <w:pPr>
              <w:rPr>
                <w:rFonts w:ascii="宋体" w:hAnsi="宋体" w:cs="宋体"/>
                <w:color w:val="auto"/>
                <w:highlight w:val="none"/>
              </w:rPr>
            </w:pPr>
            <w:r>
              <w:rPr>
                <w:rFonts w:hint="eastAsia" w:ascii="宋体" w:hAnsi="宋体" w:cs="宋体"/>
                <w:color w:val="auto"/>
                <w:highlight w:val="none"/>
              </w:rPr>
              <w:t>评标价：100分</w:t>
            </w:r>
          </w:p>
        </w:tc>
      </w:tr>
      <w:tr w14:paraId="25FC4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0" w:hRule="atLeast"/>
        </w:trPr>
        <w:tc>
          <w:tcPr>
            <w:tcW w:w="1163" w:type="pct"/>
            <w:tcBorders>
              <w:top w:val="single" w:color="auto" w:sz="4" w:space="0"/>
              <w:right w:val="single" w:color="auto" w:sz="4" w:space="0"/>
            </w:tcBorders>
            <w:vAlign w:val="center"/>
          </w:tcPr>
          <w:p w14:paraId="63714D8E">
            <w:pPr>
              <w:jc w:val="center"/>
              <w:rPr>
                <w:rFonts w:ascii="宋体" w:hAnsi="宋体" w:cs="宋体"/>
                <w:color w:val="auto"/>
                <w:highlight w:val="none"/>
              </w:rPr>
            </w:pPr>
            <w:r>
              <w:rPr>
                <w:rFonts w:hint="eastAsia" w:ascii="宋体" w:hAnsi="宋体" w:cs="宋体"/>
                <w:color w:val="auto"/>
                <w:highlight w:val="none"/>
              </w:rPr>
              <w:t>2.2.2</w:t>
            </w:r>
          </w:p>
        </w:tc>
        <w:tc>
          <w:tcPr>
            <w:tcW w:w="858" w:type="pct"/>
            <w:tcBorders>
              <w:top w:val="single" w:color="auto" w:sz="4" w:space="0"/>
              <w:left w:val="single" w:color="auto" w:sz="4" w:space="0"/>
              <w:right w:val="single" w:color="auto" w:sz="4" w:space="0"/>
            </w:tcBorders>
            <w:vAlign w:val="center"/>
          </w:tcPr>
          <w:p w14:paraId="5D10C549">
            <w:pPr>
              <w:jc w:val="center"/>
              <w:rPr>
                <w:rFonts w:ascii="宋体" w:hAnsi="宋体" w:cs="宋体"/>
                <w:color w:val="auto"/>
                <w:highlight w:val="none"/>
              </w:rPr>
            </w:pPr>
            <w:r>
              <w:rPr>
                <w:rFonts w:hint="eastAsia" w:ascii="宋体" w:hAnsi="宋体" w:cs="宋体"/>
                <w:color w:val="auto"/>
                <w:highlight w:val="none"/>
              </w:rPr>
              <w:t>评标基准价</w:t>
            </w:r>
          </w:p>
          <w:p w14:paraId="6821933F">
            <w:pPr>
              <w:jc w:val="center"/>
              <w:rPr>
                <w:rFonts w:ascii="宋体" w:hAnsi="宋体" w:cs="宋体"/>
                <w:b/>
                <w:color w:val="auto"/>
                <w:highlight w:val="none"/>
              </w:rPr>
            </w:pPr>
            <w:r>
              <w:rPr>
                <w:rFonts w:hint="eastAsia" w:ascii="宋体" w:hAnsi="宋体" w:cs="宋体"/>
                <w:color w:val="auto"/>
                <w:highlight w:val="none"/>
              </w:rPr>
              <w:t>计算方法</w:t>
            </w:r>
          </w:p>
        </w:tc>
        <w:tc>
          <w:tcPr>
            <w:tcW w:w="2978" w:type="pct"/>
            <w:tcBorders>
              <w:top w:val="single" w:color="auto" w:sz="4" w:space="0"/>
              <w:left w:val="single" w:color="auto" w:sz="4" w:space="0"/>
            </w:tcBorders>
            <w:vAlign w:val="center"/>
          </w:tcPr>
          <w:p w14:paraId="636B3D78">
            <w:pPr>
              <w:rPr>
                <w:rFonts w:ascii="宋体" w:hAnsi="宋体" w:cs="宋体"/>
                <w:color w:val="auto"/>
                <w:highlight w:val="none"/>
              </w:rPr>
            </w:pPr>
            <w:r>
              <w:rPr>
                <w:rFonts w:hint="eastAsia" w:ascii="宋体" w:hAnsi="宋体" w:cs="宋体"/>
                <w:color w:val="auto"/>
                <w:highlight w:val="none"/>
              </w:rPr>
              <w:t>评标基准价的计算：</w:t>
            </w:r>
          </w:p>
          <w:p w14:paraId="4221CDC9">
            <w:pPr>
              <w:rPr>
                <w:rFonts w:ascii="宋体" w:hAnsi="宋体" w:cs="宋体"/>
                <w:color w:val="auto"/>
                <w:highlight w:val="none"/>
              </w:rPr>
            </w:pPr>
            <w:r>
              <w:rPr>
                <w:rFonts w:hint="eastAsia" w:ascii="宋体" w:hAnsi="宋体" w:cs="宋体"/>
                <w:color w:val="auto"/>
                <w:highlight w:val="none"/>
              </w:rPr>
              <w:t>在开标现场，招标人将当场计算并宣布评标基准价。</w:t>
            </w:r>
          </w:p>
          <w:p w14:paraId="19A272E5">
            <w:pPr>
              <w:rPr>
                <w:rFonts w:ascii="宋体" w:hAnsi="宋体" w:cs="宋体"/>
                <w:color w:val="auto"/>
                <w:highlight w:val="none"/>
              </w:rPr>
            </w:pPr>
            <w:r>
              <w:rPr>
                <w:rFonts w:hint="eastAsia" w:ascii="宋体" w:hAnsi="宋体" w:cs="宋体"/>
                <w:color w:val="auto"/>
                <w:highlight w:val="none"/>
              </w:rPr>
              <w:t>（1）评标价的确定：</w:t>
            </w:r>
          </w:p>
          <w:p w14:paraId="2C9E3D63">
            <w:pPr>
              <w:rPr>
                <w:rFonts w:ascii="宋体" w:hAnsi="宋体" w:cs="宋体"/>
                <w:color w:val="auto"/>
                <w:highlight w:val="none"/>
              </w:rPr>
            </w:pPr>
            <w:r>
              <w:rPr>
                <w:rFonts w:hint="eastAsia" w:ascii="宋体" w:hAnsi="宋体" w:cs="宋体"/>
                <w:color w:val="auto"/>
                <w:highlight w:val="none"/>
              </w:rPr>
              <w:t>评标价=投标函文字报价</w:t>
            </w:r>
          </w:p>
          <w:p w14:paraId="3CD5B625">
            <w:pPr>
              <w:rPr>
                <w:rFonts w:ascii="宋体" w:hAnsi="宋体" w:cs="宋体"/>
                <w:color w:val="auto"/>
                <w:highlight w:val="none"/>
              </w:rPr>
            </w:pPr>
            <w:r>
              <w:rPr>
                <w:rFonts w:hint="eastAsia" w:ascii="宋体" w:hAnsi="宋体" w:cs="宋体"/>
                <w:color w:val="auto"/>
                <w:highlight w:val="none"/>
              </w:rPr>
              <w:t>（2）评标价平均值的计算：</w:t>
            </w:r>
          </w:p>
          <w:p w14:paraId="5F0B5240">
            <w:pPr>
              <w:rPr>
                <w:rFonts w:ascii="宋体" w:hAnsi="宋体" w:cs="宋体"/>
                <w:color w:val="auto"/>
                <w:highlight w:val="none"/>
              </w:rPr>
            </w:pPr>
            <w:r>
              <w:rPr>
                <w:rFonts w:hint="eastAsia" w:ascii="宋体" w:hAnsi="宋体" w:cs="宋体"/>
                <w:color w:val="auto"/>
                <w:highlight w:val="none"/>
              </w:rPr>
              <w:t>除按第二章“投标人须知”第5.2款规定开标现场被宣布为否决投标的投标报价之外，</w:t>
            </w:r>
            <w:r>
              <w:rPr>
                <w:rFonts w:hint="eastAsia" w:ascii="宋体" w:hAnsi="宋体" w:cs="宋体"/>
                <w:b/>
                <w:bCs/>
                <w:color w:val="auto"/>
                <w:highlight w:val="none"/>
              </w:rPr>
              <w:t>所有投标人的评标价的算术平均值即为评标价平均值</w:t>
            </w:r>
            <w:r>
              <w:rPr>
                <w:rFonts w:hint="eastAsia" w:ascii="宋体" w:hAnsi="宋体" w:cs="宋体"/>
                <w:color w:val="auto"/>
                <w:highlight w:val="none"/>
              </w:rPr>
              <w:t>(五家或五家以上时去掉一个最高值和一个最低值)。</w:t>
            </w:r>
          </w:p>
          <w:p w14:paraId="1D32054C">
            <w:pPr>
              <w:rPr>
                <w:rFonts w:ascii="宋体" w:hAnsi="宋体" w:cs="宋体"/>
                <w:color w:val="auto"/>
                <w:highlight w:val="none"/>
              </w:rPr>
            </w:pPr>
            <w:r>
              <w:rPr>
                <w:rFonts w:hint="eastAsia" w:ascii="宋体" w:hAnsi="宋体" w:cs="宋体"/>
                <w:color w:val="auto"/>
                <w:highlight w:val="none"/>
              </w:rPr>
              <w:t>（3）评标基准价的确定：</w:t>
            </w:r>
          </w:p>
          <w:p w14:paraId="12FB4DCA">
            <w:pPr>
              <w:rPr>
                <w:rFonts w:hint="eastAsia" w:ascii="宋体" w:hAnsi="宋体" w:eastAsia="宋体" w:cs="宋体"/>
                <w:b/>
                <w:bCs/>
                <w:color w:val="auto"/>
                <w:spacing w:val="0"/>
                <w:sz w:val="21"/>
                <w:szCs w:val="21"/>
                <w:highlight w:val="none"/>
                <w:lang w:val="zh-CN"/>
              </w:rPr>
            </w:pPr>
            <w:r>
              <w:rPr>
                <w:rFonts w:hint="eastAsia" w:ascii="宋体" w:hAnsi="宋体" w:eastAsia="宋体" w:cs="宋体"/>
                <w:b/>
                <w:bCs/>
                <w:color w:val="auto"/>
                <w:spacing w:val="0"/>
                <w:sz w:val="21"/>
                <w:szCs w:val="21"/>
                <w:highlight w:val="none"/>
                <w:lang w:val="zh-CN"/>
              </w:rPr>
              <w:t>将评标价平均值直接作为评标基准价</w:t>
            </w:r>
          </w:p>
          <w:p w14:paraId="30592D43">
            <w:pPr>
              <w:rPr>
                <w:rFonts w:hint="eastAsia" w:ascii="宋体" w:hAnsi="宋体" w:eastAsia="宋体" w:cs="宋体"/>
                <w:b/>
                <w:bCs/>
                <w:color w:val="auto"/>
                <w:spacing w:val="0"/>
                <w:sz w:val="21"/>
                <w:szCs w:val="21"/>
                <w:highlight w:val="none"/>
                <w:lang w:val="zh-CN"/>
              </w:rPr>
            </w:pPr>
            <w:r>
              <w:rPr>
                <w:rFonts w:hint="eastAsia" w:ascii="宋体" w:hAnsi="宋体" w:eastAsia="宋体" w:cs="宋体"/>
                <w:b/>
                <w:bCs/>
                <w:color w:val="auto"/>
                <w:spacing w:val="0"/>
                <w:sz w:val="21"/>
                <w:szCs w:val="21"/>
                <w:highlight w:val="none"/>
                <w:lang w:val="zh-CN"/>
              </w:rPr>
              <w:t>在评标过程中，评标委员会应对招标人计算的评标基准价进行复核，存在计算错误的应予以修正并在评标报告中作出说明。除此之外，评标基准价在任何情况（包括因异议、投诉或其他原因导致的任何结果）下都保持不变。</w:t>
            </w:r>
          </w:p>
          <w:p w14:paraId="0C1B897C">
            <w:pPr>
              <w:rPr>
                <w:rFonts w:hint="eastAsia" w:ascii="宋体" w:hAnsi="宋体" w:eastAsia="宋体" w:cs="宋体"/>
                <w:b/>
                <w:bCs/>
                <w:color w:val="auto"/>
                <w:spacing w:val="0"/>
                <w:sz w:val="21"/>
                <w:szCs w:val="21"/>
                <w:highlight w:val="none"/>
                <w:lang w:val="zh-CN"/>
              </w:rPr>
            </w:pPr>
            <w:r>
              <w:rPr>
                <w:rFonts w:hint="eastAsia" w:ascii="宋体" w:hAnsi="宋体" w:eastAsia="宋体" w:cs="宋体"/>
                <w:b/>
                <w:bCs/>
                <w:color w:val="auto"/>
                <w:spacing w:val="0"/>
                <w:sz w:val="21"/>
                <w:szCs w:val="21"/>
                <w:highlight w:val="none"/>
                <w:lang w:val="zh-CN"/>
              </w:rPr>
              <w:t>注：计算错误仅限于以下两种情况：①纯算术性四则运算差错；②未按招标文件规定的计算方法计算，或多计或少计或错计投标人评标价。</w:t>
            </w:r>
          </w:p>
          <w:p w14:paraId="404FB53C">
            <w:pPr>
              <w:rPr>
                <w:rFonts w:ascii="宋体" w:hAnsi="宋体" w:cs="宋体"/>
                <w:color w:val="auto"/>
                <w:highlight w:val="none"/>
              </w:rPr>
            </w:pPr>
            <w:r>
              <w:rPr>
                <w:rFonts w:hint="eastAsia" w:ascii="宋体" w:hAnsi="宋体" w:eastAsia="宋体" w:cs="宋体"/>
                <w:b/>
                <w:bCs/>
                <w:color w:val="auto"/>
                <w:spacing w:val="0"/>
                <w:sz w:val="21"/>
                <w:szCs w:val="21"/>
                <w:highlight w:val="none"/>
                <w:lang w:val="zh-CN"/>
              </w:rPr>
              <w:t>偏差率=100% *（投标人评标价一评标基准价）/评标基准价</w:t>
            </w:r>
          </w:p>
        </w:tc>
      </w:tr>
      <w:tr w14:paraId="5AC24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1163" w:type="pct"/>
            <w:tcBorders>
              <w:top w:val="single" w:color="auto" w:sz="4" w:space="0"/>
              <w:bottom w:val="single" w:color="auto" w:sz="4" w:space="0"/>
              <w:right w:val="single" w:color="auto" w:sz="4" w:space="0"/>
            </w:tcBorders>
            <w:vAlign w:val="center"/>
          </w:tcPr>
          <w:p w14:paraId="7CC0BFA3">
            <w:pPr>
              <w:jc w:val="center"/>
              <w:rPr>
                <w:rFonts w:ascii="宋体" w:hAnsi="宋体" w:cs="宋体"/>
                <w:color w:val="auto"/>
                <w:highlight w:val="none"/>
              </w:rPr>
            </w:pPr>
            <w:r>
              <w:rPr>
                <w:rFonts w:hint="eastAsia" w:ascii="宋体" w:hAnsi="宋体" w:cs="宋体"/>
                <w:color w:val="auto"/>
                <w:highlight w:val="none"/>
              </w:rPr>
              <w:t>2.2.3</w:t>
            </w:r>
          </w:p>
        </w:tc>
        <w:tc>
          <w:tcPr>
            <w:tcW w:w="858" w:type="pct"/>
            <w:tcBorders>
              <w:top w:val="single" w:color="auto" w:sz="4" w:space="0"/>
              <w:left w:val="single" w:color="auto" w:sz="4" w:space="0"/>
              <w:bottom w:val="single" w:color="auto" w:sz="4" w:space="0"/>
              <w:right w:val="single" w:color="auto" w:sz="4" w:space="0"/>
            </w:tcBorders>
            <w:vAlign w:val="center"/>
          </w:tcPr>
          <w:p w14:paraId="6F95A05F">
            <w:pPr>
              <w:jc w:val="center"/>
              <w:rPr>
                <w:rFonts w:ascii="宋体" w:hAnsi="宋体" w:cs="宋体"/>
                <w:color w:val="auto"/>
                <w:highlight w:val="none"/>
              </w:rPr>
            </w:pPr>
            <w:r>
              <w:rPr>
                <w:rFonts w:hint="eastAsia" w:ascii="宋体" w:hAnsi="宋体" w:cs="宋体"/>
                <w:color w:val="auto"/>
                <w:highlight w:val="none"/>
              </w:rPr>
              <w:t>评标价的偏差率计算公式</w:t>
            </w:r>
          </w:p>
        </w:tc>
        <w:tc>
          <w:tcPr>
            <w:tcW w:w="2978" w:type="pct"/>
            <w:tcBorders>
              <w:top w:val="single" w:color="auto" w:sz="4" w:space="0"/>
              <w:left w:val="single" w:color="auto" w:sz="4" w:space="0"/>
              <w:bottom w:val="single" w:color="auto" w:sz="4" w:space="0"/>
            </w:tcBorders>
            <w:vAlign w:val="center"/>
          </w:tcPr>
          <w:p w14:paraId="3ABC46DB">
            <w:pPr>
              <w:rPr>
                <w:rFonts w:ascii="宋体" w:hAnsi="宋体" w:cs="宋体"/>
                <w:color w:val="auto"/>
                <w:highlight w:val="none"/>
              </w:rPr>
            </w:pPr>
            <w:r>
              <w:rPr>
                <w:rFonts w:hint="eastAsia" w:ascii="宋体" w:hAnsi="宋体" w:cs="宋体"/>
                <w:color w:val="auto"/>
                <w:highlight w:val="none"/>
              </w:rPr>
              <w:t>偏差率=100% ×（投标人评标价－评标基准价）/评标基准价</w:t>
            </w:r>
          </w:p>
        </w:tc>
      </w:tr>
      <w:tr w14:paraId="13C2F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pct"/>
            <w:tcBorders>
              <w:top w:val="single" w:color="auto" w:sz="4" w:space="0"/>
              <w:bottom w:val="single" w:color="auto" w:sz="4" w:space="0"/>
              <w:right w:val="single" w:color="auto" w:sz="4" w:space="0"/>
            </w:tcBorders>
            <w:vAlign w:val="center"/>
          </w:tcPr>
          <w:p w14:paraId="198D641C">
            <w:pPr>
              <w:jc w:val="center"/>
              <w:rPr>
                <w:rFonts w:ascii="宋体" w:hAnsi="宋体" w:cs="宋体"/>
                <w:color w:val="auto"/>
                <w:highlight w:val="none"/>
              </w:rPr>
            </w:pPr>
            <w:r>
              <w:rPr>
                <w:rFonts w:hint="eastAsia" w:ascii="宋体" w:hAnsi="宋体" w:cs="宋体"/>
                <w:color w:val="auto"/>
                <w:highlight w:val="none"/>
              </w:rPr>
              <w:t>2.2.4</w:t>
            </w:r>
          </w:p>
        </w:tc>
        <w:tc>
          <w:tcPr>
            <w:tcW w:w="858" w:type="pct"/>
            <w:tcBorders>
              <w:top w:val="single" w:color="auto" w:sz="4" w:space="0"/>
              <w:left w:val="single" w:color="auto" w:sz="4" w:space="0"/>
              <w:right w:val="single" w:color="auto" w:sz="4" w:space="0"/>
            </w:tcBorders>
            <w:vAlign w:val="center"/>
          </w:tcPr>
          <w:p w14:paraId="24F82C44">
            <w:pPr>
              <w:jc w:val="center"/>
              <w:rPr>
                <w:rFonts w:ascii="宋体" w:hAnsi="宋体" w:cs="宋体"/>
                <w:color w:val="auto"/>
                <w:highlight w:val="none"/>
              </w:rPr>
            </w:pPr>
            <w:r>
              <w:rPr>
                <w:rFonts w:hint="eastAsia" w:ascii="宋体" w:hAnsi="宋体" w:cs="宋体"/>
                <w:color w:val="auto"/>
                <w:highlight w:val="none"/>
              </w:rPr>
              <w:t>评标价</w:t>
            </w:r>
          </w:p>
        </w:tc>
        <w:tc>
          <w:tcPr>
            <w:tcW w:w="2978" w:type="pct"/>
            <w:tcBorders>
              <w:top w:val="single" w:color="auto" w:sz="4" w:space="0"/>
              <w:left w:val="single" w:color="auto" w:sz="4" w:space="0"/>
            </w:tcBorders>
          </w:tcPr>
          <w:p w14:paraId="0681F59E">
            <w:pPr>
              <w:rPr>
                <w:rFonts w:ascii="宋体" w:hAnsi="宋体" w:cs="宋体"/>
                <w:color w:val="auto"/>
                <w:highlight w:val="none"/>
              </w:rPr>
            </w:pPr>
            <w:r>
              <w:rPr>
                <w:rFonts w:hint="eastAsia" w:ascii="宋体" w:hAnsi="宋体" w:cs="宋体"/>
                <w:color w:val="auto"/>
                <w:highlight w:val="none"/>
              </w:rPr>
              <w:t>满分</w:t>
            </w:r>
            <w:r>
              <w:rPr>
                <w:rFonts w:hint="eastAsia" w:ascii="宋体" w:hAnsi="宋体" w:cs="宋体"/>
                <w:color w:val="auto"/>
                <w:highlight w:val="none"/>
                <w:u w:val="single"/>
              </w:rPr>
              <w:t>100</w:t>
            </w:r>
            <w:r>
              <w:rPr>
                <w:rFonts w:hint="eastAsia" w:ascii="宋体" w:hAnsi="宋体" w:cs="宋体"/>
                <w:color w:val="auto"/>
                <w:highlight w:val="none"/>
              </w:rPr>
              <w:t>分</w:t>
            </w:r>
          </w:p>
          <w:p w14:paraId="35B6F56D">
            <w:pPr>
              <w:rPr>
                <w:rFonts w:ascii="宋体" w:hAnsi="宋体" w:cs="宋体"/>
                <w:color w:val="auto"/>
                <w:highlight w:val="none"/>
              </w:rPr>
            </w:pPr>
            <w:r>
              <w:rPr>
                <w:rFonts w:hint="eastAsia" w:ascii="宋体" w:hAnsi="宋体" w:cs="宋体"/>
                <w:color w:val="auto"/>
                <w:highlight w:val="none"/>
              </w:rPr>
              <w:t>评标价得分计算公式示例：</w:t>
            </w:r>
          </w:p>
          <w:p w14:paraId="286C67E4">
            <w:pPr>
              <w:rPr>
                <w:rFonts w:ascii="宋体" w:hAnsi="宋体" w:cs="宋体"/>
                <w:color w:val="auto"/>
                <w:highlight w:val="none"/>
              </w:rPr>
            </w:pPr>
            <w:r>
              <w:rPr>
                <w:rFonts w:hint="eastAsia" w:ascii="宋体" w:hAnsi="宋体" w:cs="宋体"/>
                <w:color w:val="auto"/>
                <w:highlight w:val="none"/>
              </w:rPr>
              <w:t>（1）如果投标人的评标价&gt;评标基准价，则评标价得分＝</w:t>
            </w:r>
            <w:r>
              <w:rPr>
                <w:rFonts w:hint="eastAsia" w:ascii="宋体" w:hAnsi="宋体" w:cs="宋体"/>
                <w:color w:val="auto"/>
                <w:highlight w:val="none"/>
                <w:u w:val="single"/>
              </w:rPr>
              <w:t>100</w:t>
            </w:r>
            <w:r>
              <w:rPr>
                <w:rFonts w:hint="eastAsia" w:ascii="宋体" w:hAnsi="宋体" w:cs="宋体"/>
                <w:color w:val="auto"/>
                <w:highlight w:val="none"/>
              </w:rPr>
              <w:t>－偏差率×100×E</w:t>
            </w:r>
            <w:r>
              <w:rPr>
                <w:rFonts w:hint="eastAsia" w:ascii="宋体" w:hAnsi="宋体" w:cs="宋体"/>
                <w:color w:val="auto"/>
                <w:highlight w:val="none"/>
                <w:vertAlign w:val="subscript"/>
              </w:rPr>
              <w:t>1</w:t>
            </w:r>
            <w:r>
              <w:rPr>
                <w:rFonts w:hint="eastAsia" w:ascii="宋体" w:hAnsi="宋体" w:cs="宋体"/>
                <w:color w:val="auto"/>
                <w:highlight w:val="none"/>
              </w:rPr>
              <w:t>；</w:t>
            </w:r>
          </w:p>
          <w:p w14:paraId="72589FB1">
            <w:pPr>
              <w:rPr>
                <w:rFonts w:ascii="宋体" w:hAnsi="宋体" w:cs="宋体"/>
                <w:color w:val="auto"/>
                <w:highlight w:val="none"/>
              </w:rPr>
            </w:pPr>
            <w:r>
              <w:rPr>
                <w:rFonts w:hint="eastAsia" w:ascii="宋体" w:hAnsi="宋体" w:cs="宋体"/>
                <w:color w:val="auto"/>
                <w:highlight w:val="none"/>
              </w:rPr>
              <w:t>（2）如果投标人的评标价≤评标基准价，则评标价得分＝</w:t>
            </w:r>
            <w:r>
              <w:rPr>
                <w:rFonts w:hint="eastAsia" w:ascii="宋体" w:hAnsi="宋体" w:cs="宋体"/>
                <w:color w:val="auto"/>
                <w:highlight w:val="none"/>
                <w:u w:val="single"/>
              </w:rPr>
              <w:t>100</w:t>
            </w:r>
            <w:r>
              <w:rPr>
                <w:rFonts w:hint="eastAsia" w:ascii="宋体" w:hAnsi="宋体" w:cs="宋体"/>
                <w:color w:val="auto"/>
                <w:highlight w:val="none"/>
              </w:rPr>
              <w:t>＋偏差率×100×E</w:t>
            </w:r>
            <w:r>
              <w:rPr>
                <w:rFonts w:hint="eastAsia" w:ascii="宋体" w:hAnsi="宋体" w:cs="宋体"/>
                <w:color w:val="auto"/>
                <w:highlight w:val="none"/>
                <w:vertAlign w:val="subscript"/>
              </w:rPr>
              <w:t>2</w:t>
            </w:r>
            <w:r>
              <w:rPr>
                <w:rFonts w:hint="eastAsia" w:ascii="宋体" w:hAnsi="宋体" w:cs="宋体"/>
                <w:color w:val="auto"/>
                <w:highlight w:val="none"/>
              </w:rPr>
              <w:t>。</w:t>
            </w:r>
          </w:p>
          <w:p w14:paraId="52303C51">
            <w:pPr>
              <w:rPr>
                <w:rFonts w:ascii="宋体" w:hAnsi="宋体" w:cs="宋体"/>
                <w:color w:val="auto"/>
                <w:highlight w:val="none"/>
              </w:rPr>
            </w:pPr>
            <w:r>
              <w:rPr>
                <w:rFonts w:hint="eastAsia" w:ascii="宋体" w:hAnsi="宋体" w:cs="宋体"/>
                <w:color w:val="auto"/>
                <w:highlight w:val="none"/>
              </w:rPr>
              <w:t>其中：E</w:t>
            </w:r>
            <w:r>
              <w:rPr>
                <w:rFonts w:hint="eastAsia" w:ascii="宋体" w:hAnsi="宋体" w:cs="宋体"/>
                <w:color w:val="auto"/>
                <w:highlight w:val="none"/>
                <w:vertAlign w:val="subscript"/>
              </w:rPr>
              <w:t>1</w:t>
            </w:r>
            <w:r>
              <w:rPr>
                <w:rFonts w:hint="eastAsia" w:ascii="宋体" w:hAnsi="宋体" w:cs="宋体"/>
                <w:color w:val="auto"/>
                <w:highlight w:val="none"/>
              </w:rPr>
              <w:t>是评标价每高于评标基准价一个百分点的扣分值，E</w:t>
            </w:r>
            <w:r>
              <w:rPr>
                <w:rFonts w:hint="eastAsia" w:ascii="宋体" w:hAnsi="宋体" w:cs="宋体"/>
                <w:color w:val="auto"/>
                <w:highlight w:val="none"/>
                <w:vertAlign w:val="subscript"/>
              </w:rPr>
              <w:t>1</w:t>
            </w:r>
            <w:r>
              <w:rPr>
                <w:rFonts w:hint="eastAsia" w:ascii="宋体" w:hAnsi="宋体" w:cs="宋体"/>
                <w:color w:val="auto"/>
                <w:highlight w:val="none"/>
              </w:rPr>
              <w:t>=2；</w:t>
            </w:r>
          </w:p>
          <w:p w14:paraId="7D3D438C">
            <w:pPr>
              <w:rPr>
                <w:rFonts w:ascii="宋体" w:hAnsi="宋体" w:cs="宋体"/>
                <w:color w:val="auto"/>
                <w:highlight w:val="none"/>
              </w:rPr>
            </w:pPr>
            <w:r>
              <w:rPr>
                <w:rFonts w:hint="eastAsia" w:ascii="宋体" w:hAnsi="宋体" w:cs="宋体"/>
                <w:color w:val="auto"/>
                <w:highlight w:val="none"/>
              </w:rPr>
              <w:t>E</w:t>
            </w:r>
            <w:r>
              <w:rPr>
                <w:rFonts w:hint="eastAsia" w:ascii="宋体" w:hAnsi="宋体" w:cs="宋体"/>
                <w:color w:val="auto"/>
                <w:highlight w:val="none"/>
                <w:vertAlign w:val="subscript"/>
              </w:rPr>
              <w:t>2</w:t>
            </w:r>
            <w:r>
              <w:rPr>
                <w:rFonts w:hint="eastAsia" w:ascii="宋体" w:hAnsi="宋体" w:cs="宋体"/>
                <w:color w:val="auto"/>
                <w:highlight w:val="none"/>
              </w:rPr>
              <w:t>是评标价每低于标基准价一个百分点的扣分值，E</w:t>
            </w:r>
            <w:r>
              <w:rPr>
                <w:rFonts w:hint="eastAsia" w:ascii="宋体" w:hAnsi="宋体" w:cs="宋体"/>
                <w:color w:val="auto"/>
                <w:highlight w:val="none"/>
                <w:vertAlign w:val="subscript"/>
              </w:rPr>
              <w:t>2</w:t>
            </w:r>
            <w:r>
              <w:rPr>
                <w:rFonts w:hint="eastAsia" w:ascii="宋体" w:hAnsi="宋体" w:cs="宋体"/>
                <w:color w:val="auto"/>
                <w:highlight w:val="none"/>
              </w:rPr>
              <w:t>=1。</w:t>
            </w:r>
          </w:p>
        </w:tc>
      </w:tr>
    </w:tbl>
    <w:p w14:paraId="082EDAB4">
      <w:pPr>
        <w:widowControl/>
        <w:jc w:val="left"/>
        <w:rPr>
          <w:rFonts w:ascii="宋体"/>
          <w:color w:val="auto"/>
          <w:highlight w:val="none"/>
        </w:rPr>
        <w:sectPr>
          <w:footerReference r:id="rId3" w:type="default"/>
          <w:pgSz w:w="11906" w:h="16838"/>
          <w:pgMar w:top="1389" w:right="1474" w:bottom="1389" w:left="1644" w:header="851" w:footer="992" w:gutter="0"/>
          <w:cols w:space="720" w:num="1"/>
        </w:sectPr>
      </w:pPr>
    </w:p>
    <w:p w14:paraId="7DE1C7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 评标方法</w:t>
      </w:r>
    </w:p>
    <w:p w14:paraId="654709B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次评标采用合理低价法。评标委员会对满足招标文件实质性要求的投标文件，按照本章第2.2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14:paraId="7345B85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 评审标准</w:t>
      </w:r>
    </w:p>
    <w:p w14:paraId="5976B2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 初步评审标准</w:t>
      </w:r>
    </w:p>
    <w:p w14:paraId="610818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2.1.1 形式评审标准：见评标办法前附表。</w:t>
      </w:r>
    </w:p>
    <w:p w14:paraId="5E66BBF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2.1.2 资格评审标准：见评标办法前附表。</w:t>
      </w:r>
    </w:p>
    <w:p w14:paraId="7AF1EE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2.1.3 响应性评审标准：见评标办法前附表。</w:t>
      </w:r>
    </w:p>
    <w:p w14:paraId="4A18F08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 分值构成与评分标准</w:t>
      </w:r>
    </w:p>
    <w:p w14:paraId="5FC886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2.2.1 分值构成</w:t>
      </w:r>
    </w:p>
    <w:p w14:paraId="5FABF5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评标价：见评标办法前附表。</w:t>
      </w:r>
    </w:p>
    <w:p w14:paraId="2DA392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2.2.2 评标基准价计算</w:t>
      </w:r>
    </w:p>
    <w:p w14:paraId="5F7B335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评标基准价计算方法：见评标办法前附表。计算结果保留小数点后两位，小数点后第三位“四舍五入”。</w:t>
      </w:r>
    </w:p>
    <w:p w14:paraId="425E9A3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2.2.3 评标价的偏差率计算</w:t>
      </w:r>
    </w:p>
    <w:p w14:paraId="1784B2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评标价的偏差率计算公式：见评标办法前附表。</w:t>
      </w:r>
    </w:p>
    <w:p w14:paraId="51744E2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2.2.4 评分标准</w:t>
      </w:r>
    </w:p>
    <w:p w14:paraId="18CD09D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评标价评分标准：见评标办法前附表。</w:t>
      </w:r>
    </w:p>
    <w:p w14:paraId="7E6F5FB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 评标程序</w:t>
      </w:r>
    </w:p>
    <w:p w14:paraId="613682B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 第一个信封初步评审</w:t>
      </w:r>
    </w:p>
    <w:p w14:paraId="114315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 评标委员会依据本章第2.1款规定的标准对投标文件第一个信封（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）进行初步评审。有一项不符合评审标准的，评标委员会应否决其投标。</w:t>
      </w:r>
    </w:p>
    <w:p w14:paraId="573117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3.2 第二个信封开标</w:t>
      </w:r>
    </w:p>
    <w:p w14:paraId="1872EFA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）评审结束后，招标人将按照第二章“投标人须知”第5.1款规定的时间和地点对通过投标文件第一个信封（</w:t>
      </w:r>
      <w:r>
        <w:rPr>
          <w:rFonts w:hint="eastAsia" w:ascii="宋体" w:hAnsi="宋体" w:cs="宋体"/>
          <w:color w:val="auto"/>
          <w:highlight w:val="none"/>
          <w:lang w:eastAsia="zh-CN"/>
        </w:rPr>
        <w:t>资格审查文件</w:t>
      </w:r>
      <w:r>
        <w:rPr>
          <w:rFonts w:hint="eastAsia" w:ascii="宋体" w:hAnsi="宋体" w:cs="宋体"/>
          <w:color w:val="auto"/>
          <w:highlight w:val="none"/>
        </w:rPr>
        <w:t>）评审的所有投标文件第二个信封（报价文件）进行开标。</w:t>
      </w:r>
    </w:p>
    <w:p w14:paraId="2803C4D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 第二个信封初步评审</w:t>
      </w:r>
    </w:p>
    <w:p w14:paraId="7410FA9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3.3.1 评标委员会依据本章第2.1.1项、第2.1.3项规定的评审标准对投标文件第二个信封（报价文件）进行初步评审。有一项不符合评审标准的，评标委员会应否决其投标。</w:t>
      </w:r>
    </w:p>
    <w:p w14:paraId="4B50F1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 第二个信封详细评审</w:t>
      </w:r>
    </w:p>
    <w:p w14:paraId="77C2B12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3.4.1 评标委员会按本章第2.2款规定的量化因素和分值进行打分，并计算出综合评估得分。</w:t>
      </w:r>
    </w:p>
    <w:p w14:paraId="559E896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3.4.2 投标人得分分值计算保留小数点后两位，小数点后第三位“四舍五入”。</w:t>
      </w:r>
    </w:p>
    <w:p w14:paraId="29476D1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3.4.3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40E6505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 投标文件相关信息的核查</w:t>
      </w:r>
    </w:p>
    <w:p w14:paraId="4872DF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3.5.1 在评标过程中，评标委员会应按照招标文件第二章“投标人须知”第3.5款的规定对投标人的资质、业绩、主要人员资历和目前在岗情况等信息进行核实。若投标文件载明的信息与核实的信息不符，使得投标人的资格条件不符合招标文件规定的，评标委员会应否决其投标。</w:t>
      </w:r>
    </w:p>
    <w:p w14:paraId="2E5E0C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3.5.2 评标委员会应对在评标过程中发现的投标人与投标人之间、投标人与招标人之间存在的串通投标的情形进行评审和认定。投标人存在串通投标、弄虚作假、行贿等违法行为的，评标委员会应否决其投标。</w:t>
      </w:r>
    </w:p>
    <w:p w14:paraId="06664D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（1）有下列情形之一的，属于投标人相互串通投标：</w:t>
      </w:r>
    </w:p>
    <w:p w14:paraId="24A3554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a.投标人之间协商投标报价等投标文件的实质性内容，含按照相互约定不实质性响应招标文件的、按照相互约定制定投标方案的；</w:t>
      </w:r>
    </w:p>
    <w:p w14:paraId="78D63F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b.投标人之间约定中标人，含相互约定给予未中标的投标人费用补偿的；</w:t>
      </w:r>
    </w:p>
    <w:p w14:paraId="5F2B758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c.投标人之间约定部分投标人放弃投标或中标；</w:t>
      </w:r>
    </w:p>
    <w:p w14:paraId="0B39CD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d.属于同一集团、协会、商会等组织成员的投标人按照该组织要求协同投标；</w:t>
      </w:r>
    </w:p>
    <w:p w14:paraId="472A67C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e.投标人之间为谋取中标或排斥特定投标人而采取的其他联合行动；</w:t>
      </w:r>
    </w:p>
    <w:p w14:paraId="1525B1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f.</w:t>
      </w:r>
      <w:r>
        <w:rPr>
          <w:rFonts w:hint="eastAsia" w:ascii="宋体" w:hAnsi="宋体" w:cs="宋体"/>
          <w:color w:val="auto"/>
          <w:highlight w:val="none"/>
          <w:lang w:eastAsia="zh-CN"/>
        </w:rPr>
        <w:t>法律法规</w:t>
      </w:r>
      <w:r>
        <w:rPr>
          <w:rFonts w:hint="eastAsia" w:ascii="宋体" w:hAnsi="宋体" w:cs="宋体"/>
          <w:color w:val="auto"/>
          <w:highlight w:val="none"/>
        </w:rPr>
        <w:t>、规章规定的其他相互串通投标行为。</w:t>
      </w:r>
    </w:p>
    <w:p w14:paraId="364DE9D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（2）有下列情形之一的，视为投标人相互串通投标：</w:t>
      </w:r>
    </w:p>
    <w:p w14:paraId="4B411C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a.不同投标人的投标文件由同一单位或个人编制，含不同投标人的电子投标文件出自同一台电脑的、不同投标人的投标文件由同一投标人的附属设备打印复印的、不同投标人的投标报价出自同一电子文档的；</w:t>
      </w:r>
    </w:p>
    <w:p w14:paraId="0EB5D2B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b.不同投标人委托同一单位或个人办理投标事宜；</w:t>
      </w:r>
    </w:p>
    <w:p w14:paraId="6FC969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c.不同投标人的投标文件载明的项目管理成员为同一人；</w:t>
      </w:r>
    </w:p>
    <w:p w14:paraId="545BB8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d.不同投标人的投标文件异常一致或投标报价呈规律性差异，含不同投标人编制的投标文件存在两处以上一致性错误的；</w:t>
      </w:r>
    </w:p>
    <w:p w14:paraId="371618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e.不同投标人的投标文件相互混装；</w:t>
      </w:r>
    </w:p>
    <w:p w14:paraId="3CE26E1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f.不同投标人的投标保证金从同一单位或个人的账户转出，或虽然经由投标人自己的基本账户转出，但所需资金均是来自同一单位或者个人的账户的；</w:t>
      </w:r>
    </w:p>
    <w:p w14:paraId="59EBB24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g.</w:t>
      </w:r>
      <w:r>
        <w:rPr>
          <w:rFonts w:hint="eastAsia" w:ascii="宋体" w:hAnsi="宋体" w:cs="宋体"/>
          <w:color w:val="auto"/>
          <w:highlight w:val="none"/>
          <w:lang w:eastAsia="zh-CN"/>
        </w:rPr>
        <w:t>法律法规</w:t>
      </w:r>
      <w:r>
        <w:rPr>
          <w:rFonts w:hint="eastAsia" w:ascii="宋体" w:hAnsi="宋体" w:cs="宋体"/>
          <w:color w:val="auto"/>
          <w:highlight w:val="none"/>
        </w:rPr>
        <w:t>、规章规定的其他视为相互串通投标的行为。</w:t>
      </w:r>
    </w:p>
    <w:p w14:paraId="2413E36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（3）有下列情形之一的，属于招标人与投标人串通投标：</w:t>
      </w:r>
    </w:p>
    <w:p w14:paraId="14E6856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a.招标人在开标前开启投标文件并将有关信息泄露给其他投标人，含直接或者间接向投标人泄露已经获取招标文件的潜在投标人的名称、数量的;</w:t>
      </w:r>
    </w:p>
    <w:p w14:paraId="61F64D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b.招标人直接或间接向投标人泄露标底、评标委员会成员等信息，含直接或者间接向投标利害关系人泄露评标情况的；</w:t>
      </w:r>
    </w:p>
    <w:p w14:paraId="612BD7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c.招标人明示或暗示投标人压低或抬高投标报价；</w:t>
      </w:r>
    </w:p>
    <w:p w14:paraId="6C4E97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d.招标人授意投标人撤换、修改投标文件，含故意损毁、篡改特定投标文件内容；</w:t>
      </w:r>
    </w:p>
    <w:p w14:paraId="56BE37C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e.招标人明示或暗示投标人为特定投标人中标提供方便；</w:t>
      </w:r>
    </w:p>
    <w:p w14:paraId="6651B80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f.招标人与投标人为谋求特定投标人中标而采取的其他串通行为；</w:t>
      </w:r>
    </w:p>
    <w:p w14:paraId="585CFE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g.</w:t>
      </w:r>
      <w:r>
        <w:rPr>
          <w:rFonts w:hint="eastAsia" w:ascii="宋体" w:hAnsi="宋体" w:cs="宋体"/>
          <w:color w:val="auto"/>
          <w:highlight w:val="none"/>
          <w:lang w:eastAsia="zh-CN"/>
        </w:rPr>
        <w:t>法律法规</w:t>
      </w:r>
      <w:r>
        <w:rPr>
          <w:rFonts w:hint="eastAsia" w:ascii="宋体" w:hAnsi="宋体" w:cs="宋体"/>
          <w:color w:val="auto"/>
          <w:highlight w:val="none"/>
        </w:rPr>
        <w:t>、规章规定的其他串通投标行为。</w:t>
      </w:r>
    </w:p>
    <w:p w14:paraId="3430A55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（4）投标人有下列情形之一的，属于弄虚作假的行为：</w:t>
      </w:r>
    </w:p>
    <w:p w14:paraId="0FB347F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a.使用通过受让或租借等方式获取的资格、资质证书投标，含由其他单位或者其他单位负责人在自己编制的投标文件上加盖印章或者签字的；</w:t>
      </w:r>
    </w:p>
    <w:p w14:paraId="00EDFF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b.使用伪造、变造的许可证件；</w:t>
      </w:r>
    </w:p>
    <w:p w14:paraId="212FDB8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c.提供虚假的财务状况或业绩；</w:t>
      </w:r>
    </w:p>
    <w:p w14:paraId="3F76CB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d.项目负责人或者主要技术人员不是本单位人员，提供虚假的项目负责人或主要技术人员简历、劳动关系证明；</w:t>
      </w:r>
    </w:p>
    <w:p w14:paraId="0DD1BF0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e.提供虚假的信用状况；</w:t>
      </w:r>
    </w:p>
    <w:p w14:paraId="4FFCE79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f.投标保证金不是从投标人的账户缴纳的；</w:t>
      </w:r>
    </w:p>
    <w:p w14:paraId="7B60E2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g.投标文件中有与事实不符的承诺材料的；</w:t>
      </w:r>
    </w:p>
    <w:p w14:paraId="55E0B4C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h.隐瞒招标文件要求提供的信息，或者提供虚假、引人误解的其他信息的；</w:t>
      </w:r>
    </w:p>
    <w:p w14:paraId="2BC12C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i.</w:t>
      </w:r>
      <w:r>
        <w:rPr>
          <w:rFonts w:hint="eastAsia" w:ascii="宋体" w:hAnsi="宋体" w:cs="宋体"/>
          <w:color w:val="auto"/>
          <w:highlight w:val="none"/>
          <w:lang w:eastAsia="zh-CN"/>
        </w:rPr>
        <w:t>法律法规</w:t>
      </w:r>
      <w:r>
        <w:rPr>
          <w:rFonts w:hint="eastAsia" w:ascii="宋体" w:hAnsi="宋体" w:cs="宋体"/>
          <w:color w:val="auto"/>
          <w:highlight w:val="none"/>
        </w:rPr>
        <w:t>、规章规定的其他弄虚作假的行为。</w:t>
      </w:r>
    </w:p>
    <w:p w14:paraId="14A80F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 投标文件的澄清和说明</w:t>
      </w:r>
    </w:p>
    <w:p w14:paraId="349A0DB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62D3B55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3.6.2 澄清和说明不得超出投标文件的范围或改变投标文件的实质性内容。投标人的书面澄清、说明属于投标文件的组成部分。</w:t>
      </w:r>
    </w:p>
    <w:p w14:paraId="26B37FF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3.6.3 评标委员会不得暗示或诱导投标人作出澄清、说明，对投标人提交的澄清、说明有疑问的，可以要求投标人进一步澄清或说明，直至满足评标委员会的要求。</w:t>
      </w:r>
    </w:p>
    <w:p w14:paraId="72F8F39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3.6.4 凡超出招标文件规定的或给发包人带来未曾要求的利益的变化、偏差或其他因素在评标时不予考虑。</w:t>
      </w:r>
    </w:p>
    <w:p w14:paraId="587502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3.7 不得否决投标的情形</w:t>
      </w:r>
    </w:p>
    <w:p w14:paraId="57EB064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投标文件存在第二章“投标人须知”第1.12.3项所列情形的，均视为细微偏差，评标委员会不得否决投标人的投标，应按照第二章“投标人须知”第1.12.4项规定的原则处理。</w:t>
      </w:r>
    </w:p>
    <w:p w14:paraId="54679E1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3.8 评标结果</w:t>
      </w:r>
    </w:p>
    <w:p w14:paraId="3C0A4FC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3.8.1 除第二章“投标人须知”前附表授权直接确定中标人外，评标委员会按照得分由高到低的顺序推荐中标候选人，并标明排序。</w:t>
      </w:r>
    </w:p>
    <w:p w14:paraId="7B38B14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3.8.2 评标委员会完成评标后，应向招标人提交书面评标报告。</w:t>
      </w:r>
    </w:p>
    <w:p w14:paraId="05CC4F3D">
      <w:pPr>
        <w:pStyle w:val="12"/>
        <w:spacing w:line="360" w:lineRule="atLeast"/>
        <w:ind w:firstLine="480"/>
        <w:rPr>
          <w:rFonts w:ascii="隶书" w:hAnsi="黑体" w:eastAsia="隶书"/>
          <w:color w:val="auto"/>
          <w:highlight w:val="none"/>
        </w:rPr>
      </w:pPr>
    </w:p>
    <w:p w14:paraId="45B06146">
      <w:pPr>
        <w:widowControl/>
        <w:jc w:val="left"/>
        <w:rPr>
          <w:bCs/>
          <w:color w:val="auto"/>
          <w:highlight w:val="none"/>
        </w:rPr>
      </w:pPr>
      <w:r>
        <w:rPr>
          <w:bCs/>
          <w:color w:val="auto"/>
          <w:highlight w:val="none"/>
        </w:rPr>
        <w:br w:type="page"/>
      </w:r>
    </w:p>
    <w:p w14:paraId="16AD181B">
      <w:pPr>
        <w:pStyle w:val="22"/>
        <w:spacing w:line="240" w:lineRule="auto"/>
        <w:outlineLvl w:val="9"/>
        <w:rPr>
          <w:rFonts w:eastAsia="宋体"/>
          <w:color w:val="auto"/>
          <w:sz w:val="48"/>
          <w:szCs w:val="48"/>
          <w:highlight w:val="none"/>
        </w:rPr>
      </w:pPr>
    </w:p>
    <w:p w14:paraId="69382B4A">
      <w:pPr>
        <w:rPr>
          <w:color w:val="auto"/>
          <w:sz w:val="48"/>
          <w:szCs w:val="48"/>
          <w:highlight w:val="none"/>
        </w:rPr>
      </w:pPr>
    </w:p>
    <w:p w14:paraId="0F3C5672">
      <w:pPr>
        <w:pStyle w:val="2"/>
        <w:rPr>
          <w:color w:val="auto"/>
          <w:sz w:val="48"/>
          <w:szCs w:val="48"/>
          <w:highlight w:val="none"/>
        </w:rPr>
      </w:pPr>
    </w:p>
    <w:p w14:paraId="66A5DD1D">
      <w:pPr>
        <w:rPr>
          <w:color w:val="auto"/>
          <w:sz w:val="48"/>
          <w:szCs w:val="48"/>
          <w:highlight w:val="none"/>
        </w:rPr>
      </w:pPr>
    </w:p>
    <w:p w14:paraId="32A45784">
      <w:pPr>
        <w:pStyle w:val="2"/>
        <w:rPr>
          <w:color w:val="auto"/>
          <w:sz w:val="48"/>
          <w:szCs w:val="48"/>
          <w:highlight w:val="none"/>
        </w:rPr>
      </w:pPr>
    </w:p>
    <w:p w14:paraId="216BCE48">
      <w:pPr>
        <w:rPr>
          <w:color w:val="auto"/>
          <w:sz w:val="48"/>
          <w:szCs w:val="48"/>
          <w:highlight w:val="none"/>
        </w:rPr>
      </w:pPr>
    </w:p>
    <w:p w14:paraId="6ED67ED8">
      <w:pPr>
        <w:pStyle w:val="2"/>
        <w:rPr>
          <w:color w:val="auto"/>
          <w:sz w:val="48"/>
          <w:szCs w:val="48"/>
          <w:highlight w:val="none"/>
        </w:rPr>
      </w:pPr>
    </w:p>
    <w:p w14:paraId="530FD5D1">
      <w:pPr>
        <w:rPr>
          <w:color w:val="auto"/>
          <w:sz w:val="48"/>
          <w:szCs w:val="48"/>
          <w:highlight w:val="none"/>
        </w:rPr>
      </w:pPr>
    </w:p>
    <w:p w14:paraId="0A7338A0">
      <w:pPr>
        <w:pStyle w:val="2"/>
        <w:rPr>
          <w:color w:val="auto"/>
          <w:sz w:val="48"/>
          <w:szCs w:val="48"/>
          <w:highlight w:val="none"/>
        </w:rPr>
      </w:pPr>
    </w:p>
    <w:p w14:paraId="6B501CE9">
      <w:pPr>
        <w:rPr>
          <w:color w:val="auto"/>
          <w:highlight w:val="none"/>
        </w:rPr>
      </w:pPr>
    </w:p>
    <w:p w14:paraId="3695EA12">
      <w:pPr>
        <w:widowControl/>
        <w:jc w:val="left"/>
        <w:rPr>
          <w:color w:val="auto"/>
          <w:kern w:val="44"/>
          <w:sz w:val="52"/>
          <w:szCs w:val="52"/>
          <w:highlight w:val="none"/>
        </w:rPr>
      </w:pPr>
      <w:bookmarkStart w:id="224" w:name="_Toc152042387"/>
      <w:bookmarkStart w:id="225" w:name="_Toc179632627"/>
      <w:bookmarkStart w:id="226" w:name="_Toc152045609"/>
      <w:bookmarkStart w:id="227" w:name="_Toc144974577"/>
    </w:p>
    <w:p w14:paraId="1225A3C3">
      <w:pPr>
        <w:pStyle w:val="3"/>
        <w:spacing w:before="0" w:after="0" w:line="240" w:lineRule="auto"/>
        <w:jc w:val="center"/>
        <w:rPr>
          <w:b w:val="0"/>
          <w:bCs w:val="0"/>
          <w:color w:val="auto"/>
          <w:sz w:val="52"/>
          <w:szCs w:val="52"/>
          <w:highlight w:val="none"/>
        </w:rPr>
      </w:pPr>
      <w:bookmarkStart w:id="228" w:name="_Toc15846"/>
      <w:bookmarkStart w:id="229" w:name="_Toc2486"/>
      <w:r>
        <w:rPr>
          <w:rFonts w:hint="eastAsia" w:cs="黑体"/>
          <w:b w:val="0"/>
          <w:bCs w:val="0"/>
          <w:color w:val="auto"/>
          <w:sz w:val="52"/>
          <w:szCs w:val="52"/>
          <w:highlight w:val="none"/>
        </w:rPr>
        <w:t>第</w:t>
      </w:r>
      <w:r>
        <w:rPr>
          <w:rFonts w:hint="eastAsia" w:cs="黑体"/>
          <w:b w:val="0"/>
          <w:bCs w:val="0"/>
          <w:color w:val="auto"/>
          <w:sz w:val="52"/>
          <w:szCs w:val="52"/>
          <w:highlight w:val="none"/>
          <w:lang w:val="en-US" w:eastAsia="zh-CN"/>
        </w:rPr>
        <w:t>四</w:t>
      </w:r>
      <w:r>
        <w:rPr>
          <w:rFonts w:hint="eastAsia" w:cs="黑体"/>
          <w:b w:val="0"/>
          <w:bCs w:val="0"/>
          <w:color w:val="auto"/>
          <w:sz w:val="52"/>
          <w:szCs w:val="52"/>
          <w:highlight w:val="none"/>
        </w:rPr>
        <w:t>章合同条款及格式</w:t>
      </w:r>
      <w:bookmarkEnd w:id="224"/>
      <w:bookmarkEnd w:id="225"/>
      <w:bookmarkEnd w:id="226"/>
      <w:bookmarkEnd w:id="227"/>
      <w:bookmarkEnd w:id="228"/>
      <w:bookmarkEnd w:id="229"/>
    </w:p>
    <w:p w14:paraId="25A4EACF">
      <w:pPr>
        <w:jc w:val="left"/>
        <w:rPr>
          <w:color w:val="auto"/>
          <w:highlight w:val="none"/>
        </w:rPr>
      </w:pPr>
      <w:r>
        <w:rPr>
          <w:color w:val="auto"/>
          <w:highlight w:val="none"/>
        </w:rPr>
        <w:br w:type="page"/>
      </w:r>
    </w:p>
    <w:p w14:paraId="09605489">
      <w:pPr>
        <w:keepNext/>
        <w:keepLines/>
        <w:adjustRightInd w:val="0"/>
        <w:snapToGrid w:val="0"/>
        <w:spacing w:line="360" w:lineRule="auto"/>
        <w:jc w:val="center"/>
        <w:outlineLvl w:val="0"/>
        <w:rPr>
          <w:rFonts w:ascii="宋体" w:hAnsi="宋体" w:cs="宋体"/>
          <w:b/>
          <w:bCs/>
          <w:color w:val="auto"/>
          <w:kern w:val="44"/>
          <w:sz w:val="30"/>
          <w:szCs w:val="30"/>
          <w:highlight w:val="none"/>
        </w:rPr>
      </w:pPr>
      <w:bookmarkStart w:id="230" w:name="_Toc10494"/>
      <w:r>
        <w:rPr>
          <w:rFonts w:hint="eastAsia" w:ascii="宋体" w:hAnsi="宋体" w:cs="宋体"/>
          <w:b/>
          <w:bCs/>
          <w:color w:val="auto"/>
          <w:kern w:val="44"/>
          <w:sz w:val="30"/>
          <w:szCs w:val="30"/>
          <w:highlight w:val="none"/>
        </w:rPr>
        <w:t>合同条款</w:t>
      </w:r>
      <w:bookmarkEnd w:id="230"/>
    </w:p>
    <w:p w14:paraId="79803D47">
      <w:pPr>
        <w:keepNext/>
        <w:adjustRightInd w:val="0"/>
        <w:snapToGrid w:val="0"/>
        <w:spacing w:line="360" w:lineRule="auto"/>
        <w:ind w:firstLine="422" w:firstLineChars="200"/>
        <w:jc w:val="left"/>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一、名词解释</w:t>
      </w:r>
    </w:p>
    <w:p w14:paraId="024201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除另有说明外，下列名词的含义如下：</w:t>
      </w:r>
    </w:p>
    <w:p w14:paraId="59869C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1、“发包人”是指投资建设的单位，本工程是</w:t>
      </w:r>
      <w:r>
        <w:rPr>
          <w:rFonts w:hint="eastAsia" w:asciiTheme="minorEastAsia" w:hAnsiTheme="minorEastAsia" w:eastAsiaTheme="minorEastAsia" w:cstheme="minorEastAsia"/>
          <w:bCs/>
          <w:color w:val="auto"/>
          <w:kern w:val="44"/>
          <w:highlight w:val="none"/>
        </w:rPr>
        <w:t>南通市交通公共事业发展中心</w:t>
      </w:r>
      <w:r>
        <w:rPr>
          <w:rFonts w:hint="eastAsia" w:asciiTheme="minorEastAsia" w:hAnsiTheme="minorEastAsia" w:eastAsiaTheme="minorEastAsia" w:cstheme="minorEastAsia"/>
          <w:color w:val="auto"/>
          <w:kern w:val="0"/>
          <w:highlight w:val="none"/>
        </w:rPr>
        <w:t>（又称为“甲方”）</w:t>
      </w:r>
      <w:r>
        <w:rPr>
          <w:rFonts w:hint="eastAsia" w:asciiTheme="minorEastAsia" w:hAnsiTheme="minorEastAsia" w:eastAsiaTheme="minorEastAsia" w:cstheme="minorEastAsia"/>
          <w:color w:val="auto"/>
          <w:highlight w:val="none"/>
        </w:rPr>
        <w:t>。</w:t>
      </w:r>
    </w:p>
    <w:p w14:paraId="428E5C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bookmarkStart w:id="231" w:name="_Toc31262060"/>
      <w:r>
        <w:rPr>
          <w:rFonts w:hint="eastAsia" w:asciiTheme="minorEastAsia" w:hAnsiTheme="minorEastAsia" w:eastAsiaTheme="minorEastAsia" w:cstheme="minorEastAsia"/>
          <w:color w:val="auto"/>
          <w:kern w:val="0"/>
          <w:highlight w:val="none"/>
        </w:rPr>
        <w:t>2、承包单位</w:t>
      </w:r>
    </w:p>
    <w:p w14:paraId="51C13A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是指接到建设(业主)单位中标通知，并与业主签订了承包协议书的竞标单位。“乙方”的定义和“承包单位”的定义相同。</w:t>
      </w:r>
    </w:p>
    <w:p w14:paraId="3B88C0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3、项目经理</w:t>
      </w:r>
    </w:p>
    <w:p w14:paraId="002D89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是指由承包单位委派、全面负责其承包工程按合同规定施工的经济和技术的代理人。乙方应将对项目经理的委任以书面形式通知甲方。</w:t>
      </w:r>
    </w:p>
    <w:p w14:paraId="45473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4、工程</w:t>
      </w:r>
    </w:p>
    <w:p w14:paraId="7BFC47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是指列入本合同必须完成的全部工程（包括临时工程以及由符合程序而签署变更通知和额外工程项目）。</w:t>
      </w:r>
    </w:p>
    <w:p w14:paraId="246D5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5、施工设备</w:t>
      </w:r>
    </w:p>
    <w:p w14:paraId="2CC376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是指乙方为实施完成本合同工程所必须的全部机械、器具等。</w:t>
      </w:r>
    </w:p>
    <w:p w14:paraId="0F11E9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6、合同价款</w:t>
      </w:r>
    </w:p>
    <w:p w14:paraId="012FC3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bCs/>
          <w:color w:val="auto"/>
          <w:kern w:val="0"/>
          <w:highlight w:val="none"/>
        </w:rPr>
        <w:t>指合同规定甲方全面正确地履行合同义务应支付给乙方的价格</w:t>
      </w:r>
      <w:r>
        <w:rPr>
          <w:rFonts w:hint="eastAsia" w:asciiTheme="minorEastAsia" w:hAnsiTheme="minorEastAsia" w:eastAsiaTheme="minorEastAsia" w:cstheme="minorEastAsia"/>
          <w:color w:val="auto"/>
          <w:kern w:val="0"/>
          <w:highlight w:val="none"/>
        </w:rPr>
        <w:t>。</w:t>
      </w:r>
    </w:p>
    <w:p w14:paraId="349391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7、技术规范</w:t>
      </w:r>
    </w:p>
    <w:p w14:paraId="511BDF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是指招标文件中的技术要求，是对本合同工程施工的技术要求。</w:t>
      </w:r>
    </w:p>
    <w:p w14:paraId="3482F2E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8、合同</w:t>
      </w:r>
    </w:p>
    <w:p w14:paraId="16E83C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是甲方和乙方法定代表人或其授权代表之间正式签订的相互明确权利和义务关系的协议。</w:t>
      </w:r>
    </w:p>
    <w:p w14:paraId="41E08E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9、“年”、“月”和“日”</w:t>
      </w:r>
    </w:p>
    <w:p w14:paraId="595108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都应按公历计算。“天”：是指日历天。</w:t>
      </w:r>
    </w:p>
    <w:p w14:paraId="11938E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10、“元”</w:t>
      </w:r>
    </w:p>
    <w:p w14:paraId="51FDBE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是指人民币元，是本合同中的货币单位。</w:t>
      </w:r>
    </w:p>
    <w:bookmarkEnd w:id="231"/>
    <w:p w14:paraId="4EA7A2F7">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二、双方的权利与义务</w:t>
      </w:r>
    </w:p>
    <w:p w14:paraId="63C406B3">
      <w:pPr>
        <w:widowControl/>
        <w:adjustRightInd w:val="0"/>
        <w:snapToGrid w:val="0"/>
        <w:spacing w:line="360" w:lineRule="auto"/>
        <w:ind w:firstLine="422" w:firstLineChars="200"/>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甲方主要义务</w:t>
      </w:r>
    </w:p>
    <w:p w14:paraId="482D51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1、提供本工程相关资料。</w:t>
      </w:r>
    </w:p>
    <w:p w14:paraId="3B92A5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2、检查和监督乙方的施工工艺、施工质量、施工进度以及安全生产和环境保护工作。</w:t>
      </w:r>
    </w:p>
    <w:p w14:paraId="472E678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3、</w:t>
      </w:r>
      <w:r>
        <w:rPr>
          <w:rFonts w:hint="eastAsia" w:asciiTheme="minorEastAsia" w:hAnsiTheme="minorEastAsia" w:eastAsiaTheme="minorEastAsia" w:cstheme="minorEastAsia"/>
          <w:color w:val="auto"/>
          <w:highlight w:val="none"/>
        </w:rPr>
        <w:t>审查乙方上报的工程计量支付申请，按工程计量及考核结果及时支付工程款。</w:t>
      </w:r>
    </w:p>
    <w:p w14:paraId="5E14923C">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4、</w:t>
      </w:r>
      <w:r>
        <w:rPr>
          <w:rFonts w:hint="eastAsia" w:asciiTheme="minorEastAsia" w:hAnsiTheme="minorEastAsia" w:eastAsiaTheme="minorEastAsia" w:cstheme="minorEastAsia"/>
          <w:color w:val="auto"/>
          <w:highlight w:val="none"/>
        </w:rPr>
        <w:t>甲方应加强对乙方安全和科学生产的教育、指导、监督。</w:t>
      </w:r>
    </w:p>
    <w:p w14:paraId="6B2CBE52">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5、</w:t>
      </w:r>
      <w:r>
        <w:rPr>
          <w:rFonts w:hint="eastAsia" w:asciiTheme="minorEastAsia" w:hAnsiTheme="minorEastAsia" w:eastAsiaTheme="minorEastAsia" w:cstheme="minorEastAsia"/>
          <w:color w:val="auto"/>
          <w:highlight w:val="none"/>
        </w:rPr>
        <w:t>甲方应及时派员检查乙方工作情况。</w:t>
      </w:r>
    </w:p>
    <w:p w14:paraId="026A2FD1">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6、</w:t>
      </w:r>
      <w:r>
        <w:rPr>
          <w:rFonts w:hint="eastAsia" w:asciiTheme="minorEastAsia" w:hAnsiTheme="minorEastAsia" w:eastAsiaTheme="minorEastAsia" w:cstheme="minorEastAsia"/>
          <w:color w:val="auto"/>
          <w:highlight w:val="none"/>
        </w:rPr>
        <w:t>双方约定甲方应做的其他工作。</w:t>
      </w:r>
    </w:p>
    <w:p w14:paraId="319F550C">
      <w:pPr>
        <w:widowControl/>
        <w:adjustRightInd w:val="0"/>
        <w:snapToGrid w:val="0"/>
        <w:spacing w:line="360" w:lineRule="auto"/>
        <w:ind w:firstLine="422" w:firstLineChars="200"/>
        <w:rPr>
          <w:rFonts w:asciiTheme="minorEastAsia" w:hAnsiTheme="minorEastAsia" w:eastAsiaTheme="minorEastAsia" w:cstheme="minorEastAsia"/>
          <w:b/>
          <w:color w:val="auto"/>
          <w:kern w:val="0"/>
          <w:highlight w:val="none"/>
        </w:rPr>
      </w:pPr>
      <w:r>
        <w:rPr>
          <w:rFonts w:hint="eastAsia" w:asciiTheme="minorEastAsia" w:hAnsiTheme="minorEastAsia" w:eastAsiaTheme="minorEastAsia" w:cstheme="minorEastAsia"/>
          <w:b/>
          <w:color w:val="auto"/>
          <w:kern w:val="0"/>
          <w:highlight w:val="none"/>
        </w:rPr>
        <w:t>乙方主要义务</w:t>
      </w:r>
    </w:p>
    <w:p w14:paraId="67A45DD7">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1、</w:t>
      </w:r>
      <w:r>
        <w:rPr>
          <w:rFonts w:hint="eastAsia" w:asciiTheme="minorEastAsia" w:hAnsiTheme="minorEastAsia" w:eastAsiaTheme="minorEastAsia" w:cstheme="minorEastAsia"/>
          <w:color w:val="auto"/>
          <w:highlight w:val="none"/>
        </w:rPr>
        <w:t>应严格按照有关规范及招标文件所规定的技术要求，认真进行施工工作，全过程接受甲方监督，施工质量按同一标准进行验收。由乙方填报“工程报验及计量单”，由甲方审核。</w:t>
      </w:r>
    </w:p>
    <w:p w14:paraId="4554DCC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为确保施工质量，应及时向甲方或其代表提供工程进度计划及相应的进度统计报表和报告。乙方进入施工现场前，首先与相关部门协调后，取得相关手续后方可进入施工现场，所有的协调工作由乙方自行完成。</w:t>
      </w:r>
    </w:p>
    <w:p w14:paraId="06D56BE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3、施工中用水、用电、机具、材料等皆由乙方负责，乙方应妥善处理施工中留下的杂物，不得造成二次污染，影响路容路貌。</w:t>
      </w:r>
    </w:p>
    <w:p w14:paraId="2C64A41B">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4、如甲方认为必要，乙方应为甲方有关人员提供必要之交通工具，用于质量检查与验收。</w:t>
      </w:r>
    </w:p>
    <w:p w14:paraId="5D13EF31">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5、甲方在合同执行期间发出的任何书面通知，若在五天内乙方未以书面形式提出反对意见，则该通知被视为本合同的一部分。</w:t>
      </w:r>
    </w:p>
    <w:p w14:paraId="3A927DDA">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6、施工期间服从甲方或其代表的现场管理，并接受甲方的监督、检查和验收，采取切实可行的措施，确保按期完成甲方委托的施工任务，并保证达到甲方要求的工程质量等级。</w:t>
      </w:r>
    </w:p>
    <w:p w14:paraId="246591FE">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7、乙方应按照甲方的管理要求，做好内部管理工作。</w:t>
      </w:r>
    </w:p>
    <w:p w14:paraId="04FC7BF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8、应有完备的原材料及施工自检资料，报验资料和计量资料及时报甲方审核。工程结束后按甲方要求提交相关资料和决算（一式两份）及其相应的电子文档、照片一份，并配合甲方进行工程验收。</w:t>
      </w:r>
    </w:p>
    <w:p w14:paraId="4BD41247">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严格遵守工程建设安全生产的有关规定，严格按照安全标准施工，采取必要的安全防护措施并对施工人员进行安全生产教育和管理；健全组织制度，指定主要领导负责安全工作，确保作业人员和车辆、设备的安全。</w:t>
      </w:r>
    </w:p>
    <w:p w14:paraId="6D73E387">
      <w:pPr>
        <w:widowControl/>
        <w:adjustRightInd w:val="0"/>
        <w:snapToGrid w:val="0"/>
        <w:spacing w:line="360" w:lineRule="auto"/>
        <w:ind w:firstLine="420"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highlight w:val="none"/>
        </w:rPr>
        <w:t>乙方施工作业应按规定办理相关手续，并服从相关部门的管理。</w:t>
      </w:r>
    </w:p>
    <w:p w14:paraId="54C6D85B">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乙方在施工过程中发生的任何交通、生产事故造成财产损失或人员伤亡的，以及与其他第三方发生的任何纠纷或事故，甲方概不承担任何责任和费用。</w:t>
      </w:r>
    </w:p>
    <w:p w14:paraId="5FE6798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乙方应在整个施工期间（包括缺陷责任期）对其为本合同工程工作的乙方人员投保意外伤害险；乙方还应为其为完成本合同工程的设备、车辆购买财产保险，其投保金额应足以现场重置。办理保险的一切费用均由乙方承担，并已包括在本合同工程量清单价及总额价中。甲方不单独支付。</w:t>
      </w:r>
    </w:p>
    <w:p w14:paraId="048C711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11、竣工验收前认真做好已完工程的保护工作，竣工验收后应做好工程质量缺陷期内工程缺陷的修复工作，所发生的费用由乙方承担。</w:t>
      </w:r>
    </w:p>
    <w:p w14:paraId="001A74C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12、双方约定乙方应做的其他工作。</w:t>
      </w:r>
    </w:p>
    <w:p w14:paraId="528C89C2">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32" w:name="_Toc31262061"/>
      <w:r>
        <w:rPr>
          <w:rFonts w:hint="eastAsia" w:asciiTheme="minorEastAsia" w:hAnsiTheme="minorEastAsia" w:eastAsiaTheme="minorEastAsia" w:cstheme="minorEastAsia"/>
          <w:b/>
          <w:bCs/>
          <w:color w:val="auto"/>
          <w:highlight w:val="none"/>
        </w:rPr>
        <w:t>三、合同形式</w:t>
      </w:r>
      <w:bookmarkEnd w:id="232"/>
      <w:r>
        <w:rPr>
          <w:rFonts w:hint="eastAsia" w:asciiTheme="minorEastAsia" w:hAnsiTheme="minorEastAsia" w:eastAsiaTheme="minorEastAsia" w:cstheme="minorEastAsia"/>
          <w:b/>
          <w:bCs/>
          <w:color w:val="auto"/>
          <w:highlight w:val="none"/>
        </w:rPr>
        <w:t>、金额</w:t>
      </w:r>
    </w:p>
    <w:p w14:paraId="5E3FFF85">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1、本项目采用</w:t>
      </w:r>
      <w:r>
        <w:rPr>
          <w:rFonts w:hint="eastAsia" w:asciiTheme="minorEastAsia" w:hAnsiTheme="minorEastAsia" w:eastAsiaTheme="minorEastAsia" w:cstheme="minorEastAsia"/>
          <w:color w:val="auto"/>
          <w:highlight w:val="none"/>
        </w:rPr>
        <w:t>综合单价合同</w:t>
      </w:r>
      <w:r>
        <w:rPr>
          <w:rFonts w:hint="eastAsia" w:asciiTheme="minorEastAsia" w:hAnsiTheme="minorEastAsia" w:eastAsiaTheme="minorEastAsia" w:cstheme="minorEastAsia"/>
          <w:color w:val="auto"/>
          <w:highlight w:val="none"/>
          <w:lang w:val="zh-CN"/>
        </w:rPr>
        <w:t>。</w:t>
      </w:r>
    </w:p>
    <w:p w14:paraId="3421B98C">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bCs/>
          <w:color w:val="auto"/>
          <w:highlight w:val="none"/>
        </w:rPr>
        <w:t>合同价应包括合同范围内相应工程量清单及相关资料及规范、规定等全部内容，包含但不限于投标人承担本合同项目全部工程的实施、材料费（含运输及二次搬运费）、人工费、交通费、机械/设备费、劳务费、管理费、维护费、安全生产费、保险费、利润、规费、税金等以及合同明示或暗示的所有一般风险责任和义务费用，以及为完成上述内容所必须的附属工程、临时工程、材料、劳务、机械、成品保护、垂直运输、脚手架搭设使用、与各工种间的协调配合工作、清洗、养护、验收、安全措施、技术措施，作为一名有经验的投标人所应考虑到的各种因素、风险及所需的全部费用。</w:t>
      </w:r>
    </w:p>
    <w:p w14:paraId="18D5BADF">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3、签约合同价格：人民币</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w:t>
      </w:r>
    </w:p>
    <w:p w14:paraId="6928AD49">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33" w:name="_Toc31262062"/>
      <w:r>
        <w:rPr>
          <w:rFonts w:hint="eastAsia" w:asciiTheme="minorEastAsia" w:hAnsiTheme="minorEastAsia" w:eastAsiaTheme="minorEastAsia" w:cstheme="minorEastAsia"/>
          <w:b/>
          <w:bCs/>
          <w:color w:val="auto"/>
          <w:highlight w:val="none"/>
        </w:rPr>
        <w:t>四、转让和分包</w:t>
      </w:r>
      <w:bookmarkEnd w:id="233"/>
    </w:p>
    <w:p w14:paraId="482E4EE1">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未经甲方同意，乙方不得将本合同转让。</w:t>
      </w:r>
    </w:p>
    <w:p w14:paraId="00827087">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分包：不允许分包。</w:t>
      </w:r>
    </w:p>
    <w:p w14:paraId="02316060">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34" w:name="_Toc31262063"/>
      <w:r>
        <w:rPr>
          <w:rFonts w:hint="eastAsia" w:asciiTheme="minorEastAsia" w:hAnsiTheme="minorEastAsia" w:eastAsiaTheme="minorEastAsia" w:cstheme="minorEastAsia"/>
          <w:b/>
          <w:bCs/>
          <w:color w:val="auto"/>
          <w:highlight w:val="none"/>
        </w:rPr>
        <w:t>五、合同范围</w:t>
      </w:r>
      <w:bookmarkEnd w:id="234"/>
    </w:p>
    <w:p w14:paraId="292B48C1">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l、除另有规定外，合同工程包括乙方承包的全部工程施工中需要的人力、材料、工程设备和一切施工设施(无论是临时性的或永久性的)等，均由乙方负责。</w:t>
      </w:r>
    </w:p>
    <w:p w14:paraId="502BB912">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2、本工程所用的全部材料，均由乙方，按照就近、运输合理的原则，自行招标、运输和保管，并计列到工价，由乙方在合同工期内一次包定。</w:t>
      </w:r>
    </w:p>
    <w:p w14:paraId="2E23EBE3">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3、施工用电</w:t>
      </w:r>
    </w:p>
    <w:p w14:paraId="6074FCD0">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本工程的施工用电和照明用电，均由乙方自行解决。</w:t>
      </w:r>
    </w:p>
    <w:p w14:paraId="6E27C091">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4、施工、生活用水</w:t>
      </w:r>
    </w:p>
    <w:p w14:paraId="059B9C33">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本工程的施工和生活用水，均由乙方自行解决。</w:t>
      </w:r>
    </w:p>
    <w:p w14:paraId="66D58FE9">
      <w:pPr>
        <w:keepNext/>
        <w:keepLines/>
        <w:adjustRightInd w:val="0"/>
        <w:snapToGrid w:val="0"/>
        <w:spacing w:line="360" w:lineRule="auto"/>
        <w:ind w:firstLine="422" w:firstLineChars="200"/>
        <w:outlineLvl w:val="3"/>
        <w:rPr>
          <w:rFonts w:asciiTheme="minorEastAsia" w:hAnsiTheme="minorEastAsia" w:eastAsiaTheme="minorEastAsia" w:cstheme="minorEastAsia"/>
          <w:b/>
          <w:color w:val="auto"/>
          <w:kern w:val="0"/>
          <w:highlight w:val="none"/>
          <w:lang w:val="zh-CN"/>
        </w:rPr>
      </w:pPr>
      <w:bookmarkStart w:id="235" w:name="_Toc31262065"/>
      <w:r>
        <w:rPr>
          <w:rFonts w:hint="eastAsia" w:asciiTheme="minorEastAsia" w:hAnsiTheme="minorEastAsia" w:eastAsiaTheme="minorEastAsia" w:cstheme="minorEastAsia"/>
          <w:b/>
          <w:color w:val="auto"/>
          <w:kern w:val="0"/>
          <w:highlight w:val="none"/>
        </w:rPr>
        <w:t>六</w:t>
      </w:r>
      <w:r>
        <w:rPr>
          <w:rFonts w:hint="eastAsia" w:asciiTheme="minorEastAsia" w:hAnsiTheme="minorEastAsia" w:eastAsiaTheme="minorEastAsia" w:cstheme="minorEastAsia"/>
          <w:b/>
          <w:color w:val="auto"/>
          <w:kern w:val="0"/>
          <w:highlight w:val="none"/>
          <w:lang w:val="zh-CN"/>
        </w:rPr>
        <w:t>、书面通知</w:t>
      </w:r>
      <w:bookmarkEnd w:id="235"/>
    </w:p>
    <w:p w14:paraId="19AE25E6">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凡根据合同规定，由甲方、乙方发出的或送达的任何通知、指示、建议、意见、决定及申请等均应是书面的，并应作出相应解释，任何这类书面通知都不应被无故扣发或贻误。</w:t>
      </w:r>
      <w:bookmarkStart w:id="236" w:name="_Toc31262066"/>
    </w:p>
    <w:bookmarkEnd w:id="236"/>
    <w:p w14:paraId="403CC7C0">
      <w:pPr>
        <w:tabs>
          <w:tab w:val="left" w:pos="1710"/>
        </w:tabs>
        <w:adjustRightInd w:val="0"/>
        <w:snapToGrid w:val="0"/>
        <w:spacing w:line="360" w:lineRule="auto"/>
        <w:ind w:firstLine="422" w:firstLineChars="200"/>
        <w:rPr>
          <w:rFonts w:asciiTheme="minorEastAsia" w:hAnsiTheme="minorEastAsia" w:eastAsiaTheme="minorEastAsia" w:cstheme="minorEastAsia"/>
          <w:b/>
          <w:color w:val="auto"/>
          <w:kern w:val="0"/>
          <w:highlight w:val="none"/>
          <w:lang w:val="zh-CN"/>
        </w:rPr>
      </w:pPr>
      <w:bookmarkStart w:id="237" w:name="_Toc31262070"/>
      <w:r>
        <w:rPr>
          <w:rFonts w:hint="eastAsia" w:asciiTheme="minorEastAsia" w:hAnsiTheme="minorEastAsia" w:eastAsiaTheme="minorEastAsia" w:cstheme="minorEastAsia"/>
          <w:b/>
          <w:color w:val="auto"/>
          <w:kern w:val="0"/>
          <w:highlight w:val="none"/>
        </w:rPr>
        <w:t>七</w:t>
      </w:r>
      <w:r>
        <w:rPr>
          <w:rFonts w:hint="eastAsia" w:asciiTheme="minorEastAsia" w:hAnsiTheme="minorEastAsia" w:eastAsiaTheme="minorEastAsia" w:cstheme="minorEastAsia"/>
          <w:b/>
          <w:color w:val="auto"/>
          <w:kern w:val="0"/>
          <w:highlight w:val="none"/>
          <w:lang w:val="zh-CN"/>
        </w:rPr>
        <w:t>、施工和管理</w:t>
      </w:r>
      <w:bookmarkEnd w:id="237"/>
    </w:p>
    <w:p w14:paraId="51FC00A5">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1、乙方的施工机械和车辆应服从当地有关部门的管理，并按照有关要求安全行驶，服从检验和交纳各种相应费用等。乙方应交纳的各项规费、附加费用均由乙方自行负担。</w:t>
      </w:r>
    </w:p>
    <w:p w14:paraId="62E98097">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2、项目经理现场管理</w:t>
      </w:r>
    </w:p>
    <w:p w14:paraId="65C777ED">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项目经理离开施工现场必须向发包人请假，项目经理未经批准，擅自离开施工现场的违约责任：甲方将不定期进行考核检查，检查时，发现未经甲方同意，项目经理擅自离开现场，甲方向乙方收取违约金，详见违约条款。</w:t>
      </w:r>
    </w:p>
    <w:p w14:paraId="2EFB4465">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乙方擅自更换项目经理的违约责任：派驻现场的项目经理应与</w:t>
      </w:r>
      <w:r>
        <w:rPr>
          <w:rFonts w:hint="eastAsia" w:asciiTheme="minorEastAsia" w:hAnsiTheme="minorEastAsia" w:eastAsiaTheme="minorEastAsia" w:cstheme="minorEastAsia"/>
          <w:color w:val="auto"/>
          <w:kern w:val="0"/>
          <w:highlight w:val="none"/>
        </w:rPr>
        <w:t>投标</w:t>
      </w:r>
      <w:r>
        <w:rPr>
          <w:rFonts w:hint="eastAsia" w:asciiTheme="minorEastAsia" w:hAnsiTheme="minorEastAsia" w:eastAsiaTheme="minorEastAsia" w:cstheme="minorEastAsia"/>
          <w:color w:val="auto"/>
          <w:kern w:val="0"/>
          <w:highlight w:val="none"/>
          <w:lang w:val="zh-CN"/>
        </w:rPr>
        <w:t>文件一致，必须保证施工全过程在本项目工地工作，更换项目经理必须得到甲方书面认可，同时须向甲方支付违约金。项目经理必须坚守岗位，不得兼职本工程以外的工作。</w:t>
      </w:r>
    </w:p>
    <w:p w14:paraId="0BBA1EC5">
      <w:pPr>
        <w:tabs>
          <w:tab w:val="left" w:pos="1710"/>
        </w:tabs>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乙方无正当理由拒绝更换项目经理的违约责任：</w:t>
      </w:r>
      <w:r>
        <w:rPr>
          <w:rFonts w:hint="eastAsia" w:asciiTheme="minorEastAsia" w:hAnsiTheme="minorEastAsia" w:eastAsiaTheme="minorEastAsia" w:cstheme="minorEastAsia"/>
          <w:color w:val="auto"/>
          <w:kern w:val="0"/>
          <w:highlight w:val="none"/>
        </w:rPr>
        <w:t>投标</w:t>
      </w:r>
      <w:r>
        <w:rPr>
          <w:rFonts w:hint="eastAsia" w:asciiTheme="minorEastAsia" w:hAnsiTheme="minorEastAsia" w:eastAsiaTheme="minorEastAsia" w:cstheme="minorEastAsia"/>
          <w:color w:val="auto"/>
          <w:kern w:val="0"/>
          <w:highlight w:val="none"/>
          <w:lang w:val="zh-CN"/>
        </w:rPr>
        <w:t>文件中承诺的项目经理经甲方考核不合格者，乙方必须在一周内无条件更换。</w:t>
      </w:r>
    </w:p>
    <w:p w14:paraId="4AFF5E9C">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38" w:name="_Toc31262072"/>
      <w:r>
        <w:rPr>
          <w:rFonts w:hint="eastAsia" w:asciiTheme="minorEastAsia" w:hAnsiTheme="minorEastAsia" w:eastAsiaTheme="minorEastAsia" w:cstheme="minorEastAsia"/>
          <w:b/>
          <w:bCs/>
          <w:color w:val="auto"/>
          <w:highlight w:val="none"/>
        </w:rPr>
        <w:t>八、施工设备、器材、材料供应</w:t>
      </w:r>
      <w:bookmarkEnd w:id="238"/>
    </w:p>
    <w:p w14:paraId="21CC2043">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为完成本合同工程施工所需的全部施工设备（含试验和自检测量等设备）、器材、材料均由乙方负责提供、包括招标、验收、运输和保管，并按合同计划及时运到现场，费用由乙方自理。</w:t>
      </w:r>
    </w:p>
    <w:p w14:paraId="316714C7">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九、工程质量及验收标准和依据</w:t>
      </w:r>
    </w:p>
    <w:p w14:paraId="1E5F7DCD">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1、以甲方或其代表以书面形式批准的变更通知或施工指导意见、国家颁发的施工技术或验收规范和质量检验标准及有关规定为依据。工程质量等级为合格。</w:t>
      </w:r>
    </w:p>
    <w:p w14:paraId="5301EBE5">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2、甲方要求乙方确保工程合格率达到100％。验收不合格的工程造成的一切损失由乙方负责。</w:t>
      </w:r>
    </w:p>
    <w:p w14:paraId="3CF76011">
      <w:pPr>
        <w:widowControl/>
        <w:adjustRightInd w:val="0"/>
        <w:snapToGrid w:val="0"/>
        <w:spacing w:line="360" w:lineRule="auto"/>
        <w:ind w:firstLine="422" w:firstLineChars="200"/>
        <w:rPr>
          <w:rFonts w:asciiTheme="minorEastAsia" w:hAnsiTheme="minorEastAsia" w:eastAsiaTheme="minorEastAsia" w:cstheme="minorEastAsia"/>
          <w:b/>
          <w:color w:val="auto"/>
          <w:highlight w:val="none"/>
        </w:rPr>
      </w:pPr>
      <w:bookmarkStart w:id="239" w:name="_Toc31262082"/>
      <w:r>
        <w:rPr>
          <w:rFonts w:hint="eastAsia" w:asciiTheme="minorEastAsia" w:hAnsiTheme="minorEastAsia" w:eastAsiaTheme="minorEastAsia" w:cstheme="minorEastAsia"/>
          <w:b/>
          <w:color w:val="auto"/>
          <w:highlight w:val="none"/>
        </w:rPr>
        <w:t>十、付款办法</w:t>
      </w:r>
      <w:bookmarkEnd w:id="239"/>
    </w:p>
    <w:p w14:paraId="736D8CEA">
      <w:pPr>
        <w:widowControl/>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bookmarkStart w:id="240" w:name="_Toc31262084"/>
      <w:r>
        <w:rPr>
          <w:rFonts w:hint="eastAsia" w:asciiTheme="minorEastAsia" w:hAnsiTheme="minorEastAsia" w:eastAsiaTheme="minorEastAsia" w:cstheme="minorEastAsia"/>
          <w:color w:val="auto"/>
          <w:kern w:val="0"/>
          <w:highlight w:val="none"/>
          <w:lang w:val="zh-CN"/>
        </w:rPr>
        <w:t>本项目为</w:t>
      </w:r>
      <w:r>
        <w:rPr>
          <w:rFonts w:hint="eastAsia" w:asciiTheme="minorEastAsia" w:hAnsiTheme="minorEastAsia" w:eastAsiaTheme="minorEastAsia" w:cstheme="minorEastAsia"/>
          <w:bCs/>
          <w:color w:val="auto"/>
          <w:highlight w:val="none"/>
        </w:rPr>
        <w:t>综合单价合同；工程量按实结算；除合同另有明确规定外，合同综合单价一概不予调整。最终结算价不得超过签约合同价</w:t>
      </w:r>
      <w:r>
        <w:rPr>
          <w:rFonts w:hint="eastAsia" w:asciiTheme="minorEastAsia" w:hAnsiTheme="minorEastAsia" w:eastAsiaTheme="minorEastAsia" w:cstheme="minorEastAsia"/>
          <w:color w:val="auto"/>
          <w:kern w:val="0"/>
          <w:highlight w:val="none"/>
          <w:lang w:val="zh-CN"/>
        </w:rPr>
        <w:t>。</w:t>
      </w:r>
    </w:p>
    <w:p w14:paraId="3BD80AC4">
      <w:pPr>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default" w:asciiTheme="minorEastAsia" w:hAnsiTheme="minorEastAsia" w:eastAsiaTheme="minorEastAsia" w:cstheme="minorEastAsia"/>
          <w:color w:val="auto"/>
          <w:kern w:val="0"/>
          <w:highlight w:val="none"/>
          <w:lang w:val="en-US"/>
        </w:rPr>
        <w:t>项目完工验收合格且</w:t>
      </w:r>
      <w:r>
        <w:rPr>
          <w:rFonts w:hint="default" w:asciiTheme="minorEastAsia" w:hAnsiTheme="minorEastAsia" w:eastAsiaTheme="minorEastAsia" w:cstheme="minorEastAsia"/>
          <w:color w:val="auto"/>
          <w:kern w:val="0"/>
          <w:highlight w:val="none"/>
          <w:lang w:val="en-US"/>
        </w:rPr>
        <w:t>工程结算审核报告已经确认后</w:t>
      </w:r>
      <w:r>
        <w:rPr>
          <w:rFonts w:hint="default" w:asciiTheme="minorEastAsia" w:hAnsiTheme="minorEastAsia" w:eastAsiaTheme="minorEastAsia" w:cstheme="minorEastAsia"/>
          <w:color w:val="auto"/>
          <w:kern w:val="0"/>
          <w:highlight w:val="none"/>
          <w:lang w:val="en-US"/>
        </w:rPr>
        <w:t>一次性支付</w:t>
      </w:r>
      <w:r>
        <w:rPr>
          <w:rFonts w:hint="eastAsia" w:asciiTheme="minorEastAsia" w:hAnsiTheme="minorEastAsia" w:eastAsiaTheme="minorEastAsia" w:cstheme="minorEastAsia"/>
          <w:color w:val="auto"/>
          <w:kern w:val="0"/>
          <w:highlight w:val="none"/>
          <w:lang w:val="en-US" w:eastAsia="zh-CN"/>
        </w:rPr>
        <w:t>全部</w:t>
      </w:r>
      <w:r>
        <w:rPr>
          <w:rFonts w:hint="default" w:asciiTheme="minorEastAsia" w:hAnsiTheme="minorEastAsia" w:eastAsiaTheme="minorEastAsia" w:cstheme="minorEastAsia"/>
          <w:color w:val="auto"/>
          <w:kern w:val="0"/>
          <w:highlight w:val="none"/>
          <w:lang w:val="en-US"/>
        </w:rPr>
        <w:t>工程结算审核报告确认</w:t>
      </w:r>
      <w:r>
        <w:rPr>
          <w:rFonts w:hint="eastAsia" w:asciiTheme="minorEastAsia" w:hAnsiTheme="minorEastAsia" w:eastAsiaTheme="minorEastAsia" w:cstheme="minorEastAsia"/>
          <w:color w:val="auto"/>
          <w:kern w:val="0"/>
          <w:highlight w:val="none"/>
          <w:lang w:val="en-US" w:eastAsia="zh-CN"/>
        </w:rPr>
        <w:t>价款</w:t>
      </w:r>
      <w:r>
        <w:rPr>
          <w:rFonts w:hint="eastAsia" w:asciiTheme="minorEastAsia" w:hAnsiTheme="minorEastAsia" w:eastAsiaTheme="minorEastAsia" w:cstheme="minorEastAsia"/>
          <w:color w:val="auto"/>
          <w:kern w:val="0"/>
          <w:highlight w:val="none"/>
          <w:lang w:val="zh-CN"/>
        </w:rPr>
        <w:t>。以上付款均不计利息。</w:t>
      </w:r>
    </w:p>
    <w:p w14:paraId="2E258F14">
      <w:pPr>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支付前，承包人均应出具由税务部门开具的相应金额的发票。</w:t>
      </w:r>
    </w:p>
    <w:p w14:paraId="5770461E">
      <w:pPr>
        <w:adjustRightInd w:val="0"/>
        <w:snapToGrid w:val="0"/>
        <w:spacing w:line="360" w:lineRule="auto"/>
        <w:ind w:firstLine="422" w:firstLineChars="200"/>
        <w:rPr>
          <w:rFonts w:asciiTheme="minorEastAsia" w:hAnsiTheme="minorEastAsia" w:eastAsiaTheme="minorEastAsia" w:cstheme="minorEastAsia"/>
          <w:b/>
          <w:color w:val="auto"/>
          <w:kern w:val="0"/>
          <w:highlight w:val="none"/>
          <w:lang w:val="zh-CN"/>
        </w:rPr>
      </w:pPr>
      <w:r>
        <w:rPr>
          <w:rFonts w:hint="eastAsia" w:asciiTheme="minorEastAsia" w:hAnsiTheme="minorEastAsia" w:eastAsiaTheme="minorEastAsia" w:cstheme="minorEastAsia"/>
          <w:b/>
          <w:color w:val="auto"/>
          <w:kern w:val="0"/>
          <w:highlight w:val="none"/>
          <w:lang w:val="zh-CN"/>
        </w:rPr>
        <w:t>十</w:t>
      </w:r>
      <w:r>
        <w:rPr>
          <w:rFonts w:hint="eastAsia" w:asciiTheme="minorEastAsia" w:hAnsiTheme="minorEastAsia" w:eastAsiaTheme="minorEastAsia" w:cstheme="minorEastAsia"/>
          <w:b/>
          <w:color w:val="auto"/>
          <w:kern w:val="0"/>
          <w:highlight w:val="none"/>
        </w:rPr>
        <w:t>一</w:t>
      </w:r>
      <w:r>
        <w:rPr>
          <w:rFonts w:hint="eastAsia" w:asciiTheme="minorEastAsia" w:hAnsiTheme="minorEastAsia" w:eastAsiaTheme="minorEastAsia" w:cstheme="minorEastAsia"/>
          <w:b/>
          <w:color w:val="auto"/>
          <w:kern w:val="0"/>
          <w:highlight w:val="none"/>
          <w:lang w:val="zh-CN"/>
        </w:rPr>
        <w:t>、不合格的材料和工艺</w:t>
      </w:r>
      <w:bookmarkEnd w:id="240"/>
    </w:p>
    <w:p w14:paraId="47B2A3C2">
      <w:pPr>
        <w:adjustRightInd w:val="0"/>
        <w:snapToGrid w:val="0"/>
        <w:spacing w:line="360" w:lineRule="auto"/>
        <w:ind w:firstLine="420" w:firstLineChars="200"/>
        <w:rPr>
          <w:rFonts w:asciiTheme="minorEastAsia" w:hAnsiTheme="minorEastAsia" w:eastAsiaTheme="minorEastAsia" w:cstheme="minorEastAsia"/>
          <w:color w:val="auto"/>
          <w:kern w:val="0"/>
          <w:highlight w:val="none"/>
          <w:lang w:val="zh-CN"/>
        </w:rPr>
      </w:pPr>
      <w:r>
        <w:rPr>
          <w:rFonts w:hint="eastAsia" w:asciiTheme="minorEastAsia" w:hAnsiTheme="minorEastAsia" w:eastAsiaTheme="minorEastAsia" w:cstheme="minorEastAsia"/>
          <w:color w:val="auto"/>
          <w:kern w:val="0"/>
          <w:highlight w:val="none"/>
          <w:lang w:val="zh-CN"/>
        </w:rPr>
        <w:t>乙方在本工程中不得使用不合格的材料和不能保证工程质量的工艺。甲方一旦发现上述情况，并出具通知，乙方应按照甲方的指令立即更换、更改，对由此造成的损失应由乙方自行负责。</w:t>
      </w:r>
    </w:p>
    <w:p w14:paraId="7EDDB3CB">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1" w:name="_Toc31262085"/>
      <w:r>
        <w:rPr>
          <w:rFonts w:hint="eastAsia" w:asciiTheme="minorEastAsia" w:hAnsiTheme="minorEastAsia" w:eastAsiaTheme="minorEastAsia" w:cstheme="minorEastAsia"/>
          <w:b/>
          <w:bCs/>
          <w:color w:val="auto"/>
          <w:highlight w:val="none"/>
        </w:rPr>
        <w:t>十二、变更</w:t>
      </w:r>
      <w:bookmarkEnd w:id="241"/>
    </w:p>
    <w:p w14:paraId="74C23F47">
      <w:pPr>
        <w:widowControl/>
        <w:adjustRightInd w:val="0"/>
        <w:snapToGrid w:val="0"/>
        <w:spacing w:line="360" w:lineRule="auto"/>
        <w:ind w:firstLine="420" w:firstLineChars="200"/>
        <w:rPr>
          <w:rFonts w:asciiTheme="minorEastAsia" w:hAnsiTheme="minorEastAsia" w:eastAsiaTheme="minorEastAsia" w:cstheme="minorEastAsia"/>
          <w:b/>
          <w:color w:val="auto"/>
          <w:highlight w:val="none"/>
          <w:u w:val="single"/>
        </w:rPr>
      </w:pPr>
      <w:r>
        <w:rPr>
          <w:rFonts w:hint="eastAsia" w:asciiTheme="minorEastAsia" w:hAnsiTheme="minorEastAsia" w:eastAsiaTheme="minorEastAsia" w:cstheme="minorEastAsia"/>
          <w:color w:val="auto"/>
          <w:highlight w:val="none"/>
        </w:rPr>
        <w:t>已标价工程量清单中无适用或类似子目的单价，由甲方委托具有工程造价咨询资质的中介机构根据招标时的最高限价编制水平编制出变更工作子目的预算单价，将预算单价按中标价与最高限价相比的下浮率同等下浮后得出变更工作项目的变更单价，并据此单价进行期中计量支付，最终以审计结果为准。在此单价确定之前，招标人可以确定暂时的单价或总额价，作为暂付账款列入按规定签发的中期支付证书中。</w:t>
      </w:r>
    </w:p>
    <w:p w14:paraId="0CC7152A">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2" w:name="_Toc31262089"/>
      <w:r>
        <w:rPr>
          <w:rFonts w:hint="eastAsia" w:asciiTheme="minorEastAsia" w:hAnsiTheme="minorEastAsia" w:eastAsiaTheme="minorEastAsia" w:cstheme="minorEastAsia"/>
          <w:b/>
          <w:bCs/>
          <w:color w:val="auto"/>
          <w:highlight w:val="none"/>
        </w:rPr>
        <w:t>十三、安全生产</w:t>
      </w:r>
      <w:bookmarkEnd w:id="242"/>
      <w:r>
        <w:rPr>
          <w:rFonts w:hint="eastAsia" w:asciiTheme="minorEastAsia" w:hAnsiTheme="minorEastAsia" w:eastAsiaTheme="minorEastAsia" w:cstheme="minorEastAsia"/>
          <w:b/>
          <w:bCs/>
          <w:color w:val="auto"/>
          <w:highlight w:val="none"/>
        </w:rPr>
        <w:t>和环保要求</w:t>
      </w:r>
    </w:p>
    <w:p w14:paraId="4EF74B49">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（一）安全生产</w:t>
      </w:r>
    </w:p>
    <w:p w14:paraId="65A024A7">
      <w:pPr>
        <w:autoSpaceDE w:val="0"/>
        <w:autoSpaceDN w:val="0"/>
        <w:adjustRightInd w:val="0"/>
        <w:snapToGrid w:val="0"/>
        <w:spacing w:line="360" w:lineRule="auto"/>
        <w:ind w:firstLine="420" w:firstLineChars="200"/>
        <w:contextualSpacing/>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1、乙方应遵守招标人以及建设工程有关法律法规，加强施工的管理，健全组织制度，指定主要领导负责安全工作，确保作业人员和车辆行车的安全，安全生产无责任事故。</w:t>
      </w:r>
    </w:p>
    <w:p w14:paraId="3A12C61E">
      <w:pPr>
        <w:widowControl/>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2、乙方在施工过程中产生的任何交通、生产事故与其他第三方发生的任何纠纷，概由乙方负责，与甲方无涉。</w:t>
      </w:r>
    </w:p>
    <w:p w14:paraId="36A5F328">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3、甲方应加强对乙方安全生产的教育、指导、监督。甲方发现乙方有违反安全作业的行为，将以书面形式通知乙方并进行相应的考核扣分，最终将在乙方工程款中扣除。</w:t>
      </w:r>
    </w:p>
    <w:p w14:paraId="772F65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4、乙方应按国家有关规定在整个施工期间为其雇佣的任何人员进行人身意外伤害保险，该项保险的一切费用应由乙方承担并支付。</w:t>
      </w:r>
    </w:p>
    <w:p w14:paraId="26A848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5、乙方应给已运抵现场的乙方装备办理保险，其保险金额足以现场重置。该项保险的一切费用应由乙方承担并支付。</w:t>
      </w:r>
    </w:p>
    <w:p w14:paraId="2F6641B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6、所有保险费用均应包含在所报清单的单价及总额价中。</w:t>
      </w:r>
    </w:p>
    <w:p w14:paraId="464CF1D3">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7、在施工和缺陷修复过程中，</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应按本合同规定，认真抓好安全教育，加强安全技术管理，保证工程现场施工安全(包括人员等安全)，由于</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管理不善，或因</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职工的过失，或因第三者原因造成的人身、设备、工程质量事故以及其他人为事故，从而造成的工期延误和经济损失的全部责任均应由承包单位自负，业主不承担任何责任。</w:t>
      </w:r>
    </w:p>
    <w:p w14:paraId="398C1860">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（二）环保要求：落实环保及节能减排主体责任和相关要求，不发生县级及以上相关部门关于环保问题的通报。</w:t>
      </w:r>
    </w:p>
    <w:p w14:paraId="4A13F65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（三）安全文明施工</w:t>
      </w:r>
    </w:p>
    <w:p w14:paraId="62D49C73">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项目安全生产的达标目标及相应事项的约定：</w:t>
      </w:r>
    </w:p>
    <w:p w14:paraId="2ABEEDD1">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须对本合同范围内所有施工范围和施工人员负全部安全施工责任。乙方应严格按《建设工程安全生产管理条例》等法律、工程建设安全生产地有关管理规定，采取安全措施组织施工。若发生安全事故，一切责任由乙方承担，并视情节严重向乙方收取违约金，详见违约条款。</w:t>
      </w:r>
    </w:p>
    <w:p w14:paraId="04759F00">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（2）乙方对施工现场安全生产负总责，现场必须按要求配备安全员，安全员及特种作业人员应持证上岗，如甲方检查到乙方人员不到位的，则甲方有权收取违约金，详见违约条款。</w:t>
      </w:r>
    </w:p>
    <w:p w14:paraId="18DC40A4">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工程施工前和施工中，乙方项目经理或技术负责人应当对有关安全施工技术进行交底；乙方必须编制安全施工措施和施工现场临时用电、施工现场周边及主要通道的安全防护措施及其他有关法规要求的专项施工方案，专项施工方案必须经乙方技术负责人批准后，报甲方代表批准后实施。</w:t>
      </w:r>
    </w:p>
    <w:p w14:paraId="6B5D0B8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工程施工前，乙方应根据</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、规范、标准等要求，制定安全施工标准及要求，负责向施工作业班组、作业人员作出详细的说明，并由双方签字确认。</w:t>
      </w:r>
    </w:p>
    <w:p w14:paraId="07C2A27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工程施工前，乙方使用的安全防护用具、机械设备、施工机具及配件，应当具有生产（制造）许可证、产品合格证，并在进入施工现场前进行查验，经甲方签字确认后方可使用。</w:t>
      </w:r>
    </w:p>
    <w:p w14:paraId="543C6B00">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特种作业人员，必须按照国家有关规定经过专门的安全作业培训，并取得特种作业操作资格证书后，方可上岗作业。</w:t>
      </w:r>
    </w:p>
    <w:p w14:paraId="524F77B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（4）乙方应严格按《建设工程安全生产管理条例》等</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采取安全措施、组织施工，如发生事故，所造成的一切责任与后果均由承包人承担。</w:t>
      </w:r>
    </w:p>
    <w:p w14:paraId="01542389">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（5）满足江苏省、南通市等安监部门安全文明生产的要求，做好安全技术教育及交底，落实所有安全技术措施和人身防护用品。</w:t>
      </w:r>
    </w:p>
    <w:p w14:paraId="6974467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（6）凡在施工期间，由于乙方原因造成的事故，乙方需承担全部责任及由此引起的一切费用，甲方不承担任何责任，并视情节严重收取乙方违约金，详见违约条款。</w:t>
      </w:r>
    </w:p>
    <w:p w14:paraId="3F72E5CE">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2、文明施工</w:t>
      </w:r>
    </w:p>
    <w:p w14:paraId="62909441">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合同当事人对文明施工的要求：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做好场地清理及相关工作。上述费用包含在合同价中。</w:t>
      </w:r>
    </w:p>
    <w:p w14:paraId="1454918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3、安全生产责任</w:t>
      </w:r>
    </w:p>
    <w:p w14:paraId="78D4BF4E">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乙方应严格按《建设工程安全生产管理条例》等</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采取安全措施、组织施工，乙方须对本合同范围内所有施工范围和施工人员负全部安全施工责任。乙方应严格按工程建设安全生产地有关管理规定，采取安全措施组织施工。若发生安全事故，一切责任由乙方承担，详见违约条款。</w:t>
      </w:r>
    </w:p>
    <w:p w14:paraId="071C6070">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乙方对因工程施工可能造成损害的毗邻建筑物、构筑物等，应当采取专项防护措施。乙方应当遵守有关环境保护</w:t>
      </w:r>
      <w:r>
        <w:rPr>
          <w:rFonts w:hint="eastAsia" w:asciiTheme="minorEastAsia" w:hAnsiTheme="minorEastAsia" w:eastAsiaTheme="minorEastAsia" w:cstheme="minorEastAsia"/>
          <w:color w:val="auto"/>
          <w:highlight w:val="none"/>
          <w:lang w:eastAsia="zh-CN"/>
        </w:rPr>
        <w:t>法律法规</w:t>
      </w:r>
      <w:r>
        <w:rPr>
          <w:rFonts w:hint="eastAsia" w:asciiTheme="minorEastAsia" w:hAnsiTheme="minorEastAsia" w:eastAsiaTheme="minorEastAsia" w:cstheme="minorEastAsia"/>
          <w:color w:val="auto"/>
          <w:highlight w:val="none"/>
        </w:rPr>
        <w:t>的规定，在施工现场采取措施，防止或减少粉尘、废气、废水、固体废物、噪声、振动和施工照明对人和环境的危害和污染。若因乙方原因产生不良后果的，由乙方承担一切责任，详见违约条款。</w:t>
      </w:r>
    </w:p>
    <w:p w14:paraId="0C991D0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必须建立完善的消防管理制度，并有专人负责现场的消防管理，施工现场须配备足够的消防器材，满足消防要求。乙方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0469CAC1">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3" w:name="_Toc31262092"/>
      <w:r>
        <w:rPr>
          <w:rFonts w:hint="eastAsia" w:asciiTheme="minorEastAsia" w:hAnsiTheme="minorEastAsia" w:eastAsiaTheme="minorEastAsia" w:cstheme="minorEastAsia"/>
          <w:b/>
          <w:bCs/>
          <w:color w:val="auto"/>
          <w:highlight w:val="none"/>
        </w:rPr>
        <w:t>十四、完工资料</w:t>
      </w:r>
      <w:bookmarkEnd w:id="243"/>
    </w:p>
    <w:p w14:paraId="175D276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w:t>
      </w:r>
      <w:r>
        <w:rPr>
          <w:rFonts w:hint="eastAsia" w:asciiTheme="minorEastAsia" w:hAnsiTheme="minorEastAsia" w:eastAsiaTheme="minorEastAsia" w:cstheme="minorEastAsia"/>
          <w:b/>
          <w:bCs/>
          <w:color w:val="auto"/>
          <w:highlight w:val="none"/>
        </w:rPr>
        <w:t>完</w:t>
      </w:r>
      <w:r>
        <w:rPr>
          <w:rFonts w:hint="eastAsia" w:asciiTheme="minorEastAsia" w:hAnsiTheme="minorEastAsia" w:eastAsiaTheme="minorEastAsia" w:cstheme="minorEastAsia"/>
          <w:color w:val="auto"/>
          <w:highlight w:val="none"/>
        </w:rPr>
        <w:t>工前，</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应按甲方规定或要求提交相关资料。</w:t>
      </w:r>
      <w:bookmarkStart w:id="244" w:name="_Toc31262093"/>
    </w:p>
    <w:p w14:paraId="39DB62B9">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十五、完工清场</w:t>
      </w:r>
      <w:bookmarkEnd w:id="244"/>
    </w:p>
    <w:p w14:paraId="080A27F4">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工程初步验收交付使用前，</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应按合同规定，对不必要的施工临时设施、施工机械设备、临时施工用地，进行拆除、撤离与清理并恢复耕作条件(或原貌)，以及处理好有关遗留事项。</w:t>
      </w:r>
    </w:p>
    <w:p w14:paraId="5A5FB34E">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5" w:name="_Toc31262095"/>
      <w:r>
        <w:rPr>
          <w:rFonts w:hint="eastAsia" w:asciiTheme="minorEastAsia" w:hAnsiTheme="minorEastAsia" w:eastAsiaTheme="minorEastAsia" w:cstheme="minorEastAsia"/>
          <w:b/>
          <w:bCs/>
          <w:color w:val="auto"/>
          <w:highlight w:val="none"/>
        </w:rPr>
        <w:t>十六、缺陷责任期</w:t>
      </w:r>
      <w:bookmarkEnd w:id="245"/>
    </w:p>
    <w:p w14:paraId="4632BC4C">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本工程的施工完毕验收合格后，从完验收合格之日起，为期24个月，在缺陷责任期内，工程如发生损坏，除不可抗拒的原因之外，</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应认真采取修复措施，承担全部修复费用。</w:t>
      </w:r>
      <w:bookmarkStart w:id="246" w:name="_Toc31262097"/>
    </w:p>
    <w:p w14:paraId="4F573928">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十七、违约</w:t>
      </w:r>
      <w:bookmarkEnd w:id="246"/>
    </w:p>
    <w:p w14:paraId="68969277">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1、甲方将按照有关技术规范及所规定的要求对乙方施工工程的质量验收，并对其质量进行不定期的检验鉴定，如不符要求乙方应立即重修。</w:t>
      </w:r>
    </w:p>
    <w:p w14:paraId="4DBB08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jc w:val="left"/>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highlight w:val="none"/>
        </w:rPr>
        <w:t>2、在施工过程中，因乙方施工管理不善而造成的任何形式的纠纷或事故，甲方概不承担任何责任。</w:t>
      </w:r>
    </w:p>
    <w:p w14:paraId="06CF88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420" w:firstLineChars="200"/>
        <w:jc w:val="left"/>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3、因乙方原因致使工程施工质量不符合国家有关规范标准或不符合双方约定标准，而造成人身和财产损害的，乙方应当承担损害赔偿责任。</w:t>
      </w:r>
    </w:p>
    <w:p w14:paraId="6172A837">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4、对于因乙方原因造成工期滞后事实或可能，甲方根据总体工期要求有权强制分割合同，并指定第三方完成。</w:t>
      </w:r>
    </w:p>
    <w:p w14:paraId="1678E99A">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5、乙方现场主要管理人员违约的责任</w:t>
      </w:r>
    </w:p>
    <w:p w14:paraId="31F54BA5">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5.1项目经理</w:t>
      </w:r>
    </w:p>
    <w:p w14:paraId="2ABFE794">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乙方必须指派投标文件中承诺的项目经理到施工现场负责施工管理，不得更换，工程施工期间必须保证施工全过程在本项目工地工作，不得兼职本工程以外的工作，除不可抗力因素外，确实需要更换的，必须经甲方批准。</w:t>
      </w:r>
    </w:p>
    <w:p w14:paraId="0FB36E79">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（2）本合同中的项目经理经甲方考核不合格者，乙方必须在一周内无条件更换。</w:t>
      </w:r>
    </w:p>
    <w:p w14:paraId="7D90ADD5">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6、乙方安全文明施工及质量违约的责任</w:t>
      </w:r>
    </w:p>
    <w:p w14:paraId="3795FCD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6.1安全文明施工</w:t>
      </w:r>
    </w:p>
    <w:p w14:paraId="096ED009">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6.1.1乙方须对本合同范围内所有施工范围和施工人员负全部安全施工责任。乙方应严格按《建设工程安全生产管理条例》等法律、工程建设安全生产地有关管理规定，采取安全措施组织施工。若发生安全事故，一切责任由乙方承担，视情节严重向乙方收取1000-2000元违约金。</w:t>
      </w:r>
    </w:p>
    <w:p w14:paraId="7361347C">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6.1.2乙方人员资格的特别规定：所有特殊工种人员均应符合有关规定，获得上岗资格，持有有关部门颁发的资质证书或上岗证，并在施工上岗之前提供给甲方审查，施工中持证上岗。在特殊工种的施工中，若发现未持有资格证书施工，则按每发现一次，收取1000元/人·次的违约金，累计3次则停工整顿，由此造成的损失由乙方承担。</w:t>
      </w:r>
    </w:p>
    <w:p w14:paraId="2FC68E0F">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6.1.3乙方出现严重安全事故，甲方有权要求乙方退场，并按验收合格的工程量的60%款项结算。</w:t>
      </w:r>
    </w:p>
    <w:p w14:paraId="225A4969">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6.2质量</w:t>
      </w:r>
    </w:p>
    <w:p w14:paraId="2A7CE256">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6.2.1乙方的施工质量不符合要求时，甲方有权要求乙方进行整改，乙方若无正当理由拒不整改的，甲方根据严重程度有权对乙方收取1000～2000元的违约金；如因乙方拒不整改导致施工出现严重质量问题的，甲方有权根据严重程度对乙方收取5000～10000元的违约金。</w:t>
      </w:r>
    </w:p>
    <w:p w14:paraId="27AAFA2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6.2.2若乙方在施工过程中出现严重质量问题，则根据质量问题的严重程度甲方按每起1～2万元向乙方收取违约金。若存在严重缺陷，则甲方有权终止合同，勒令退场，验收合格的工程量按60%结算款项。</w:t>
      </w:r>
    </w:p>
    <w:p w14:paraId="1CEB182D">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6.2.3本工程严禁使用不合格或不符合要求的材料，一经发现，限期退场，不按要求退场的，造成的损失由乙方负责。如购进的材料设备与提供的样品不一致时，由乙方无条件退货，造成的损失由乙方负责，并处以1000-2000元罚款。</w:t>
      </w:r>
    </w:p>
    <w:p w14:paraId="0AF9C264">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6.2.4不论何种形式的检查被发现偷工减料、以次充好的情形，按单项工程造价的10%收取违约金。</w:t>
      </w:r>
    </w:p>
    <w:p w14:paraId="5783F338">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7、乙方工期违约的责任</w:t>
      </w:r>
    </w:p>
    <w:p w14:paraId="2759EEEC">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因承包人原因造成工期延误，逾期竣工违约金的计算方法为：因乙方原因延误工期，在规定的工期或阶段工期前未能完成，按500元/天的违约金进行处罚。</w:t>
      </w:r>
    </w:p>
    <w:p w14:paraId="7645ECDB">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8、乙方其他违约的责任</w:t>
      </w:r>
    </w:p>
    <w:p w14:paraId="1530AF43">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8.1中标后乙方保证不实质或形式转包，否则甲方有权取消中标资格。</w:t>
      </w:r>
    </w:p>
    <w:p w14:paraId="6D29C7DB">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8.2施工过程中，因乙方施工原因造成公共设施受到破坏的，除乙方须按规定承担修复及相关损失的所有费用外。</w:t>
      </w:r>
    </w:p>
    <w:p w14:paraId="45DD63E8">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7" w:name="_Toc31262099"/>
      <w:r>
        <w:rPr>
          <w:rFonts w:hint="eastAsia" w:asciiTheme="minorEastAsia" w:hAnsiTheme="minorEastAsia" w:eastAsiaTheme="minorEastAsia" w:cstheme="minorEastAsia"/>
          <w:b/>
          <w:bCs/>
          <w:color w:val="auto"/>
          <w:highlight w:val="none"/>
        </w:rPr>
        <w:t>十八、不可抗</w:t>
      </w:r>
      <w:bookmarkEnd w:id="247"/>
      <w:r>
        <w:rPr>
          <w:rFonts w:hint="eastAsia" w:asciiTheme="minorEastAsia" w:hAnsiTheme="minorEastAsia" w:eastAsiaTheme="minorEastAsia" w:cstheme="minorEastAsia"/>
          <w:b/>
          <w:bCs/>
          <w:color w:val="auto"/>
          <w:highlight w:val="none"/>
        </w:rPr>
        <w:t>力</w:t>
      </w:r>
    </w:p>
    <w:p w14:paraId="30CDA017">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当事人一方因不可抗力不能履行合同的，应当及时通知对方，并应当积极采取措施以减轻或消除可能给对方造成的损失，并应当在事件结束后7天内提供有力证明。</w:t>
      </w:r>
    </w:p>
    <w:p w14:paraId="712962B8">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因不可抗力不能履行合同的，根据不可抗力的影响，部分或者全部（由双方协商确定）免除责任，但法律另有规定的除外。当事人迟延履行后发生不可抗力的，不能免除责任。</w:t>
      </w:r>
    </w:p>
    <w:p w14:paraId="2D531791">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因不可抗力使合同不能如期履行时，由双方协商确定是否延期履行或终止本合同。</w:t>
      </w:r>
    </w:p>
    <w:p w14:paraId="15A1EEF6">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8" w:name="_Toc31262100"/>
      <w:r>
        <w:rPr>
          <w:rFonts w:hint="eastAsia" w:asciiTheme="minorEastAsia" w:hAnsiTheme="minorEastAsia" w:eastAsiaTheme="minorEastAsia" w:cstheme="minorEastAsia"/>
          <w:b/>
          <w:bCs/>
          <w:color w:val="auto"/>
          <w:highlight w:val="none"/>
        </w:rPr>
        <w:t>十九、税金和保险</w:t>
      </w:r>
      <w:bookmarkEnd w:id="248"/>
    </w:p>
    <w:p w14:paraId="2BF08464">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政府根据现行税法和有关部门现行规定就本合同项下向</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征收的所有税金及其它应交纳的所有费用，均由</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承担，并已包括在本合同总价中，甲方不单独支付。</w:t>
      </w:r>
    </w:p>
    <w:p w14:paraId="2445281E">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根据国家规定，甲方要求</w:t>
      </w: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参加工程保险和人身意外伤害及装备保险，所有保险费用均应包含在合同总价中。</w:t>
      </w:r>
    </w:p>
    <w:p w14:paraId="53E9730F">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bookmarkStart w:id="249" w:name="_Toc31262102"/>
      <w:r>
        <w:rPr>
          <w:rFonts w:hint="eastAsia" w:asciiTheme="minorEastAsia" w:hAnsiTheme="minorEastAsia" w:eastAsiaTheme="minorEastAsia" w:cstheme="minorEastAsia"/>
          <w:b/>
          <w:bCs/>
          <w:color w:val="auto"/>
          <w:highlight w:val="none"/>
        </w:rPr>
        <w:t>二十、仲裁和法律</w:t>
      </w:r>
      <w:bookmarkEnd w:id="249"/>
    </w:p>
    <w:p w14:paraId="7805DED6">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highlight w:val="none"/>
        </w:rPr>
        <w:t>乙方</w:t>
      </w:r>
      <w:r>
        <w:rPr>
          <w:rFonts w:hint="eastAsia" w:asciiTheme="minorEastAsia" w:hAnsiTheme="minorEastAsia" w:eastAsiaTheme="minorEastAsia" w:cstheme="minorEastAsia"/>
          <w:color w:val="auto"/>
          <w:highlight w:val="none"/>
        </w:rPr>
        <w:t>与甲方发生合同纠纷时，双方应尽量通过协商解决，协商不成时，申诉方可提请南通仲裁委员会仲裁。</w:t>
      </w:r>
    </w:p>
    <w:p w14:paraId="2038B527">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本合同条款未尽事宜，合同双方应参照</w:t>
      </w:r>
      <w:r>
        <w:rPr>
          <w:rFonts w:hint="eastAsia" w:asciiTheme="minorEastAsia" w:hAnsiTheme="minorEastAsia" w:eastAsiaTheme="minorEastAsia" w:cstheme="minorEastAsia"/>
          <w:color w:val="auto"/>
          <w:highlight w:val="none"/>
          <w:lang w:eastAsia="zh-CN"/>
        </w:rPr>
        <w:t>《中华人民共和国民法典》</w:t>
      </w:r>
      <w:r>
        <w:rPr>
          <w:rFonts w:hint="eastAsia" w:asciiTheme="minorEastAsia" w:hAnsiTheme="minorEastAsia" w:eastAsiaTheme="minorEastAsia" w:cstheme="minorEastAsia"/>
          <w:color w:val="auto"/>
          <w:highlight w:val="none"/>
        </w:rPr>
        <w:t>执行。</w:t>
      </w:r>
    </w:p>
    <w:p w14:paraId="710DBAF7">
      <w:pPr>
        <w:keepNext/>
        <w:keepLines/>
        <w:adjustRightInd w:val="0"/>
        <w:snapToGrid w:val="0"/>
        <w:spacing w:line="360" w:lineRule="auto"/>
        <w:ind w:firstLine="422" w:firstLineChars="200"/>
        <w:outlineLvl w:val="3"/>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二十一、合同生效</w:t>
      </w:r>
    </w:p>
    <w:p w14:paraId="35388B99">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本合同经双方法定代表人或授权人签字并加盖公章后生效，至全部工程完工后经验收合格以及缺陷责任期满由甲方认可后失效。</w:t>
      </w:r>
    </w:p>
    <w:p w14:paraId="14C8F7A6">
      <w:pPr>
        <w:keepNext/>
        <w:keepLines/>
        <w:adjustRightInd w:val="0"/>
        <w:snapToGrid w:val="0"/>
        <w:spacing w:line="360" w:lineRule="auto"/>
        <w:ind w:firstLine="422" w:firstLineChars="200"/>
        <w:outlineLvl w:val="3"/>
        <w:rPr>
          <w:rFonts w:asciiTheme="minorEastAsia" w:hAnsiTheme="minorEastAsia" w:eastAsiaTheme="minorEastAsia" w:cstheme="minorEastAsia"/>
          <w:b/>
          <w:color w:val="auto"/>
          <w:spacing w:val="20"/>
          <w:highlight w:val="none"/>
        </w:rPr>
      </w:pPr>
      <w:r>
        <w:rPr>
          <w:rFonts w:hint="eastAsia" w:asciiTheme="minorEastAsia" w:hAnsiTheme="minorEastAsia" w:eastAsiaTheme="minorEastAsia" w:cstheme="minorEastAsia"/>
          <w:b/>
          <w:bCs/>
          <w:color w:val="auto"/>
          <w:highlight w:val="none"/>
        </w:rPr>
        <w:t>二十二、廉政建设</w:t>
      </w:r>
    </w:p>
    <w:p w14:paraId="22D07045">
      <w:pPr>
        <w:adjustRightInd w:val="0"/>
        <w:snapToGrid w:val="0"/>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合同双方应根据交通部《关于在交通基础设施建设中加强廉政建设的若干意见》以及有关工程建设、廉政建设的规定，做好工程建设中的党风廉政建设，保证工程建设高效优质、保证建设资金的安全和有效使用。</w:t>
      </w:r>
    </w:p>
    <w:p w14:paraId="6B855892">
      <w:pPr>
        <w:wordWrap w:val="0"/>
        <w:spacing w:line="400" w:lineRule="atLeast"/>
        <w:ind w:firstLine="3689" w:firstLineChars="1757"/>
        <w:jc w:val="right"/>
        <w:rPr>
          <w:color w:val="auto"/>
          <w:sz w:val="24"/>
          <w:highlight w:val="none"/>
        </w:rPr>
      </w:pPr>
      <w:r>
        <w:rPr>
          <w:color w:val="auto"/>
          <w:highlight w:val="none"/>
        </w:rPr>
        <w:br w:type="page"/>
      </w:r>
    </w:p>
    <w:p w14:paraId="2E303138">
      <w:pPr>
        <w:keepNext/>
        <w:keepLines/>
        <w:adjustRightInd w:val="0"/>
        <w:snapToGrid w:val="0"/>
        <w:spacing w:line="360" w:lineRule="auto"/>
        <w:jc w:val="center"/>
        <w:outlineLvl w:val="0"/>
        <w:rPr>
          <w:rFonts w:ascii="宋体" w:hAnsi="宋体" w:cs="宋体"/>
          <w:b/>
          <w:bCs/>
          <w:color w:val="auto"/>
          <w:kern w:val="44"/>
          <w:sz w:val="30"/>
          <w:szCs w:val="30"/>
          <w:highlight w:val="none"/>
        </w:rPr>
      </w:pPr>
      <w:r>
        <w:rPr>
          <w:rFonts w:hint="eastAsia" w:ascii="宋体" w:hAnsi="宋体" w:cs="宋体"/>
          <w:b/>
          <w:bCs/>
          <w:color w:val="auto"/>
          <w:kern w:val="44"/>
          <w:sz w:val="30"/>
          <w:szCs w:val="30"/>
          <w:highlight w:val="none"/>
        </w:rPr>
        <w:t>合同协议书</w:t>
      </w:r>
    </w:p>
    <w:p w14:paraId="6DDD9F6E">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（发包人名称，以下简称“甲方”）为实施</w:t>
      </w:r>
      <w:r>
        <w:rPr>
          <w:rFonts w:hint="eastAsia" w:ascii="宋体" w:hAnsi="宋体" w:cs="宋体"/>
          <w:color w:val="auto"/>
          <w:highlight w:val="none"/>
          <w:u w:val="single"/>
        </w:rPr>
        <w:t xml:space="preserve">             项目</w:t>
      </w:r>
      <w:r>
        <w:rPr>
          <w:rFonts w:hint="eastAsia" w:ascii="宋体" w:hAnsi="宋体" w:cs="宋体"/>
          <w:color w:val="auto"/>
          <w:highlight w:val="none"/>
        </w:rPr>
        <w:t>，甲方已接受</w:t>
      </w:r>
      <w:r>
        <w:rPr>
          <w:rFonts w:hint="eastAsia" w:ascii="宋体" w:hAnsi="宋体" w:cs="宋体"/>
          <w:color w:val="auto"/>
          <w:highlight w:val="none"/>
          <w:u w:val="single"/>
        </w:rPr>
        <w:t xml:space="preserve">               </w:t>
      </w:r>
      <w:r>
        <w:rPr>
          <w:rFonts w:hint="eastAsia" w:ascii="宋体" w:hAnsi="宋体" w:cs="宋体"/>
          <w:color w:val="auto"/>
          <w:highlight w:val="none"/>
        </w:rPr>
        <w:t>（承包人名称，以下简称“乙方”）对该项目的投标。甲方和乙方共同达成如下协议：</w:t>
      </w:r>
    </w:p>
    <w:p w14:paraId="291051B0">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1、项目概况</w:t>
      </w:r>
    </w:p>
    <w:p w14:paraId="4AAB6CA1">
      <w:pPr>
        <w:adjustRightInd w:val="0"/>
        <w:snapToGrid w:val="0"/>
        <w:spacing w:line="360" w:lineRule="auto"/>
        <w:ind w:firstLine="420" w:firstLineChars="20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（1）漏水修补：201会议室东墙、302办公室南墙、311办公室南窗口、2楼女厕、3楼男厕的漏水问题处理，包括清除原防水、重做防水层，并对相应室内墙体进行刷白修复；</w:t>
      </w:r>
    </w:p>
    <w:p w14:paraId="4F79827F">
      <w:pPr>
        <w:adjustRightInd w:val="0"/>
        <w:snapToGrid w:val="0"/>
        <w:spacing w:line="360" w:lineRule="auto"/>
        <w:ind w:firstLine="420" w:firstLineChars="200"/>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（2） 墙体裂缝与破损修复：311办公室西墙裂缝处理及刷白，非机动车车棚西侧整体防水与刷白，东侧三处墙皮修补；围墙东北角9块墙面刷白；</w:t>
      </w:r>
    </w:p>
    <w:p w14:paraId="4D92D999">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lang w:val="en-US" w:eastAsia="zh-CN"/>
        </w:rPr>
        <w:t>（3）、公共区域墙面刷新：办公楼1-4层公共区域零散刷白（重点包括水池周边、1楼屏风后、西楼梯间等）以及食堂外墙及屋檐（朝东、朝南面）刷白。</w:t>
      </w:r>
    </w:p>
    <w:p w14:paraId="30736ABE">
      <w:pPr>
        <w:numPr>
          <w:ilvl w:val="0"/>
          <w:numId w:val="2"/>
        </w:num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内容与范围</w:t>
      </w:r>
    </w:p>
    <w:p w14:paraId="247D1B2B">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对上述</w:t>
      </w:r>
      <w:r>
        <w:rPr>
          <w:rFonts w:hint="eastAsia" w:ascii="宋体" w:hAnsi="宋体" w:cs="宋体"/>
          <w:color w:val="auto"/>
          <w:highlight w:val="none"/>
          <w:lang w:val="en-US" w:eastAsia="zh-CN"/>
        </w:rPr>
        <w:t>办公楼</w:t>
      </w:r>
      <w:r>
        <w:rPr>
          <w:rFonts w:hint="eastAsia" w:ascii="宋体" w:hAnsi="宋体" w:cs="宋体"/>
          <w:color w:val="auto"/>
          <w:highlight w:val="none"/>
        </w:rPr>
        <w:t>进行修缮，工作内容包括但不限于</w:t>
      </w:r>
      <w:r>
        <w:rPr>
          <w:rFonts w:hint="default" w:ascii="宋体" w:hAnsi="宋体" w:cs="宋体"/>
          <w:color w:val="auto"/>
          <w:highlight w:val="none"/>
          <w:lang w:val="en-US"/>
        </w:rPr>
        <w:t>漏水</w:t>
      </w:r>
      <w:r>
        <w:rPr>
          <w:rFonts w:hint="eastAsia" w:ascii="宋体" w:hAnsi="宋体" w:cs="宋体"/>
          <w:color w:val="auto"/>
          <w:highlight w:val="none"/>
          <w:lang w:val="en-US" w:eastAsia="zh-CN"/>
        </w:rPr>
        <w:t>修补、墙体裂缝与破损修复、墙面刷新</w:t>
      </w:r>
      <w:r>
        <w:rPr>
          <w:rFonts w:hint="eastAsia" w:ascii="宋体" w:hAnsi="宋体" w:cs="宋体"/>
          <w:color w:val="auto"/>
          <w:highlight w:val="none"/>
        </w:rPr>
        <w:t>等，</w:t>
      </w:r>
      <w:r>
        <w:rPr>
          <w:rFonts w:hint="eastAsia" w:ascii="宋体" w:hAnsi="宋体" w:cs="宋体"/>
          <w:color w:val="auto"/>
          <w:highlight w:val="none"/>
        </w:rPr>
        <w:t>具体内容详见工程量清单。</w:t>
      </w:r>
    </w:p>
    <w:p w14:paraId="5581CC33">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3、本合同所附下列文件是构成本合同不可分割的部分</w:t>
      </w:r>
    </w:p>
    <w:p w14:paraId="33800C5B">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（1）本合同协议书及附件（含合同谈判中澄清文件，如果有）；</w:t>
      </w:r>
    </w:p>
    <w:p w14:paraId="710BE5AF">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（2）中标通知书；</w:t>
      </w:r>
    </w:p>
    <w:p w14:paraId="79584E76">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（3）投标文件（含承包人在评审期间递交和确认并经业主同意的对有关问题的补充资料和澄清文件等，如果有）；</w:t>
      </w:r>
    </w:p>
    <w:p w14:paraId="2F8CA337">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（4）招标文件（含补遗书中与此有关部分，如果有）；</w:t>
      </w:r>
    </w:p>
    <w:p w14:paraId="65346DD5">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（5）技术要求(含补遗书中与此有关的部分，如果有)；</w:t>
      </w:r>
    </w:p>
    <w:p w14:paraId="5A40AC2D">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（6）投标报价；</w:t>
      </w:r>
    </w:p>
    <w:p w14:paraId="2CB5EDF6">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（7）招标文件其他组成部分；</w:t>
      </w:r>
    </w:p>
    <w:p w14:paraId="5AD77BBF">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（8）构成本合同组成部分的其他文件。</w:t>
      </w:r>
    </w:p>
    <w:p w14:paraId="71A9646F">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4、上述文件将相互补充，若有不明确或不一致之处，以上述顺序在先者为准。</w:t>
      </w:r>
    </w:p>
    <w:p w14:paraId="2361B376">
      <w:pPr>
        <w:tabs>
          <w:tab w:val="left" w:pos="180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5、合同价格</w:t>
      </w:r>
    </w:p>
    <w:p w14:paraId="4AE766FE">
      <w:pPr>
        <w:tabs>
          <w:tab w:val="left" w:pos="180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本合同为综合单价合同，实际结算以中标综合单价和实际实施工程量数量为准，但最终结算价不得超过签约合同价。</w:t>
      </w:r>
    </w:p>
    <w:p w14:paraId="100C808C">
      <w:pPr>
        <w:tabs>
          <w:tab w:val="left" w:pos="180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注：如实际发生的工程量超过清单中工程量，必须在施工前报甲方批准，否则超出部分的工程量甲方不予认可。</w:t>
      </w:r>
    </w:p>
    <w:p w14:paraId="2EE14A3F">
      <w:pPr>
        <w:tabs>
          <w:tab w:val="left" w:pos="180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根据工程量清单所列的预计数量计算的签约合同价为人民币（大写）</w:t>
      </w:r>
      <w:r>
        <w:rPr>
          <w:rFonts w:hint="eastAsia" w:ascii="宋体" w:hAnsi="宋体" w:cs="宋体"/>
          <w:color w:val="auto"/>
          <w:highlight w:val="none"/>
          <w:u w:val="single"/>
        </w:rPr>
        <w:t xml:space="preserve">          </w:t>
      </w:r>
      <w:r>
        <w:rPr>
          <w:rFonts w:hint="eastAsia" w:ascii="宋体" w:hAnsi="宋体" w:cs="宋体"/>
          <w:color w:val="auto"/>
          <w:highlight w:val="none"/>
        </w:rPr>
        <w:t>元（</w:t>
      </w:r>
      <w:r>
        <w:rPr>
          <w:rFonts w:hint="eastAsia" w:ascii="宋体" w:hAnsi="宋体" w:cs="宋体"/>
          <w:b/>
          <w:color w:val="auto"/>
          <w:highlight w:val="none"/>
        </w:rPr>
        <w:t>¥</w:t>
      </w:r>
      <w:r>
        <w:rPr>
          <w:rFonts w:hint="eastAsia" w:ascii="宋体" w:hAnsi="宋体" w:cs="宋体"/>
          <w:color w:val="auto"/>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7EBFA4E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6.项目经理：</w:t>
      </w:r>
      <w:r>
        <w:rPr>
          <w:rFonts w:hint="eastAsia" w:ascii="宋体" w:hAnsi="宋体" w:cs="宋体"/>
          <w:color w:val="auto"/>
          <w:highlight w:val="none"/>
          <w:u w:val="single"/>
        </w:rPr>
        <w:t xml:space="preserve">             </w:t>
      </w:r>
      <w:r>
        <w:rPr>
          <w:rFonts w:hint="eastAsia" w:ascii="宋体" w:hAnsi="宋体" w:cs="宋体"/>
          <w:color w:val="auto"/>
          <w:highlight w:val="none"/>
        </w:rPr>
        <w:t>，联系电话：</w:t>
      </w:r>
      <w:r>
        <w:rPr>
          <w:rFonts w:hint="eastAsia" w:ascii="宋体" w:hAnsi="宋体" w:cs="宋体"/>
          <w:color w:val="auto"/>
          <w:highlight w:val="none"/>
          <w:u w:val="single"/>
        </w:rPr>
        <w:t xml:space="preserve">             </w:t>
      </w:r>
      <w:r>
        <w:rPr>
          <w:rFonts w:hint="eastAsia" w:ascii="宋体" w:hAnsi="宋体" w:cs="宋体"/>
          <w:color w:val="auto"/>
          <w:highlight w:val="none"/>
        </w:rPr>
        <w:t>，投入本项目人员见本合同协议书附件。</w:t>
      </w:r>
    </w:p>
    <w:p w14:paraId="133E7D3F">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7.工期：</w:t>
      </w:r>
      <w:r>
        <w:rPr>
          <w:rFonts w:hint="eastAsia" w:ascii="宋体" w:hAnsi="宋体" w:cs="宋体"/>
          <w:color w:val="auto"/>
          <w:highlight w:val="none"/>
          <w:lang w:val="en-US" w:eastAsia="zh-CN"/>
        </w:rPr>
        <w:t>4</w:t>
      </w:r>
      <w:r>
        <w:rPr>
          <w:rFonts w:hint="eastAsia" w:ascii="宋体" w:hAnsi="宋体" w:cs="宋体"/>
          <w:color w:val="auto"/>
          <w:highlight w:val="none"/>
        </w:rPr>
        <w:t>日历日内完成。</w:t>
      </w:r>
    </w:p>
    <w:p w14:paraId="400C48B2">
      <w:pPr>
        <w:widowControl/>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8.缺陷责任期：本工程缺陷责任期为</w:t>
      </w:r>
      <w:r>
        <w:rPr>
          <w:rFonts w:hint="default" w:ascii="宋体" w:hAnsi="宋体" w:cs="宋体"/>
          <w:color w:val="auto"/>
          <w:highlight w:val="none"/>
          <w:lang w:val="en-US"/>
        </w:rPr>
        <w:t>24</w:t>
      </w:r>
      <w:r>
        <w:rPr>
          <w:rFonts w:hint="eastAsia" w:ascii="宋体" w:hAnsi="宋体" w:cs="宋体"/>
          <w:color w:val="auto"/>
          <w:highlight w:val="none"/>
        </w:rPr>
        <w:t>个月（自完工验收合格之日起计算）</w:t>
      </w:r>
      <w:r>
        <w:rPr>
          <w:rFonts w:hint="eastAsia" w:ascii="宋体" w:hAnsi="宋体" w:cs="宋体"/>
          <w:color w:val="auto"/>
          <w:highlight w:val="none"/>
          <w:lang w:eastAsia="zh-CN"/>
        </w:rPr>
        <w:t>，若出现工程质量问题，中标人需免费配合返工处理</w:t>
      </w:r>
      <w:r>
        <w:rPr>
          <w:rFonts w:hint="eastAsia" w:ascii="宋体" w:hAnsi="宋体" w:cs="宋体"/>
          <w:color w:val="auto"/>
          <w:highlight w:val="none"/>
        </w:rPr>
        <w:t>。</w:t>
      </w:r>
    </w:p>
    <w:p w14:paraId="09111927">
      <w:pPr>
        <w:widowControl/>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9.质量目标：合格。安全目标：安全生产无责任事故。</w:t>
      </w:r>
    </w:p>
    <w:p w14:paraId="1DD6D318">
      <w:pPr>
        <w:widowControl/>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10.由于发包人按本合同第5条所述给承包人支付合同价款，承包人在此立约：保证在各方面按照合同文件的规定承担本合同工程的实施和完成及其缺陷的修复。</w:t>
      </w:r>
    </w:p>
    <w:p w14:paraId="0728EC62">
      <w:pPr>
        <w:widowControl/>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11.作为本合同工程的实施和完成及其缺陷修复的报酬，发包人在此立约：保证按照合同文件规定的时间和方式向承包人支付合同价款。</w:t>
      </w:r>
    </w:p>
    <w:p w14:paraId="1557E33A">
      <w:pPr>
        <w:widowControl/>
        <w:adjustRightInd w:val="0"/>
        <w:snapToGri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本项目为</w:t>
      </w:r>
      <w:r>
        <w:rPr>
          <w:rFonts w:hint="eastAsia" w:ascii="宋体" w:hAnsi="宋体" w:cs="宋体"/>
          <w:bCs/>
          <w:color w:val="auto"/>
          <w:highlight w:val="none"/>
        </w:rPr>
        <w:t>综合单价合同；工程量按实结算；除合同另有明确规定外，合同综合单价一概不予调整。最终结算价不得超过签约合同价</w:t>
      </w:r>
      <w:r>
        <w:rPr>
          <w:rFonts w:hint="eastAsia" w:ascii="宋体" w:hAnsi="宋体" w:cs="宋体"/>
          <w:color w:val="auto"/>
          <w:kern w:val="0"/>
          <w:highlight w:val="none"/>
          <w:lang w:val="zh-CN"/>
        </w:rPr>
        <w:t>。</w:t>
      </w:r>
    </w:p>
    <w:p w14:paraId="5D7039CA">
      <w:pPr>
        <w:tabs>
          <w:tab w:val="left" w:pos="1710"/>
        </w:tabs>
        <w:adjustRightInd w:val="0"/>
        <w:snapToGrid w:val="0"/>
        <w:spacing w:line="360" w:lineRule="auto"/>
        <w:ind w:firstLine="420" w:firstLineChars="200"/>
        <w:rPr>
          <w:rFonts w:ascii="宋体" w:hAnsi="宋体" w:cs="宋体"/>
          <w:color w:val="auto"/>
          <w:kern w:val="0"/>
          <w:highlight w:val="none"/>
          <w:lang w:val="zh-CN"/>
        </w:rPr>
      </w:pPr>
      <w:r>
        <w:rPr>
          <w:rFonts w:hint="default" w:asciiTheme="minorEastAsia" w:hAnsiTheme="minorEastAsia" w:eastAsiaTheme="minorEastAsia" w:cstheme="minorEastAsia"/>
          <w:color w:val="auto"/>
          <w:kern w:val="0"/>
          <w:highlight w:val="none"/>
          <w:lang w:val="en-US"/>
        </w:rPr>
        <w:t>项目完工验收合格且</w:t>
      </w:r>
      <w:r>
        <w:rPr>
          <w:rFonts w:hint="default" w:asciiTheme="minorEastAsia" w:hAnsiTheme="minorEastAsia" w:eastAsiaTheme="minorEastAsia" w:cstheme="minorEastAsia"/>
          <w:color w:val="auto"/>
          <w:kern w:val="0"/>
          <w:highlight w:val="none"/>
          <w:lang w:val="en-US"/>
        </w:rPr>
        <w:t>工程结算审核报告已经确认后</w:t>
      </w:r>
      <w:r>
        <w:rPr>
          <w:rFonts w:hint="default" w:asciiTheme="minorEastAsia" w:hAnsiTheme="minorEastAsia" w:eastAsiaTheme="minorEastAsia" w:cstheme="minorEastAsia"/>
          <w:color w:val="auto"/>
          <w:kern w:val="0"/>
          <w:highlight w:val="none"/>
          <w:lang w:val="en-US"/>
        </w:rPr>
        <w:t>一次性支付</w:t>
      </w:r>
      <w:r>
        <w:rPr>
          <w:rFonts w:hint="eastAsia" w:asciiTheme="minorEastAsia" w:hAnsiTheme="minorEastAsia" w:eastAsiaTheme="minorEastAsia" w:cstheme="minorEastAsia"/>
          <w:color w:val="auto"/>
          <w:kern w:val="0"/>
          <w:highlight w:val="none"/>
          <w:lang w:val="en-US" w:eastAsia="zh-CN"/>
        </w:rPr>
        <w:t>全部</w:t>
      </w:r>
      <w:r>
        <w:rPr>
          <w:rFonts w:hint="default" w:asciiTheme="minorEastAsia" w:hAnsiTheme="minorEastAsia" w:eastAsiaTheme="minorEastAsia" w:cstheme="minorEastAsia"/>
          <w:color w:val="auto"/>
          <w:kern w:val="0"/>
          <w:highlight w:val="none"/>
          <w:lang w:val="en-US"/>
        </w:rPr>
        <w:t>工程结算审核报告确认</w:t>
      </w:r>
      <w:r>
        <w:rPr>
          <w:rFonts w:hint="eastAsia" w:asciiTheme="minorEastAsia" w:hAnsiTheme="minorEastAsia" w:eastAsiaTheme="minorEastAsia" w:cstheme="minorEastAsia"/>
          <w:color w:val="auto"/>
          <w:kern w:val="0"/>
          <w:highlight w:val="none"/>
          <w:lang w:val="en-US" w:eastAsia="zh-CN"/>
        </w:rPr>
        <w:t>价款</w:t>
      </w:r>
      <w:r>
        <w:rPr>
          <w:rFonts w:hint="eastAsia" w:asciiTheme="minorEastAsia" w:hAnsiTheme="minorEastAsia" w:eastAsiaTheme="minorEastAsia" w:cstheme="minorEastAsia"/>
          <w:color w:val="auto"/>
          <w:kern w:val="0"/>
          <w:highlight w:val="none"/>
          <w:lang w:val="zh-CN"/>
        </w:rPr>
        <w:t>。以上付款均不计利息。</w:t>
      </w:r>
    </w:p>
    <w:p w14:paraId="064C0647">
      <w:pPr>
        <w:tabs>
          <w:tab w:val="left" w:pos="1710"/>
        </w:tabs>
        <w:adjustRightInd w:val="0"/>
        <w:snapToGrid w:val="0"/>
        <w:spacing w:line="360" w:lineRule="auto"/>
        <w:ind w:firstLine="420" w:firstLineChars="200"/>
        <w:rPr>
          <w:rFonts w:ascii="宋体" w:hAnsi="宋体" w:cs="宋体"/>
          <w:color w:val="auto"/>
          <w:kern w:val="0"/>
          <w:highlight w:val="none"/>
          <w:lang w:val="zh-CN"/>
        </w:rPr>
      </w:pPr>
      <w:r>
        <w:rPr>
          <w:rFonts w:hint="eastAsia" w:ascii="宋体" w:hAnsi="宋体" w:cs="宋体"/>
          <w:color w:val="auto"/>
          <w:kern w:val="0"/>
          <w:highlight w:val="none"/>
          <w:lang w:val="zh-CN"/>
        </w:rPr>
        <w:t>支付前，承包人均应出具由税务部门开具的相应金额的发票。</w:t>
      </w:r>
    </w:p>
    <w:p w14:paraId="0CB767C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12.本合同在</w:t>
      </w:r>
      <w:r>
        <w:rPr>
          <w:rFonts w:hint="eastAsia" w:ascii="宋体" w:hAnsi="宋体" w:cs="宋体"/>
          <w:color w:val="auto"/>
          <w:kern w:val="0"/>
          <w:highlight w:val="none"/>
          <w:lang w:val="zh-CN"/>
        </w:rPr>
        <w:t>双方法定代表人或其授权的代理人签署并加盖公章后生效。全部工程</w:t>
      </w:r>
      <w:r>
        <w:rPr>
          <w:rFonts w:hint="eastAsia" w:ascii="宋体" w:hAnsi="宋体" w:cs="宋体"/>
          <w:color w:val="auto"/>
          <w:highlight w:val="none"/>
        </w:rPr>
        <w:t>完工后经验收合格以及缺陷责任期满由甲方认可后失效。</w:t>
      </w:r>
    </w:p>
    <w:p w14:paraId="11E7881C">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13.争议解决方式：</w:t>
      </w:r>
      <w:r>
        <w:rPr>
          <w:rFonts w:hint="eastAsia" w:ascii="宋体" w:hAnsi="宋体" w:cs="宋体"/>
          <w:color w:val="auto"/>
          <w:highlight w:val="none"/>
          <w:u w:val="single"/>
        </w:rPr>
        <w:t>协商解决，协商不成，向南通仲裁委员会提起仲裁。</w:t>
      </w:r>
    </w:p>
    <w:p w14:paraId="0B950C2E">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14.本合同正本二份、副本六份，合同双方各执正本一份，副本三份，当正本与副本的内容不一致时，以正本为准。</w:t>
      </w:r>
    </w:p>
    <w:p w14:paraId="1ACA95C7">
      <w:pPr>
        <w:adjustRightInd w:val="0"/>
        <w:snapToGrid w:val="0"/>
        <w:spacing w:line="360" w:lineRule="auto"/>
        <w:ind w:firstLine="420" w:firstLineChars="200"/>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 xml:space="preserve"> （全称）         （盖章）  </w:t>
      </w:r>
      <w:r>
        <w:rPr>
          <w:rFonts w:hint="eastAsia" w:ascii="宋体" w:hAnsi="宋体" w:cs="宋体"/>
          <w:color w:val="auto"/>
          <w:highlight w:val="none"/>
        </w:rPr>
        <w:t>　      乙方:</w:t>
      </w:r>
      <w:r>
        <w:rPr>
          <w:rFonts w:hint="eastAsia" w:ascii="宋体" w:hAnsi="宋体" w:cs="宋体"/>
          <w:color w:val="auto"/>
          <w:highlight w:val="none"/>
          <w:u w:val="single"/>
        </w:rPr>
        <w:t xml:space="preserve"> （全称） （盖章）         </w:t>
      </w:r>
    </w:p>
    <w:p w14:paraId="039BC0F3">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法定代表人                               法定代表人</w:t>
      </w:r>
    </w:p>
    <w:p w14:paraId="38A93090">
      <w:pPr>
        <w:adjustRightInd w:val="0"/>
        <w:snapToGrid w:val="0"/>
        <w:spacing w:line="360" w:lineRule="auto"/>
        <w:ind w:firstLine="420" w:firstLineChars="200"/>
        <w:jc w:val="left"/>
        <w:rPr>
          <w:rFonts w:ascii="宋体" w:hAnsi="宋体" w:cs="宋体"/>
          <w:color w:val="auto"/>
          <w:highlight w:val="none"/>
          <w:u w:val="single"/>
        </w:rPr>
      </w:pPr>
      <w:r>
        <w:rPr>
          <w:rFonts w:hint="eastAsia" w:ascii="宋体" w:hAnsi="宋体" w:cs="宋体"/>
          <w:color w:val="auto"/>
          <w:highlight w:val="none"/>
        </w:rPr>
        <w:t>或其委托代理人：</w:t>
      </w:r>
      <w:r>
        <w:rPr>
          <w:rFonts w:hint="eastAsia" w:ascii="宋体" w:hAnsi="宋体" w:cs="宋体"/>
          <w:color w:val="auto"/>
          <w:highlight w:val="none"/>
          <w:u w:val="single"/>
        </w:rPr>
        <w:t>（签字）</w:t>
      </w:r>
      <w:r>
        <w:rPr>
          <w:rFonts w:hint="eastAsia" w:ascii="宋体" w:hAnsi="宋体" w:cs="宋体"/>
          <w:color w:val="auto"/>
          <w:highlight w:val="none"/>
        </w:rPr>
        <w:t xml:space="preserve">                 或其委托代理人：</w:t>
      </w:r>
      <w:r>
        <w:rPr>
          <w:rFonts w:hint="eastAsia" w:ascii="宋体" w:hAnsi="宋体" w:cs="宋体"/>
          <w:color w:val="auto"/>
          <w:highlight w:val="none"/>
          <w:u w:val="single"/>
        </w:rPr>
        <w:t>（签字）</w:t>
      </w:r>
    </w:p>
    <w:p w14:paraId="15FA991F">
      <w:pPr>
        <w:tabs>
          <w:tab w:val="left" w:pos="4395"/>
          <w:tab w:val="left" w:pos="4678"/>
          <w:tab w:val="left" w:pos="482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647CE5D">
      <w:pPr>
        <w:rPr>
          <w:color w:val="auto"/>
          <w:sz w:val="24"/>
          <w:highlight w:val="none"/>
        </w:rPr>
      </w:pPr>
      <w:r>
        <w:rPr>
          <w:color w:val="auto"/>
          <w:sz w:val="24"/>
          <w:highlight w:val="none"/>
        </w:rPr>
        <w:br w:type="page"/>
      </w:r>
    </w:p>
    <w:p w14:paraId="06C224C6">
      <w:pPr>
        <w:tabs>
          <w:tab w:val="left" w:pos="7155"/>
        </w:tabs>
        <w:spacing w:line="460" w:lineRule="exact"/>
        <w:rPr>
          <w:rFonts w:ascii="宋体" w:hAnsi="宋体" w:cs="宋体"/>
          <w:b/>
          <w:color w:val="auto"/>
          <w:sz w:val="24"/>
          <w:highlight w:val="none"/>
        </w:rPr>
      </w:pPr>
      <w:r>
        <w:rPr>
          <w:rFonts w:hint="eastAsia" w:ascii="宋体" w:hAnsi="宋体" w:cs="宋体"/>
          <w:b/>
          <w:color w:val="auto"/>
          <w:sz w:val="24"/>
          <w:highlight w:val="none"/>
        </w:rPr>
        <w:t xml:space="preserve">附表1：投标人报价清单                </w:t>
      </w:r>
    </w:p>
    <w:p w14:paraId="02272946">
      <w:pPr>
        <w:tabs>
          <w:tab w:val="left" w:pos="7155"/>
        </w:tabs>
        <w:spacing w:line="460" w:lineRule="exact"/>
        <w:jc w:val="center"/>
        <w:rPr>
          <w:rFonts w:ascii="宋体" w:hAnsi="宋体" w:cs="宋体"/>
          <w:b/>
          <w:color w:val="auto"/>
          <w:sz w:val="30"/>
          <w:szCs w:val="30"/>
          <w:highlight w:val="none"/>
        </w:rPr>
      </w:pPr>
      <w:r>
        <w:rPr>
          <w:rFonts w:hint="eastAsia" w:ascii="宋体" w:hAnsi="宋体" w:cs="宋体"/>
          <w:b/>
          <w:color w:val="auto"/>
          <w:sz w:val="30"/>
          <w:szCs w:val="30"/>
          <w:highlight w:val="none"/>
        </w:rPr>
        <w:t>投标人报价清单</w:t>
      </w:r>
    </w:p>
    <w:p w14:paraId="0F9FC968">
      <w:pPr>
        <w:tabs>
          <w:tab w:val="left" w:pos="1035"/>
        </w:tabs>
        <w:spacing w:line="460" w:lineRule="exact"/>
        <w:rPr>
          <w:rFonts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附件二： 廉政合同</w:t>
      </w:r>
    </w:p>
    <w:p w14:paraId="387EA931">
      <w:pPr>
        <w:adjustRightInd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30"/>
          <w:szCs w:val="30"/>
          <w:highlight w:val="none"/>
        </w:rPr>
        <w:t>廉政合同</w:t>
      </w:r>
    </w:p>
    <w:p w14:paraId="01C2FD40">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宋体"/>
          <w:color w:val="auto"/>
          <w:highlight w:val="none"/>
          <w:u w:val="single"/>
        </w:rPr>
        <w:t xml:space="preserve">                  </w:t>
      </w:r>
      <w:r>
        <w:rPr>
          <w:rFonts w:hint="eastAsia" w:ascii="宋体" w:hAnsi="宋体" w:cs="宋体"/>
          <w:color w:val="auto"/>
          <w:highlight w:val="none"/>
        </w:rPr>
        <w:t xml:space="preserve">（项目名称）的项目法人 </w:t>
      </w:r>
      <w:r>
        <w:rPr>
          <w:rFonts w:hint="eastAsia" w:ascii="宋体" w:hAnsi="宋体" w:cs="宋体"/>
          <w:color w:val="auto"/>
          <w:highlight w:val="none"/>
          <w:u w:val="single"/>
        </w:rPr>
        <w:t xml:space="preserve">         </w:t>
      </w:r>
      <w:r>
        <w:rPr>
          <w:rFonts w:hint="eastAsia" w:ascii="宋体" w:hAnsi="宋体" w:cs="宋体"/>
          <w:color w:val="auto"/>
          <w:highlight w:val="none"/>
        </w:rPr>
        <w:t>（项目法人名称，以下简称“委托人”）与该项目的施工单位</w:t>
      </w:r>
      <w:r>
        <w:rPr>
          <w:rFonts w:hint="eastAsia" w:ascii="宋体" w:hAnsi="宋体" w:cs="宋体"/>
          <w:color w:val="auto"/>
          <w:highlight w:val="none"/>
          <w:u w:val="single"/>
        </w:rPr>
        <w:t xml:space="preserve">          </w:t>
      </w:r>
      <w:r>
        <w:rPr>
          <w:rFonts w:hint="eastAsia" w:ascii="宋体" w:hAnsi="宋体" w:cs="宋体"/>
          <w:color w:val="auto"/>
          <w:highlight w:val="none"/>
        </w:rPr>
        <w:t>（施工单位名称，以下简称“受托人”），特订立如下合同。</w:t>
      </w:r>
    </w:p>
    <w:p w14:paraId="61379A4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1.委托人和受托人双方的权利和义务</w:t>
      </w:r>
    </w:p>
    <w:p w14:paraId="493EF29E">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（1）严格遵守党的政策规定和国家有关法律法规及交通运输部的有关规定。</w:t>
      </w:r>
    </w:p>
    <w:p w14:paraId="680D5E96">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（2）严格执行</w:t>
      </w:r>
      <w:r>
        <w:rPr>
          <w:rFonts w:hint="eastAsia" w:ascii="宋体" w:hAnsi="宋体" w:cs="宋体"/>
          <w:color w:val="auto"/>
          <w:highlight w:val="none"/>
          <w:u w:val="single"/>
        </w:rPr>
        <w:t xml:space="preserve">                       </w:t>
      </w:r>
      <w:r>
        <w:rPr>
          <w:rFonts w:hint="eastAsia" w:ascii="宋体" w:hAnsi="宋体" w:cs="宋体"/>
          <w:color w:val="auto"/>
          <w:highlight w:val="none"/>
        </w:rPr>
        <w:t>（项目名称）合同文件，自觉按合同办事。</w:t>
      </w:r>
    </w:p>
    <w:p w14:paraId="02B0263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（3）双方的业务活动坚持公开、公正、诚信、透明的原则（法律认定的商业秘密和合同文件另有规定除外），不得损害国家和集体利益，不得违反工程建设管理规章制度。</w:t>
      </w:r>
    </w:p>
    <w:p w14:paraId="45BE125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（4）建立健全廉政制度，开展廉政教育，设立廉政告示牌，公布举报电话，监督并认真查处违法违纪行为。</w:t>
      </w:r>
    </w:p>
    <w:p w14:paraId="4607565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（5）发现对方在业务活动中有违反廉政规定的行为，有及时提醒对方纠正的权利和义务。</w:t>
      </w:r>
    </w:p>
    <w:p w14:paraId="4D939882">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（6）发现对方严重违反本合同义务条款的行为，有向其上级有关部门举报、建议给予处理并要求告知处理结果的权利。</w:t>
      </w:r>
    </w:p>
    <w:p w14:paraId="7668D3D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2.委托人的义务</w:t>
      </w:r>
    </w:p>
    <w:p w14:paraId="3633170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（1）委托人及其工作人员不得索要或接受受托人的礼金、有价证券和贵重物品，不得让受托人报销任何应由委托人或委托人工作人员个人支付的费用等。</w:t>
      </w:r>
    </w:p>
    <w:p w14:paraId="7320E5A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（2）委托人工作人员不得参加受托人安排的宴请和娱乐活动；不得接受受托人提供的通讯工具、交通工具和高档办公用品等。</w:t>
      </w:r>
    </w:p>
    <w:p w14:paraId="47E9604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（3）委托人及其工作人员不得要求或者接受受托人为其住房装修、婚丧嫁娶活动、配偶子女的工作安排以及出国出境、旅游等提供方便等。</w:t>
      </w:r>
    </w:p>
    <w:p w14:paraId="4D1BD84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（4）委托人工作人员及其配偶、子女不得从事与委托人工程有关的材料设备供应、工程分包、劳务等经济活动等。</w:t>
      </w:r>
    </w:p>
    <w:p w14:paraId="2311F08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（5）委托人及其工作人员不得以任何理由向受托人推荐分包单位或推销材料，不得要求受托人购买合同规定外的材料和设备。</w:t>
      </w:r>
    </w:p>
    <w:p w14:paraId="5879F37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（6）委托人工作人员要秉公办事，不准营私舞弊，不准利用职权从事各种个人有偿中介活动和安排个人施工队伍。</w:t>
      </w:r>
    </w:p>
    <w:p w14:paraId="0E6432E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3.受托人的义务</w:t>
      </w:r>
    </w:p>
    <w:p w14:paraId="3D82ECC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（1）受托人不得以任何理由向发包人及其工作人员行贿或馈赠礼金、有价证券、贵重礼品。</w:t>
      </w:r>
    </w:p>
    <w:p w14:paraId="42D48F9E">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（2）受托人不得以任何名义为委托人及其工作人员报销应由委托人单位或个人支付的任何费用。</w:t>
      </w:r>
    </w:p>
    <w:p w14:paraId="7069709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（3）受托人不得以任何理由安排委托人工作人员参加宴请及娱乐活动。</w:t>
      </w:r>
    </w:p>
    <w:p w14:paraId="4BF5C3D0">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（4）受托人不得为委托人单位和个人购置或提供通信工具、交通工具和高档办公用品等。</w:t>
      </w:r>
    </w:p>
    <w:p w14:paraId="23E69D6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4.违约责任</w:t>
      </w:r>
    </w:p>
    <w:p w14:paraId="3A61F1C8">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（1）委托人及其工作人员违反本合同第1、2条，按管理权限，依据有关规定给予党纪、政纪或组织处理；涉嫌犯罪的，移交司法机关追究刑事责任；给受托人单位造成经济损失的，应予以赔偿。</w:t>
      </w:r>
    </w:p>
    <w:p w14:paraId="4A40FE2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受托人及其工作人员违反本合同第1、3条，按管理权限，依据有关规定给予党纪、政纪或组织处理；给委托人单位造成经济损失的，应予以赔偿；并按照违纪违法认定金额的双倍承担违约金。合同款项未完全支付的，违约金在支付时予以扣减；合同款已支付承包人或未支付款不足以支付违约金的，承包人另行支付违约金。情节严重的，委托人建议交通主管部门给予受托人一至三年内不得进入其主管的公路建设市场的处罚。</w:t>
      </w:r>
    </w:p>
    <w:p w14:paraId="6588D6A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 本合同有效期为委托人和受托人签署之日起至该工程项目竣工验收后止。</w:t>
      </w:r>
    </w:p>
    <w:p w14:paraId="3012B55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 本合同作为</w:t>
      </w:r>
      <w:r>
        <w:rPr>
          <w:rFonts w:hint="eastAsia" w:ascii="宋体" w:hAnsi="宋体" w:cs="宋体"/>
          <w:color w:val="auto"/>
          <w:highlight w:val="none"/>
          <w:u w:val="single"/>
        </w:rPr>
        <w:t xml:space="preserve">                               </w:t>
      </w:r>
      <w:r>
        <w:rPr>
          <w:rFonts w:hint="eastAsia" w:ascii="宋体" w:hAnsi="宋体" w:cs="宋体"/>
          <w:color w:val="auto"/>
          <w:highlight w:val="none"/>
        </w:rPr>
        <w:t>(项目名称)合同的附件，与项目合同具有同等的法律效力，经合同双方签署后立即生效。</w:t>
      </w:r>
    </w:p>
    <w:p w14:paraId="1FF26D4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 本合同一式四份，由委托人和受托人各执两份。</w:t>
      </w:r>
    </w:p>
    <w:p w14:paraId="78E9B985">
      <w:pPr>
        <w:adjustRightInd w:val="0"/>
        <w:snapToGrid w:val="0"/>
        <w:spacing w:line="360" w:lineRule="auto"/>
        <w:ind w:firstLine="420" w:firstLineChars="200"/>
        <w:rPr>
          <w:rFonts w:ascii="宋体" w:hAnsi="宋体" w:cs="宋体"/>
          <w:color w:val="auto"/>
          <w:highlight w:val="none"/>
        </w:rPr>
      </w:pPr>
    </w:p>
    <w:p w14:paraId="06B4A91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委托人：</w:t>
      </w:r>
      <w:r>
        <w:rPr>
          <w:rFonts w:hint="eastAsia" w:ascii="宋体" w:hAnsi="宋体" w:cs="宋体"/>
          <w:color w:val="auto"/>
          <w:highlight w:val="none"/>
          <w:u w:val="single"/>
        </w:rPr>
        <w:t xml:space="preserve">              </w:t>
      </w:r>
      <w:r>
        <w:rPr>
          <w:rFonts w:hint="eastAsia" w:ascii="宋体" w:hAnsi="宋体" w:cs="宋体"/>
          <w:color w:val="auto"/>
          <w:highlight w:val="none"/>
        </w:rPr>
        <w:t>（盖单位章） 受托人：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5598882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法定代表人或其委托代理人：_（签字）  法定代表人或其委托代理人：_（签字）</w:t>
      </w:r>
    </w:p>
    <w:p w14:paraId="0649907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________年________月________日     ________年________月________日</w:t>
      </w:r>
    </w:p>
    <w:p w14:paraId="5DD94F7A">
      <w:pPr>
        <w:spacing w:line="460" w:lineRule="exact"/>
        <w:rPr>
          <w:rFonts w:ascii="宋体" w:hAnsi="宋体" w:cs="宋体"/>
          <w:b/>
          <w:color w:val="auto"/>
          <w:sz w:val="24"/>
          <w:highlight w:val="none"/>
        </w:rPr>
      </w:pPr>
      <w:r>
        <w:rPr>
          <w:rFonts w:hint="eastAsia" w:ascii="宋体" w:hAnsi="宋体" w:cs="宋体"/>
          <w:b/>
          <w:color w:val="auto"/>
          <w:sz w:val="24"/>
          <w:highlight w:val="none"/>
        </w:rPr>
        <w:t xml:space="preserve"> </w:t>
      </w:r>
    </w:p>
    <w:p w14:paraId="35DA157F">
      <w:pPr>
        <w:rPr>
          <w:rFonts w:ascii="宋体" w:hAnsi="宋体" w:cs="宋体"/>
          <w:b/>
          <w:color w:val="auto"/>
          <w:sz w:val="24"/>
          <w:highlight w:val="none"/>
        </w:rPr>
      </w:pPr>
      <w:r>
        <w:rPr>
          <w:rFonts w:hint="eastAsia" w:ascii="宋体" w:hAnsi="宋体" w:cs="宋体"/>
          <w:b/>
          <w:color w:val="auto"/>
          <w:sz w:val="24"/>
          <w:highlight w:val="none"/>
        </w:rPr>
        <w:br w:type="page"/>
      </w:r>
    </w:p>
    <w:p w14:paraId="6F75C39E">
      <w:pPr>
        <w:spacing w:line="460" w:lineRule="exact"/>
        <w:rPr>
          <w:rFonts w:ascii="宋体" w:hAnsi="宋体" w:cs="宋体"/>
          <w:b/>
          <w:color w:val="auto"/>
          <w:sz w:val="24"/>
          <w:highlight w:val="none"/>
        </w:rPr>
      </w:pPr>
      <w:r>
        <w:rPr>
          <w:rFonts w:hint="eastAsia" w:ascii="宋体" w:hAnsi="宋体" w:cs="宋体"/>
          <w:b/>
          <w:color w:val="auto"/>
          <w:sz w:val="24"/>
          <w:highlight w:val="none"/>
        </w:rPr>
        <w:t xml:space="preserve">附件三：安全生产合同                       </w:t>
      </w:r>
    </w:p>
    <w:p w14:paraId="544693C2">
      <w:pPr>
        <w:adjustRightInd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安全生产合同</w:t>
      </w:r>
    </w:p>
    <w:p w14:paraId="516A4DD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为在</w:t>
      </w:r>
      <w:r>
        <w:rPr>
          <w:rFonts w:hint="eastAsia" w:ascii="宋体" w:hAnsi="宋体" w:cs="宋体"/>
          <w:color w:val="auto"/>
          <w:highlight w:val="none"/>
          <w:u w:val="single"/>
        </w:rPr>
        <w:t xml:space="preserve">                        </w:t>
      </w:r>
      <w:r>
        <w:rPr>
          <w:rFonts w:hint="eastAsia" w:ascii="宋体" w:hAnsi="宋体" w:cs="宋体"/>
          <w:color w:val="auto"/>
          <w:highlight w:val="none"/>
        </w:rPr>
        <w:t>合同的实施过程中创造安全、高效的施工环境，切实搞好本项目的安全管理工作，本项目发包人</w:t>
      </w:r>
      <w:r>
        <w:rPr>
          <w:rFonts w:hint="eastAsia" w:ascii="宋体" w:hAnsi="宋体" w:cs="宋体"/>
          <w:color w:val="auto"/>
          <w:highlight w:val="none"/>
          <w:u w:val="single"/>
        </w:rPr>
        <w:t xml:space="preserve">             </w:t>
      </w:r>
      <w:r>
        <w:rPr>
          <w:rFonts w:hint="eastAsia" w:ascii="宋体" w:hAnsi="宋体" w:cs="宋体"/>
          <w:color w:val="auto"/>
          <w:highlight w:val="none"/>
        </w:rPr>
        <w:t>（发包人名称，以下简称“发包人”）与</w:t>
      </w:r>
      <w:r>
        <w:rPr>
          <w:rFonts w:hint="eastAsia" w:ascii="宋体" w:hAnsi="宋体" w:cs="宋体"/>
          <w:snapToGrid w:val="0"/>
          <w:color w:val="auto"/>
          <w:kern w:val="0"/>
          <w:highlight w:val="none"/>
          <w:u w:val="single"/>
        </w:rPr>
        <w:t xml:space="preserve">                 </w:t>
      </w:r>
      <w:r>
        <w:rPr>
          <w:rFonts w:hint="eastAsia" w:ascii="宋体" w:hAnsi="宋体" w:cs="宋体"/>
          <w:color w:val="auto"/>
          <w:highlight w:val="none"/>
        </w:rPr>
        <w:t>（承包人名称，以下简称“承包人”）对该项目的投标，发包人和承包人特此签订安全生产合同：</w:t>
      </w:r>
    </w:p>
    <w:p w14:paraId="01D94D9B">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1．发包人职责</w:t>
      </w:r>
    </w:p>
    <w:p w14:paraId="228E3F12">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（1）严格遵守国家有关安全生产的法律法规，认真执行工程承包合同中的有关安全要求。</w:t>
      </w:r>
    </w:p>
    <w:p w14:paraId="13437B3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（2）按照“安全第一、预防为主”和坚持“管生产必须管安全”的原则进行安全生产管理，做到生产与安全工作同时计划、布置、检查、总结和评比。</w:t>
      </w:r>
    </w:p>
    <w:p w14:paraId="08BF8963">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（3）重要的安全设施必须坚持与主体工程“三同时”的原则，即：同时设计、审批，同时施工，同时验收，投入使用。</w:t>
      </w:r>
    </w:p>
    <w:p w14:paraId="5DDEDB34">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（4）定期召开安全生产调度会，及时传达中央及地方有关安全生产的精神。</w:t>
      </w:r>
    </w:p>
    <w:p w14:paraId="3812A5C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（5）组织对承包人施工现场进行安全生产检查，监督承包人及时处理发现的各种安全隐患。</w:t>
      </w:r>
    </w:p>
    <w:p w14:paraId="6F32E2A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2．承包人职责</w:t>
      </w:r>
    </w:p>
    <w:p w14:paraId="4284BF2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严格遵守《中华人民共和国安全生产法》、《建设工程安全生产管理条例》等国家有关安全生产的法律法规、《建筑工程安全生产监督管理办法》、《建筑工程施工安全技术规程》等有关安全生产的规定。认真执行工程承包合同中的有关安全要求。</w:t>
      </w:r>
    </w:p>
    <w:p w14:paraId="6A3C5D6E">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2347971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建筑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134B02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（4）承包人在任何时候都应采取各种合理的预防措施，防止其员工发生任何违法、违禁、暴力或妨碍治安的行为。</w:t>
      </w:r>
    </w:p>
    <w:p w14:paraId="630A8AA5">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AFA4CD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4C09FE8A">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（7）操作人员上岗，必须按规定穿戴防护用品。施工负责人和安全检查员应随时检查劳动防护用品的穿戴情况，不按规定穿戴防护用品的人员不得上岗。</w:t>
      </w:r>
    </w:p>
    <w:p w14:paraId="4F178BCF">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（8）所有施工机具设备和高空作业的设备均应定期检查，并有安全员的签字记录，保证其经常处于完好状态；不合格的机具、设备和劳动保护用品严禁使用。</w:t>
      </w:r>
    </w:p>
    <w:p w14:paraId="5C7BEAC1">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（9）施工中采用新技术、新工艺、新设备、新材料时，必须制定相应的安全技术措施，施工现场必须具有相关的安全标志牌。</w:t>
      </w:r>
    </w:p>
    <w:p w14:paraId="75643F6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10）承包人必须按照本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3B035A5D">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3．违约责任</w:t>
      </w:r>
    </w:p>
    <w:p w14:paraId="409D0509">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如因发包人或承包人违约造成安全事故，将依法追究责任。</w:t>
      </w:r>
    </w:p>
    <w:p w14:paraId="4557726C">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4．本合同由双方法定代表人或其授权的代理人签署并加盖单位章后生效，全部工程验收后失效。</w:t>
      </w:r>
    </w:p>
    <w:p w14:paraId="01F2F877">
      <w:pPr>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5．本合同正本二份、副本</w:t>
      </w:r>
      <w:r>
        <w:rPr>
          <w:rFonts w:hint="eastAsia" w:ascii="宋体" w:hAnsi="宋体" w:cs="宋体"/>
          <w:color w:val="auto"/>
          <w:highlight w:val="none"/>
          <w:u w:val="single"/>
        </w:rPr>
        <w:t xml:space="preserve">       </w:t>
      </w:r>
      <w:r>
        <w:rPr>
          <w:rFonts w:hint="eastAsia" w:ascii="宋体" w:hAnsi="宋体" w:cs="宋体"/>
          <w:color w:val="auto"/>
          <w:highlight w:val="none"/>
        </w:rPr>
        <w:t>份，合同双方各执正本一份，副本</w:t>
      </w:r>
      <w:r>
        <w:rPr>
          <w:rFonts w:hint="eastAsia" w:ascii="宋体" w:hAnsi="宋体" w:cs="宋体"/>
          <w:color w:val="auto"/>
          <w:highlight w:val="none"/>
          <w:u w:val="single"/>
        </w:rPr>
        <w:t xml:space="preserve">      </w:t>
      </w:r>
      <w:r>
        <w:rPr>
          <w:rFonts w:hint="eastAsia" w:ascii="宋体" w:hAnsi="宋体" w:cs="宋体"/>
          <w:color w:val="auto"/>
          <w:highlight w:val="none"/>
        </w:rPr>
        <w:t>份，当正本与副本的内容不一致时，以正本为准。</w:t>
      </w:r>
    </w:p>
    <w:p w14:paraId="2BDF3253">
      <w:pPr>
        <w:adjustRightInd w:val="0"/>
        <w:snapToGrid w:val="0"/>
        <w:spacing w:line="360" w:lineRule="auto"/>
        <w:ind w:firstLine="420" w:firstLineChars="200"/>
        <w:rPr>
          <w:rFonts w:ascii="宋体" w:hAnsi="宋体" w:cs="宋体"/>
          <w:color w:val="auto"/>
          <w:highlight w:val="none"/>
        </w:rPr>
      </w:pPr>
    </w:p>
    <w:p w14:paraId="70F47383">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发包人：</w:t>
      </w:r>
      <w:r>
        <w:rPr>
          <w:rFonts w:hint="eastAsia" w:ascii="宋体" w:hAnsi="宋体" w:cs="宋体"/>
          <w:color w:val="auto"/>
          <w:highlight w:val="none"/>
          <w:u w:val="single"/>
        </w:rPr>
        <w:t xml:space="preserve">             </w:t>
      </w:r>
      <w:r>
        <w:rPr>
          <w:rFonts w:hint="eastAsia" w:ascii="宋体" w:hAnsi="宋体" w:cs="宋体"/>
          <w:color w:val="auto"/>
          <w:highlight w:val="none"/>
        </w:rPr>
        <w:t>（盖章单位）   承包人：</w:t>
      </w:r>
      <w:r>
        <w:rPr>
          <w:rFonts w:hint="eastAsia" w:ascii="宋体" w:hAnsi="宋体" w:cs="宋体"/>
          <w:color w:val="auto"/>
          <w:highlight w:val="none"/>
          <w:u w:val="single"/>
        </w:rPr>
        <w:t xml:space="preserve">            </w:t>
      </w:r>
      <w:r>
        <w:rPr>
          <w:rFonts w:hint="eastAsia" w:ascii="宋体" w:hAnsi="宋体" w:cs="宋体"/>
          <w:color w:val="auto"/>
          <w:highlight w:val="none"/>
        </w:rPr>
        <w:t>（盖章单位）</w:t>
      </w:r>
    </w:p>
    <w:p w14:paraId="480CA7DA">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法定代表人或其委托代理人：（签字）    法定代表人或其委托代理人：</w:t>
      </w:r>
      <w:r>
        <w:rPr>
          <w:rFonts w:hint="eastAsia" w:ascii="宋体" w:hAnsi="宋体" w:cs="宋体"/>
          <w:color w:val="auto"/>
          <w:highlight w:val="none"/>
          <w:u w:val="single"/>
        </w:rPr>
        <w:t>（</w:t>
      </w:r>
      <w:r>
        <w:rPr>
          <w:rFonts w:hint="eastAsia" w:ascii="宋体" w:hAnsi="宋体" w:cs="宋体"/>
          <w:color w:val="auto"/>
          <w:highlight w:val="none"/>
        </w:rPr>
        <w:t>签字）</w:t>
      </w:r>
    </w:p>
    <w:p w14:paraId="523EF2F3">
      <w:pPr>
        <w:adjustRightInd w:val="0"/>
        <w:snapToGrid w:val="0"/>
        <w:spacing w:line="360" w:lineRule="auto"/>
        <w:ind w:firstLine="420" w:firstLineChars="200"/>
        <w:jc w:val="left"/>
        <w:rPr>
          <w:rFonts w:ascii="宋体" w:hAnsi="宋体" w:cs="宋体"/>
          <w:color w:val="auto"/>
          <w:highlight w:val="none"/>
        </w:rPr>
      </w:pPr>
    </w:p>
    <w:p w14:paraId="67350D31">
      <w:pPr>
        <w:adjustRightInd w:val="0"/>
        <w:snapToGrid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u w:val="single"/>
        </w:rPr>
        <w:t xml:space="preserve">          </w:t>
      </w:r>
      <w:r>
        <w:rPr>
          <w:rFonts w:hint="eastAsia" w:ascii="宋体" w:hAnsi="宋体" w:cs="宋体"/>
          <w:color w:val="auto"/>
          <w:highlight w:val="none"/>
        </w:rPr>
        <w:t xml:space="preserve">年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r>
        <w:rPr>
          <w:rFonts w:hint="eastAsia" w:ascii="宋体" w:hAnsi="宋体" w:cs="宋体"/>
          <w:color w:val="auto"/>
          <w:highlight w:val="none"/>
          <w:u w:val="single"/>
        </w:rPr>
        <w:t xml:space="preserve">          </w:t>
      </w:r>
      <w:r>
        <w:rPr>
          <w:rFonts w:hint="eastAsia" w:ascii="宋体" w:hAnsi="宋体" w:cs="宋体"/>
          <w:color w:val="auto"/>
          <w:highlight w:val="none"/>
        </w:rPr>
        <w:t xml:space="preserve">年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339ABC2">
      <w:pPr>
        <w:pStyle w:val="16"/>
        <w:rPr>
          <w:color w:val="auto"/>
          <w:highlight w:val="none"/>
        </w:rPr>
      </w:pPr>
    </w:p>
    <w:p w14:paraId="43A471E7">
      <w:pPr>
        <w:spacing w:line="400" w:lineRule="atLeast"/>
        <w:rPr>
          <w:color w:val="auto"/>
          <w:sz w:val="24"/>
          <w:highlight w:val="none"/>
        </w:rPr>
      </w:pPr>
    </w:p>
    <w:p w14:paraId="569E888B">
      <w:pPr>
        <w:rPr>
          <w:color w:val="auto"/>
          <w:sz w:val="24"/>
          <w:highlight w:val="none"/>
        </w:rPr>
      </w:pPr>
      <w:r>
        <w:rPr>
          <w:color w:val="auto"/>
          <w:sz w:val="24"/>
          <w:highlight w:val="none"/>
        </w:rPr>
        <w:br w:type="page"/>
      </w:r>
    </w:p>
    <w:p w14:paraId="76FB76A0">
      <w:pPr>
        <w:pStyle w:val="3"/>
        <w:spacing w:before="0" w:after="0" w:line="240" w:lineRule="auto"/>
        <w:jc w:val="center"/>
        <w:rPr>
          <w:b w:val="0"/>
          <w:bCs w:val="0"/>
          <w:color w:val="auto"/>
          <w:sz w:val="52"/>
          <w:szCs w:val="52"/>
          <w:highlight w:val="none"/>
        </w:rPr>
      </w:pPr>
      <w:r>
        <w:rPr>
          <w:rFonts w:hint="eastAsia" w:cs="黑体"/>
          <w:b w:val="0"/>
          <w:bCs w:val="0"/>
          <w:color w:val="auto"/>
          <w:sz w:val="52"/>
          <w:szCs w:val="52"/>
          <w:highlight w:val="none"/>
        </w:rPr>
        <w:t>第</w:t>
      </w:r>
      <w:r>
        <w:rPr>
          <w:rFonts w:hint="eastAsia" w:cs="黑体"/>
          <w:b w:val="0"/>
          <w:bCs w:val="0"/>
          <w:color w:val="auto"/>
          <w:sz w:val="52"/>
          <w:szCs w:val="52"/>
          <w:highlight w:val="none"/>
          <w:lang w:val="en-US" w:eastAsia="zh-CN"/>
        </w:rPr>
        <w:t>五</w:t>
      </w:r>
      <w:r>
        <w:rPr>
          <w:rFonts w:hint="eastAsia" w:cs="黑体"/>
          <w:b w:val="0"/>
          <w:bCs w:val="0"/>
          <w:color w:val="auto"/>
          <w:sz w:val="52"/>
          <w:szCs w:val="52"/>
          <w:highlight w:val="none"/>
        </w:rPr>
        <w:t xml:space="preserve">章 </w:t>
      </w:r>
      <w:r>
        <w:rPr>
          <w:rFonts w:hint="eastAsia" w:cs="黑体"/>
          <w:b w:val="0"/>
          <w:bCs w:val="0"/>
          <w:color w:val="auto"/>
          <w:sz w:val="52"/>
          <w:szCs w:val="52"/>
          <w:highlight w:val="none"/>
          <w:lang w:val="en-US" w:eastAsia="zh-CN"/>
        </w:rPr>
        <w:t>发包人要求</w:t>
      </w:r>
    </w:p>
    <w:p w14:paraId="59CD9499">
      <w:pPr>
        <w:pStyle w:val="6"/>
        <w:keepNext w:val="0"/>
        <w:keepLines w:val="0"/>
        <w:widowControl/>
        <w:adjustRightInd w:val="0"/>
        <w:snapToGrid w:val="0"/>
        <w:spacing w:before="0" w:after="0" w:line="360" w:lineRule="auto"/>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一</w:t>
      </w:r>
      <w:r>
        <w:rPr>
          <w:rStyle w:val="20"/>
          <w:rFonts w:hint="eastAsia" w:asciiTheme="minorEastAsia" w:hAnsiTheme="minorEastAsia" w:eastAsiaTheme="minorEastAsia" w:cstheme="minorEastAsia"/>
          <w:b/>
          <w:bCs w:val="0"/>
          <w:color w:val="auto"/>
          <w:sz w:val="24"/>
          <w:szCs w:val="24"/>
          <w:highlight w:val="none"/>
        </w:rPr>
        <w:t>、施工流程</w:t>
      </w:r>
    </w:p>
    <w:p w14:paraId="3C6666B9">
      <w:pPr>
        <w:pStyle w:val="15"/>
        <w:adjustRightInd w:val="0"/>
        <w:snapToGrid w:val="0"/>
        <w:spacing w:before="0" w:beforeAutospacing="0" w:after="0" w:afterAutospacing="0" w:line="360" w:lineRule="auto"/>
        <w:ind w:firstLine="482" w:firstLineChars="200"/>
        <w:jc w:val="both"/>
        <w:rPr>
          <w:rFonts w:hint="eastAsia" w:asciiTheme="minorEastAsia" w:hAnsiTheme="minorEastAsia" w:eastAsiaTheme="minorEastAsia" w:cstheme="minorEastAsia"/>
          <w:color w:val="auto"/>
          <w:highlight w:val="none"/>
          <w:lang w:eastAsia="zh-CN"/>
        </w:rPr>
      </w:pPr>
      <w:r>
        <w:rPr>
          <w:rStyle w:val="20"/>
          <w:rFonts w:hint="eastAsia" w:asciiTheme="minorEastAsia" w:hAnsiTheme="minorEastAsia" w:eastAsiaTheme="minorEastAsia" w:cstheme="minorEastAsia"/>
          <w:color w:val="auto"/>
          <w:highlight w:val="none"/>
        </w:rPr>
        <w:t>阶段一：</w:t>
      </w:r>
      <w:r>
        <w:rPr>
          <w:rStyle w:val="20"/>
          <w:rFonts w:hint="eastAsia" w:asciiTheme="minorEastAsia" w:hAnsiTheme="minorEastAsia" w:eastAsiaTheme="minorEastAsia" w:cstheme="minorEastAsia"/>
          <w:color w:val="auto"/>
          <w:highlight w:val="none"/>
          <w:lang w:val="en-US" w:eastAsia="zh-CN"/>
        </w:rPr>
        <w:t>施工准备</w:t>
      </w:r>
    </w:p>
    <w:p w14:paraId="7998897D">
      <w:pPr>
        <w:pStyle w:val="15"/>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现场勘查，确认具体施工范围；</w:t>
      </w:r>
    </w:p>
    <w:p w14:paraId="6BD22B40">
      <w:pPr>
        <w:pStyle w:val="15"/>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材料进场，经甲方确认；</w:t>
      </w:r>
    </w:p>
    <w:p w14:paraId="6E128AE6">
      <w:pPr>
        <w:pStyle w:val="15"/>
        <w:adjustRightInd w:val="0"/>
        <w:snapToGrid w:val="0"/>
        <w:spacing w:before="0" w:beforeAutospacing="0" w:after="0" w:afterAutospacing="0" w:line="360" w:lineRule="auto"/>
        <w:ind w:firstLine="480" w:firstLineChars="200"/>
        <w:jc w:val="both"/>
        <w:rPr>
          <w:rStyle w:val="20"/>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设置施工警示标志，做好现场防护。</w:t>
      </w:r>
    </w:p>
    <w:p w14:paraId="15EB5630">
      <w:pPr>
        <w:pStyle w:val="15"/>
        <w:adjustRightInd w:val="0"/>
        <w:snapToGrid w:val="0"/>
        <w:spacing w:before="0" w:beforeAutospacing="0" w:after="0" w:afterAutospacing="0" w:line="360" w:lineRule="auto"/>
        <w:ind w:firstLine="482" w:firstLineChars="200"/>
        <w:jc w:val="both"/>
        <w:rPr>
          <w:rFonts w:asciiTheme="minorEastAsia" w:hAnsiTheme="minorEastAsia" w:eastAsiaTheme="minorEastAsia" w:cstheme="minorEastAsia"/>
          <w:color w:val="auto"/>
          <w:highlight w:val="none"/>
        </w:rPr>
      </w:pPr>
      <w:r>
        <w:rPr>
          <w:rStyle w:val="20"/>
          <w:rFonts w:hint="eastAsia" w:asciiTheme="minorEastAsia" w:hAnsiTheme="minorEastAsia" w:eastAsiaTheme="minorEastAsia" w:cstheme="minorEastAsia"/>
          <w:color w:val="auto"/>
          <w:highlight w:val="none"/>
        </w:rPr>
        <w:t>阶段二：漏水与裂缝排查与处理</w:t>
      </w:r>
    </w:p>
    <w:p w14:paraId="0855636B">
      <w:pPr>
        <w:pStyle w:val="15"/>
        <w:adjustRightInd w:val="0"/>
        <w:snapToGrid w:val="0"/>
        <w:spacing w:before="0" w:beforeAutospacing="0" w:after="0" w:afterAutospacing="0" w:line="360" w:lineRule="auto"/>
        <w:ind w:firstLine="480" w:firstLineChars="200"/>
        <w:jc w:val="both"/>
        <w:rPr>
          <w:rStyle w:val="19"/>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1. 对201、302、311南墙、车棚西侧等部位进行防水层施工；</w:t>
      </w:r>
    </w:p>
    <w:p w14:paraId="079A3013">
      <w:pPr>
        <w:pStyle w:val="15"/>
        <w:adjustRightInd w:val="0"/>
        <w:snapToGrid w:val="0"/>
        <w:spacing w:before="0" w:beforeAutospacing="0" w:after="0" w:afterAutospacing="0" w:line="360" w:lineRule="auto"/>
        <w:ind w:firstLine="480" w:firstLineChars="200"/>
        <w:jc w:val="both"/>
        <w:rPr>
          <w:rStyle w:val="19"/>
          <w:rFonts w:hint="eastAsia" w:asciiTheme="minorEastAsia" w:hAnsiTheme="minorEastAsia" w:eastAsiaTheme="minorEastAsia" w:cstheme="minorEastAsia"/>
          <w:color w:val="auto"/>
          <w:highlight w:val="none"/>
        </w:rPr>
      </w:pPr>
      <w:r>
        <w:rPr>
          <w:rStyle w:val="19"/>
          <w:rFonts w:hint="eastAsia" w:asciiTheme="minorEastAsia" w:hAnsiTheme="minorEastAsia" w:eastAsiaTheme="minorEastAsia" w:cstheme="minorEastAsia"/>
          <w:color w:val="auto"/>
          <w:highlight w:val="none"/>
        </w:rPr>
        <w:t>2. 防水层干燥后进行闭水试验，确保无渗漏。</w:t>
      </w:r>
    </w:p>
    <w:p w14:paraId="5D8BC46C">
      <w:pPr>
        <w:pStyle w:val="15"/>
        <w:adjustRightInd w:val="0"/>
        <w:snapToGrid w:val="0"/>
        <w:spacing w:before="0" w:beforeAutospacing="0" w:after="0" w:afterAutospacing="0" w:line="360" w:lineRule="auto"/>
        <w:ind w:firstLine="482" w:firstLineChars="200"/>
        <w:jc w:val="both"/>
        <w:rPr>
          <w:rStyle w:val="20"/>
          <w:rFonts w:asciiTheme="minorEastAsia" w:hAnsiTheme="minorEastAsia" w:eastAsiaTheme="minorEastAsia" w:cstheme="minorEastAsia"/>
          <w:color w:val="auto"/>
          <w:highlight w:val="none"/>
        </w:rPr>
      </w:pPr>
      <w:r>
        <w:rPr>
          <w:rStyle w:val="20"/>
          <w:rFonts w:hint="eastAsia" w:asciiTheme="minorEastAsia" w:hAnsiTheme="minorEastAsia" w:eastAsiaTheme="minorEastAsia" w:cstheme="minorEastAsia"/>
          <w:color w:val="auto"/>
          <w:highlight w:val="none"/>
        </w:rPr>
        <w:t>阶段三：防水施工</w:t>
      </w:r>
    </w:p>
    <w:p w14:paraId="342E83C6">
      <w:pPr>
        <w:widowControl/>
        <w:spacing w:line="360" w:lineRule="auto"/>
        <w:ind w:firstLine="440" w:firstLineChars="200"/>
        <w:jc w:val="left"/>
        <w:rPr>
          <w:rFonts w:hint="eastAsia" w:asciiTheme="minorEastAsia" w:hAnsiTheme="minorEastAsia" w:eastAsiaTheme="minorEastAsia" w:cstheme="minorEastAsia"/>
          <w:color w:val="auto"/>
          <w:kern w:val="0"/>
          <w:sz w:val="22"/>
          <w:szCs w:val="22"/>
          <w:highlight w:val="none"/>
          <w:lang w:bidi="ar"/>
        </w:rPr>
      </w:pPr>
      <w:r>
        <w:rPr>
          <w:rFonts w:hint="eastAsia" w:asciiTheme="minorEastAsia" w:hAnsiTheme="minorEastAsia" w:eastAsiaTheme="minorEastAsia" w:cstheme="minorEastAsia"/>
          <w:color w:val="auto"/>
          <w:kern w:val="0"/>
          <w:sz w:val="22"/>
          <w:szCs w:val="22"/>
          <w:highlight w:val="none"/>
          <w:lang w:bidi="ar"/>
        </w:rPr>
        <w:t>1. 对201、302、311南墙、车棚西侧等部位进行防水层施工；</w:t>
      </w:r>
    </w:p>
    <w:p w14:paraId="6250DD8F">
      <w:pPr>
        <w:pStyle w:val="15"/>
        <w:adjustRightInd w:val="0"/>
        <w:snapToGrid w:val="0"/>
        <w:spacing w:before="0" w:beforeAutospacing="0" w:after="0" w:afterAutospacing="0" w:line="360" w:lineRule="auto"/>
        <w:ind w:firstLine="440" w:firstLineChars="200"/>
        <w:jc w:val="both"/>
        <w:rPr>
          <w:rStyle w:val="20"/>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 w:val="22"/>
          <w:szCs w:val="22"/>
          <w:highlight w:val="none"/>
          <w:lang w:bidi="ar"/>
        </w:rPr>
        <w:t>2. 防水层干燥后进行闭水试验，确保无渗漏。</w:t>
      </w:r>
    </w:p>
    <w:p w14:paraId="3A5FDDB2">
      <w:pPr>
        <w:pStyle w:val="15"/>
        <w:adjustRightInd w:val="0"/>
        <w:snapToGrid w:val="0"/>
        <w:spacing w:before="0" w:beforeAutospacing="0" w:after="0" w:afterAutospacing="0" w:line="360" w:lineRule="auto"/>
        <w:ind w:firstLine="482" w:firstLineChars="200"/>
        <w:jc w:val="both"/>
        <w:rPr>
          <w:rFonts w:asciiTheme="minorEastAsia" w:hAnsiTheme="minorEastAsia" w:eastAsiaTheme="minorEastAsia" w:cstheme="minorEastAsia"/>
          <w:color w:val="auto"/>
          <w:highlight w:val="none"/>
        </w:rPr>
      </w:pPr>
      <w:r>
        <w:rPr>
          <w:rStyle w:val="20"/>
          <w:rFonts w:hint="eastAsia" w:asciiTheme="minorEastAsia" w:hAnsiTheme="minorEastAsia" w:eastAsiaTheme="minorEastAsia" w:cstheme="minorEastAsia"/>
          <w:color w:val="auto"/>
          <w:highlight w:val="none"/>
        </w:rPr>
        <w:t>阶段四：墙面修补与刷白</w:t>
      </w:r>
    </w:p>
    <w:p w14:paraId="2FFF7EFF">
      <w:pPr>
        <w:pStyle w:val="15"/>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对已完成防水处理的墙面进行基层处理；</w:t>
      </w:r>
    </w:p>
    <w:p w14:paraId="44385D99">
      <w:pPr>
        <w:pStyle w:val="15"/>
        <w:adjustRightInd w:val="0"/>
        <w:snapToGrid w:val="0"/>
        <w:spacing w:before="0" w:beforeAutospacing="0" w:after="0" w:afterAutospacing="0" w:line="360" w:lineRule="auto"/>
        <w:ind w:firstLine="480" w:firstLineChars="20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 对公共区域、食堂外墙、围墙、车棚等部位进行刷白；</w:t>
      </w:r>
    </w:p>
    <w:p w14:paraId="4701DA42">
      <w:pPr>
        <w:pStyle w:val="15"/>
        <w:adjustRightInd w:val="0"/>
        <w:snapToGrid w:val="0"/>
        <w:spacing w:before="0" w:beforeAutospacing="0" w:after="0" w:afterAutospacing="0"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 对裂缝修补处进行打磨、刷白。</w:t>
      </w:r>
    </w:p>
    <w:p w14:paraId="146EDF8C">
      <w:pPr>
        <w:pStyle w:val="15"/>
        <w:adjustRightInd w:val="0"/>
        <w:snapToGrid w:val="0"/>
        <w:spacing w:before="0" w:beforeAutospacing="0" w:after="0" w:afterAutospacing="0" w:line="360" w:lineRule="auto"/>
        <w:ind w:firstLine="482" w:firstLineChars="200"/>
        <w:jc w:val="both"/>
        <w:rPr>
          <w:rFonts w:asciiTheme="minorEastAsia" w:hAnsiTheme="minorEastAsia" w:eastAsiaTheme="minorEastAsia" w:cstheme="minorEastAsia"/>
          <w:color w:val="auto"/>
          <w:highlight w:val="none"/>
        </w:rPr>
      </w:pPr>
      <w:r>
        <w:rPr>
          <w:rStyle w:val="20"/>
          <w:rFonts w:hint="eastAsia" w:asciiTheme="minorEastAsia" w:hAnsiTheme="minorEastAsia" w:eastAsiaTheme="minorEastAsia" w:cstheme="minorEastAsia"/>
          <w:color w:val="auto"/>
          <w:highlight w:val="none"/>
        </w:rPr>
        <w:t>阶段五：清理与验收</w:t>
      </w:r>
    </w:p>
    <w:p w14:paraId="11326239">
      <w:pPr>
        <w:pStyle w:val="15"/>
        <w:adjustRightInd w:val="0"/>
        <w:snapToGrid w:val="0"/>
        <w:spacing w:before="0" w:beforeAutospacing="0" w:after="0" w:afterAutospacing="0"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场内所有垃圾清理干净并外运</w:t>
      </w:r>
      <w:r>
        <w:rPr>
          <w:rFonts w:hint="eastAsia" w:asciiTheme="minorEastAsia" w:hAnsiTheme="minorEastAsia" w:eastAsiaTheme="minorEastAsia" w:cstheme="minorEastAsia"/>
          <w:color w:val="auto"/>
          <w:highlight w:val="none"/>
        </w:rPr>
        <w:t>；</w:t>
      </w:r>
    </w:p>
    <w:p w14:paraId="5D02E45E">
      <w:pPr>
        <w:pStyle w:val="15"/>
        <w:adjustRightInd w:val="0"/>
        <w:snapToGrid w:val="0"/>
        <w:spacing w:before="0" w:beforeAutospacing="0" w:after="0" w:afterAutospacing="0"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提交验收报告，配合业主方检查。</w:t>
      </w:r>
    </w:p>
    <w:p w14:paraId="38DB23EA">
      <w:pPr>
        <w:adjustRightInd w:val="0"/>
        <w:snapToGrid w:val="0"/>
        <w:spacing w:line="360" w:lineRule="auto"/>
        <w:ind w:firstLine="480" w:firstLineChars="200"/>
        <w:rPr>
          <w:color w:val="auto"/>
          <w:sz w:val="24"/>
          <w:szCs w:val="24"/>
          <w:highlight w:val="none"/>
        </w:rPr>
      </w:pPr>
      <w:r>
        <w:rPr>
          <w:color w:val="auto"/>
          <w:sz w:val="24"/>
          <w:szCs w:val="24"/>
          <w:highlight w:val="none"/>
        </w:rPr>
        <w:br w:type="page"/>
      </w:r>
    </w:p>
    <w:p w14:paraId="1CD3FD64">
      <w:pPr>
        <w:rPr>
          <w:color w:val="auto"/>
          <w:highlight w:val="none"/>
        </w:rPr>
      </w:pPr>
    </w:p>
    <w:p w14:paraId="3D97D9CB">
      <w:pPr>
        <w:rPr>
          <w:color w:val="auto"/>
          <w:sz w:val="48"/>
          <w:szCs w:val="48"/>
          <w:highlight w:val="none"/>
        </w:rPr>
      </w:pPr>
    </w:p>
    <w:p w14:paraId="4C97C436">
      <w:pPr>
        <w:pStyle w:val="3"/>
        <w:spacing w:before="0" w:after="0" w:line="240" w:lineRule="auto"/>
        <w:jc w:val="center"/>
        <w:rPr>
          <w:b w:val="0"/>
          <w:bCs w:val="0"/>
          <w:color w:val="auto"/>
          <w:sz w:val="52"/>
          <w:szCs w:val="52"/>
          <w:highlight w:val="none"/>
        </w:rPr>
      </w:pPr>
      <w:bookmarkStart w:id="250" w:name="_Toc30445"/>
      <w:bookmarkStart w:id="251" w:name="_Toc12500"/>
      <w:r>
        <w:rPr>
          <w:rFonts w:hint="eastAsia" w:cs="黑体"/>
          <w:b w:val="0"/>
          <w:bCs w:val="0"/>
          <w:color w:val="auto"/>
          <w:sz w:val="52"/>
          <w:szCs w:val="52"/>
          <w:highlight w:val="none"/>
        </w:rPr>
        <w:t>第</w:t>
      </w:r>
      <w:r>
        <w:rPr>
          <w:rFonts w:hint="eastAsia" w:cs="黑体"/>
          <w:b w:val="0"/>
          <w:bCs w:val="0"/>
          <w:color w:val="auto"/>
          <w:sz w:val="52"/>
          <w:szCs w:val="52"/>
          <w:highlight w:val="none"/>
          <w:lang w:val="en-US" w:eastAsia="zh-CN"/>
        </w:rPr>
        <w:t>六</w:t>
      </w:r>
      <w:r>
        <w:rPr>
          <w:rFonts w:hint="eastAsia" w:cs="黑体"/>
          <w:b w:val="0"/>
          <w:bCs w:val="0"/>
          <w:color w:val="auto"/>
          <w:sz w:val="52"/>
          <w:szCs w:val="52"/>
          <w:highlight w:val="none"/>
        </w:rPr>
        <w:t>章 投标文件格式</w:t>
      </w:r>
      <w:bookmarkEnd w:id="250"/>
      <w:bookmarkEnd w:id="251"/>
    </w:p>
    <w:p w14:paraId="1EF79BE1">
      <w:pPr>
        <w:rPr>
          <w:color w:val="auto"/>
          <w:sz w:val="48"/>
          <w:szCs w:val="48"/>
          <w:highlight w:val="none"/>
        </w:rPr>
      </w:pPr>
    </w:p>
    <w:p w14:paraId="695DF8ED">
      <w:pPr>
        <w:pStyle w:val="3"/>
        <w:spacing w:before="120" w:after="120" w:line="400" w:lineRule="exact"/>
        <w:jc w:val="center"/>
        <w:rPr>
          <w:color w:val="auto"/>
          <w:highlight w:val="none"/>
        </w:rPr>
      </w:pPr>
    </w:p>
    <w:p w14:paraId="0C12A70A">
      <w:pPr>
        <w:jc w:val="center"/>
        <w:rPr>
          <w:color w:val="auto"/>
          <w:sz w:val="48"/>
          <w:szCs w:val="48"/>
          <w:highlight w:val="none"/>
        </w:rPr>
      </w:pPr>
      <w:r>
        <w:rPr>
          <w:color w:val="auto"/>
          <w:highlight w:val="none"/>
        </w:rPr>
        <w:br w:type="page"/>
      </w:r>
    </w:p>
    <w:p w14:paraId="355B9D2A">
      <w:pPr>
        <w:outlineLvl w:val="0"/>
        <w:rPr>
          <w:b/>
          <w:bCs/>
          <w:color w:val="auto"/>
          <w:sz w:val="32"/>
          <w:szCs w:val="32"/>
          <w:highlight w:val="none"/>
        </w:rPr>
      </w:pPr>
      <w:bookmarkStart w:id="252" w:name="_Toc8699"/>
      <w:r>
        <w:rPr>
          <w:rFonts w:hint="eastAsia" w:cs="宋体"/>
          <w:b/>
          <w:bCs/>
          <w:color w:val="auto"/>
          <w:sz w:val="32"/>
          <w:szCs w:val="32"/>
          <w:highlight w:val="none"/>
        </w:rPr>
        <w:t>第一个信封封面格式</w:t>
      </w:r>
      <w:bookmarkEnd w:id="252"/>
    </w:p>
    <w:p w14:paraId="5349185B">
      <w:pPr>
        <w:rPr>
          <w:b/>
          <w:bCs/>
          <w:color w:val="auto"/>
          <w:sz w:val="32"/>
          <w:szCs w:val="32"/>
          <w:highlight w:val="none"/>
        </w:rPr>
      </w:pPr>
    </w:p>
    <w:p w14:paraId="73472CB2">
      <w:pPr>
        <w:jc w:val="center"/>
        <w:rPr>
          <w:color w:val="auto"/>
          <w:spacing w:val="50"/>
          <w:sz w:val="48"/>
          <w:szCs w:val="48"/>
          <w:highlight w:val="none"/>
        </w:rPr>
      </w:pPr>
      <w:r>
        <w:rPr>
          <w:rFonts w:hint="eastAsia"/>
          <w:b/>
          <w:bCs/>
          <w:color w:val="auto"/>
          <w:sz w:val="48"/>
          <w:szCs w:val="48"/>
          <w:highlight w:val="none"/>
          <w:lang w:eastAsia="zh-CN"/>
        </w:rPr>
        <w:t>南通市交通公共事业发展中心房屋修缮工程</w:t>
      </w:r>
    </w:p>
    <w:p w14:paraId="4A9F92A9">
      <w:pPr>
        <w:jc w:val="center"/>
        <w:rPr>
          <w:color w:val="auto"/>
          <w:spacing w:val="50"/>
          <w:sz w:val="48"/>
          <w:szCs w:val="48"/>
          <w:highlight w:val="none"/>
        </w:rPr>
      </w:pPr>
    </w:p>
    <w:p w14:paraId="44C2362D">
      <w:pPr>
        <w:jc w:val="center"/>
        <w:rPr>
          <w:color w:val="auto"/>
          <w:spacing w:val="50"/>
          <w:sz w:val="48"/>
          <w:szCs w:val="48"/>
          <w:highlight w:val="none"/>
        </w:rPr>
      </w:pPr>
    </w:p>
    <w:p w14:paraId="4690E169">
      <w:pPr>
        <w:jc w:val="center"/>
        <w:rPr>
          <w:color w:val="auto"/>
          <w:spacing w:val="100"/>
          <w:sz w:val="48"/>
          <w:szCs w:val="48"/>
          <w:highlight w:val="none"/>
        </w:rPr>
      </w:pPr>
    </w:p>
    <w:p w14:paraId="2923F77B">
      <w:pPr>
        <w:jc w:val="center"/>
        <w:rPr>
          <w:color w:val="auto"/>
          <w:spacing w:val="100"/>
          <w:sz w:val="48"/>
          <w:szCs w:val="48"/>
          <w:highlight w:val="none"/>
        </w:rPr>
      </w:pPr>
    </w:p>
    <w:p w14:paraId="70917D31">
      <w:pPr>
        <w:jc w:val="center"/>
        <w:rPr>
          <w:color w:val="auto"/>
          <w:spacing w:val="60"/>
          <w:sz w:val="84"/>
          <w:szCs w:val="84"/>
          <w:highlight w:val="none"/>
        </w:rPr>
      </w:pPr>
      <w:r>
        <w:rPr>
          <w:rFonts w:hint="eastAsia" w:cs="黑体"/>
          <w:color w:val="auto"/>
          <w:spacing w:val="60"/>
          <w:sz w:val="84"/>
          <w:szCs w:val="84"/>
          <w:highlight w:val="none"/>
        </w:rPr>
        <w:t>投标文件</w:t>
      </w:r>
    </w:p>
    <w:p w14:paraId="157627B7">
      <w:pPr>
        <w:jc w:val="center"/>
        <w:rPr>
          <w:color w:val="auto"/>
          <w:spacing w:val="60"/>
          <w:sz w:val="44"/>
          <w:szCs w:val="44"/>
          <w:highlight w:val="none"/>
        </w:rPr>
      </w:pPr>
      <w:bookmarkStart w:id="253" w:name="_Toc428810609"/>
      <w:r>
        <w:rPr>
          <w:rFonts w:hint="eastAsia" w:cs="黑体"/>
          <w:snapToGrid w:val="0"/>
          <w:color w:val="auto"/>
          <w:kern w:val="0"/>
          <w:sz w:val="44"/>
          <w:szCs w:val="44"/>
          <w:highlight w:val="none"/>
        </w:rPr>
        <w:t>（资格审查文件</w:t>
      </w:r>
      <w:bookmarkEnd w:id="253"/>
      <w:r>
        <w:rPr>
          <w:rFonts w:hint="eastAsia" w:cs="黑体"/>
          <w:snapToGrid w:val="0"/>
          <w:color w:val="auto"/>
          <w:kern w:val="0"/>
          <w:sz w:val="44"/>
          <w:szCs w:val="44"/>
          <w:highlight w:val="none"/>
        </w:rPr>
        <w:t>）</w:t>
      </w:r>
    </w:p>
    <w:p w14:paraId="36C172D0">
      <w:pPr>
        <w:jc w:val="center"/>
        <w:rPr>
          <w:b/>
          <w:bCs/>
          <w:color w:val="auto"/>
          <w:sz w:val="48"/>
          <w:szCs w:val="48"/>
          <w:highlight w:val="none"/>
        </w:rPr>
      </w:pPr>
    </w:p>
    <w:p w14:paraId="2A7AAB8D">
      <w:pPr>
        <w:jc w:val="center"/>
        <w:rPr>
          <w:color w:val="auto"/>
          <w:sz w:val="48"/>
          <w:szCs w:val="48"/>
          <w:highlight w:val="none"/>
        </w:rPr>
      </w:pPr>
    </w:p>
    <w:p w14:paraId="414C3080">
      <w:pPr>
        <w:jc w:val="center"/>
        <w:rPr>
          <w:color w:val="auto"/>
          <w:sz w:val="48"/>
          <w:szCs w:val="48"/>
          <w:highlight w:val="none"/>
        </w:rPr>
      </w:pPr>
    </w:p>
    <w:p w14:paraId="09F91355">
      <w:pPr>
        <w:jc w:val="center"/>
        <w:rPr>
          <w:color w:val="auto"/>
          <w:sz w:val="48"/>
          <w:szCs w:val="48"/>
          <w:highlight w:val="none"/>
        </w:rPr>
      </w:pPr>
    </w:p>
    <w:p w14:paraId="1521B445">
      <w:pPr>
        <w:jc w:val="center"/>
        <w:rPr>
          <w:color w:val="auto"/>
          <w:sz w:val="48"/>
          <w:szCs w:val="48"/>
          <w:highlight w:val="none"/>
        </w:rPr>
      </w:pPr>
    </w:p>
    <w:p w14:paraId="039809C0">
      <w:pPr>
        <w:jc w:val="center"/>
        <w:rPr>
          <w:color w:val="auto"/>
          <w:sz w:val="48"/>
          <w:szCs w:val="48"/>
          <w:highlight w:val="none"/>
        </w:rPr>
      </w:pPr>
    </w:p>
    <w:p w14:paraId="19174F79">
      <w:pPr>
        <w:jc w:val="center"/>
        <w:rPr>
          <w:color w:val="auto"/>
          <w:sz w:val="48"/>
          <w:szCs w:val="48"/>
          <w:highlight w:val="none"/>
        </w:rPr>
      </w:pPr>
    </w:p>
    <w:p w14:paraId="5081991E">
      <w:pPr>
        <w:jc w:val="center"/>
        <w:rPr>
          <w:color w:val="auto"/>
          <w:sz w:val="48"/>
          <w:szCs w:val="48"/>
          <w:highlight w:val="none"/>
        </w:rPr>
      </w:pPr>
    </w:p>
    <w:p w14:paraId="3C4298E1">
      <w:pPr>
        <w:jc w:val="center"/>
        <w:rPr>
          <w:color w:val="auto"/>
          <w:sz w:val="48"/>
          <w:szCs w:val="48"/>
          <w:highlight w:val="none"/>
        </w:rPr>
      </w:pPr>
    </w:p>
    <w:p w14:paraId="2FED71F9">
      <w:pPr>
        <w:jc w:val="center"/>
        <w:rPr>
          <w:color w:val="auto"/>
          <w:sz w:val="36"/>
          <w:szCs w:val="36"/>
          <w:highlight w:val="none"/>
          <w:u w:val="single"/>
        </w:rPr>
      </w:pPr>
      <w:r>
        <w:rPr>
          <w:rFonts w:hint="eastAsia" w:cs="宋体"/>
          <w:color w:val="auto"/>
          <w:sz w:val="36"/>
          <w:szCs w:val="36"/>
          <w:highlight w:val="none"/>
        </w:rPr>
        <w:t>投标人：</w:t>
      </w:r>
      <w:r>
        <w:rPr>
          <w:rFonts w:cs="宋体"/>
          <w:color w:val="auto"/>
          <w:sz w:val="36"/>
          <w:szCs w:val="36"/>
          <w:highlight w:val="none"/>
          <w:u w:val="single"/>
        </w:rPr>
        <w:t>(</w:t>
      </w:r>
      <w:r>
        <w:rPr>
          <w:rFonts w:hint="eastAsia" w:cs="宋体"/>
          <w:color w:val="auto"/>
          <w:sz w:val="36"/>
          <w:szCs w:val="36"/>
          <w:highlight w:val="none"/>
          <w:u w:val="single"/>
        </w:rPr>
        <w:t>盖单位章</w:t>
      </w:r>
      <w:r>
        <w:rPr>
          <w:rFonts w:cs="宋体"/>
          <w:color w:val="auto"/>
          <w:sz w:val="36"/>
          <w:szCs w:val="36"/>
          <w:highlight w:val="none"/>
          <w:u w:val="single"/>
        </w:rPr>
        <w:t xml:space="preserve">)      </w:t>
      </w:r>
    </w:p>
    <w:p w14:paraId="2D58E07A">
      <w:pPr>
        <w:jc w:val="center"/>
        <w:rPr>
          <w:color w:val="auto"/>
          <w:sz w:val="36"/>
          <w:szCs w:val="36"/>
          <w:highlight w:val="none"/>
        </w:rPr>
      </w:pPr>
      <w:r>
        <w:rPr>
          <w:rFonts w:hint="eastAsia" w:cs="宋体"/>
          <w:color w:val="auto"/>
          <w:sz w:val="36"/>
          <w:szCs w:val="36"/>
          <w:highlight w:val="none"/>
        </w:rPr>
        <w:t>年月日</w:t>
      </w:r>
    </w:p>
    <w:p w14:paraId="6D00E3F2">
      <w:pPr>
        <w:spacing w:line="400" w:lineRule="exact"/>
        <w:rPr>
          <w:color w:val="auto"/>
          <w:highlight w:val="none"/>
        </w:rPr>
        <w:sectPr>
          <w:headerReference r:id="rId4" w:type="default"/>
          <w:footerReference r:id="rId5" w:type="default"/>
          <w:pgSz w:w="11906" w:h="16838"/>
          <w:pgMar w:top="1389" w:right="1474" w:bottom="1389" w:left="1644" w:header="851" w:footer="992" w:gutter="0"/>
          <w:cols w:space="720" w:num="1"/>
          <w:docGrid w:linePitch="312" w:charSpace="0"/>
        </w:sectPr>
      </w:pPr>
    </w:p>
    <w:p w14:paraId="32B3A9B9">
      <w:pPr>
        <w:spacing w:before="120" w:beforeLines="50" w:after="120" w:afterLines="50"/>
        <w:jc w:val="center"/>
        <w:rPr>
          <w:color w:val="auto"/>
          <w:sz w:val="44"/>
          <w:szCs w:val="44"/>
          <w:highlight w:val="none"/>
        </w:rPr>
      </w:pPr>
      <w:r>
        <w:rPr>
          <w:rFonts w:hint="eastAsia" w:cs="黑体"/>
          <w:color w:val="auto"/>
          <w:sz w:val="44"/>
          <w:szCs w:val="44"/>
          <w:highlight w:val="none"/>
        </w:rPr>
        <w:t>目录</w:t>
      </w:r>
    </w:p>
    <w:p w14:paraId="1FF6D8ED">
      <w:pPr>
        <w:spacing w:before="120" w:beforeLines="50" w:after="120" w:afterLines="50"/>
        <w:rPr>
          <w:b/>
          <w:bCs/>
          <w:color w:val="auto"/>
          <w:sz w:val="28"/>
          <w:szCs w:val="28"/>
          <w:highlight w:val="none"/>
        </w:rPr>
      </w:pPr>
    </w:p>
    <w:p w14:paraId="2B0C6DF3">
      <w:pPr>
        <w:spacing w:before="120" w:beforeLines="50" w:after="120" w:afterLines="50"/>
        <w:rPr>
          <w:rFonts w:cs="宋体"/>
          <w:color w:val="auto"/>
          <w:sz w:val="28"/>
          <w:szCs w:val="28"/>
          <w:highlight w:val="none"/>
        </w:rPr>
      </w:pPr>
      <w:r>
        <w:rPr>
          <w:rFonts w:hint="eastAsia" w:cs="宋体"/>
          <w:color w:val="auto"/>
          <w:sz w:val="28"/>
          <w:szCs w:val="28"/>
          <w:highlight w:val="none"/>
        </w:rPr>
        <w:t>一、投标函</w:t>
      </w:r>
    </w:p>
    <w:p w14:paraId="2E2FDEC9">
      <w:pPr>
        <w:spacing w:before="120" w:beforeLines="50" w:after="120" w:afterLines="50"/>
        <w:rPr>
          <w:rFonts w:cs="宋体"/>
          <w:color w:val="auto"/>
          <w:sz w:val="28"/>
          <w:szCs w:val="28"/>
          <w:highlight w:val="none"/>
        </w:rPr>
      </w:pPr>
      <w:r>
        <w:rPr>
          <w:rFonts w:hint="eastAsia" w:cs="宋体"/>
          <w:color w:val="auto"/>
          <w:sz w:val="28"/>
          <w:szCs w:val="28"/>
          <w:highlight w:val="none"/>
        </w:rPr>
        <w:t>二、授权委托书或法定代表人身份证明</w:t>
      </w:r>
    </w:p>
    <w:p w14:paraId="2986897A">
      <w:pPr>
        <w:spacing w:before="120" w:beforeLines="50" w:after="120" w:afterLines="50"/>
        <w:rPr>
          <w:rFonts w:cs="宋体"/>
          <w:color w:val="auto"/>
          <w:sz w:val="28"/>
          <w:szCs w:val="28"/>
          <w:highlight w:val="none"/>
        </w:rPr>
      </w:pPr>
      <w:r>
        <w:rPr>
          <w:rFonts w:hint="eastAsia" w:cs="宋体"/>
          <w:color w:val="auto"/>
          <w:sz w:val="28"/>
          <w:szCs w:val="28"/>
          <w:highlight w:val="none"/>
        </w:rPr>
        <w:t>三、资格审查资料</w:t>
      </w:r>
    </w:p>
    <w:p w14:paraId="778FD4E5">
      <w:pPr>
        <w:spacing w:before="120" w:beforeLines="50" w:after="120" w:afterLines="50"/>
        <w:rPr>
          <w:color w:val="auto"/>
          <w:sz w:val="28"/>
          <w:szCs w:val="28"/>
          <w:highlight w:val="none"/>
        </w:rPr>
      </w:pPr>
      <w:r>
        <w:rPr>
          <w:rFonts w:hint="eastAsia"/>
          <w:color w:val="auto"/>
          <w:sz w:val="28"/>
          <w:szCs w:val="28"/>
          <w:highlight w:val="none"/>
          <w:lang w:val="en-US" w:eastAsia="zh-CN"/>
        </w:rPr>
        <w:t>四</w:t>
      </w:r>
      <w:r>
        <w:rPr>
          <w:rFonts w:hint="eastAsia"/>
          <w:color w:val="auto"/>
          <w:sz w:val="28"/>
          <w:szCs w:val="28"/>
          <w:highlight w:val="none"/>
        </w:rPr>
        <w:t>、其他材料</w:t>
      </w:r>
    </w:p>
    <w:p w14:paraId="69F15221">
      <w:pPr>
        <w:spacing w:before="120" w:beforeLines="50" w:after="120" w:afterLines="50"/>
        <w:rPr>
          <w:rFonts w:cs="宋体"/>
          <w:color w:val="auto"/>
          <w:sz w:val="28"/>
          <w:szCs w:val="28"/>
          <w:highlight w:val="none"/>
        </w:rPr>
      </w:pPr>
    </w:p>
    <w:p w14:paraId="454852CC">
      <w:pPr>
        <w:spacing w:before="120" w:beforeLines="50" w:after="120" w:afterLines="50"/>
        <w:rPr>
          <w:color w:val="auto"/>
          <w:sz w:val="28"/>
          <w:szCs w:val="28"/>
          <w:highlight w:val="none"/>
        </w:rPr>
      </w:pPr>
    </w:p>
    <w:p w14:paraId="0CBEB0A4">
      <w:pPr>
        <w:spacing w:line="360" w:lineRule="auto"/>
        <w:rPr>
          <w:color w:val="auto"/>
          <w:sz w:val="24"/>
          <w:szCs w:val="24"/>
          <w:highlight w:val="none"/>
        </w:rPr>
        <w:sectPr>
          <w:pgSz w:w="11906" w:h="16838"/>
          <w:pgMar w:top="1389" w:right="1474" w:bottom="1389" w:left="1644" w:header="851" w:footer="992" w:gutter="0"/>
          <w:cols w:space="720" w:num="1"/>
          <w:docGrid w:linePitch="312" w:charSpace="0"/>
        </w:sectPr>
      </w:pPr>
    </w:p>
    <w:p w14:paraId="780A2A7D">
      <w:pPr>
        <w:spacing w:before="120" w:beforeLines="50" w:after="120" w:afterLines="50"/>
        <w:jc w:val="center"/>
        <w:rPr>
          <w:color w:val="auto"/>
          <w:sz w:val="44"/>
          <w:szCs w:val="44"/>
          <w:highlight w:val="none"/>
        </w:rPr>
      </w:pPr>
      <w:r>
        <w:rPr>
          <w:rFonts w:hint="eastAsia" w:cs="黑体"/>
          <w:color w:val="auto"/>
          <w:sz w:val="44"/>
          <w:szCs w:val="44"/>
          <w:highlight w:val="none"/>
        </w:rPr>
        <w:t>一、投标函及投标函附录</w:t>
      </w:r>
    </w:p>
    <w:p w14:paraId="3EC7F0C0">
      <w:pPr>
        <w:spacing w:before="120" w:beforeLines="50" w:after="120" w:afterLines="50"/>
        <w:jc w:val="center"/>
        <w:rPr>
          <w:color w:val="auto"/>
          <w:sz w:val="36"/>
          <w:szCs w:val="36"/>
          <w:highlight w:val="none"/>
        </w:rPr>
      </w:pPr>
      <w:r>
        <w:rPr>
          <w:color w:val="auto"/>
          <w:sz w:val="36"/>
          <w:szCs w:val="36"/>
          <w:highlight w:val="none"/>
        </w:rPr>
        <w:t>(</w:t>
      </w:r>
      <w:r>
        <w:rPr>
          <w:rFonts w:hint="eastAsia" w:cs="黑体"/>
          <w:color w:val="auto"/>
          <w:sz w:val="36"/>
          <w:szCs w:val="36"/>
          <w:highlight w:val="none"/>
        </w:rPr>
        <w:t>一</w:t>
      </w:r>
      <w:r>
        <w:rPr>
          <w:color w:val="auto"/>
          <w:sz w:val="36"/>
          <w:szCs w:val="36"/>
          <w:highlight w:val="none"/>
        </w:rPr>
        <w:t>)</w:t>
      </w:r>
      <w:r>
        <w:rPr>
          <w:rFonts w:hint="eastAsia" w:cs="黑体"/>
          <w:color w:val="auto"/>
          <w:sz w:val="36"/>
          <w:szCs w:val="36"/>
          <w:highlight w:val="none"/>
        </w:rPr>
        <w:t>投标函</w:t>
      </w:r>
    </w:p>
    <w:p w14:paraId="22FF5907">
      <w:pPr>
        <w:spacing w:line="360" w:lineRule="auto"/>
        <w:rPr>
          <w:color w:val="auto"/>
          <w:sz w:val="24"/>
          <w:szCs w:val="24"/>
          <w:highlight w:val="none"/>
        </w:rPr>
      </w:pPr>
      <w:r>
        <w:rPr>
          <w:rFonts w:hint="eastAsia" w:cs="宋体"/>
          <w:color w:val="auto"/>
          <w:sz w:val="24"/>
          <w:szCs w:val="24"/>
          <w:highlight w:val="none"/>
          <w:u w:val="single"/>
        </w:rPr>
        <w:t>南通市交通公共事业发展中心</w:t>
      </w:r>
      <w:r>
        <w:rPr>
          <w:rFonts w:hint="eastAsia" w:cs="宋体"/>
          <w:color w:val="auto"/>
          <w:sz w:val="24"/>
          <w:szCs w:val="24"/>
          <w:highlight w:val="none"/>
        </w:rPr>
        <w:t>：</w:t>
      </w:r>
    </w:p>
    <w:p w14:paraId="10FB5FDB">
      <w:pPr>
        <w:wordWrap w:val="0"/>
        <w:spacing w:line="360" w:lineRule="auto"/>
        <w:ind w:firstLine="480" w:firstLineChars="200"/>
        <w:rPr>
          <w:color w:val="auto"/>
          <w:sz w:val="24"/>
          <w:szCs w:val="24"/>
          <w:highlight w:val="none"/>
        </w:rPr>
      </w:pPr>
      <w:r>
        <w:rPr>
          <w:color w:val="auto"/>
          <w:sz w:val="24"/>
          <w:szCs w:val="24"/>
          <w:highlight w:val="none"/>
        </w:rPr>
        <w:t>1</w:t>
      </w:r>
      <w:r>
        <w:rPr>
          <w:rFonts w:hint="eastAsia" w:cs="宋体"/>
          <w:color w:val="auto"/>
          <w:sz w:val="24"/>
          <w:szCs w:val="24"/>
          <w:highlight w:val="none"/>
        </w:rPr>
        <w:t>、我方已仔细研究</w:t>
      </w:r>
      <w:r>
        <w:rPr>
          <w:rFonts w:hint="eastAsia"/>
          <w:color w:val="auto"/>
          <w:sz w:val="24"/>
          <w:szCs w:val="24"/>
          <w:highlight w:val="none"/>
          <w:u w:val="single"/>
        </w:rPr>
        <w:t xml:space="preserve">                    </w:t>
      </w:r>
      <w:r>
        <w:rPr>
          <w:rFonts w:hint="eastAsia" w:cs="宋体"/>
          <w:color w:val="auto"/>
          <w:sz w:val="24"/>
          <w:szCs w:val="24"/>
          <w:highlight w:val="none"/>
        </w:rPr>
        <w:t>招标文件的全部内容，在考察工程现场后，愿意以投标文件第二个信封（报价文件）中的投标总报价，按合同约定实施和完成承包工程，修补工程中的任何缺陷。</w:t>
      </w:r>
    </w:p>
    <w:p w14:paraId="5B2EEDC3">
      <w:pPr>
        <w:spacing w:line="360" w:lineRule="auto"/>
        <w:ind w:firstLine="480" w:firstLineChars="200"/>
        <w:rPr>
          <w:color w:val="auto"/>
          <w:sz w:val="24"/>
          <w:szCs w:val="24"/>
          <w:highlight w:val="none"/>
        </w:rPr>
      </w:pPr>
      <w:r>
        <w:rPr>
          <w:color w:val="auto"/>
          <w:sz w:val="24"/>
          <w:szCs w:val="24"/>
          <w:highlight w:val="none"/>
        </w:rPr>
        <w:t>2</w:t>
      </w:r>
      <w:r>
        <w:rPr>
          <w:rFonts w:hint="eastAsia" w:cs="宋体"/>
          <w:color w:val="auto"/>
          <w:sz w:val="24"/>
          <w:szCs w:val="24"/>
          <w:highlight w:val="none"/>
        </w:rPr>
        <w:t>、我方承诺在投标有效期内不修改、撤销投标文件。</w:t>
      </w:r>
    </w:p>
    <w:p w14:paraId="7E9FCD26">
      <w:pPr>
        <w:spacing w:line="360" w:lineRule="auto"/>
        <w:ind w:firstLine="480" w:firstLineChars="200"/>
        <w:rPr>
          <w:color w:val="auto"/>
          <w:sz w:val="24"/>
          <w:szCs w:val="24"/>
          <w:highlight w:val="none"/>
        </w:rPr>
      </w:pPr>
      <w:r>
        <w:rPr>
          <w:color w:val="auto"/>
          <w:sz w:val="24"/>
          <w:szCs w:val="24"/>
          <w:highlight w:val="none"/>
        </w:rPr>
        <w:t>3</w:t>
      </w:r>
      <w:r>
        <w:rPr>
          <w:rFonts w:hint="eastAsia" w:cs="宋体"/>
          <w:color w:val="auto"/>
          <w:sz w:val="24"/>
          <w:szCs w:val="24"/>
          <w:highlight w:val="none"/>
        </w:rPr>
        <w:t>．工程质量：</w:t>
      </w:r>
      <w:r>
        <w:rPr>
          <w:rFonts w:hint="eastAsia" w:cs="宋体"/>
          <w:color w:val="auto"/>
          <w:sz w:val="24"/>
          <w:szCs w:val="24"/>
          <w:highlight w:val="none"/>
          <w:u w:val="single"/>
        </w:rPr>
        <w:t xml:space="preserve">       </w:t>
      </w:r>
      <w:r>
        <w:rPr>
          <w:rFonts w:hint="eastAsia" w:cs="宋体"/>
          <w:color w:val="auto"/>
          <w:sz w:val="24"/>
          <w:szCs w:val="24"/>
          <w:highlight w:val="none"/>
        </w:rPr>
        <w:t xml:space="preserve"> ，工期：</w:t>
      </w:r>
      <w:r>
        <w:rPr>
          <w:rFonts w:hint="eastAsia" w:cs="宋体"/>
          <w:color w:val="auto"/>
          <w:sz w:val="24"/>
          <w:szCs w:val="24"/>
          <w:highlight w:val="none"/>
          <w:u w:val="single"/>
        </w:rPr>
        <w:t xml:space="preserve">       </w:t>
      </w:r>
      <w:r>
        <w:rPr>
          <w:rFonts w:hint="eastAsia" w:cs="宋体"/>
          <w:color w:val="auto"/>
          <w:sz w:val="24"/>
          <w:szCs w:val="24"/>
          <w:highlight w:val="none"/>
        </w:rPr>
        <w:t>，安全目标：</w:t>
      </w:r>
      <w:r>
        <w:rPr>
          <w:rFonts w:hint="eastAsia" w:cs="宋体"/>
          <w:color w:val="auto"/>
          <w:sz w:val="24"/>
          <w:szCs w:val="24"/>
          <w:highlight w:val="none"/>
          <w:u w:val="single"/>
        </w:rPr>
        <w:t xml:space="preserve">       </w:t>
      </w:r>
      <w:r>
        <w:rPr>
          <w:rFonts w:hint="eastAsia" w:cs="宋体"/>
          <w:color w:val="auto"/>
          <w:sz w:val="24"/>
          <w:szCs w:val="24"/>
          <w:highlight w:val="none"/>
        </w:rPr>
        <w:t>。</w:t>
      </w:r>
    </w:p>
    <w:p w14:paraId="7B94BCD0">
      <w:pPr>
        <w:spacing w:line="360" w:lineRule="auto"/>
        <w:ind w:firstLine="480" w:firstLineChars="200"/>
        <w:rPr>
          <w:color w:val="auto"/>
          <w:sz w:val="24"/>
          <w:szCs w:val="24"/>
          <w:highlight w:val="none"/>
        </w:rPr>
      </w:pPr>
      <w:r>
        <w:rPr>
          <w:color w:val="auto"/>
          <w:sz w:val="24"/>
          <w:szCs w:val="24"/>
          <w:highlight w:val="none"/>
        </w:rPr>
        <w:t>4</w:t>
      </w:r>
      <w:r>
        <w:rPr>
          <w:rFonts w:hint="eastAsia" w:cs="宋体"/>
          <w:color w:val="auto"/>
          <w:sz w:val="24"/>
          <w:szCs w:val="24"/>
          <w:highlight w:val="none"/>
        </w:rPr>
        <w:t>．如我方中标，我方承诺：</w:t>
      </w:r>
    </w:p>
    <w:p w14:paraId="70ABEA3E">
      <w:pPr>
        <w:spacing w:line="360" w:lineRule="auto"/>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1</w:t>
      </w:r>
      <w:r>
        <w:rPr>
          <w:rFonts w:hint="eastAsia" w:cs="宋体"/>
          <w:color w:val="auto"/>
          <w:sz w:val="24"/>
          <w:szCs w:val="24"/>
          <w:highlight w:val="none"/>
        </w:rPr>
        <w:t>）在收到中标通知书后，在中标通知书规定的期限内与你方签订合同；</w:t>
      </w:r>
    </w:p>
    <w:p w14:paraId="43E56E6C">
      <w:pPr>
        <w:spacing w:line="360" w:lineRule="auto"/>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2</w:t>
      </w:r>
      <w:r>
        <w:rPr>
          <w:rFonts w:hint="eastAsia" w:cs="宋体"/>
          <w:color w:val="auto"/>
          <w:sz w:val="24"/>
          <w:szCs w:val="24"/>
          <w:highlight w:val="none"/>
        </w:rPr>
        <w:t>）在签订合同时不向你方提出附加条件；</w:t>
      </w:r>
    </w:p>
    <w:p w14:paraId="73008065">
      <w:pPr>
        <w:spacing w:line="360" w:lineRule="auto"/>
        <w:ind w:firstLine="480" w:firstLineChars="200"/>
        <w:rPr>
          <w:color w:val="auto"/>
          <w:sz w:val="24"/>
          <w:szCs w:val="24"/>
          <w:highlight w:val="none"/>
        </w:rPr>
      </w:pPr>
      <w:r>
        <w:rPr>
          <w:rFonts w:hint="eastAsia" w:cs="宋体"/>
          <w:color w:val="auto"/>
          <w:sz w:val="24"/>
          <w:szCs w:val="24"/>
          <w:highlight w:val="none"/>
        </w:rPr>
        <w:t>（</w:t>
      </w:r>
      <w:r>
        <w:rPr>
          <w:color w:val="auto"/>
          <w:sz w:val="24"/>
          <w:szCs w:val="24"/>
          <w:highlight w:val="none"/>
        </w:rPr>
        <w:t>3</w:t>
      </w:r>
      <w:r>
        <w:rPr>
          <w:rFonts w:hint="eastAsia" w:cs="宋体"/>
          <w:color w:val="auto"/>
          <w:sz w:val="24"/>
          <w:szCs w:val="24"/>
          <w:highlight w:val="none"/>
        </w:rPr>
        <w:t>）在合同约定的期限内完成合同规定的全部义务；</w:t>
      </w:r>
    </w:p>
    <w:p w14:paraId="1E58CFE7">
      <w:pPr>
        <w:spacing w:line="360" w:lineRule="auto"/>
        <w:ind w:firstLine="480" w:firstLineChars="200"/>
        <w:rPr>
          <w:color w:val="auto"/>
          <w:sz w:val="24"/>
          <w:szCs w:val="24"/>
          <w:highlight w:val="none"/>
        </w:rPr>
      </w:pPr>
      <w:r>
        <w:rPr>
          <w:rFonts w:hint="eastAsia" w:cs="宋体"/>
          <w:color w:val="auto"/>
          <w:sz w:val="24"/>
          <w:szCs w:val="24"/>
          <w:highlight w:val="none"/>
        </w:rPr>
        <w:t>（</w:t>
      </w:r>
      <w:r>
        <w:rPr>
          <w:rFonts w:hint="eastAsia"/>
          <w:color w:val="auto"/>
          <w:sz w:val="24"/>
          <w:szCs w:val="24"/>
          <w:highlight w:val="none"/>
          <w:lang w:val="en-US" w:eastAsia="zh-CN"/>
        </w:rPr>
        <w:t>4</w:t>
      </w:r>
      <w:r>
        <w:rPr>
          <w:rFonts w:hint="eastAsia" w:cs="宋体"/>
          <w:color w:val="auto"/>
          <w:sz w:val="24"/>
          <w:szCs w:val="24"/>
          <w:highlight w:val="none"/>
        </w:rPr>
        <w:t>）在你方和我方进行合同谈判之前，我方将按照合同附件提出的最低要求填报派驻本标段的其他管理和技术人员及主要机械设备和试验检测设备，经你方审批后作为派驻本标段的项目管理机构主要人员和主要设备且不进行更换。如我方拟派驻的人员和设备不满足合同附件要求，你方有权取消我方中标资格。</w:t>
      </w:r>
    </w:p>
    <w:p w14:paraId="7253E4B9">
      <w:pPr>
        <w:spacing w:line="360" w:lineRule="auto"/>
        <w:ind w:firstLine="480" w:firstLineChars="200"/>
        <w:rPr>
          <w:color w:val="auto"/>
          <w:sz w:val="24"/>
          <w:szCs w:val="24"/>
          <w:highlight w:val="none"/>
        </w:rPr>
      </w:pPr>
      <w:r>
        <w:rPr>
          <w:color w:val="auto"/>
          <w:sz w:val="24"/>
          <w:szCs w:val="24"/>
          <w:highlight w:val="none"/>
        </w:rPr>
        <w:t>5</w:t>
      </w:r>
      <w:r>
        <w:rPr>
          <w:rFonts w:hint="eastAsia" w:cs="宋体"/>
          <w:color w:val="auto"/>
          <w:sz w:val="24"/>
          <w:szCs w:val="24"/>
          <w:highlight w:val="none"/>
        </w:rPr>
        <w:t>．我方在此声明，所递交的投标文件及有关资料内容完整、真实和准确，且不存在招标文件第二章“投标人须知”第</w:t>
      </w:r>
      <w:r>
        <w:rPr>
          <w:color w:val="auto"/>
          <w:sz w:val="24"/>
          <w:szCs w:val="24"/>
          <w:highlight w:val="none"/>
        </w:rPr>
        <w:t xml:space="preserve"> 1.4.3 </w:t>
      </w:r>
      <w:r>
        <w:rPr>
          <w:rFonts w:hint="eastAsia" w:cs="宋体"/>
          <w:color w:val="auto"/>
          <w:sz w:val="24"/>
          <w:szCs w:val="24"/>
          <w:highlight w:val="none"/>
        </w:rPr>
        <w:t>项和第</w:t>
      </w:r>
      <w:r>
        <w:rPr>
          <w:color w:val="auto"/>
          <w:sz w:val="24"/>
          <w:szCs w:val="24"/>
          <w:highlight w:val="none"/>
        </w:rPr>
        <w:t xml:space="preserve"> 1.4.4 </w:t>
      </w:r>
      <w:r>
        <w:rPr>
          <w:rFonts w:hint="eastAsia" w:cs="宋体"/>
          <w:color w:val="auto"/>
          <w:sz w:val="24"/>
          <w:szCs w:val="24"/>
          <w:highlight w:val="none"/>
        </w:rPr>
        <w:t>项规定的任何一种情形。</w:t>
      </w:r>
    </w:p>
    <w:p w14:paraId="4CA5FD18">
      <w:pPr>
        <w:spacing w:line="360" w:lineRule="auto"/>
        <w:ind w:firstLine="480" w:firstLineChars="200"/>
        <w:rPr>
          <w:color w:val="auto"/>
          <w:sz w:val="24"/>
          <w:szCs w:val="24"/>
          <w:highlight w:val="none"/>
        </w:rPr>
      </w:pPr>
      <w:r>
        <w:rPr>
          <w:color w:val="auto"/>
          <w:sz w:val="24"/>
          <w:szCs w:val="24"/>
          <w:highlight w:val="none"/>
        </w:rPr>
        <w:t xml:space="preserve"> 6</w:t>
      </w:r>
      <w:r>
        <w:rPr>
          <w:rFonts w:hint="eastAsia" w:cs="宋体"/>
          <w:color w:val="auto"/>
          <w:sz w:val="24"/>
          <w:szCs w:val="24"/>
          <w:highlight w:val="none"/>
        </w:rPr>
        <w:t>．在合同协议书正式签署生效之前，本投标函连同你方的中标通知书将构成我们双方之间共同遵守的文件，对双方具有约束力。</w:t>
      </w:r>
    </w:p>
    <w:p w14:paraId="3A4727C2">
      <w:pPr>
        <w:spacing w:line="360" w:lineRule="auto"/>
        <w:ind w:firstLine="480" w:firstLineChars="200"/>
        <w:rPr>
          <w:color w:val="auto"/>
          <w:sz w:val="24"/>
          <w:szCs w:val="24"/>
          <w:highlight w:val="none"/>
        </w:rPr>
      </w:pPr>
      <w:r>
        <w:rPr>
          <w:color w:val="auto"/>
          <w:sz w:val="24"/>
          <w:szCs w:val="24"/>
          <w:highlight w:val="none"/>
        </w:rPr>
        <w:t xml:space="preserve"> 7</w:t>
      </w:r>
      <w:r>
        <w:rPr>
          <w:rFonts w:hint="eastAsia" w:cs="宋体"/>
          <w:color w:val="auto"/>
          <w:sz w:val="24"/>
          <w:szCs w:val="24"/>
          <w:highlight w:val="none"/>
        </w:rPr>
        <w:t>．</w:t>
      </w:r>
      <w:r>
        <w:rPr>
          <w:rFonts w:hint="eastAsia" w:cs="宋体"/>
          <w:color w:val="auto"/>
          <w:sz w:val="24"/>
          <w:szCs w:val="24"/>
          <w:highlight w:val="none"/>
          <w:u w:val="single"/>
        </w:rPr>
        <w:t>（其他补充说明）。</w:t>
      </w:r>
    </w:p>
    <w:p w14:paraId="6DE4B507">
      <w:pPr>
        <w:wordWrap w:val="0"/>
        <w:spacing w:line="360" w:lineRule="auto"/>
        <w:jc w:val="right"/>
        <w:rPr>
          <w:rFonts w:cs="宋体"/>
          <w:color w:val="auto"/>
          <w:sz w:val="24"/>
          <w:szCs w:val="24"/>
          <w:highlight w:val="none"/>
        </w:rPr>
      </w:pPr>
    </w:p>
    <w:p w14:paraId="7C5C6DF9">
      <w:pPr>
        <w:wordWrap w:val="0"/>
        <w:spacing w:line="360" w:lineRule="auto"/>
        <w:jc w:val="right"/>
        <w:rPr>
          <w:color w:val="auto"/>
          <w:sz w:val="24"/>
          <w:szCs w:val="24"/>
          <w:highlight w:val="none"/>
          <w:u w:val="single"/>
        </w:rPr>
      </w:pPr>
      <w:r>
        <w:rPr>
          <w:rFonts w:hint="eastAsia" w:cs="宋体"/>
          <w:color w:val="auto"/>
          <w:sz w:val="24"/>
          <w:szCs w:val="24"/>
          <w:highlight w:val="none"/>
        </w:rPr>
        <w:t>投标人：</w:t>
      </w:r>
      <w:r>
        <w:rPr>
          <w:rFonts w:hint="eastAsia" w:cs="宋体"/>
          <w:color w:val="auto"/>
          <w:sz w:val="24"/>
          <w:szCs w:val="24"/>
          <w:highlight w:val="none"/>
          <w:u w:val="single"/>
        </w:rPr>
        <w:t xml:space="preserve">      </w:t>
      </w:r>
      <w:r>
        <w:rPr>
          <w:rFonts w:hint="eastAsia" w:cs="黑体"/>
          <w:color w:val="auto"/>
          <w:sz w:val="24"/>
          <w:szCs w:val="24"/>
          <w:highlight w:val="none"/>
          <w:u w:val="single"/>
        </w:rPr>
        <w:t xml:space="preserve">     </w:t>
      </w:r>
      <w:r>
        <w:rPr>
          <w:rFonts w:cs="黑体"/>
          <w:color w:val="auto"/>
          <w:sz w:val="24"/>
          <w:szCs w:val="24"/>
          <w:highlight w:val="none"/>
          <w:u w:val="single"/>
        </w:rPr>
        <w:t>(</w:t>
      </w:r>
      <w:r>
        <w:rPr>
          <w:rFonts w:hint="eastAsia" w:cs="黑体"/>
          <w:color w:val="auto"/>
          <w:sz w:val="24"/>
          <w:szCs w:val="24"/>
          <w:highlight w:val="none"/>
          <w:u w:val="single"/>
        </w:rPr>
        <w:t>盖单位章</w:t>
      </w:r>
      <w:r>
        <w:rPr>
          <w:rFonts w:cs="黑体"/>
          <w:color w:val="auto"/>
          <w:sz w:val="24"/>
          <w:szCs w:val="24"/>
          <w:highlight w:val="none"/>
          <w:u w:val="single"/>
        </w:rPr>
        <w:t>)</w:t>
      </w:r>
      <w:r>
        <w:rPr>
          <w:rFonts w:hint="eastAsia" w:cs="黑体"/>
          <w:color w:val="auto"/>
          <w:sz w:val="24"/>
          <w:szCs w:val="24"/>
          <w:highlight w:val="none"/>
        </w:rPr>
        <w:t xml:space="preserve">               </w:t>
      </w:r>
    </w:p>
    <w:p w14:paraId="0EDF0B11">
      <w:pPr>
        <w:wordWrap w:val="0"/>
        <w:spacing w:line="360" w:lineRule="auto"/>
        <w:jc w:val="right"/>
        <w:rPr>
          <w:color w:val="auto"/>
          <w:sz w:val="24"/>
          <w:szCs w:val="24"/>
          <w:highlight w:val="none"/>
          <w:u w:val="single"/>
        </w:rPr>
      </w:pPr>
      <w:r>
        <w:rPr>
          <w:rFonts w:hint="eastAsia" w:cs="宋体"/>
          <w:color w:val="auto"/>
          <w:sz w:val="24"/>
          <w:szCs w:val="24"/>
          <w:highlight w:val="none"/>
        </w:rPr>
        <w:t>法定代表人或委托代理人：</w:t>
      </w:r>
      <w:r>
        <w:rPr>
          <w:rFonts w:hint="eastAsia" w:cs="宋体"/>
          <w:color w:val="auto"/>
          <w:sz w:val="24"/>
          <w:szCs w:val="24"/>
          <w:highlight w:val="none"/>
          <w:u w:val="single"/>
        </w:rPr>
        <w:t xml:space="preserve">    </w:t>
      </w:r>
      <w:r>
        <w:rPr>
          <w:rFonts w:hint="eastAsia"/>
          <w:color w:val="auto"/>
          <w:sz w:val="24"/>
          <w:szCs w:val="24"/>
          <w:highlight w:val="none"/>
          <w:u w:val="single"/>
        </w:rPr>
        <w:t xml:space="preserve">  </w:t>
      </w:r>
      <w:r>
        <w:rPr>
          <w:rFonts w:cs="黑体"/>
          <w:color w:val="auto"/>
          <w:sz w:val="24"/>
          <w:szCs w:val="24"/>
          <w:highlight w:val="none"/>
          <w:u w:val="single"/>
        </w:rPr>
        <w:t>(</w:t>
      </w:r>
      <w:r>
        <w:rPr>
          <w:rFonts w:hint="eastAsia" w:cs="黑体"/>
          <w:color w:val="auto"/>
          <w:sz w:val="24"/>
          <w:szCs w:val="24"/>
          <w:highlight w:val="none"/>
          <w:u w:val="single"/>
        </w:rPr>
        <w:t>亲笔签名</w:t>
      </w:r>
      <w:r>
        <w:rPr>
          <w:rFonts w:cs="黑体"/>
          <w:color w:val="auto"/>
          <w:sz w:val="24"/>
          <w:szCs w:val="24"/>
          <w:highlight w:val="none"/>
          <w:u w:val="single"/>
        </w:rPr>
        <w:t>)</w:t>
      </w:r>
      <w:r>
        <w:rPr>
          <w:rFonts w:hint="eastAsia"/>
          <w:color w:val="auto"/>
          <w:sz w:val="24"/>
          <w:szCs w:val="24"/>
          <w:highlight w:val="none"/>
        </w:rPr>
        <w:t xml:space="preserve">    </w:t>
      </w:r>
    </w:p>
    <w:p w14:paraId="3634D258">
      <w:pPr>
        <w:wordWrap w:val="0"/>
        <w:spacing w:line="360" w:lineRule="auto"/>
        <w:jc w:val="right"/>
        <w:rPr>
          <w:color w:val="auto"/>
          <w:sz w:val="24"/>
          <w:szCs w:val="24"/>
          <w:highlight w:val="none"/>
          <w:u w:val="single"/>
        </w:rPr>
      </w:pPr>
      <w:r>
        <w:rPr>
          <w:rFonts w:hint="eastAsia" w:cs="宋体"/>
          <w:color w:val="auto"/>
          <w:sz w:val="24"/>
          <w:szCs w:val="24"/>
          <w:highlight w:val="none"/>
        </w:rPr>
        <w:t>地址：</w:t>
      </w:r>
      <w:r>
        <w:rPr>
          <w:rFonts w:hint="eastAsia" w:cs="宋体"/>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0BACF174">
      <w:pPr>
        <w:wordWrap w:val="0"/>
        <w:spacing w:line="360" w:lineRule="auto"/>
        <w:jc w:val="right"/>
        <w:rPr>
          <w:color w:val="auto"/>
          <w:sz w:val="24"/>
          <w:szCs w:val="24"/>
          <w:highlight w:val="none"/>
          <w:u w:val="single"/>
        </w:rPr>
      </w:pPr>
      <w:r>
        <w:rPr>
          <w:rFonts w:hint="eastAsia" w:cs="宋体"/>
          <w:color w:val="auto"/>
          <w:sz w:val="24"/>
          <w:szCs w:val="24"/>
          <w:highlight w:val="none"/>
        </w:rPr>
        <w:t>电话：</w:t>
      </w:r>
      <w:r>
        <w:rPr>
          <w:rFonts w:hint="eastAsia" w:cs="宋体"/>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67D6DB21">
      <w:pPr>
        <w:wordWrap w:val="0"/>
        <w:spacing w:line="360" w:lineRule="auto"/>
        <w:jc w:val="right"/>
        <w:rPr>
          <w:color w:val="auto"/>
          <w:sz w:val="24"/>
          <w:szCs w:val="24"/>
          <w:highlight w:val="none"/>
          <w:u w:val="single"/>
        </w:rPr>
      </w:pPr>
      <w:r>
        <w:rPr>
          <w:rFonts w:hint="eastAsia" w:cs="宋体"/>
          <w:color w:val="auto"/>
          <w:sz w:val="24"/>
          <w:szCs w:val="24"/>
          <w:highlight w:val="none"/>
        </w:rPr>
        <w:t xml:space="preserve"> 传真：</w:t>
      </w:r>
      <w:r>
        <w:rPr>
          <w:rFonts w:hint="eastAsia" w:cs="宋体"/>
          <w:color w:val="auto"/>
          <w:sz w:val="24"/>
          <w:szCs w:val="24"/>
          <w:highlight w:val="none"/>
          <w:u w:val="single"/>
        </w:rPr>
        <w:t xml:space="preserve">    </w:t>
      </w:r>
      <w:r>
        <w:rPr>
          <w:rFonts w:hint="eastAsia"/>
          <w:color w:val="auto"/>
          <w:sz w:val="24"/>
          <w:szCs w:val="24"/>
          <w:highlight w:val="none"/>
          <w:u w:val="single"/>
        </w:rPr>
        <w:t xml:space="preserve">                        </w:t>
      </w:r>
      <w:r>
        <w:rPr>
          <w:rFonts w:hint="eastAsia"/>
          <w:color w:val="auto"/>
          <w:sz w:val="24"/>
          <w:szCs w:val="24"/>
          <w:highlight w:val="none"/>
        </w:rPr>
        <w:t xml:space="preserve">         </w:t>
      </w:r>
    </w:p>
    <w:p w14:paraId="6FBB5391">
      <w:pPr>
        <w:wordWrap w:val="0"/>
        <w:spacing w:line="360" w:lineRule="auto"/>
        <w:jc w:val="right"/>
        <w:rPr>
          <w:color w:val="auto"/>
          <w:sz w:val="24"/>
          <w:szCs w:val="24"/>
          <w:highlight w:val="none"/>
          <w:u w:val="single"/>
        </w:rPr>
      </w:pPr>
      <w:r>
        <w:rPr>
          <w:rFonts w:hint="eastAsia" w:cs="宋体"/>
          <w:color w:val="auto"/>
          <w:sz w:val="24"/>
          <w:szCs w:val="24"/>
          <w:highlight w:val="none"/>
        </w:rPr>
        <w:t>邮编：</w:t>
      </w:r>
      <w:r>
        <w:rPr>
          <w:color w:val="auto"/>
          <w:sz w:val="24"/>
          <w:szCs w:val="24"/>
          <w:highlight w:val="none"/>
        </w:rPr>
        <w:t>___</w:t>
      </w:r>
      <w:r>
        <w:rPr>
          <w:rFonts w:hint="eastAsia"/>
          <w:color w:val="auto"/>
          <w:sz w:val="24"/>
          <w:szCs w:val="24"/>
          <w:highlight w:val="none"/>
          <w:u w:val="single"/>
        </w:rPr>
        <w:t xml:space="preserve">                         </w:t>
      </w:r>
      <w:r>
        <w:rPr>
          <w:rFonts w:hint="eastAsia"/>
          <w:color w:val="auto"/>
          <w:sz w:val="24"/>
          <w:szCs w:val="24"/>
          <w:highlight w:val="none"/>
        </w:rPr>
        <w:t xml:space="preserve">         </w:t>
      </w:r>
    </w:p>
    <w:p w14:paraId="3F30B8EE">
      <w:pPr>
        <w:tabs>
          <w:tab w:val="left" w:pos="9128"/>
        </w:tabs>
        <w:wordWrap w:val="0"/>
        <w:spacing w:line="360" w:lineRule="auto"/>
        <w:ind w:right="-52"/>
        <w:jc w:val="right"/>
        <w:rPr>
          <w:color w:val="auto"/>
          <w:sz w:val="24"/>
          <w:szCs w:val="24"/>
          <w:highlight w:val="none"/>
        </w:rPr>
      </w:pPr>
      <w:r>
        <w:rPr>
          <w:rFonts w:hint="eastAsia" w:cs="宋体"/>
          <w:color w:val="auto"/>
          <w:sz w:val="24"/>
          <w:szCs w:val="24"/>
          <w:highlight w:val="none"/>
        </w:rPr>
        <w:t xml:space="preserve">   </w:t>
      </w:r>
      <w:r>
        <w:rPr>
          <w:rFonts w:hint="eastAsia" w:cs="宋体"/>
          <w:color w:val="auto"/>
          <w:sz w:val="24"/>
          <w:szCs w:val="24"/>
          <w:highlight w:val="none"/>
          <w:u w:val="single"/>
        </w:rPr>
        <w:t xml:space="preserve">   </w:t>
      </w:r>
      <w:r>
        <w:rPr>
          <w:rFonts w:hint="eastAsia" w:cs="宋体"/>
          <w:color w:val="auto"/>
          <w:sz w:val="24"/>
          <w:szCs w:val="24"/>
          <w:highlight w:val="none"/>
        </w:rPr>
        <w:t>年</w:t>
      </w:r>
      <w:r>
        <w:rPr>
          <w:color w:val="auto"/>
          <w:sz w:val="24"/>
          <w:szCs w:val="24"/>
          <w:highlight w:val="none"/>
        </w:rPr>
        <w:t>___</w:t>
      </w:r>
      <w:r>
        <w:rPr>
          <w:rFonts w:hint="eastAsia" w:cs="宋体"/>
          <w:color w:val="auto"/>
          <w:sz w:val="24"/>
          <w:szCs w:val="24"/>
          <w:highlight w:val="none"/>
        </w:rPr>
        <w:t>月</w:t>
      </w:r>
      <w:r>
        <w:rPr>
          <w:color w:val="auto"/>
          <w:sz w:val="24"/>
          <w:szCs w:val="24"/>
          <w:highlight w:val="none"/>
        </w:rPr>
        <w:t>___</w:t>
      </w:r>
      <w:r>
        <w:rPr>
          <w:rFonts w:hint="eastAsia" w:cs="宋体"/>
          <w:color w:val="auto"/>
          <w:sz w:val="24"/>
          <w:szCs w:val="24"/>
          <w:highlight w:val="none"/>
        </w:rPr>
        <w:t xml:space="preserve">日             </w:t>
      </w:r>
    </w:p>
    <w:p w14:paraId="044169D2">
      <w:pPr>
        <w:wordWrap w:val="0"/>
        <w:spacing w:line="360" w:lineRule="auto"/>
        <w:jc w:val="right"/>
        <w:rPr>
          <w:color w:val="auto"/>
          <w:sz w:val="24"/>
          <w:szCs w:val="24"/>
          <w:highlight w:val="none"/>
        </w:rPr>
        <w:sectPr>
          <w:pgSz w:w="11906" w:h="16838"/>
          <w:pgMar w:top="993" w:right="1474" w:bottom="993" w:left="1644" w:header="851" w:footer="613" w:gutter="0"/>
          <w:cols w:space="720" w:num="1"/>
          <w:docGrid w:linePitch="312" w:charSpace="0"/>
        </w:sectPr>
      </w:pPr>
      <w:r>
        <w:rPr>
          <w:rFonts w:hint="eastAsia"/>
          <w:color w:val="auto"/>
          <w:sz w:val="24"/>
          <w:szCs w:val="24"/>
          <w:highlight w:val="none"/>
        </w:rPr>
        <w:t xml:space="preserve"> </w:t>
      </w:r>
    </w:p>
    <w:p w14:paraId="0328FA50">
      <w:pPr>
        <w:spacing w:before="120" w:beforeLines="50" w:after="120" w:afterLines="50"/>
        <w:jc w:val="center"/>
        <w:rPr>
          <w:color w:val="auto"/>
          <w:sz w:val="44"/>
          <w:szCs w:val="44"/>
          <w:highlight w:val="none"/>
        </w:rPr>
      </w:pPr>
      <w:bookmarkStart w:id="254" w:name="_Toc144974831"/>
      <w:r>
        <w:rPr>
          <w:rFonts w:hint="eastAsia" w:cs="黑体"/>
          <w:color w:val="auto"/>
          <w:sz w:val="44"/>
          <w:szCs w:val="44"/>
          <w:highlight w:val="none"/>
        </w:rPr>
        <w:t>二、授权委托书或法定代表人身份证明</w:t>
      </w:r>
    </w:p>
    <w:p w14:paraId="530CBA22">
      <w:pPr>
        <w:topLinePunct/>
        <w:spacing w:before="120" w:beforeLines="50" w:after="120" w:afterLines="50"/>
        <w:jc w:val="center"/>
        <w:rPr>
          <w:color w:val="auto"/>
          <w:sz w:val="36"/>
          <w:szCs w:val="36"/>
          <w:highlight w:val="none"/>
        </w:rPr>
      </w:pPr>
      <w:r>
        <w:rPr>
          <w:rFonts w:hint="eastAsia" w:cs="黑体"/>
          <w:color w:val="auto"/>
          <w:sz w:val="36"/>
          <w:szCs w:val="36"/>
          <w:highlight w:val="none"/>
        </w:rPr>
        <w:t>（一）授权委托书</w:t>
      </w:r>
    </w:p>
    <w:p w14:paraId="26A412B8">
      <w:pPr>
        <w:topLinePunct/>
        <w:spacing w:before="120" w:beforeLines="50" w:line="400" w:lineRule="exact"/>
        <w:ind w:firstLine="561"/>
        <w:rPr>
          <w:color w:val="auto"/>
          <w:sz w:val="24"/>
          <w:szCs w:val="24"/>
          <w:highlight w:val="none"/>
        </w:rPr>
      </w:pPr>
      <w:r>
        <w:rPr>
          <w:rFonts w:hint="eastAsia" w:cs="宋体"/>
          <w:color w:val="auto"/>
          <w:sz w:val="24"/>
          <w:szCs w:val="24"/>
          <w:highlight w:val="none"/>
        </w:rPr>
        <w:t>本人</w:t>
      </w:r>
      <w:r>
        <w:rPr>
          <w:color w:val="auto"/>
          <w:sz w:val="24"/>
          <w:szCs w:val="24"/>
          <w:highlight w:val="none"/>
          <w:u w:val="single"/>
        </w:rPr>
        <w:t xml:space="preserve">     (</w:t>
      </w:r>
      <w:r>
        <w:rPr>
          <w:rFonts w:hint="eastAsia" w:cs="宋体"/>
          <w:color w:val="auto"/>
          <w:sz w:val="24"/>
          <w:szCs w:val="24"/>
          <w:highlight w:val="none"/>
          <w:u w:val="single"/>
        </w:rPr>
        <w:t>姓名</w:t>
      </w:r>
      <w:r>
        <w:rPr>
          <w:color w:val="auto"/>
          <w:sz w:val="24"/>
          <w:szCs w:val="24"/>
          <w:highlight w:val="none"/>
          <w:u w:val="single"/>
        </w:rPr>
        <w:t>)</w:t>
      </w:r>
      <w:r>
        <w:rPr>
          <w:rFonts w:hint="eastAsia" w:cs="宋体"/>
          <w:color w:val="auto"/>
          <w:sz w:val="24"/>
          <w:szCs w:val="24"/>
          <w:highlight w:val="none"/>
        </w:rPr>
        <w:t>系</w:t>
      </w:r>
      <w:r>
        <w:rPr>
          <w:color w:val="auto"/>
          <w:sz w:val="24"/>
          <w:szCs w:val="24"/>
          <w:highlight w:val="none"/>
          <w:u w:val="single"/>
        </w:rPr>
        <w:t>(</w:t>
      </w:r>
      <w:r>
        <w:rPr>
          <w:rFonts w:hint="eastAsia" w:cs="宋体"/>
          <w:color w:val="auto"/>
          <w:sz w:val="24"/>
          <w:szCs w:val="24"/>
          <w:highlight w:val="none"/>
          <w:u w:val="single"/>
        </w:rPr>
        <w:t>投标人名称</w:t>
      </w:r>
      <w:r>
        <w:rPr>
          <w:color w:val="auto"/>
          <w:sz w:val="24"/>
          <w:szCs w:val="24"/>
          <w:highlight w:val="none"/>
          <w:u w:val="single"/>
        </w:rPr>
        <w:t>)</w:t>
      </w:r>
      <w:r>
        <w:rPr>
          <w:rFonts w:hint="eastAsia" w:cs="宋体"/>
          <w:color w:val="auto"/>
          <w:sz w:val="24"/>
          <w:szCs w:val="24"/>
          <w:highlight w:val="none"/>
        </w:rPr>
        <w:t>的法定代表人，现委托</w:t>
      </w:r>
      <w:r>
        <w:rPr>
          <w:color w:val="auto"/>
          <w:sz w:val="24"/>
          <w:szCs w:val="24"/>
          <w:highlight w:val="none"/>
          <w:u w:val="single"/>
        </w:rPr>
        <w:t xml:space="preserve">    (</w:t>
      </w:r>
      <w:r>
        <w:rPr>
          <w:rFonts w:hint="eastAsia" w:cs="宋体"/>
          <w:color w:val="auto"/>
          <w:sz w:val="24"/>
          <w:szCs w:val="24"/>
          <w:highlight w:val="none"/>
          <w:u w:val="single"/>
        </w:rPr>
        <w:t>姓名</w:t>
      </w:r>
      <w:r>
        <w:rPr>
          <w:color w:val="auto"/>
          <w:sz w:val="24"/>
          <w:szCs w:val="24"/>
          <w:highlight w:val="none"/>
          <w:u w:val="single"/>
        </w:rPr>
        <w:t>)</w:t>
      </w:r>
      <w:r>
        <w:rPr>
          <w:rFonts w:hint="eastAsia" w:cs="宋体"/>
          <w:color w:val="auto"/>
          <w:sz w:val="24"/>
          <w:szCs w:val="24"/>
          <w:highlight w:val="none"/>
        </w:rPr>
        <w:t>为我方代理人。代理人根据授权，以我方名义签署、澄清、说明、补正、递交、撤回、修改</w:t>
      </w:r>
      <w:r>
        <w:rPr>
          <w:rFonts w:hint="eastAsia" w:cs="宋体"/>
          <w:color w:val="auto"/>
          <w:sz w:val="24"/>
          <w:szCs w:val="24"/>
          <w:highlight w:val="none"/>
          <w:u w:val="single"/>
        </w:rPr>
        <w:t xml:space="preserve">   (项目名称) </w:t>
      </w:r>
      <w:r>
        <w:rPr>
          <w:rFonts w:hint="eastAsia"/>
          <w:color w:val="auto"/>
          <w:sz w:val="24"/>
          <w:szCs w:val="24"/>
          <w:highlight w:val="none"/>
          <w:u w:val="single"/>
        </w:rPr>
        <w:t xml:space="preserve">   </w:t>
      </w:r>
      <w:r>
        <w:rPr>
          <w:rFonts w:hint="eastAsia" w:cs="宋体"/>
          <w:color w:val="auto"/>
          <w:sz w:val="24"/>
          <w:szCs w:val="24"/>
          <w:highlight w:val="none"/>
        </w:rPr>
        <w:t>施工投标文件、签订合同和处理有关事宜，其法律后果由我方承担。</w:t>
      </w:r>
    </w:p>
    <w:p w14:paraId="5E96F5E5">
      <w:pPr>
        <w:topLinePunct/>
        <w:spacing w:line="400" w:lineRule="exact"/>
        <w:rPr>
          <w:color w:val="auto"/>
          <w:sz w:val="24"/>
          <w:szCs w:val="24"/>
          <w:highlight w:val="none"/>
        </w:rPr>
      </w:pPr>
    </w:p>
    <w:p w14:paraId="5B5DA43B">
      <w:pPr>
        <w:topLinePunct/>
        <w:spacing w:line="400" w:lineRule="exact"/>
        <w:ind w:firstLine="480" w:firstLineChars="200"/>
        <w:rPr>
          <w:color w:val="auto"/>
          <w:sz w:val="24"/>
          <w:szCs w:val="24"/>
          <w:highlight w:val="none"/>
          <w:u w:val="single"/>
        </w:rPr>
      </w:pPr>
      <w:r>
        <w:rPr>
          <w:rFonts w:hint="eastAsia" w:cs="宋体"/>
          <w:color w:val="auto"/>
          <w:sz w:val="24"/>
          <w:szCs w:val="24"/>
          <w:highlight w:val="none"/>
        </w:rPr>
        <w:t>委托期限：自本委托书签署之日起至投标有效期期满。</w:t>
      </w:r>
    </w:p>
    <w:p w14:paraId="384C92AB">
      <w:pPr>
        <w:topLinePunct/>
        <w:spacing w:line="400" w:lineRule="exact"/>
        <w:rPr>
          <w:color w:val="auto"/>
          <w:sz w:val="24"/>
          <w:szCs w:val="24"/>
          <w:highlight w:val="none"/>
        </w:rPr>
      </w:pPr>
    </w:p>
    <w:p w14:paraId="052113C2">
      <w:pPr>
        <w:topLinePunct/>
        <w:spacing w:line="400" w:lineRule="exact"/>
        <w:ind w:firstLine="480" w:firstLineChars="200"/>
        <w:rPr>
          <w:color w:val="auto"/>
          <w:sz w:val="24"/>
          <w:szCs w:val="24"/>
          <w:highlight w:val="none"/>
        </w:rPr>
      </w:pPr>
      <w:r>
        <w:rPr>
          <w:rFonts w:hint="eastAsia" w:cs="宋体"/>
          <w:color w:val="auto"/>
          <w:sz w:val="24"/>
          <w:szCs w:val="24"/>
          <w:highlight w:val="none"/>
        </w:rPr>
        <w:t>代理人无转委托权。</w:t>
      </w:r>
    </w:p>
    <w:p w14:paraId="39DFAE08">
      <w:pPr>
        <w:topLinePunct/>
        <w:spacing w:line="400" w:lineRule="exact"/>
        <w:rPr>
          <w:color w:val="auto"/>
          <w:sz w:val="24"/>
          <w:szCs w:val="24"/>
          <w:highlight w:val="none"/>
        </w:rPr>
      </w:pPr>
    </w:p>
    <w:p w14:paraId="0CE255AB">
      <w:pPr>
        <w:topLinePunct/>
        <w:spacing w:line="400" w:lineRule="exact"/>
        <w:ind w:firstLine="480" w:firstLineChars="200"/>
        <w:rPr>
          <w:color w:val="auto"/>
          <w:sz w:val="24"/>
          <w:szCs w:val="24"/>
          <w:highlight w:val="none"/>
        </w:rPr>
      </w:pPr>
      <w:r>
        <w:rPr>
          <w:rFonts w:hint="eastAsia" w:cs="宋体"/>
          <w:color w:val="auto"/>
          <w:sz w:val="24"/>
          <w:szCs w:val="24"/>
          <w:highlight w:val="none"/>
        </w:rPr>
        <w:t>附：法定代表人身份证复印件及委托代理人身份证复印件。</w:t>
      </w:r>
    </w:p>
    <w:p w14:paraId="32664A6D">
      <w:pPr>
        <w:topLinePunct/>
        <w:ind w:firstLine="480" w:firstLineChars="200"/>
        <w:rPr>
          <w:color w:val="auto"/>
          <w:sz w:val="24"/>
          <w:szCs w:val="24"/>
          <w:highlight w:val="none"/>
        </w:rPr>
      </w:pPr>
    </w:p>
    <w:p w14:paraId="53071CA6">
      <w:pPr>
        <w:topLinePunct/>
        <w:rPr>
          <w:color w:val="auto"/>
          <w:sz w:val="24"/>
          <w:szCs w:val="24"/>
          <w:highlight w:val="none"/>
        </w:rPr>
      </w:pPr>
    </w:p>
    <w:p w14:paraId="36332002">
      <w:pPr>
        <w:wordWrap w:val="0"/>
        <w:topLinePunct/>
        <w:jc w:val="right"/>
        <w:rPr>
          <w:color w:val="auto"/>
          <w:sz w:val="24"/>
          <w:szCs w:val="24"/>
          <w:highlight w:val="none"/>
          <w:u w:val="single"/>
        </w:rPr>
      </w:pPr>
      <w:r>
        <w:rPr>
          <w:rFonts w:hint="eastAsia" w:cs="宋体"/>
          <w:color w:val="auto"/>
          <w:sz w:val="24"/>
          <w:szCs w:val="24"/>
          <w:highlight w:val="none"/>
        </w:rPr>
        <w:t>投标人：</w:t>
      </w:r>
      <w:r>
        <w:rPr>
          <w:rFonts w:hint="eastAsia" w:cs="宋体"/>
          <w:color w:val="auto"/>
          <w:sz w:val="24"/>
          <w:szCs w:val="24"/>
          <w:highlight w:val="none"/>
          <w:u w:val="single"/>
        </w:rPr>
        <w:t xml:space="preserve">      </w:t>
      </w:r>
      <w:r>
        <w:rPr>
          <w:rFonts w:cs="黑体"/>
          <w:color w:val="auto"/>
          <w:sz w:val="24"/>
          <w:szCs w:val="24"/>
          <w:highlight w:val="none"/>
          <w:u w:val="single"/>
        </w:rPr>
        <w:t>(</w:t>
      </w:r>
      <w:r>
        <w:rPr>
          <w:rFonts w:hint="eastAsia" w:cs="黑体"/>
          <w:color w:val="auto"/>
          <w:sz w:val="24"/>
          <w:szCs w:val="24"/>
          <w:highlight w:val="none"/>
          <w:u w:val="single"/>
        </w:rPr>
        <w:t>盖单位章</w:t>
      </w:r>
      <w:r>
        <w:rPr>
          <w:rFonts w:cs="黑体"/>
          <w:color w:val="auto"/>
          <w:sz w:val="24"/>
          <w:szCs w:val="24"/>
          <w:highlight w:val="none"/>
          <w:u w:val="single"/>
        </w:rPr>
        <w:t>)</w:t>
      </w:r>
      <w:r>
        <w:rPr>
          <w:rFonts w:hint="eastAsia" w:cs="黑体"/>
          <w:color w:val="auto"/>
          <w:sz w:val="24"/>
          <w:szCs w:val="24"/>
          <w:highlight w:val="none"/>
          <w:u w:val="single"/>
        </w:rPr>
        <w:t xml:space="preserve">         </w:t>
      </w:r>
    </w:p>
    <w:p w14:paraId="0DD823E0">
      <w:pPr>
        <w:topLinePunct/>
        <w:rPr>
          <w:color w:val="auto"/>
          <w:sz w:val="24"/>
          <w:szCs w:val="24"/>
          <w:highlight w:val="none"/>
        </w:rPr>
      </w:pPr>
    </w:p>
    <w:p w14:paraId="530A1A5C">
      <w:pPr>
        <w:wordWrap w:val="0"/>
        <w:topLinePunct/>
        <w:jc w:val="right"/>
        <w:rPr>
          <w:color w:val="auto"/>
          <w:sz w:val="24"/>
          <w:szCs w:val="24"/>
          <w:highlight w:val="none"/>
          <w:u w:val="single"/>
        </w:rPr>
      </w:pPr>
      <w:r>
        <w:rPr>
          <w:rFonts w:hint="eastAsia" w:cs="宋体"/>
          <w:color w:val="auto"/>
          <w:sz w:val="24"/>
          <w:szCs w:val="24"/>
          <w:highlight w:val="none"/>
        </w:rPr>
        <w:t>法定代表人：</w:t>
      </w:r>
      <w:bookmarkStart w:id="255" w:name="_Hlk164874768"/>
      <w:r>
        <w:rPr>
          <w:rFonts w:hint="eastAsia" w:cs="黑体"/>
          <w:color w:val="auto"/>
          <w:sz w:val="24"/>
          <w:szCs w:val="24"/>
          <w:highlight w:val="none"/>
          <w:u w:val="single"/>
        </w:rPr>
        <w:t>（亲笔签名或签名章）</w:t>
      </w:r>
      <w:bookmarkEnd w:id="255"/>
    </w:p>
    <w:p w14:paraId="54DFE219">
      <w:pPr>
        <w:topLinePunct/>
        <w:rPr>
          <w:color w:val="auto"/>
          <w:sz w:val="24"/>
          <w:szCs w:val="24"/>
          <w:highlight w:val="none"/>
        </w:rPr>
      </w:pPr>
    </w:p>
    <w:p w14:paraId="74F5707F">
      <w:pPr>
        <w:wordWrap w:val="0"/>
        <w:topLinePunct/>
        <w:ind w:firstLine="3839"/>
        <w:jc w:val="right"/>
        <w:rPr>
          <w:color w:val="auto"/>
          <w:sz w:val="24"/>
          <w:szCs w:val="24"/>
          <w:highlight w:val="none"/>
          <w:u w:val="single"/>
        </w:rPr>
      </w:pPr>
      <w:r>
        <w:rPr>
          <w:rFonts w:hint="eastAsia" w:cs="宋体"/>
          <w:color w:val="auto"/>
          <w:sz w:val="24"/>
          <w:szCs w:val="24"/>
          <w:highlight w:val="none"/>
        </w:rPr>
        <w:t>身份证号码：</w:t>
      </w:r>
      <w:r>
        <w:rPr>
          <w:rFonts w:hint="eastAsia" w:cs="宋体"/>
          <w:color w:val="auto"/>
          <w:sz w:val="24"/>
          <w:szCs w:val="24"/>
          <w:highlight w:val="none"/>
          <w:u w:val="single"/>
        </w:rPr>
        <w:t xml:space="preserve">                    </w:t>
      </w:r>
    </w:p>
    <w:p w14:paraId="42873596">
      <w:pPr>
        <w:topLinePunct/>
        <w:rPr>
          <w:color w:val="auto"/>
          <w:sz w:val="24"/>
          <w:szCs w:val="24"/>
          <w:highlight w:val="none"/>
        </w:rPr>
      </w:pPr>
    </w:p>
    <w:p w14:paraId="34F72E5E">
      <w:pPr>
        <w:wordWrap w:val="0"/>
        <w:topLinePunct/>
        <w:ind w:firstLine="3839"/>
        <w:jc w:val="right"/>
        <w:rPr>
          <w:color w:val="auto"/>
          <w:sz w:val="24"/>
          <w:szCs w:val="24"/>
          <w:highlight w:val="none"/>
          <w:u w:val="single"/>
        </w:rPr>
      </w:pPr>
      <w:r>
        <w:rPr>
          <w:rFonts w:hint="eastAsia" w:cs="宋体"/>
          <w:color w:val="auto"/>
          <w:sz w:val="24"/>
          <w:szCs w:val="24"/>
          <w:highlight w:val="none"/>
        </w:rPr>
        <w:t>委托代理人：</w:t>
      </w:r>
      <w:r>
        <w:rPr>
          <w:rFonts w:hint="eastAsia" w:cs="黑体"/>
          <w:color w:val="auto"/>
          <w:sz w:val="24"/>
          <w:szCs w:val="24"/>
          <w:highlight w:val="none"/>
          <w:u w:val="single"/>
        </w:rPr>
        <w:t>（亲笔签名或签名章）</w:t>
      </w:r>
    </w:p>
    <w:p w14:paraId="75189E44">
      <w:pPr>
        <w:topLinePunct/>
        <w:rPr>
          <w:color w:val="auto"/>
          <w:sz w:val="24"/>
          <w:szCs w:val="24"/>
          <w:highlight w:val="none"/>
        </w:rPr>
      </w:pPr>
    </w:p>
    <w:p w14:paraId="4855879C">
      <w:pPr>
        <w:wordWrap w:val="0"/>
        <w:topLinePunct/>
        <w:ind w:firstLine="3839"/>
        <w:jc w:val="right"/>
        <w:rPr>
          <w:color w:val="auto"/>
          <w:sz w:val="24"/>
          <w:szCs w:val="24"/>
          <w:highlight w:val="none"/>
          <w:u w:val="single"/>
        </w:rPr>
      </w:pPr>
      <w:r>
        <w:rPr>
          <w:rFonts w:hint="eastAsia" w:cs="宋体"/>
          <w:color w:val="auto"/>
          <w:sz w:val="24"/>
          <w:szCs w:val="24"/>
          <w:highlight w:val="none"/>
        </w:rPr>
        <w:t>身份证号码：</w:t>
      </w:r>
      <w:r>
        <w:rPr>
          <w:rFonts w:hint="eastAsia" w:cs="宋体"/>
          <w:color w:val="auto"/>
          <w:sz w:val="24"/>
          <w:szCs w:val="24"/>
          <w:highlight w:val="none"/>
          <w:u w:val="single"/>
        </w:rPr>
        <w:t xml:space="preserve">                    </w:t>
      </w:r>
    </w:p>
    <w:p w14:paraId="029AFA74">
      <w:pPr>
        <w:topLinePunct/>
        <w:rPr>
          <w:color w:val="auto"/>
          <w:sz w:val="24"/>
          <w:szCs w:val="24"/>
          <w:highlight w:val="none"/>
        </w:rPr>
      </w:pPr>
    </w:p>
    <w:p w14:paraId="22EB48DA">
      <w:pPr>
        <w:topLinePunct/>
        <w:spacing w:before="120" w:beforeLines="50" w:after="120" w:afterLines="50"/>
        <w:jc w:val="right"/>
        <w:rPr>
          <w:color w:val="auto"/>
          <w:sz w:val="24"/>
          <w:szCs w:val="24"/>
          <w:highlight w:val="none"/>
        </w:rPr>
      </w:pPr>
      <w:r>
        <w:rPr>
          <w:rFonts w:hint="eastAsia" w:cs="宋体"/>
          <w:color w:val="auto"/>
          <w:sz w:val="24"/>
          <w:szCs w:val="24"/>
          <w:highlight w:val="none"/>
          <w:u w:val="single"/>
        </w:rPr>
        <w:t xml:space="preserve">    </w:t>
      </w:r>
      <w:r>
        <w:rPr>
          <w:rFonts w:hint="eastAsia" w:cs="宋体"/>
          <w:color w:val="auto"/>
          <w:sz w:val="24"/>
          <w:szCs w:val="24"/>
          <w:highlight w:val="none"/>
        </w:rPr>
        <w:t>年</w:t>
      </w:r>
      <w:r>
        <w:rPr>
          <w:rFonts w:hint="eastAsia" w:cs="宋体"/>
          <w:color w:val="auto"/>
          <w:sz w:val="24"/>
          <w:szCs w:val="24"/>
          <w:highlight w:val="none"/>
          <w:u w:val="single"/>
        </w:rPr>
        <w:t xml:space="preserve">    </w:t>
      </w:r>
      <w:r>
        <w:rPr>
          <w:rFonts w:hint="eastAsia" w:cs="宋体"/>
          <w:color w:val="auto"/>
          <w:sz w:val="24"/>
          <w:szCs w:val="24"/>
          <w:highlight w:val="none"/>
        </w:rPr>
        <w:t>月</w:t>
      </w:r>
      <w:r>
        <w:rPr>
          <w:rFonts w:hint="eastAsia" w:cs="宋体"/>
          <w:color w:val="auto"/>
          <w:sz w:val="24"/>
          <w:szCs w:val="24"/>
          <w:highlight w:val="none"/>
          <w:u w:val="single"/>
        </w:rPr>
        <w:t xml:space="preserve">    </w:t>
      </w:r>
      <w:r>
        <w:rPr>
          <w:rFonts w:hint="eastAsia" w:cs="宋体"/>
          <w:color w:val="auto"/>
          <w:sz w:val="24"/>
          <w:szCs w:val="24"/>
          <w:highlight w:val="none"/>
        </w:rPr>
        <w:t>日</w:t>
      </w:r>
    </w:p>
    <w:p w14:paraId="522156B5">
      <w:pPr>
        <w:topLinePunct/>
        <w:spacing w:before="120" w:beforeLines="50" w:after="120" w:afterLines="50"/>
        <w:jc w:val="center"/>
        <w:rPr>
          <w:color w:val="auto"/>
          <w:sz w:val="36"/>
          <w:szCs w:val="36"/>
          <w:highlight w:val="none"/>
        </w:rPr>
      </w:pPr>
    </w:p>
    <w:p w14:paraId="75541EA3">
      <w:pPr>
        <w:topLinePunct/>
        <w:spacing w:line="400" w:lineRule="exact"/>
        <w:ind w:firstLine="560" w:firstLineChars="200"/>
        <w:rPr>
          <w:color w:val="auto"/>
          <w:sz w:val="28"/>
          <w:szCs w:val="28"/>
          <w:highlight w:val="none"/>
        </w:rPr>
      </w:pPr>
    </w:p>
    <w:p w14:paraId="5E4C651A">
      <w:pPr>
        <w:topLinePunct/>
        <w:spacing w:line="400" w:lineRule="exact"/>
        <w:ind w:firstLine="560" w:firstLineChars="200"/>
        <w:rPr>
          <w:color w:val="auto"/>
          <w:sz w:val="28"/>
          <w:szCs w:val="28"/>
          <w:highlight w:val="none"/>
        </w:rPr>
      </w:pPr>
    </w:p>
    <w:p w14:paraId="3C9FBB9B">
      <w:pPr>
        <w:topLinePunct/>
        <w:spacing w:line="400" w:lineRule="exact"/>
        <w:ind w:firstLine="560" w:firstLineChars="200"/>
        <w:rPr>
          <w:color w:val="auto"/>
          <w:sz w:val="28"/>
          <w:szCs w:val="28"/>
          <w:highlight w:val="none"/>
        </w:rPr>
      </w:pPr>
    </w:p>
    <w:p w14:paraId="0CDCF2BD">
      <w:pPr>
        <w:topLinePunct/>
        <w:spacing w:line="400" w:lineRule="exact"/>
        <w:ind w:firstLine="560" w:firstLineChars="200"/>
        <w:rPr>
          <w:color w:val="auto"/>
          <w:sz w:val="28"/>
          <w:szCs w:val="28"/>
          <w:highlight w:val="none"/>
        </w:rPr>
      </w:pPr>
    </w:p>
    <w:p w14:paraId="3CBD2F65">
      <w:pPr>
        <w:topLinePunct/>
        <w:spacing w:line="400" w:lineRule="exact"/>
        <w:ind w:firstLine="560" w:firstLineChars="200"/>
        <w:rPr>
          <w:color w:val="auto"/>
          <w:sz w:val="28"/>
          <w:szCs w:val="28"/>
          <w:highlight w:val="none"/>
        </w:rPr>
      </w:pPr>
    </w:p>
    <w:p w14:paraId="40FA1AF9">
      <w:pPr>
        <w:spacing w:before="120" w:beforeLines="50" w:after="120" w:afterLines="50"/>
        <w:jc w:val="left"/>
        <w:rPr>
          <w:b/>
          <w:bCs/>
          <w:color w:val="auto"/>
          <w:highlight w:val="none"/>
        </w:rPr>
      </w:pPr>
      <w:r>
        <w:rPr>
          <w:rFonts w:hint="eastAsia" w:cs="黑体"/>
          <w:b/>
          <w:bCs/>
          <w:color w:val="auto"/>
          <w:highlight w:val="none"/>
        </w:rPr>
        <w:t>注：</w:t>
      </w:r>
      <w:r>
        <w:rPr>
          <w:b/>
          <w:bCs/>
          <w:color w:val="auto"/>
          <w:highlight w:val="none"/>
        </w:rPr>
        <w:t xml:space="preserve"> 1</w:t>
      </w:r>
      <w:r>
        <w:rPr>
          <w:rFonts w:hint="eastAsia" w:cs="黑体"/>
          <w:b/>
          <w:bCs/>
          <w:color w:val="auto"/>
          <w:highlight w:val="none"/>
        </w:rPr>
        <w:t>、法定代表人和委托代理人必须在授权委托书上</w:t>
      </w:r>
      <w:r>
        <w:rPr>
          <w:rFonts w:hint="eastAsia" w:cs="黑体"/>
          <w:b/>
          <w:bCs/>
          <w:color w:val="auto"/>
          <w:highlight w:val="none"/>
          <w:u w:val="single"/>
        </w:rPr>
        <w:t>亲笔签名或签名章</w:t>
      </w:r>
      <w:r>
        <w:rPr>
          <w:rFonts w:hint="eastAsia" w:cs="黑体"/>
          <w:b/>
          <w:bCs/>
          <w:color w:val="auto"/>
          <w:highlight w:val="none"/>
        </w:rPr>
        <w:t>；</w:t>
      </w:r>
    </w:p>
    <w:p w14:paraId="49FADD09">
      <w:pPr>
        <w:spacing w:before="120" w:beforeLines="50" w:after="120" w:afterLines="50"/>
        <w:ind w:firstLine="422" w:firstLineChars="200"/>
        <w:jc w:val="left"/>
        <w:rPr>
          <w:b/>
          <w:bCs/>
          <w:color w:val="auto"/>
          <w:highlight w:val="none"/>
        </w:rPr>
      </w:pPr>
      <w:r>
        <w:rPr>
          <w:b/>
          <w:bCs/>
          <w:color w:val="auto"/>
          <w:highlight w:val="none"/>
        </w:rPr>
        <w:t>2</w:t>
      </w:r>
      <w:r>
        <w:rPr>
          <w:rFonts w:hint="eastAsia" w:cs="黑体"/>
          <w:b/>
          <w:bCs/>
          <w:color w:val="auto"/>
          <w:highlight w:val="none"/>
        </w:rPr>
        <w:t>、如果由投标人的法定代表人签署投标文件，则无须提交授权委托书。</w:t>
      </w:r>
    </w:p>
    <w:p w14:paraId="42E1238A">
      <w:pPr>
        <w:pStyle w:val="23"/>
        <w:topLinePunct/>
        <w:spacing w:line="400" w:lineRule="exact"/>
        <w:ind w:left="560" w:firstLine="0" w:firstLineChars="0"/>
        <w:rPr>
          <w:color w:val="auto"/>
          <w:sz w:val="28"/>
          <w:szCs w:val="28"/>
          <w:highlight w:val="none"/>
        </w:rPr>
      </w:pPr>
      <w:r>
        <w:rPr>
          <w:color w:val="auto"/>
          <w:sz w:val="27"/>
          <w:szCs w:val="27"/>
          <w:highlight w:val="none"/>
        </w:rPr>
        <w:br w:type="page"/>
      </w:r>
    </w:p>
    <w:p w14:paraId="4FF0EE7F">
      <w:pPr>
        <w:topLinePunct/>
        <w:spacing w:before="120" w:beforeLines="50" w:after="120" w:afterLines="50"/>
        <w:jc w:val="center"/>
        <w:rPr>
          <w:color w:val="auto"/>
          <w:sz w:val="36"/>
          <w:szCs w:val="36"/>
          <w:highlight w:val="none"/>
        </w:rPr>
      </w:pPr>
      <w:r>
        <w:rPr>
          <w:color w:val="auto"/>
          <w:sz w:val="36"/>
          <w:szCs w:val="36"/>
          <w:highlight w:val="none"/>
        </w:rPr>
        <w:t xml:space="preserve"> (</w:t>
      </w:r>
      <w:r>
        <w:rPr>
          <w:rFonts w:hint="eastAsia" w:cs="黑体"/>
          <w:color w:val="auto"/>
          <w:sz w:val="36"/>
          <w:szCs w:val="36"/>
          <w:highlight w:val="none"/>
        </w:rPr>
        <w:t>二</w:t>
      </w:r>
      <w:r>
        <w:rPr>
          <w:color w:val="auto"/>
          <w:sz w:val="36"/>
          <w:szCs w:val="36"/>
          <w:highlight w:val="none"/>
        </w:rPr>
        <w:t>)</w:t>
      </w:r>
      <w:r>
        <w:rPr>
          <w:rFonts w:hint="eastAsia" w:cs="黑体"/>
          <w:color w:val="auto"/>
          <w:sz w:val="36"/>
          <w:szCs w:val="36"/>
          <w:highlight w:val="none"/>
        </w:rPr>
        <w:t>法定代表人身份证明</w:t>
      </w:r>
    </w:p>
    <w:p w14:paraId="301809AF">
      <w:pPr>
        <w:topLinePunct/>
        <w:rPr>
          <w:color w:val="auto"/>
          <w:sz w:val="28"/>
          <w:szCs w:val="28"/>
          <w:highlight w:val="none"/>
        </w:rPr>
      </w:pPr>
    </w:p>
    <w:p w14:paraId="7AF6F881">
      <w:pPr>
        <w:topLinePunct/>
        <w:rPr>
          <w:color w:val="auto"/>
          <w:sz w:val="28"/>
          <w:szCs w:val="28"/>
          <w:highlight w:val="none"/>
        </w:rPr>
      </w:pPr>
    </w:p>
    <w:p w14:paraId="0F7AC1D8">
      <w:pPr>
        <w:topLinePunct/>
        <w:rPr>
          <w:color w:val="auto"/>
          <w:sz w:val="24"/>
          <w:szCs w:val="24"/>
          <w:highlight w:val="none"/>
          <w:u w:val="single"/>
        </w:rPr>
      </w:pPr>
      <w:r>
        <w:rPr>
          <w:rFonts w:hint="eastAsia" w:cs="宋体"/>
          <w:color w:val="auto"/>
          <w:sz w:val="24"/>
          <w:szCs w:val="24"/>
          <w:highlight w:val="none"/>
        </w:rPr>
        <w:t>投标人名称：</w:t>
      </w:r>
    </w:p>
    <w:p w14:paraId="69E91A02">
      <w:pPr>
        <w:topLinePunct/>
        <w:rPr>
          <w:color w:val="auto"/>
          <w:sz w:val="24"/>
          <w:szCs w:val="24"/>
          <w:highlight w:val="none"/>
        </w:rPr>
      </w:pPr>
    </w:p>
    <w:p w14:paraId="27FEB76B">
      <w:pPr>
        <w:topLinePunct/>
        <w:rPr>
          <w:color w:val="auto"/>
          <w:sz w:val="24"/>
          <w:szCs w:val="24"/>
          <w:highlight w:val="none"/>
          <w:u w:val="single"/>
        </w:rPr>
      </w:pPr>
      <w:r>
        <w:rPr>
          <w:rFonts w:hint="eastAsia" w:cs="宋体"/>
          <w:color w:val="auto"/>
          <w:sz w:val="24"/>
          <w:szCs w:val="24"/>
          <w:highlight w:val="none"/>
        </w:rPr>
        <w:t>姓名：          性别：年龄：职务：</w:t>
      </w:r>
    </w:p>
    <w:p w14:paraId="522480DB">
      <w:pPr>
        <w:topLinePunct/>
        <w:rPr>
          <w:color w:val="auto"/>
          <w:sz w:val="24"/>
          <w:szCs w:val="24"/>
          <w:highlight w:val="none"/>
        </w:rPr>
      </w:pPr>
    </w:p>
    <w:p w14:paraId="62E1A944">
      <w:pPr>
        <w:topLinePunct/>
        <w:rPr>
          <w:color w:val="auto"/>
          <w:sz w:val="24"/>
          <w:szCs w:val="24"/>
          <w:highlight w:val="none"/>
        </w:rPr>
      </w:pPr>
      <w:r>
        <w:rPr>
          <w:rFonts w:hint="eastAsia" w:cs="宋体"/>
          <w:color w:val="auto"/>
          <w:sz w:val="24"/>
          <w:szCs w:val="24"/>
          <w:highlight w:val="none"/>
        </w:rPr>
        <w:t>系</w:t>
      </w:r>
      <w:r>
        <w:rPr>
          <w:color w:val="auto"/>
          <w:sz w:val="24"/>
          <w:szCs w:val="24"/>
          <w:highlight w:val="none"/>
          <w:u w:val="single"/>
        </w:rPr>
        <w:t>(</w:t>
      </w:r>
      <w:r>
        <w:rPr>
          <w:rFonts w:hint="eastAsia" w:cs="宋体"/>
          <w:color w:val="auto"/>
          <w:sz w:val="24"/>
          <w:szCs w:val="24"/>
          <w:highlight w:val="none"/>
          <w:u w:val="single"/>
        </w:rPr>
        <w:t>投标人名称</w:t>
      </w:r>
      <w:r>
        <w:rPr>
          <w:color w:val="auto"/>
          <w:sz w:val="24"/>
          <w:szCs w:val="24"/>
          <w:highlight w:val="none"/>
          <w:u w:val="single"/>
        </w:rPr>
        <w:t xml:space="preserve">)        </w:t>
      </w:r>
      <w:r>
        <w:rPr>
          <w:rFonts w:hint="eastAsia" w:cs="宋体"/>
          <w:color w:val="auto"/>
          <w:sz w:val="24"/>
          <w:szCs w:val="24"/>
          <w:highlight w:val="none"/>
        </w:rPr>
        <w:t>的法定代表人。</w:t>
      </w:r>
    </w:p>
    <w:p w14:paraId="3DF045D7">
      <w:pPr>
        <w:topLinePunct/>
        <w:rPr>
          <w:color w:val="auto"/>
          <w:sz w:val="24"/>
          <w:szCs w:val="24"/>
          <w:highlight w:val="none"/>
        </w:rPr>
      </w:pPr>
    </w:p>
    <w:p w14:paraId="193B39E5">
      <w:pPr>
        <w:topLinePunct/>
        <w:rPr>
          <w:color w:val="auto"/>
          <w:sz w:val="24"/>
          <w:szCs w:val="24"/>
          <w:highlight w:val="none"/>
        </w:rPr>
      </w:pPr>
      <w:r>
        <w:rPr>
          <w:rFonts w:hint="eastAsia" w:cs="宋体"/>
          <w:color w:val="auto"/>
          <w:sz w:val="24"/>
          <w:szCs w:val="24"/>
          <w:highlight w:val="none"/>
        </w:rPr>
        <w:t>特此证明。</w:t>
      </w:r>
    </w:p>
    <w:p w14:paraId="611E0BDB">
      <w:pPr>
        <w:topLinePunct/>
        <w:rPr>
          <w:color w:val="auto"/>
          <w:sz w:val="24"/>
          <w:szCs w:val="24"/>
          <w:highlight w:val="none"/>
        </w:rPr>
      </w:pPr>
    </w:p>
    <w:p w14:paraId="2AE8C486">
      <w:pPr>
        <w:topLinePunct/>
        <w:rPr>
          <w:color w:val="auto"/>
          <w:sz w:val="24"/>
          <w:szCs w:val="24"/>
          <w:highlight w:val="none"/>
        </w:rPr>
      </w:pPr>
      <w:r>
        <w:rPr>
          <w:rFonts w:hint="eastAsia" w:cs="宋体"/>
          <w:color w:val="auto"/>
          <w:sz w:val="24"/>
          <w:szCs w:val="24"/>
          <w:highlight w:val="none"/>
        </w:rPr>
        <w:t>附：法定代表人身份证复印件。</w:t>
      </w:r>
    </w:p>
    <w:p w14:paraId="3C8AD5A7">
      <w:pPr>
        <w:topLinePunct/>
        <w:rPr>
          <w:color w:val="auto"/>
          <w:sz w:val="24"/>
          <w:szCs w:val="24"/>
          <w:highlight w:val="none"/>
        </w:rPr>
      </w:pPr>
    </w:p>
    <w:p w14:paraId="1611BBF3">
      <w:pPr>
        <w:topLinePunct/>
        <w:rPr>
          <w:color w:val="auto"/>
          <w:sz w:val="24"/>
          <w:szCs w:val="24"/>
          <w:highlight w:val="none"/>
        </w:rPr>
      </w:pPr>
    </w:p>
    <w:p w14:paraId="5A35BBAF">
      <w:pPr>
        <w:wordWrap w:val="0"/>
        <w:topLinePunct/>
        <w:ind w:right="-52"/>
        <w:jc w:val="right"/>
        <w:rPr>
          <w:color w:val="auto"/>
          <w:sz w:val="24"/>
          <w:szCs w:val="24"/>
          <w:highlight w:val="none"/>
          <w:u w:val="single"/>
        </w:rPr>
      </w:pPr>
      <w:r>
        <w:rPr>
          <w:rFonts w:hint="eastAsia" w:cs="宋体"/>
          <w:color w:val="auto"/>
          <w:sz w:val="24"/>
          <w:szCs w:val="24"/>
          <w:highlight w:val="none"/>
        </w:rPr>
        <w:t>投标人：</w:t>
      </w:r>
      <w:r>
        <w:rPr>
          <w:color w:val="auto"/>
          <w:sz w:val="24"/>
          <w:szCs w:val="24"/>
          <w:highlight w:val="none"/>
          <w:u w:val="single"/>
        </w:rPr>
        <w:t>(</w:t>
      </w:r>
      <w:r>
        <w:rPr>
          <w:rFonts w:hint="eastAsia" w:cs="黑体"/>
          <w:color w:val="auto"/>
          <w:sz w:val="24"/>
          <w:szCs w:val="24"/>
          <w:highlight w:val="none"/>
          <w:u w:val="single"/>
        </w:rPr>
        <w:t>盖单位章</w:t>
      </w:r>
      <w:r>
        <w:rPr>
          <w:color w:val="auto"/>
          <w:sz w:val="24"/>
          <w:szCs w:val="24"/>
          <w:highlight w:val="none"/>
          <w:u w:val="single"/>
        </w:rPr>
        <w:t xml:space="preserve">)     </w:t>
      </w:r>
    </w:p>
    <w:p w14:paraId="6C073C8C">
      <w:pPr>
        <w:topLinePunct/>
        <w:rPr>
          <w:color w:val="auto"/>
          <w:sz w:val="24"/>
          <w:szCs w:val="24"/>
          <w:highlight w:val="none"/>
        </w:rPr>
      </w:pPr>
    </w:p>
    <w:p w14:paraId="77BDE4F5">
      <w:pPr>
        <w:wordWrap w:val="0"/>
        <w:topLinePunct/>
        <w:jc w:val="right"/>
        <w:rPr>
          <w:color w:val="auto"/>
          <w:sz w:val="24"/>
          <w:szCs w:val="24"/>
          <w:highlight w:val="none"/>
        </w:rPr>
      </w:pPr>
      <w:r>
        <w:rPr>
          <w:rFonts w:hint="eastAsia" w:cs="宋体"/>
          <w:color w:val="auto"/>
          <w:sz w:val="24"/>
          <w:szCs w:val="24"/>
          <w:highlight w:val="none"/>
        </w:rPr>
        <w:t>年月日</w:t>
      </w:r>
    </w:p>
    <w:p w14:paraId="6F8CE277">
      <w:pPr>
        <w:topLinePunct/>
        <w:rPr>
          <w:color w:val="auto"/>
          <w:sz w:val="28"/>
          <w:szCs w:val="28"/>
          <w:highlight w:val="none"/>
        </w:rPr>
      </w:pPr>
    </w:p>
    <w:p w14:paraId="7860DB6D">
      <w:pPr>
        <w:topLinePunct/>
        <w:rPr>
          <w:color w:val="auto"/>
          <w:sz w:val="28"/>
          <w:szCs w:val="28"/>
          <w:highlight w:val="none"/>
        </w:rPr>
      </w:pPr>
    </w:p>
    <w:p w14:paraId="6BF694E1">
      <w:pPr>
        <w:topLinePunct/>
        <w:rPr>
          <w:color w:val="auto"/>
          <w:sz w:val="28"/>
          <w:szCs w:val="28"/>
          <w:highlight w:val="none"/>
        </w:rPr>
      </w:pPr>
    </w:p>
    <w:p w14:paraId="5C93B140">
      <w:pPr>
        <w:rPr>
          <w:b/>
          <w:bCs/>
          <w:color w:val="auto"/>
          <w:highlight w:val="none"/>
        </w:rPr>
      </w:pPr>
    </w:p>
    <w:p w14:paraId="6201812F">
      <w:pPr>
        <w:spacing w:before="120" w:beforeLines="50" w:after="120" w:afterLines="50"/>
        <w:jc w:val="center"/>
        <w:rPr>
          <w:b/>
          <w:bCs/>
          <w:color w:val="auto"/>
          <w:highlight w:val="none"/>
        </w:rPr>
      </w:pPr>
    </w:p>
    <w:p w14:paraId="4B1570CB">
      <w:pPr>
        <w:spacing w:before="120" w:beforeLines="50" w:after="120" w:afterLines="50"/>
        <w:jc w:val="center"/>
        <w:rPr>
          <w:b/>
          <w:bCs/>
          <w:color w:val="auto"/>
          <w:highlight w:val="none"/>
        </w:rPr>
      </w:pPr>
    </w:p>
    <w:p w14:paraId="6DC55B68">
      <w:pPr>
        <w:spacing w:before="120" w:beforeLines="50" w:after="120" w:afterLines="50"/>
        <w:jc w:val="center"/>
        <w:rPr>
          <w:b/>
          <w:bCs/>
          <w:color w:val="auto"/>
          <w:highlight w:val="none"/>
        </w:rPr>
      </w:pPr>
    </w:p>
    <w:p w14:paraId="2FADAED9">
      <w:pPr>
        <w:spacing w:before="120" w:beforeLines="50" w:after="120" w:afterLines="50"/>
        <w:jc w:val="center"/>
        <w:rPr>
          <w:b/>
          <w:bCs/>
          <w:color w:val="auto"/>
          <w:highlight w:val="none"/>
        </w:rPr>
      </w:pPr>
    </w:p>
    <w:p w14:paraId="48FAE40D">
      <w:pPr>
        <w:spacing w:before="120" w:beforeLines="50" w:after="120" w:afterLines="50"/>
        <w:jc w:val="center"/>
        <w:rPr>
          <w:b/>
          <w:bCs/>
          <w:color w:val="auto"/>
          <w:highlight w:val="none"/>
        </w:rPr>
      </w:pPr>
    </w:p>
    <w:p w14:paraId="23EAF9A3">
      <w:pPr>
        <w:widowControl/>
        <w:jc w:val="left"/>
        <w:rPr>
          <w:rFonts w:cs="宋体"/>
          <w:b/>
          <w:bCs/>
          <w:color w:val="auto"/>
          <w:sz w:val="30"/>
          <w:szCs w:val="30"/>
          <w:highlight w:val="none"/>
        </w:rPr>
      </w:pPr>
      <w:r>
        <w:rPr>
          <w:color w:val="auto"/>
          <w:sz w:val="24"/>
          <w:szCs w:val="24"/>
          <w:highlight w:val="none"/>
        </w:rPr>
        <w:br w:type="page"/>
      </w:r>
      <w:bookmarkEnd w:id="254"/>
    </w:p>
    <w:p w14:paraId="1A5935A1">
      <w:pPr>
        <w:pStyle w:val="2"/>
        <w:jc w:val="center"/>
        <w:rPr>
          <w:rFonts w:cs="宋体"/>
          <w:b/>
          <w:bCs/>
          <w:color w:val="auto"/>
          <w:sz w:val="30"/>
          <w:szCs w:val="30"/>
          <w:highlight w:val="none"/>
        </w:rPr>
      </w:pPr>
      <w:r>
        <w:rPr>
          <w:rFonts w:hint="eastAsia" w:cs="宋体"/>
          <w:b/>
          <w:bCs/>
          <w:color w:val="auto"/>
          <w:sz w:val="30"/>
          <w:szCs w:val="30"/>
          <w:highlight w:val="none"/>
        </w:rPr>
        <w:t>三、资格审查资料</w:t>
      </w:r>
    </w:p>
    <w:p w14:paraId="2304E9F6">
      <w:pPr>
        <w:ind w:firstLine="559" w:firstLineChars="233"/>
        <w:rPr>
          <w:color w:val="auto"/>
          <w:sz w:val="24"/>
          <w:szCs w:val="24"/>
          <w:highlight w:val="none"/>
        </w:rPr>
      </w:pPr>
    </w:p>
    <w:p w14:paraId="096F799B">
      <w:pPr>
        <w:jc w:val="left"/>
        <w:rPr>
          <w:b/>
          <w:color w:val="auto"/>
          <w:sz w:val="24"/>
          <w:szCs w:val="24"/>
          <w:highlight w:val="none"/>
          <w:u w:val="single"/>
        </w:rPr>
      </w:pPr>
    </w:p>
    <w:p w14:paraId="7091C460">
      <w:pPr>
        <w:pStyle w:val="2"/>
        <w:jc w:val="center"/>
        <w:rPr>
          <w:color w:val="auto"/>
          <w:sz w:val="24"/>
          <w:szCs w:val="24"/>
          <w:highlight w:val="none"/>
        </w:rPr>
      </w:pPr>
      <w:r>
        <w:rPr>
          <w:rFonts w:hint="eastAsia" w:cs="宋体"/>
          <w:b/>
          <w:bCs/>
          <w:color w:val="auto"/>
          <w:sz w:val="30"/>
          <w:szCs w:val="30"/>
          <w:highlight w:val="none"/>
        </w:rPr>
        <w:t>表1企业信息基本表</w:t>
      </w:r>
    </w:p>
    <w:tbl>
      <w:tblPr>
        <w:tblStyle w:val="17"/>
        <w:tblW w:w="5000" w:type="pct"/>
        <w:tblInd w:w="0" w:type="dxa"/>
        <w:tblLayout w:type="autofit"/>
        <w:tblCellMar>
          <w:top w:w="0" w:type="dxa"/>
          <w:left w:w="0" w:type="dxa"/>
          <w:bottom w:w="0" w:type="dxa"/>
          <w:right w:w="0" w:type="dxa"/>
        </w:tblCellMar>
      </w:tblPr>
      <w:tblGrid>
        <w:gridCol w:w="1467"/>
        <w:gridCol w:w="1467"/>
        <w:gridCol w:w="1467"/>
        <w:gridCol w:w="1471"/>
        <w:gridCol w:w="1468"/>
        <w:gridCol w:w="1468"/>
      </w:tblGrid>
      <w:tr w14:paraId="20C7DDAF">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A5D965B">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申请人全称：</w:t>
            </w:r>
          </w:p>
        </w:tc>
        <w:tc>
          <w:tcPr>
            <w:tcW w:w="4167" w:type="pct"/>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72DAC7A">
            <w:pPr>
              <w:widowControl/>
              <w:jc w:val="left"/>
              <w:rPr>
                <w:rFonts w:ascii="Arial" w:hAnsi="Arial" w:cs="Arial"/>
                <w:color w:val="auto"/>
                <w:sz w:val="24"/>
                <w:szCs w:val="24"/>
                <w:highlight w:val="none"/>
              </w:rPr>
            </w:pPr>
          </w:p>
        </w:tc>
      </w:tr>
      <w:tr w14:paraId="1D5DE130">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21B2A4C">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主要业务：</w:t>
            </w:r>
          </w:p>
        </w:tc>
        <w:tc>
          <w:tcPr>
            <w:tcW w:w="4167" w:type="pct"/>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096462E">
            <w:pPr>
              <w:widowControl/>
              <w:jc w:val="left"/>
              <w:rPr>
                <w:rFonts w:ascii="Arial" w:hAnsi="Arial" w:cs="Arial"/>
                <w:color w:val="auto"/>
                <w:sz w:val="24"/>
                <w:szCs w:val="24"/>
                <w:highlight w:val="none"/>
              </w:rPr>
            </w:pPr>
          </w:p>
        </w:tc>
      </w:tr>
      <w:tr w14:paraId="213B5B6D">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DC79E03">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营业范围：</w:t>
            </w:r>
          </w:p>
        </w:tc>
        <w:tc>
          <w:tcPr>
            <w:tcW w:w="4167" w:type="pct"/>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7E5D422">
            <w:pPr>
              <w:widowControl/>
              <w:jc w:val="left"/>
              <w:rPr>
                <w:rFonts w:ascii="Arial" w:hAnsi="Arial" w:cs="Arial"/>
                <w:color w:val="auto"/>
                <w:sz w:val="24"/>
                <w:szCs w:val="24"/>
                <w:highlight w:val="none"/>
              </w:rPr>
            </w:pPr>
          </w:p>
        </w:tc>
      </w:tr>
      <w:tr w14:paraId="377F2B97">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2097A7B">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统一社会信用代码：</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63D4D8B">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C47B2BD">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注册资本(元)：</w:t>
            </w:r>
          </w:p>
        </w:tc>
        <w:tc>
          <w:tcPr>
            <w:tcW w:w="83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AF0E485">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D567557">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信用等级：</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373CD99">
            <w:pPr>
              <w:widowControl/>
              <w:jc w:val="left"/>
              <w:rPr>
                <w:rFonts w:ascii="Arial" w:hAnsi="Arial" w:cs="Arial"/>
                <w:color w:val="auto"/>
                <w:sz w:val="24"/>
                <w:szCs w:val="24"/>
                <w:highlight w:val="none"/>
              </w:rPr>
            </w:pPr>
          </w:p>
        </w:tc>
      </w:tr>
      <w:tr w14:paraId="50090DA1">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FA7C118">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建立日期：</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F1773FB">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D39DA46">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现有职工总人数(人)：</w:t>
            </w:r>
          </w:p>
        </w:tc>
        <w:tc>
          <w:tcPr>
            <w:tcW w:w="2500" w:type="pct"/>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59C2022">
            <w:pPr>
              <w:widowControl/>
              <w:jc w:val="left"/>
              <w:rPr>
                <w:rFonts w:ascii="Arial" w:hAnsi="Arial" w:cs="Arial"/>
                <w:color w:val="auto"/>
                <w:sz w:val="24"/>
                <w:szCs w:val="24"/>
                <w:highlight w:val="none"/>
              </w:rPr>
            </w:pPr>
          </w:p>
        </w:tc>
      </w:tr>
      <w:tr w14:paraId="34B93EB6">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627B539">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办公地址：</w:t>
            </w:r>
          </w:p>
        </w:tc>
        <w:tc>
          <w:tcPr>
            <w:tcW w:w="2501" w:type="pct"/>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2ADEADD">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A4C7454">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邮编：</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E96BD14">
            <w:pPr>
              <w:widowControl/>
              <w:jc w:val="left"/>
              <w:rPr>
                <w:rFonts w:ascii="Arial" w:hAnsi="Arial" w:cs="Arial"/>
                <w:color w:val="auto"/>
                <w:sz w:val="24"/>
                <w:szCs w:val="24"/>
                <w:highlight w:val="none"/>
              </w:rPr>
            </w:pPr>
          </w:p>
        </w:tc>
      </w:tr>
      <w:tr w14:paraId="090EA282">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BCCF6D1">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联系电话：</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9C659EC">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8697174">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传真：</w:t>
            </w:r>
          </w:p>
        </w:tc>
        <w:tc>
          <w:tcPr>
            <w:tcW w:w="2500" w:type="pct"/>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AE02C31">
            <w:pPr>
              <w:widowControl/>
              <w:jc w:val="left"/>
              <w:rPr>
                <w:rFonts w:ascii="Arial" w:hAnsi="Arial" w:cs="Arial"/>
                <w:color w:val="auto"/>
                <w:sz w:val="24"/>
                <w:szCs w:val="24"/>
                <w:highlight w:val="none"/>
              </w:rPr>
            </w:pPr>
          </w:p>
        </w:tc>
      </w:tr>
      <w:tr w14:paraId="7A280664">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C72459C">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法人代表姓名：</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884B6B1">
            <w:pPr>
              <w:widowControl/>
              <w:jc w:val="left"/>
              <w:rPr>
                <w:rFonts w:ascii="宋体" w:hAnsi="宋体" w:cs="宋体"/>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4FC094E">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职务：</w:t>
            </w:r>
          </w:p>
        </w:tc>
        <w:tc>
          <w:tcPr>
            <w:tcW w:w="83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E71BC63">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A7E0F9A">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联系电话：</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F315B15">
            <w:pPr>
              <w:widowControl/>
              <w:jc w:val="left"/>
              <w:rPr>
                <w:rFonts w:ascii="Arial" w:hAnsi="Arial" w:cs="Arial"/>
                <w:color w:val="auto"/>
                <w:sz w:val="24"/>
                <w:szCs w:val="24"/>
                <w:highlight w:val="none"/>
              </w:rPr>
            </w:pPr>
          </w:p>
        </w:tc>
      </w:tr>
      <w:tr w14:paraId="27AA3862">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A69A57C">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技术负责人姓名：</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6B5E5FE">
            <w:pPr>
              <w:widowControl/>
              <w:jc w:val="left"/>
              <w:rPr>
                <w:rFonts w:ascii="宋体" w:hAnsi="宋体" w:cs="宋体"/>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7D3F2E5">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技术负责人职务：</w:t>
            </w:r>
          </w:p>
        </w:tc>
        <w:tc>
          <w:tcPr>
            <w:tcW w:w="83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06C91DD">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6024DB8">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技术负责人电话：</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D0CECA4">
            <w:pPr>
              <w:widowControl/>
              <w:jc w:val="left"/>
              <w:rPr>
                <w:rFonts w:ascii="Arial" w:hAnsi="Arial" w:cs="Arial"/>
                <w:color w:val="auto"/>
                <w:sz w:val="24"/>
                <w:szCs w:val="24"/>
                <w:highlight w:val="none"/>
              </w:rPr>
            </w:pPr>
          </w:p>
        </w:tc>
      </w:tr>
      <w:tr w14:paraId="1DD4845F">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333FD1A">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联系人姓名：</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51BBACE">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2D64885">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联系人职务：</w:t>
            </w:r>
          </w:p>
        </w:tc>
        <w:tc>
          <w:tcPr>
            <w:tcW w:w="83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521AEFFF">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76893E0">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联系人电话：</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02D809E">
            <w:pPr>
              <w:widowControl/>
              <w:jc w:val="left"/>
              <w:rPr>
                <w:rFonts w:ascii="Arial" w:hAnsi="Arial" w:cs="Arial"/>
                <w:color w:val="auto"/>
                <w:sz w:val="24"/>
                <w:szCs w:val="24"/>
                <w:highlight w:val="none"/>
              </w:rPr>
            </w:pPr>
          </w:p>
        </w:tc>
      </w:tr>
      <w:tr w14:paraId="04026916">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59D8736">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联系人邮箱：</w:t>
            </w:r>
          </w:p>
        </w:tc>
        <w:tc>
          <w:tcPr>
            <w:tcW w:w="4167" w:type="pct"/>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49F8A84">
            <w:pPr>
              <w:widowControl/>
              <w:jc w:val="left"/>
              <w:rPr>
                <w:rFonts w:ascii="Arial" w:hAnsi="Arial" w:cs="Arial"/>
                <w:color w:val="auto"/>
                <w:sz w:val="24"/>
                <w:szCs w:val="24"/>
                <w:highlight w:val="none"/>
              </w:rPr>
            </w:pPr>
          </w:p>
        </w:tc>
      </w:tr>
      <w:tr w14:paraId="667D54FC">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FB7BD6B">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企业资质名称及等级：</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E38C215">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1C46EE8">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企业资质证书号：</w:t>
            </w:r>
          </w:p>
        </w:tc>
        <w:tc>
          <w:tcPr>
            <w:tcW w:w="834"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49B17D9">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4218081">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企业资质有效期：</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453481E2">
            <w:pPr>
              <w:widowControl/>
              <w:jc w:val="left"/>
              <w:rPr>
                <w:rFonts w:ascii="Arial" w:hAnsi="Arial" w:cs="Arial"/>
                <w:color w:val="auto"/>
                <w:sz w:val="24"/>
                <w:szCs w:val="24"/>
                <w:highlight w:val="none"/>
              </w:rPr>
            </w:pPr>
          </w:p>
        </w:tc>
      </w:tr>
      <w:tr w14:paraId="09CCC38A">
        <w:tblPrEx>
          <w:tblCellMar>
            <w:top w:w="0" w:type="dxa"/>
            <w:left w:w="0" w:type="dxa"/>
            <w:bottom w:w="0" w:type="dxa"/>
            <w:right w:w="0" w:type="dxa"/>
          </w:tblCellMar>
        </w:tblPrEx>
        <w:trPr>
          <w:trHeight w:val="52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0B52283">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安全许可证证书编号：</w:t>
            </w:r>
          </w:p>
        </w:tc>
        <w:tc>
          <w:tcPr>
            <w:tcW w:w="2501" w:type="pct"/>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3B78E4AA">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C596EE9">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安全许可证证书有效期：</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7FDC02F">
            <w:pPr>
              <w:widowControl/>
              <w:jc w:val="left"/>
              <w:rPr>
                <w:rFonts w:ascii="Arial" w:hAnsi="Arial" w:cs="Arial"/>
                <w:color w:val="auto"/>
                <w:sz w:val="24"/>
                <w:szCs w:val="24"/>
                <w:highlight w:val="none"/>
              </w:rPr>
            </w:pPr>
          </w:p>
        </w:tc>
      </w:tr>
      <w:tr w14:paraId="53E46ED6">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0116DE36">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基本户开户行：</w:t>
            </w:r>
          </w:p>
        </w:tc>
        <w:tc>
          <w:tcPr>
            <w:tcW w:w="2501" w:type="pct"/>
            <w:gridSpan w:val="3"/>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14D5FD61">
            <w:pPr>
              <w:widowControl/>
              <w:jc w:val="left"/>
              <w:rPr>
                <w:rFonts w:ascii="Arial" w:hAnsi="Arial" w:cs="Arial"/>
                <w:color w:val="auto"/>
                <w:sz w:val="24"/>
                <w:szCs w:val="24"/>
                <w:highlight w:val="none"/>
              </w:rPr>
            </w:pP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6B9A0F60">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基本户户名：</w:t>
            </w:r>
          </w:p>
        </w:tc>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7FF492C">
            <w:pPr>
              <w:widowControl/>
              <w:jc w:val="left"/>
              <w:rPr>
                <w:rFonts w:ascii="Arial" w:hAnsi="Arial" w:cs="Arial"/>
                <w:color w:val="auto"/>
                <w:sz w:val="24"/>
                <w:szCs w:val="24"/>
                <w:highlight w:val="none"/>
              </w:rPr>
            </w:pPr>
          </w:p>
        </w:tc>
      </w:tr>
      <w:tr w14:paraId="46DDC526">
        <w:tblPrEx>
          <w:tblCellMar>
            <w:top w:w="0" w:type="dxa"/>
            <w:left w:w="0" w:type="dxa"/>
            <w:bottom w:w="0" w:type="dxa"/>
            <w:right w:w="0" w:type="dxa"/>
          </w:tblCellMar>
        </w:tblPrEx>
        <w:trPr>
          <w:trHeight w:val="260" w:hRule="atLeast"/>
        </w:trPr>
        <w:tc>
          <w:tcPr>
            <w:tcW w:w="833" w:type="pct"/>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71BE4E3D">
            <w:pPr>
              <w:widowControl/>
              <w:jc w:val="left"/>
              <w:textAlignment w:val="bottom"/>
              <w:rPr>
                <w:rFonts w:ascii="Arial" w:hAnsi="Arial" w:cs="Arial"/>
                <w:color w:val="auto"/>
                <w:sz w:val="24"/>
                <w:szCs w:val="24"/>
                <w:highlight w:val="none"/>
              </w:rPr>
            </w:pPr>
            <w:r>
              <w:rPr>
                <w:rFonts w:ascii="Arial" w:hAnsi="Arial" w:cs="Arial"/>
                <w:color w:val="auto"/>
                <w:kern w:val="0"/>
                <w:sz w:val="24"/>
                <w:szCs w:val="24"/>
                <w:highlight w:val="none"/>
              </w:rPr>
              <w:t>基本户账号：</w:t>
            </w:r>
          </w:p>
        </w:tc>
        <w:tc>
          <w:tcPr>
            <w:tcW w:w="4167" w:type="pct"/>
            <w:gridSpan w:val="5"/>
            <w:tcBorders>
              <w:top w:val="single" w:color="000000" w:sz="4" w:space="0"/>
              <w:left w:val="single" w:color="000000" w:sz="4" w:space="0"/>
              <w:bottom w:val="single" w:color="000000" w:sz="4" w:space="0"/>
              <w:right w:val="single" w:color="000000" w:sz="4" w:space="0"/>
            </w:tcBorders>
            <w:tcMar>
              <w:top w:w="10" w:type="dxa"/>
              <w:left w:w="10" w:type="dxa"/>
              <w:right w:w="10" w:type="dxa"/>
            </w:tcMar>
            <w:vAlign w:val="bottom"/>
          </w:tcPr>
          <w:p w14:paraId="2C873C39">
            <w:pPr>
              <w:widowControl/>
              <w:jc w:val="left"/>
              <w:rPr>
                <w:rFonts w:ascii="Arial" w:hAnsi="Arial" w:cs="Arial"/>
                <w:color w:val="auto"/>
                <w:sz w:val="24"/>
                <w:szCs w:val="24"/>
                <w:highlight w:val="none"/>
              </w:rPr>
            </w:pPr>
          </w:p>
        </w:tc>
      </w:tr>
    </w:tbl>
    <w:p w14:paraId="66BFC9B8">
      <w:pPr>
        <w:snapToGrid w:val="0"/>
        <w:spacing w:line="312" w:lineRule="auto"/>
        <w:jc w:val="left"/>
        <w:rPr>
          <w:b/>
          <w:color w:val="auto"/>
          <w:highlight w:val="none"/>
          <w:u w:val="single"/>
        </w:rPr>
      </w:pPr>
      <w:r>
        <w:rPr>
          <w:rFonts w:hint="eastAsia"/>
          <w:b/>
          <w:color w:val="auto"/>
          <w:highlight w:val="none"/>
          <w:u w:val="single"/>
        </w:rPr>
        <w:t>注：</w:t>
      </w:r>
    </w:p>
    <w:p w14:paraId="6B6DC9A1">
      <w:pPr>
        <w:tabs>
          <w:tab w:val="left" w:pos="3375"/>
        </w:tabs>
        <w:snapToGrid w:val="0"/>
        <w:spacing w:line="360" w:lineRule="auto"/>
        <w:ind w:firstLine="422" w:firstLineChars="200"/>
        <w:outlineLvl w:val="2"/>
        <w:rPr>
          <w:rFonts w:ascii="宋体" w:hAnsi="宋体" w:cs="宋体"/>
          <w:b/>
          <w:color w:val="auto"/>
          <w:highlight w:val="none"/>
        </w:rPr>
      </w:pPr>
      <w:r>
        <w:rPr>
          <w:rFonts w:hint="eastAsia"/>
          <w:b/>
          <w:color w:val="auto"/>
          <w:highlight w:val="none"/>
        </w:rPr>
        <w:t>提供投标人资格条件相应的佐证材料</w:t>
      </w:r>
      <w:r>
        <w:rPr>
          <w:rFonts w:hint="eastAsia" w:ascii="宋体" w:hAnsi="宋体" w:cs="宋体"/>
          <w:b/>
          <w:color w:val="auto"/>
          <w:highlight w:val="none"/>
        </w:rPr>
        <w:t>（以下材料均须提供扫描件（或复印件）并加盖公章）：</w:t>
      </w:r>
    </w:p>
    <w:p w14:paraId="04D86FF0">
      <w:pPr>
        <w:tabs>
          <w:tab w:val="left" w:pos="3375"/>
        </w:tabs>
        <w:snapToGrid w:val="0"/>
        <w:spacing w:line="360" w:lineRule="auto"/>
        <w:ind w:firstLine="422" w:firstLineChars="200"/>
        <w:outlineLvl w:val="2"/>
        <w:rPr>
          <w:rFonts w:hint="eastAsia" w:eastAsia="宋体"/>
          <w:b/>
          <w:color w:val="auto"/>
          <w:highlight w:val="none"/>
          <w:lang w:val="en-US" w:eastAsia="zh-CN"/>
        </w:rPr>
      </w:pPr>
      <w:r>
        <w:rPr>
          <w:rFonts w:hint="eastAsia"/>
          <w:b/>
          <w:color w:val="auto"/>
          <w:highlight w:val="none"/>
        </w:rPr>
        <w:t>①建设行政主管部门颁发的建筑工程施工总承包叁级及以上资质</w:t>
      </w:r>
      <w:r>
        <w:rPr>
          <w:rFonts w:hint="eastAsia"/>
          <w:b/>
          <w:color w:val="auto"/>
          <w:highlight w:val="none"/>
          <w:lang w:val="en-US" w:eastAsia="zh-CN"/>
        </w:rPr>
        <w:t>证书；</w:t>
      </w:r>
    </w:p>
    <w:p w14:paraId="7B8DF96A">
      <w:pPr>
        <w:tabs>
          <w:tab w:val="left" w:pos="3375"/>
        </w:tabs>
        <w:snapToGrid w:val="0"/>
        <w:spacing w:line="360" w:lineRule="auto"/>
        <w:ind w:firstLine="422" w:firstLineChars="200"/>
        <w:outlineLvl w:val="2"/>
        <w:rPr>
          <w:b/>
          <w:color w:val="auto"/>
          <w:highlight w:val="none"/>
        </w:rPr>
      </w:pPr>
      <w:r>
        <w:rPr>
          <w:rFonts w:hint="eastAsia"/>
          <w:b/>
          <w:color w:val="auto"/>
          <w:highlight w:val="none"/>
        </w:rPr>
        <w:t>②省级（或以上）建设行政主管部门核发的《安全生产许可证》；</w:t>
      </w:r>
    </w:p>
    <w:p w14:paraId="2DB64A64">
      <w:pPr>
        <w:ind w:firstLine="482"/>
        <w:jc w:val="center"/>
        <w:rPr>
          <w:b/>
          <w:bCs/>
          <w:color w:val="auto"/>
          <w:sz w:val="24"/>
          <w:szCs w:val="24"/>
          <w:highlight w:val="none"/>
          <w:u w:val="single"/>
        </w:rPr>
        <w:sectPr>
          <w:footerReference r:id="rId6" w:type="default"/>
          <w:pgSz w:w="11906" w:h="16838"/>
          <w:pgMar w:top="1389" w:right="1474" w:bottom="1389" w:left="1644" w:header="851" w:footer="992" w:gutter="0"/>
          <w:cols w:space="720" w:num="1"/>
          <w:docGrid w:linePitch="312" w:charSpace="0"/>
        </w:sectPr>
      </w:pPr>
    </w:p>
    <w:p w14:paraId="0E6F0DC4">
      <w:pPr>
        <w:pStyle w:val="2"/>
        <w:jc w:val="center"/>
        <w:rPr>
          <w:rFonts w:cs="宋体"/>
          <w:b/>
          <w:bCs/>
          <w:color w:val="auto"/>
          <w:sz w:val="30"/>
          <w:szCs w:val="30"/>
          <w:highlight w:val="none"/>
        </w:rPr>
      </w:pPr>
      <w:r>
        <w:rPr>
          <w:rFonts w:hint="eastAsia" w:cs="宋体"/>
          <w:b/>
          <w:bCs/>
          <w:color w:val="auto"/>
          <w:sz w:val="30"/>
          <w:szCs w:val="30"/>
          <w:highlight w:val="none"/>
        </w:rPr>
        <w:t>表2 拟投入本标段主要人员情况表</w:t>
      </w:r>
    </w:p>
    <w:tbl>
      <w:tblPr>
        <w:tblStyle w:val="17"/>
        <w:tblW w:w="4996" w:type="pct"/>
        <w:tblInd w:w="0" w:type="dxa"/>
        <w:tblLayout w:type="autofit"/>
        <w:tblCellMar>
          <w:top w:w="0" w:type="dxa"/>
          <w:left w:w="0" w:type="dxa"/>
          <w:bottom w:w="0" w:type="dxa"/>
          <w:right w:w="0" w:type="dxa"/>
        </w:tblCellMar>
      </w:tblPr>
      <w:tblGrid>
        <w:gridCol w:w="368"/>
        <w:gridCol w:w="966"/>
        <w:gridCol w:w="360"/>
        <w:gridCol w:w="434"/>
        <w:gridCol w:w="636"/>
        <w:gridCol w:w="666"/>
        <w:gridCol w:w="578"/>
        <w:gridCol w:w="372"/>
        <w:gridCol w:w="1165"/>
        <w:gridCol w:w="813"/>
        <w:gridCol w:w="813"/>
        <w:gridCol w:w="813"/>
        <w:gridCol w:w="817"/>
      </w:tblGrid>
      <w:tr w14:paraId="3008F6B6">
        <w:tblPrEx>
          <w:tblCellMar>
            <w:top w:w="0" w:type="dxa"/>
            <w:left w:w="0" w:type="dxa"/>
            <w:bottom w:w="0" w:type="dxa"/>
            <w:right w:w="0" w:type="dxa"/>
          </w:tblCellMar>
        </w:tblPrEx>
        <w:trPr>
          <w:trHeight w:val="1134" w:hRule="atLeast"/>
        </w:trPr>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1D4425D">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序号</w:t>
            </w:r>
          </w:p>
        </w:tc>
        <w:tc>
          <w:tcPr>
            <w:tcW w:w="5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5A7E6CA">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在本项目中担任职务</w:t>
            </w:r>
          </w:p>
        </w:tc>
        <w:tc>
          <w:tcPr>
            <w:tcW w:w="20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D643DCB">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姓名</w:t>
            </w:r>
          </w:p>
        </w:tc>
        <w:tc>
          <w:tcPr>
            <w:tcW w:w="24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DA0759F">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年龄</w:t>
            </w: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0F97BEB">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技术职称</w:t>
            </w:r>
          </w:p>
        </w:tc>
        <w:tc>
          <w:tcPr>
            <w:tcW w:w="3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4F65F82">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职称专业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E2BA46D">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工作年限</w:t>
            </w:r>
          </w:p>
        </w:tc>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0E7994F">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学历</w:t>
            </w:r>
          </w:p>
        </w:tc>
        <w:tc>
          <w:tcPr>
            <w:tcW w:w="6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910326D">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学历专业</w:t>
            </w: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5F63E7C">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执业资格名称</w:t>
            </w: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A3A5270">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执业资格等级</w:t>
            </w: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8B6B27A">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执业资格编号</w:t>
            </w:r>
          </w:p>
        </w:tc>
        <w:tc>
          <w:tcPr>
            <w:tcW w:w="4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E94902C">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执业资格有效期</w:t>
            </w:r>
          </w:p>
        </w:tc>
      </w:tr>
      <w:tr w14:paraId="1AAB0E12">
        <w:tblPrEx>
          <w:tblCellMar>
            <w:top w:w="0" w:type="dxa"/>
            <w:left w:w="0" w:type="dxa"/>
            <w:bottom w:w="0" w:type="dxa"/>
            <w:right w:w="0" w:type="dxa"/>
          </w:tblCellMar>
        </w:tblPrEx>
        <w:trPr>
          <w:trHeight w:val="1134" w:hRule="atLeast"/>
        </w:trPr>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C5CE7B4">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1</w:t>
            </w:r>
          </w:p>
        </w:tc>
        <w:tc>
          <w:tcPr>
            <w:tcW w:w="5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612A2DC">
            <w:pPr>
              <w:widowControl/>
              <w:jc w:val="center"/>
              <w:textAlignment w:val="bottom"/>
              <w:rPr>
                <w:rFonts w:ascii="Arial" w:hAnsi="Arial" w:cs="Arial"/>
                <w:color w:val="auto"/>
                <w:kern w:val="0"/>
                <w:sz w:val="24"/>
                <w:szCs w:val="24"/>
                <w:highlight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6950416">
            <w:pPr>
              <w:widowControl/>
              <w:jc w:val="center"/>
              <w:textAlignment w:val="bottom"/>
              <w:rPr>
                <w:rFonts w:ascii="Arial" w:hAnsi="Arial" w:cs="Arial"/>
                <w:color w:val="auto"/>
                <w:kern w:val="0"/>
                <w:sz w:val="24"/>
                <w:szCs w:val="24"/>
                <w:highlight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82CBB90">
            <w:pPr>
              <w:widowControl/>
              <w:jc w:val="center"/>
              <w:textAlignment w:val="bottom"/>
              <w:rPr>
                <w:rFonts w:ascii="Arial" w:hAnsi="Arial" w:cs="Arial"/>
                <w:color w:val="auto"/>
                <w:kern w:val="0"/>
                <w:sz w:val="24"/>
                <w:szCs w:val="24"/>
                <w:highlight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BF33AFA">
            <w:pPr>
              <w:widowControl/>
              <w:jc w:val="center"/>
              <w:textAlignment w:val="bottom"/>
              <w:rPr>
                <w:rFonts w:ascii="Arial" w:hAnsi="Arial" w:cs="Arial"/>
                <w:color w:val="auto"/>
                <w:kern w:val="0"/>
                <w:sz w:val="24"/>
                <w:szCs w:val="24"/>
                <w:highlight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6C00616">
            <w:pPr>
              <w:widowControl/>
              <w:jc w:val="center"/>
              <w:textAlignment w:val="bottom"/>
              <w:rPr>
                <w:rFonts w:ascii="Arial" w:hAnsi="Arial" w:cs="Arial"/>
                <w:color w:val="auto"/>
                <w:kern w:val="0"/>
                <w:sz w:val="24"/>
                <w:szCs w:val="24"/>
                <w:highlight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C3BD385">
            <w:pPr>
              <w:widowControl/>
              <w:jc w:val="center"/>
              <w:textAlignment w:val="bottom"/>
              <w:rPr>
                <w:rFonts w:ascii="Arial" w:hAnsi="Arial" w:cs="Arial"/>
                <w:color w:val="auto"/>
                <w:kern w:val="0"/>
                <w:sz w:val="24"/>
                <w:szCs w:val="24"/>
                <w:highlight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081ADA5">
            <w:pPr>
              <w:widowControl/>
              <w:jc w:val="center"/>
              <w:textAlignment w:val="bottom"/>
              <w:rPr>
                <w:rFonts w:ascii="Arial" w:hAnsi="Arial" w:cs="Arial"/>
                <w:color w:val="auto"/>
                <w:kern w:val="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40EFB55">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6FC38A4">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2D1BEC7">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664EFB2">
            <w:pPr>
              <w:widowControl/>
              <w:jc w:val="center"/>
              <w:textAlignment w:val="bottom"/>
              <w:rPr>
                <w:rFonts w:ascii="Arial" w:hAnsi="Arial" w:cs="Arial"/>
                <w:color w:val="auto"/>
                <w:kern w:val="0"/>
                <w:sz w:val="24"/>
                <w:szCs w:val="24"/>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6B81737">
            <w:pPr>
              <w:widowControl/>
              <w:jc w:val="center"/>
              <w:textAlignment w:val="bottom"/>
              <w:rPr>
                <w:rFonts w:ascii="Arial" w:hAnsi="Arial" w:cs="Arial"/>
                <w:color w:val="auto"/>
                <w:kern w:val="0"/>
                <w:sz w:val="24"/>
                <w:szCs w:val="24"/>
                <w:highlight w:val="none"/>
              </w:rPr>
            </w:pPr>
          </w:p>
        </w:tc>
      </w:tr>
      <w:tr w14:paraId="02615D06">
        <w:tblPrEx>
          <w:tblCellMar>
            <w:top w:w="0" w:type="dxa"/>
            <w:left w:w="0" w:type="dxa"/>
            <w:bottom w:w="0" w:type="dxa"/>
            <w:right w:w="0" w:type="dxa"/>
          </w:tblCellMar>
        </w:tblPrEx>
        <w:trPr>
          <w:trHeight w:val="1134" w:hRule="atLeast"/>
        </w:trPr>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EC3C315">
            <w:pPr>
              <w:widowControl/>
              <w:jc w:val="center"/>
              <w:textAlignment w:val="bottom"/>
              <w:rPr>
                <w:rFonts w:ascii="Arial" w:hAnsi="Arial" w:cs="Arial"/>
                <w:color w:val="auto"/>
                <w:kern w:val="0"/>
                <w:sz w:val="24"/>
                <w:szCs w:val="24"/>
                <w:highlight w:val="none"/>
              </w:rPr>
            </w:pPr>
            <w:r>
              <w:rPr>
                <w:rFonts w:ascii="Arial" w:hAnsi="Arial" w:cs="Arial"/>
                <w:color w:val="auto"/>
                <w:kern w:val="0"/>
                <w:sz w:val="24"/>
                <w:szCs w:val="24"/>
                <w:highlight w:val="none"/>
              </w:rPr>
              <w:t>2</w:t>
            </w:r>
          </w:p>
        </w:tc>
        <w:tc>
          <w:tcPr>
            <w:tcW w:w="5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5F620DB">
            <w:pPr>
              <w:widowControl/>
              <w:jc w:val="center"/>
              <w:textAlignment w:val="bottom"/>
              <w:rPr>
                <w:rFonts w:ascii="Arial" w:hAnsi="Arial" w:cs="Arial"/>
                <w:color w:val="auto"/>
                <w:kern w:val="0"/>
                <w:sz w:val="24"/>
                <w:szCs w:val="24"/>
                <w:highlight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7E92595">
            <w:pPr>
              <w:widowControl/>
              <w:jc w:val="center"/>
              <w:textAlignment w:val="bottom"/>
              <w:rPr>
                <w:rFonts w:ascii="Arial" w:hAnsi="Arial" w:cs="Arial"/>
                <w:color w:val="auto"/>
                <w:kern w:val="0"/>
                <w:sz w:val="24"/>
                <w:szCs w:val="24"/>
                <w:highlight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7C0DD8B">
            <w:pPr>
              <w:widowControl/>
              <w:jc w:val="center"/>
              <w:textAlignment w:val="bottom"/>
              <w:rPr>
                <w:rFonts w:ascii="Arial" w:hAnsi="Arial" w:cs="Arial"/>
                <w:color w:val="auto"/>
                <w:kern w:val="0"/>
                <w:sz w:val="24"/>
                <w:szCs w:val="24"/>
                <w:highlight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47ADF4A">
            <w:pPr>
              <w:widowControl/>
              <w:jc w:val="center"/>
              <w:textAlignment w:val="bottom"/>
              <w:rPr>
                <w:rFonts w:ascii="Arial" w:hAnsi="Arial" w:cs="Arial"/>
                <w:color w:val="auto"/>
                <w:kern w:val="0"/>
                <w:sz w:val="24"/>
                <w:szCs w:val="24"/>
                <w:highlight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CB02021">
            <w:pPr>
              <w:widowControl/>
              <w:jc w:val="center"/>
              <w:textAlignment w:val="bottom"/>
              <w:rPr>
                <w:rFonts w:ascii="Arial" w:hAnsi="Arial" w:cs="Arial"/>
                <w:color w:val="auto"/>
                <w:kern w:val="0"/>
                <w:sz w:val="24"/>
                <w:szCs w:val="24"/>
                <w:highlight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7DC6861">
            <w:pPr>
              <w:widowControl/>
              <w:jc w:val="center"/>
              <w:textAlignment w:val="bottom"/>
              <w:rPr>
                <w:rFonts w:ascii="Arial" w:hAnsi="Arial" w:cs="Arial"/>
                <w:color w:val="auto"/>
                <w:kern w:val="0"/>
                <w:sz w:val="24"/>
                <w:szCs w:val="24"/>
                <w:highlight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F04F27D">
            <w:pPr>
              <w:widowControl/>
              <w:jc w:val="center"/>
              <w:textAlignment w:val="bottom"/>
              <w:rPr>
                <w:rFonts w:ascii="Arial" w:hAnsi="Arial" w:cs="Arial"/>
                <w:color w:val="auto"/>
                <w:kern w:val="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905D224">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FF70005">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97263EA">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760104B">
            <w:pPr>
              <w:widowControl/>
              <w:jc w:val="center"/>
              <w:textAlignment w:val="bottom"/>
              <w:rPr>
                <w:rFonts w:ascii="Arial" w:hAnsi="Arial" w:cs="Arial"/>
                <w:color w:val="auto"/>
                <w:kern w:val="0"/>
                <w:sz w:val="24"/>
                <w:szCs w:val="24"/>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FA6E2DE">
            <w:pPr>
              <w:widowControl/>
              <w:jc w:val="center"/>
              <w:textAlignment w:val="bottom"/>
              <w:rPr>
                <w:rFonts w:ascii="Arial" w:hAnsi="Arial" w:cs="Arial"/>
                <w:color w:val="auto"/>
                <w:kern w:val="0"/>
                <w:sz w:val="24"/>
                <w:szCs w:val="24"/>
                <w:highlight w:val="none"/>
              </w:rPr>
            </w:pPr>
          </w:p>
        </w:tc>
      </w:tr>
      <w:tr w14:paraId="0BC534B7">
        <w:tblPrEx>
          <w:tblCellMar>
            <w:top w:w="0" w:type="dxa"/>
            <w:left w:w="0" w:type="dxa"/>
            <w:bottom w:w="0" w:type="dxa"/>
            <w:right w:w="0" w:type="dxa"/>
          </w:tblCellMar>
        </w:tblPrEx>
        <w:trPr>
          <w:trHeight w:val="1134" w:hRule="atLeast"/>
        </w:trPr>
        <w:tc>
          <w:tcPr>
            <w:tcW w:w="20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3549764">
            <w:pPr>
              <w:widowControl/>
              <w:jc w:val="center"/>
              <w:textAlignment w:val="bottom"/>
              <w:rPr>
                <w:rFonts w:ascii="Arial" w:hAnsi="Arial" w:cs="Arial"/>
                <w:color w:val="auto"/>
                <w:kern w:val="0"/>
                <w:sz w:val="24"/>
                <w:szCs w:val="24"/>
                <w:highlight w:val="none"/>
              </w:rPr>
            </w:pPr>
            <w:r>
              <w:rPr>
                <w:rFonts w:hint="eastAsia" w:ascii="Arial" w:hAnsi="Arial" w:cs="Arial"/>
                <w:color w:val="auto"/>
                <w:kern w:val="0"/>
                <w:sz w:val="24"/>
                <w:szCs w:val="24"/>
                <w:highlight w:val="none"/>
              </w:rPr>
              <w:t>...</w:t>
            </w:r>
          </w:p>
        </w:tc>
        <w:tc>
          <w:tcPr>
            <w:tcW w:w="54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0B32F33">
            <w:pPr>
              <w:widowControl/>
              <w:jc w:val="center"/>
              <w:textAlignment w:val="bottom"/>
              <w:rPr>
                <w:rFonts w:ascii="Arial" w:hAnsi="Arial" w:cs="Arial"/>
                <w:color w:val="auto"/>
                <w:kern w:val="0"/>
                <w:sz w:val="24"/>
                <w:szCs w:val="24"/>
                <w:highlight w:val="none"/>
              </w:rPr>
            </w:pPr>
          </w:p>
        </w:tc>
        <w:tc>
          <w:tcPr>
            <w:tcW w:w="204"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9BED579">
            <w:pPr>
              <w:widowControl/>
              <w:jc w:val="center"/>
              <w:textAlignment w:val="bottom"/>
              <w:rPr>
                <w:rFonts w:ascii="Arial" w:hAnsi="Arial" w:cs="Arial"/>
                <w:color w:val="auto"/>
                <w:kern w:val="0"/>
                <w:sz w:val="24"/>
                <w:szCs w:val="24"/>
                <w:highlight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901F83B">
            <w:pPr>
              <w:widowControl/>
              <w:jc w:val="center"/>
              <w:textAlignment w:val="bottom"/>
              <w:rPr>
                <w:rFonts w:ascii="Arial" w:hAnsi="Arial" w:cs="Arial"/>
                <w:color w:val="auto"/>
                <w:kern w:val="0"/>
                <w:sz w:val="24"/>
                <w:szCs w:val="24"/>
                <w:highlight w:val="none"/>
              </w:rPr>
            </w:pP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6F3B5CC">
            <w:pPr>
              <w:widowControl/>
              <w:jc w:val="center"/>
              <w:textAlignment w:val="bottom"/>
              <w:rPr>
                <w:rFonts w:ascii="Arial" w:hAnsi="Arial" w:cs="Arial"/>
                <w:color w:val="auto"/>
                <w:kern w:val="0"/>
                <w:sz w:val="24"/>
                <w:szCs w:val="24"/>
                <w:highlight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B56E799">
            <w:pPr>
              <w:widowControl/>
              <w:jc w:val="center"/>
              <w:textAlignment w:val="bottom"/>
              <w:rPr>
                <w:rFonts w:ascii="Arial" w:hAnsi="Arial" w:cs="Arial"/>
                <w:color w:val="auto"/>
                <w:kern w:val="0"/>
                <w:sz w:val="24"/>
                <w:szCs w:val="24"/>
                <w:highlight w:val="none"/>
              </w:rPr>
            </w:pP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960FEB2">
            <w:pPr>
              <w:widowControl/>
              <w:jc w:val="center"/>
              <w:textAlignment w:val="bottom"/>
              <w:rPr>
                <w:rFonts w:ascii="Arial" w:hAnsi="Arial" w:cs="Arial"/>
                <w:color w:val="auto"/>
                <w:kern w:val="0"/>
                <w:sz w:val="24"/>
                <w:szCs w:val="24"/>
                <w:highlight w:val="none"/>
              </w:rPr>
            </w:pPr>
          </w:p>
        </w:tc>
        <w:tc>
          <w:tcPr>
            <w:tcW w:w="21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33026EF">
            <w:pPr>
              <w:widowControl/>
              <w:jc w:val="center"/>
              <w:textAlignment w:val="bottom"/>
              <w:rPr>
                <w:rFonts w:ascii="Arial" w:hAnsi="Arial" w:cs="Arial"/>
                <w:color w:val="auto"/>
                <w:kern w:val="0"/>
                <w:sz w:val="24"/>
                <w:szCs w:val="24"/>
                <w:highlight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E5849EF">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284C5F3">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1F76100">
            <w:pPr>
              <w:widowControl/>
              <w:jc w:val="center"/>
              <w:textAlignment w:val="bottom"/>
              <w:rPr>
                <w:rFonts w:ascii="Arial" w:hAnsi="Arial" w:cs="Arial"/>
                <w:color w:val="auto"/>
                <w:kern w:val="0"/>
                <w:sz w:val="24"/>
                <w:szCs w:val="24"/>
                <w:highlight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9D515E7">
            <w:pPr>
              <w:widowControl/>
              <w:jc w:val="center"/>
              <w:textAlignment w:val="bottom"/>
              <w:rPr>
                <w:rFonts w:ascii="Arial" w:hAnsi="Arial" w:cs="Arial"/>
                <w:color w:val="auto"/>
                <w:kern w:val="0"/>
                <w:sz w:val="24"/>
                <w:szCs w:val="24"/>
                <w:highlight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9E3FF9F">
            <w:pPr>
              <w:widowControl/>
              <w:jc w:val="center"/>
              <w:textAlignment w:val="bottom"/>
              <w:rPr>
                <w:rFonts w:ascii="Arial" w:hAnsi="Arial" w:cs="Arial"/>
                <w:color w:val="auto"/>
                <w:kern w:val="0"/>
                <w:sz w:val="24"/>
                <w:szCs w:val="24"/>
                <w:highlight w:val="none"/>
              </w:rPr>
            </w:pPr>
          </w:p>
        </w:tc>
      </w:tr>
    </w:tbl>
    <w:p w14:paraId="11B0BF0E">
      <w:pPr>
        <w:spacing w:line="300" w:lineRule="exact"/>
        <w:ind w:firstLine="422" w:firstLineChars="200"/>
        <w:rPr>
          <w:rFonts w:ascii="宋体" w:hAnsi="宋体"/>
          <w:b/>
          <w:color w:val="auto"/>
          <w:highlight w:val="none"/>
          <w:u w:val="single"/>
        </w:rPr>
      </w:pPr>
      <w:r>
        <w:rPr>
          <w:rFonts w:hint="eastAsia" w:ascii="宋体" w:hAnsi="宋体"/>
          <w:b/>
          <w:color w:val="auto"/>
          <w:highlight w:val="none"/>
          <w:u w:val="single"/>
        </w:rPr>
        <w:t>注：此表可扩展。</w:t>
      </w:r>
    </w:p>
    <w:p w14:paraId="353491CC">
      <w:pPr>
        <w:spacing w:line="300" w:lineRule="exact"/>
        <w:ind w:firstLine="422" w:firstLineChars="200"/>
        <w:rPr>
          <w:rFonts w:ascii="宋体" w:hAnsi="宋体"/>
          <w:b/>
          <w:color w:val="auto"/>
          <w:highlight w:val="none"/>
          <w:u w:val="single"/>
        </w:rPr>
      </w:pPr>
      <w:r>
        <w:rPr>
          <w:rFonts w:ascii="宋体" w:hAnsi="宋体"/>
          <w:b/>
          <w:color w:val="auto"/>
          <w:highlight w:val="none"/>
          <w:u w:val="single"/>
        </w:rPr>
        <w:t>2.</w:t>
      </w:r>
      <w:r>
        <w:rPr>
          <w:rFonts w:hint="eastAsia" w:ascii="宋体" w:hAnsi="宋体"/>
          <w:b/>
          <w:color w:val="auto"/>
          <w:highlight w:val="none"/>
          <w:u w:val="single"/>
        </w:rPr>
        <w:t>人员一旦确定，中标后原则上不再变更，如需变更需征得招标人同意。</w:t>
      </w:r>
    </w:p>
    <w:p w14:paraId="075FAED0">
      <w:pPr>
        <w:ind w:firstLine="482"/>
        <w:jc w:val="left"/>
        <w:rPr>
          <w:rFonts w:ascii="宋体" w:hAnsi="宋体"/>
          <w:b/>
          <w:color w:val="auto"/>
          <w:highlight w:val="none"/>
          <w:u w:val="single"/>
        </w:rPr>
      </w:pPr>
    </w:p>
    <w:p w14:paraId="1EF654EA">
      <w:pPr>
        <w:tabs>
          <w:tab w:val="left" w:pos="3375"/>
        </w:tabs>
        <w:snapToGrid w:val="0"/>
        <w:spacing w:line="360" w:lineRule="auto"/>
        <w:ind w:firstLine="422" w:firstLineChars="200"/>
        <w:outlineLvl w:val="2"/>
        <w:rPr>
          <w:rFonts w:ascii="宋体" w:hAnsi="宋体" w:cs="宋体"/>
          <w:b/>
          <w:color w:val="auto"/>
          <w:highlight w:val="none"/>
        </w:rPr>
      </w:pPr>
      <w:r>
        <w:rPr>
          <w:rFonts w:hint="eastAsia" w:ascii="宋体" w:hAnsi="宋体"/>
          <w:b/>
          <w:color w:val="auto"/>
          <w:highlight w:val="none"/>
          <w:u w:val="single"/>
        </w:rPr>
        <w:t>3、</w:t>
      </w:r>
      <w:r>
        <w:rPr>
          <w:rFonts w:hint="eastAsia" w:ascii="宋体" w:hAnsi="宋体"/>
          <w:b/>
          <w:color w:val="auto"/>
          <w:highlight w:val="none"/>
        </w:rPr>
        <w:t>提供项目经理资格条件相应的佐证材料</w:t>
      </w:r>
      <w:r>
        <w:rPr>
          <w:rFonts w:hint="eastAsia" w:ascii="宋体" w:hAnsi="宋体" w:cs="宋体"/>
          <w:b/>
          <w:color w:val="auto"/>
          <w:highlight w:val="none"/>
        </w:rPr>
        <w:t>（以下材料均须提供扫描件（或复印件）并加盖公章）：</w:t>
      </w:r>
    </w:p>
    <w:p w14:paraId="49E063B0">
      <w:pPr>
        <w:tabs>
          <w:tab w:val="left" w:pos="3375"/>
        </w:tabs>
        <w:snapToGrid w:val="0"/>
        <w:spacing w:line="360" w:lineRule="auto"/>
        <w:ind w:firstLine="422" w:firstLineChars="200"/>
        <w:outlineLvl w:val="2"/>
        <w:rPr>
          <w:rFonts w:ascii="宋体" w:hAnsi="宋体"/>
          <w:b/>
          <w:color w:val="auto"/>
          <w:highlight w:val="none"/>
        </w:rPr>
      </w:pPr>
      <w:r>
        <w:rPr>
          <w:rFonts w:hint="eastAsia" w:ascii="宋体" w:hAnsi="宋体"/>
          <w:b/>
          <w:color w:val="auto"/>
          <w:highlight w:val="none"/>
        </w:rPr>
        <w:t>①有效的二级或以上建筑工程专业注册建造师资格</w:t>
      </w:r>
      <w:r>
        <w:rPr>
          <w:rFonts w:hint="eastAsia" w:ascii="宋体" w:hAnsi="宋体"/>
          <w:b/>
          <w:color w:val="auto"/>
          <w:highlight w:val="none"/>
          <w:lang w:val="en-US" w:eastAsia="zh-CN"/>
        </w:rPr>
        <w:t>证书</w:t>
      </w:r>
      <w:r>
        <w:rPr>
          <w:rFonts w:hint="eastAsia" w:ascii="宋体" w:hAnsi="宋体"/>
          <w:b/>
          <w:color w:val="auto"/>
          <w:highlight w:val="none"/>
        </w:rPr>
        <w:t>；</w:t>
      </w:r>
    </w:p>
    <w:p w14:paraId="0915FA29">
      <w:pPr>
        <w:tabs>
          <w:tab w:val="left" w:pos="3375"/>
        </w:tabs>
        <w:snapToGrid w:val="0"/>
        <w:spacing w:line="360" w:lineRule="auto"/>
        <w:ind w:firstLine="422" w:firstLineChars="200"/>
        <w:outlineLvl w:val="2"/>
        <w:rPr>
          <w:rFonts w:ascii="宋体" w:hAnsi="宋体"/>
          <w:b/>
          <w:color w:val="auto"/>
          <w:highlight w:val="none"/>
        </w:rPr>
      </w:pPr>
      <w:r>
        <w:rPr>
          <w:rFonts w:hint="eastAsia" w:ascii="宋体" w:hAnsi="宋体"/>
          <w:b/>
          <w:color w:val="auto"/>
          <w:highlight w:val="none"/>
        </w:rPr>
        <w:t>②有效的建设行政主管部门核发的《建筑施工企业项目负责人安全生产考核合格证书》（B证）</w:t>
      </w:r>
      <w:r>
        <w:rPr>
          <w:rFonts w:hint="eastAsia" w:ascii="宋体" w:hAnsi="宋体"/>
          <w:b/>
          <w:color w:val="auto"/>
          <w:highlight w:val="none"/>
          <w:lang w:val="en-US" w:eastAsia="zh-CN"/>
        </w:rPr>
        <w:t>证书</w:t>
      </w:r>
      <w:r>
        <w:rPr>
          <w:rFonts w:hint="eastAsia" w:ascii="宋体" w:hAnsi="宋体"/>
          <w:b/>
          <w:color w:val="auto"/>
          <w:highlight w:val="none"/>
        </w:rPr>
        <w:t>。</w:t>
      </w:r>
    </w:p>
    <w:p w14:paraId="166F3A11">
      <w:pPr>
        <w:tabs>
          <w:tab w:val="left" w:pos="3375"/>
        </w:tabs>
        <w:snapToGrid w:val="0"/>
        <w:spacing w:line="360" w:lineRule="auto"/>
        <w:ind w:firstLine="422" w:firstLineChars="200"/>
        <w:outlineLvl w:val="2"/>
        <w:rPr>
          <w:rFonts w:ascii="宋体" w:hAnsi="宋体"/>
          <w:b/>
          <w:color w:val="auto"/>
          <w:highlight w:val="none"/>
        </w:rPr>
      </w:pPr>
      <w:r>
        <w:rPr>
          <w:rFonts w:hint="eastAsia" w:ascii="宋体" w:hAnsi="宋体"/>
          <w:b/>
          <w:color w:val="auto"/>
          <w:highlight w:val="none"/>
        </w:rPr>
        <w:t>③拟派项目经理为投标人自有人员[提供投标人（或投标人不具备法人资格的分支机构）为其缴纳的投标截止时间前三个月（2025年</w:t>
      </w:r>
      <w:r>
        <w:rPr>
          <w:rFonts w:hint="eastAsia" w:ascii="宋体" w:hAnsi="宋体"/>
          <w:b/>
          <w:color w:val="auto"/>
          <w:highlight w:val="none"/>
          <w:lang w:val="en-US" w:eastAsia="zh-CN"/>
        </w:rPr>
        <w:t>8</w:t>
      </w:r>
      <w:r>
        <w:rPr>
          <w:rFonts w:hint="eastAsia" w:ascii="宋体" w:hAnsi="宋体"/>
          <w:b/>
          <w:color w:val="auto"/>
          <w:highlight w:val="none"/>
        </w:rPr>
        <w:t>月至2025年</w:t>
      </w:r>
      <w:r>
        <w:rPr>
          <w:rFonts w:hint="eastAsia" w:ascii="宋体" w:hAnsi="宋体"/>
          <w:b/>
          <w:color w:val="auto"/>
          <w:highlight w:val="none"/>
          <w:lang w:val="en-US" w:eastAsia="zh-CN"/>
        </w:rPr>
        <w:t>10</w:t>
      </w:r>
      <w:r>
        <w:rPr>
          <w:rFonts w:hint="eastAsia" w:ascii="宋体" w:hAnsi="宋体"/>
          <w:b/>
          <w:color w:val="auto"/>
          <w:highlight w:val="none"/>
        </w:rPr>
        <w:t>月）中至少一个月的社保证明材料]</w:t>
      </w:r>
    </w:p>
    <w:p w14:paraId="0AAC6EA0">
      <w:pPr>
        <w:widowControl/>
        <w:ind w:firstLine="482"/>
        <w:jc w:val="center"/>
        <w:rPr>
          <w:b/>
          <w:bCs/>
          <w:color w:val="auto"/>
          <w:sz w:val="24"/>
          <w:szCs w:val="24"/>
          <w:highlight w:val="none"/>
          <w:u w:val="single"/>
        </w:rPr>
      </w:pPr>
    </w:p>
    <w:p w14:paraId="2AC3A940">
      <w:pPr>
        <w:widowControl/>
        <w:ind w:firstLine="482"/>
        <w:jc w:val="center"/>
        <w:rPr>
          <w:b/>
          <w:bCs/>
          <w:color w:val="auto"/>
          <w:sz w:val="24"/>
          <w:szCs w:val="24"/>
          <w:highlight w:val="none"/>
          <w:u w:val="single"/>
        </w:rPr>
      </w:pPr>
    </w:p>
    <w:p w14:paraId="21E7362B">
      <w:pPr>
        <w:widowControl/>
        <w:ind w:firstLine="482"/>
        <w:jc w:val="center"/>
        <w:rPr>
          <w:b/>
          <w:bCs/>
          <w:color w:val="auto"/>
          <w:sz w:val="24"/>
          <w:szCs w:val="24"/>
          <w:highlight w:val="none"/>
          <w:u w:val="single"/>
        </w:rPr>
      </w:pPr>
    </w:p>
    <w:p w14:paraId="121A285B">
      <w:pPr>
        <w:widowControl/>
        <w:ind w:firstLine="482"/>
        <w:jc w:val="center"/>
        <w:rPr>
          <w:b/>
          <w:bCs/>
          <w:color w:val="auto"/>
          <w:sz w:val="24"/>
          <w:szCs w:val="24"/>
          <w:highlight w:val="none"/>
          <w:u w:val="single"/>
        </w:rPr>
      </w:pPr>
    </w:p>
    <w:p w14:paraId="63D299B3">
      <w:pPr>
        <w:widowControl/>
        <w:ind w:firstLine="482"/>
        <w:jc w:val="center"/>
        <w:rPr>
          <w:b/>
          <w:bCs/>
          <w:color w:val="auto"/>
          <w:sz w:val="24"/>
          <w:szCs w:val="24"/>
          <w:highlight w:val="none"/>
          <w:u w:val="single"/>
        </w:rPr>
      </w:pPr>
    </w:p>
    <w:p w14:paraId="02D3C706">
      <w:pPr>
        <w:widowControl/>
        <w:ind w:firstLine="482"/>
        <w:jc w:val="center"/>
        <w:rPr>
          <w:b/>
          <w:bCs/>
          <w:color w:val="auto"/>
          <w:sz w:val="24"/>
          <w:szCs w:val="24"/>
          <w:highlight w:val="none"/>
          <w:u w:val="single"/>
        </w:rPr>
      </w:pPr>
    </w:p>
    <w:p w14:paraId="7A04C987">
      <w:pPr>
        <w:pStyle w:val="7"/>
        <w:ind w:firstLine="738" w:firstLineChars="350"/>
        <w:jc w:val="center"/>
        <w:rPr>
          <w:b/>
          <w:bCs/>
          <w:color w:val="auto"/>
          <w:highlight w:val="none"/>
          <w:u w:val="single"/>
        </w:rPr>
        <w:sectPr>
          <w:pgSz w:w="11906" w:h="16838"/>
          <w:pgMar w:top="1389" w:right="1474" w:bottom="1389" w:left="1644" w:header="851" w:footer="992" w:gutter="0"/>
          <w:cols w:space="720" w:num="1"/>
          <w:docGrid w:linePitch="312" w:charSpace="0"/>
        </w:sectPr>
      </w:pPr>
    </w:p>
    <w:p w14:paraId="4784E625">
      <w:pPr>
        <w:spacing w:after="120"/>
        <w:jc w:val="center"/>
        <w:rPr>
          <w:rFonts w:hint="default" w:ascii="宋体" w:hAnsi="宋体" w:eastAsia="宋体"/>
          <w:b/>
          <w:color w:val="auto"/>
          <w:sz w:val="30"/>
          <w:szCs w:val="30"/>
          <w:highlight w:val="none"/>
          <w:lang w:val="en-US" w:eastAsia="zh-CN"/>
        </w:rPr>
      </w:pPr>
      <w:bookmarkStart w:id="256" w:name="_Toc396227814"/>
      <w:bookmarkStart w:id="257" w:name="_Toc467487406"/>
      <w:bookmarkStart w:id="258" w:name="_Toc297552050"/>
      <w:bookmarkStart w:id="259" w:name="_Toc454186136"/>
      <w:bookmarkStart w:id="260" w:name="_Toc455668324"/>
      <w:bookmarkStart w:id="261" w:name="_Toc6300"/>
      <w:bookmarkStart w:id="262" w:name="_Toc232821999"/>
      <w:bookmarkStart w:id="263" w:name="_Toc3957"/>
      <w:r>
        <w:rPr>
          <w:rFonts w:hint="eastAsia" w:ascii="宋体" w:hAnsi="宋体"/>
          <w:b/>
          <w:color w:val="auto"/>
          <w:sz w:val="30"/>
          <w:szCs w:val="30"/>
          <w:highlight w:val="none"/>
        </w:rPr>
        <w:t>四</w:t>
      </w:r>
      <w:r>
        <w:rPr>
          <w:rFonts w:hint="eastAsia" w:ascii="宋体" w:hAnsi="宋体"/>
          <w:b/>
          <w:color w:val="auto"/>
          <w:sz w:val="30"/>
          <w:szCs w:val="30"/>
          <w:highlight w:val="none"/>
          <w:lang w:eastAsia="zh-CN"/>
        </w:rPr>
        <w:t>、</w:t>
      </w:r>
      <w:r>
        <w:rPr>
          <w:rFonts w:hint="eastAsia" w:ascii="宋体" w:hAnsi="宋体"/>
          <w:b/>
          <w:color w:val="auto"/>
          <w:sz w:val="30"/>
          <w:szCs w:val="30"/>
          <w:highlight w:val="none"/>
          <w:lang w:val="en-US" w:eastAsia="zh-CN"/>
        </w:rPr>
        <w:t>其他资料</w:t>
      </w:r>
    </w:p>
    <w:p w14:paraId="04A31500">
      <w:pPr>
        <w:spacing w:after="120"/>
        <w:jc w:val="center"/>
        <w:rPr>
          <w:rFonts w:ascii="宋体" w:hAnsi="宋体"/>
          <w:b/>
          <w:bCs/>
          <w:color w:val="auto"/>
          <w:highlight w:val="none"/>
        </w:rPr>
      </w:pPr>
      <w:r>
        <w:rPr>
          <w:rFonts w:hint="eastAsia" w:ascii="宋体" w:hAnsi="宋体"/>
          <w:b/>
          <w:color w:val="auto"/>
          <w:sz w:val="30"/>
          <w:szCs w:val="30"/>
          <w:highlight w:val="none"/>
          <w:lang w:val="en-US" w:eastAsia="zh-CN"/>
        </w:rPr>
        <w:t>1</w:t>
      </w:r>
      <w:r>
        <w:rPr>
          <w:rFonts w:hint="eastAsia" w:ascii="宋体" w:hAnsi="宋体"/>
          <w:b/>
          <w:color w:val="auto"/>
          <w:sz w:val="30"/>
          <w:szCs w:val="30"/>
          <w:highlight w:val="none"/>
        </w:rPr>
        <w:t>、确保工程质量不非法分包不违法转包承诺书</w:t>
      </w:r>
      <w:bookmarkEnd w:id="256"/>
      <w:bookmarkEnd w:id="257"/>
      <w:bookmarkEnd w:id="258"/>
      <w:bookmarkEnd w:id="259"/>
      <w:bookmarkEnd w:id="260"/>
    </w:p>
    <w:p w14:paraId="693EF68C">
      <w:pPr>
        <w:jc w:val="center"/>
        <w:rPr>
          <w:rFonts w:ascii="宋体"/>
          <w:b/>
          <w:bCs/>
          <w:color w:val="auto"/>
          <w:sz w:val="32"/>
          <w:szCs w:val="32"/>
          <w:highlight w:val="none"/>
        </w:rPr>
      </w:pPr>
    </w:p>
    <w:p w14:paraId="65A06D6D">
      <w:pPr>
        <w:spacing w:line="360" w:lineRule="auto"/>
        <w:rPr>
          <w:rFonts w:ascii="宋体" w:cs="宋体"/>
          <w:color w:val="auto"/>
          <w:sz w:val="24"/>
          <w:highlight w:val="none"/>
        </w:rPr>
      </w:pPr>
      <w:r>
        <w:rPr>
          <w:rFonts w:hint="eastAsia" w:ascii="宋体" w:cs="宋体"/>
          <w:color w:val="auto"/>
          <w:sz w:val="24"/>
          <w:highlight w:val="none"/>
        </w:rPr>
        <w:t>致：南通交通公共</w:t>
      </w:r>
      <w:bookmarkStart w:id="264" w:name="OLE_LINK1"/>
      <w:r>
        <w:rPr>
          <w:rFonts w:hint="eastAsia" w:ascii="宋体" w:cs="宋体"/>
          <w:color w:val="auto"/>
          <w:sz w:val="24"/>
          <w:highlight w:val="none"/>
        </w:rPr>
        <w:t>事业</w:t>
      </w:r>
      <w:bookmarkEnd w:id="264"/>
      <w:r>
        <w:rPr>
          <w:rFonts w:hint="eastAsia" w:ascii="宋体" w:cs="宋体"/>
          <w:color w:val="auto"/>
          <w:sz w:val="24"/>
          <w:highlight w:val="none"/>
        </w:rPr>
        <w:t>发展中心</w:t>
      </w:r>
    </w:p>
    <w:p w14:paraId="2FCC4F2E">
      <w:pPr>
        <w:spacing w:line="360" w:lineRule="auto"/>
        <w:rPr>
          <w:rFonts w:ascii="Arial" w:hAnsi="Arial" w:cs="Arial"/>
          <w:b/>
          <w:bCs/>
          <w:color w:val="auto"/>
          <w:sz w:val="24"/>
          <w:highlight w:val="none"/>
          <w:u w:val="single"/>
        </w:rPr>
      </w:pPr>
    </w:p>
    <w:p w14:paraId="08754EE0">
      <w:pPr>
        <w:spacing w:line="360" w:lineRule="auto"/>
        <w:ind w:firstLine="480" w:firstLineChars="200"/>
        <w:rPr>
          <w:rFonts w:ascii="宋体"/>
          <w:color w:val="auto"/>
          <w:sz w:val="24"/>
          <w:highlight w:val="none"/>
        </w:rPr>
      </w:pPr>
      <w:r>
        <w:rPr>
          <w:rFonts w:hint="eastAsia" w:ascii="Arial" w:hAnsi="Arial" w:cs="宋体"/>
          <w:color w:val="auto"/>
          <w:sz w:val="24"/>
          <w:highlight w:val="none"/>
        </w:rPr>
        <w:t>我单位在</w:t>
      </w:r>
      <w:r>
        <w:rPr>
          <w:rFonts w:hint="eastAsia" w:ascii="Arial" w:hAnsi="Arial" w:cs="Arial"/>
          <w:color w:val="auto"/>
          <w:sz w:val="24"/>
          <w:highlight w:val="none"/>
          <w:u w:val="single"/>
        </w:rPr>
        <w:t xml:space="preserve">                                     </w:t>
      </w:r>
      <w:r>
        <w:rPr>
          <w:rFonts w:hint="eastAsia" w:ascii="Arial" w:hAnsi="Arial" w:cs="宋体"/>
          <w:color w:val="auto"/>
          <w:sz w:val="24"/>
          <w:highlight w:val="none"/>
        </w:rPr>
        <w:t>工程招标中若有幸中标，在这项工程实施过程中，我们除响应招标文件的</w:t>
      </w:r>
      <w:r>
        <w:rPr>
          <w:rFonts w:hint="eastAsia" w:ascii="宋体" w:cs="宋体"/>
          <w:color w:val="auto"/>
          <w:sz w:val="24"/>
          <w:highlight w:val="none"/>
        </w:rPr>
        <w:t>所有条款，认真履行合同规定的各项义务，并郑重承诺：</w:t>
      </w:r>
    </w:p>
    <w:p w14:paraId="19AE708D">
      <w:pPr>
        <w:spacing w:line="360" w:lineRule="auto"/>
        <w:ind w:firstLine="420"/>
        <w:rPr>
          <w:rFonts w:ascii="宋体"/>
          <w:color w:val="auto"/>
          <w:sz w:val="24"/>
          <w:highlight w:val="none"/>
        </w:rPr>
      </w:pPr>
      <w:r>
        <w:rPr>
          <w:rFonts w:hint="eastAsia" w:ascii="宋体" w:cs="宋体"/>
          <w:color w:val="auto"/>
          <w:sz w:val="24"/>
          <w:highlight w:val="none"/>
        </w:rPr>
        <w:t>在此项工程施工过程中，我单位一定科学计划、精心组织，确保工期和质量，并保证不非法分包、不违法转包中标工程，并随时接受业主及其代表监督。在工程实施阶段，我单位保证对本工程不进行非法分包。若因特殊原因确需调整，必须报经业主及其代表批准同意，否则，应视为我单位非法分包行为。</w:t>
      </w:r>
    </w:p>
    <w:p w14:paraId="5913BC0D">
      <w:pPr>
        <w:spacing w:line="360" w:lineRule="auto"/>
        <w:ind w:firstLine="420"/>
        <w:rPr>
          <w:rFonts w:ascii="宋体"/>
          <w:color w:val="auto"/>
          <w:sz w:val="24"/>
          <w:highlight w:val="none"/>
        </w:rPr>
      </w:pPr>
      <w:r>
        <w:rPr>
          <w:rFonts w:hint="eastAsia" w:ascii="宋体" w:cs="宋体"/>
          <w:color w:val="auto"/>
          <w:sz w:val="24"/>
          <w:highlight w:val="none"/>
        </w:rPr>
        <w:t>若我单位在项目实施过程中违背上述承诺，出现非法分包或违法转包等行为，我单位甘愿接受处罚，无条件撤出现场，并放弃二年投标资格。</w:t>
      </w:r>
    </w:p>
    <w:p w14:paraId="39506904">
      <w:pPr>
        <w:spacing w:line="360" w:lineRule="auto"/>
        <w:rPr>
          <w:rFonts w:ascii="宋体"/>
          <w:color w:val="auto"/>
          <w:sz w:val="24"/>
          <w:highlight w:val="none"/>
        </w:rPr>
      </w:pPr>
    </w:p>
    <w:p w14:paraId="116E2CDD">
      <w:pPr>
        <w:spacing w:line="360" w:lineRule="auto"/>
        <w:rPr>
          <w:rFonts w:ascii="宋体"/>
          <w:color w:val="auto"/>
          <w:sz w:val="24"/>
          <w:highlight w:val="none"/>
        </w:rPr>
      </w:pPr>
    </w:p>
    <w:p w14:paraId="5E7C2D0B">
      <w:pPr>
        <w:snapToGrid w:val="0"/>
        <w:spacing w:line="360" w:lineRule="auto"/>
        <w:rPr>
          <w:rFonts w:ascii="宋体"/>
          <w:color w:val="auto"/>
          <w:sz w:val="24"/>
          <w:highlight w:val="none"/>
        </w:rPr>
      </w:pPr>
      <w:r>
        <w:rPr>
          <w:rFonts w:hint="eastAsia" w:ascii="宋体" w:hAnsi="宋体" w:cs="宋体"/>
          <w:color w:val="auto"/>
          <w:sz w:val="24"/>
          <w:highlight w:val="none"/>
        </w:rPr>
        <w:t>承诺人：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（盖单位公章）</w:t>
      </w:r>
      <w:r>
        <w:rPr>
          <w:rFonts w:ascii="宋体" w:hAnsi="宋体" w:cs="宋体"/>
          <w:color w:val="auto"/>
          <w:sz w:val="24"/>
          <w:highlight w:val="none"/>
          <w:u w:val="single"/>
        </w:rPr>
        <w:t xml:space="preserve">    </w:t>
      </w:r>
    </w:p>
    <w:p w14:paraId="7C7D11B1">
      <w:pPr>
        <w:snapToGrid w:val="0"/>
        <w:spacing w:line="360" w:lineRule="auto"/>
        <w:rPr>
          <w:rFonts w:ascii="宋体"/>
          <w:color w:val="auto"/>
          <w:sz w:val="24"/>
          <w:highlight w:val="none"/>
        </w:rPr>
      </w:pPr>
      <w:r>
        <w:rPr>
          <w:rFonts w:hint="eastAsia" w:ascii="宋体" w:hAnsi="宋体" w:cs="宋体"/>
          <w:color w:val="auto"/>
          <w:sz w:val="24"/>
          <w:highlight w:val="none"/>
        </w:rPr>
        <w:t>法定代表人或其授权委托人：</w:t>
      </w:r>
      <w:r>
        <w:rPr>
          <w:rFonts w:ascii="宋体" w:hAnsi="宋体" w:cs="宋体"/>
          <w:color w:val="auto"/>
          <w:sz w:val="24"/>
          <w:highlight w:val="none"/>
          <w:u w:val="single"/>
        </w:rPr>
        <w:t xml:space="preserve">   </w:t>
      </w:r>
      <w:r>
        <w:rPr>
          <w:rFonts w:hint="eastAsia" w:ascii="Arial" w:hAnsi="Arial" w:cs="宋体"/>
          <w:color w:val="auto"/>
          <w:sz w:val="24"/>
          <w:highlight w:val="none"/>
          <w:u w:val="single"/>
        </w:rPr>
        <w:t>（亲笔签名或签名章）</w:t>
      </w:r>
      <w:r>
        <w:rPr>
          <w:rFonts w:ascii="宋体" w:hAnsi="宋体" w:cs="宋体"/>
          <w:color w:val="auto"/>
          <w:sz w:val="24"/>
          <w:highlight w:val="none"/>
          <w:u w:val="single"/>
        </w:rPr>
        <w:t xml:space="preserve">  </w:t>
      </w:r>
    </w:p>
    <w:p w14:paraId="635317D1">
      <w:pPr>
        <w:keepNext/>
        <w:keepLines/>
        <w:spacing w:before="240" w:after="120" w:afterLines="50" w:line="400" w:lineRule="exact"/>
        <w:ind w:firstLine="480" w:firstLineChars="200"/>
        <w:jc w:val="right"/>
        <w:outlineLvl w:val="1"/>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5B723400">
      <w:pPr>
        <w:spacing w:line="360" w:lineRule="auto"/>
        <w:jc w:val="center"/>
        <w:rPr>
          <w:rFonts w:ascii="宋体" w:hAnsi="宋体"/>
          <w:b/>
          <w:bCs/>
          <w:color w:val="auto"/>
          <w:sz w:val="30"/>
          <w:highlight w:val="none"/>
        </w:rPr>
      </w:pPr>
      <w:r>
        <w:rPr>
          <w:rFonts w:ascii="宋体" w:hAnsi="宋体"/>
          <w:b/>
          <w:color w:val="auto"/>
          <w:sz w:val="30"/>
          <w:szCs w:val="30"/>
          <w:highlight w:val="none"/>
        </w:rPr>
        <w:br w:type="page"/>
      </w:r>
      <w:r>
        <w:rPr>
          <w:rFonts w:hint="eastAsia" w:ascii="宋体" w:hAnsi="宋体"/>
          <w:b/>
          <w:color w:val="auto"/>
          <w:sz w:val="30"/>
          <w:szCs w:val="30"/>
          <w:highlight w:val="none"/>
          <w:lang w:val="en-US" w:eastAsia="zh-CN"/>
        </w:rPr>
        <w:t>2</w:t>
      </w:r>
      <w:r>
        <w:rPr>
          <w:rFonts w:hint="eastAsia" w:ascii="宋体" w:hAnsi="宋体"/>
          <w:b/>
          <w:bCs/>
          <w:color w:val="auto"/>
          <w:sz w:val="30"/>
          <w:highlight w:val="none"/>
        </w:rPr>
        <w:t>、拟投入项目经理任职</w:t>
      </w:r>
      <w:r>
        <w:rPr>
          <w:rFonts w:ascii="宋体" w:hAnsi="宋体"/>
          <w:b/>
          <w:bCs/>
          <w:color w:val="auto"/>
          <w:sz w:val="30"/>
          <w:highlight w:val="none"/>
        </w:rPr>
        <w:t>承诺</w:t>
      </w:r>
      <w:r>
        <w:rPr>
          <w:rFonts w:hint="eastAsia" w:ascii="宋体" w:hAnsi="宋体"/>
          <w:b/>
          <w:bCs/>
          <w:color w:val="auto"/>
          <w:sz w:val="30"/>
          <w:highlight w:val="none"/>
        </w:rPr>
        <w:t>函</w:t>
      </w:r>
    </w:p>
    <w:p w14:paraId="7F0CC722">
      <w:pPr>
        <w:spacing w:line="360" w:lineRule="auto"/>
        <w:jc w:val="left"/>
        <w:rPr>
          <w:color w:val="auto"/>
          <w:highlight w:val="none"/>
        </w:rPr>
      </w:pPr>
    </w:p>
    <w:p w14:paraId="14B64A4B">
      <w:pPr>
        <w:spacing w:line="360" w:lineRule="auto"/>
        <w:jc w:val="left"/>
        <w:rPr>
          <w:rFonts w:ascii="宋体"/>
          <w:color w:val="auto"/>
          <w:sz w:val="24"/>
          <w:highlight w:val="none"/>
        </w:rPr>
      </w:pPr>
      <w:r>
        <w:rPr>
          <w:rFonts w:hint="eastAsia" w:ascii="宋体" w:hAnsi="宋体"/>
          <w:color w:val="auto"/>
          <w:sz w:val="24"/>
          <w:highlight w:val="none"/>
          <w:u w:val="single"/>
        </w:rPr>
        <w:t>南通市交通公共事业发展中心</w:t>
      </w:r>
      <w:r>
        <w:rPr>
          <w:rFonts w:hint="eastAsia" w:ascii="宋体"/>
          <w:color w:val="auto"/>
          <w:sz w:val="24"/>
          <w:highlight w:val="none"/>
        </w:rPr>
        <w:t>：</w:t>
      </w:r>
    </w:p>
    <w:p w14:paraId="6DD20176">
      <w:pPr>
        <w:spacing w:line="360" w:lineRule="auto"/>
        <w:ind w:firstLine="420"/>
        <w:rPr>
          <w:rFonts w:ascii="宋体"/>
          <w:color w:val="auto"/>
          <w:sz w:val="24"/>
          <w:highlight w:val="none"/>
        </w:rPr>
      </w:pPr>
      <w:r>
        <w:rPr>
          <w:rFonts w:hint="eastAsia" w:ascii="宋体"/>
          <w:color w:val="auto"/>
          <w:sz w:val="24"/>
          <w:highlight w:val="none"/>
        </w:rPr>
        <w:t>我单位自愿参加</w:t>
      </w:r>
      <w:r>
        <w:rPr>
          <w:rFonts w:ascii="Arial" w:hAnsi="Arial" w:cs="Arial"/>
          <w:b/>
          <w:color w:val="auto"/>
          <w:sz w:val="24"/>
          <w:highlight w:val="none"/>
          <w:u w:val="single"/>
        </w:rPr>
        <w:t xml:space="preserve">              </w:t>
      </w:r>
      <w:r>
        <w:rPr>
          <w:rFonts w:hint="eastAsia" w:ascii="Arial" w:hAnsi="Arial" w:cs="Arial"/>
          <w:b/>
          <w:color w:val="auto"/>
          <w:sz w:val="24"/>
          <w:highlight w:val="none"/>
        </w:rPr>
        <w:t>项目</w:t>
      </w:r>
      <w:r>
        <w:rPr>
          <w:rFonts w:hint="eastAsia" w:ascii="宋体"/>
          <w:color w:val="auto"/>
          <w:sz w:val="24"/>
          <w:highlight w:val="none"/>
        </w:rPr>
        <w:t>的投标活动，并郑重承诺：</w:t>
      </w:r>
    </w:p>
    <w:p w14:paraId="173B3909">
      <w:pPr>
        <w:spacing w:line="360" w:lineRule="auto"/>
        <w:ind w:firstLine="420"/>
        <w:rPr>
          <w:rFonts w:ascii="宋体"/>
          <w:color w:val="auto"/>
          <w:sz w:val="24"/>
          <w:highlight w:val="none"/>
        </w:rPr>
      </w:pPr>
      <w:r>
        <w:rPr>
          <w:rFonts w:hint="eastAsia" w:ascii="宋体"/>
          <w:color w:val="auto"/>
          <w:sz w:val="24"/>
          <w:highlight w:val="none"/>
        </w:rPr>
        <w:t>若我单位中标本项目，拟投入本项目的项目经理在中标后均能立即赴本项目任职,且不在本项目以外的项目兼任职务。</w:t>
      </w:r>
    </w:p>
    <w:p w14:paraId="2104C397">
      <w:pPr>
        <w:spacing w:line="360" w:lineRule="auto"/>
        <w:ind w:firstLine="420"/>
        <w:rPr>
          <w:rFonts w:ascii="宋体"/>
          <w:color w:val="auto"/>
          <w:sz w:val="24"/>
          <w:highlight w:val="none"/>
        </w:rPr>
      </w:pPr>
      <w:r>
        <w:rPr>
          <w:rFonts w:hint="eastAsia" w:ascii="宋体"/>
          <w:color w:val="auto"/>
          <w:sz w:val="24"/>
          <w:highlight w:val="none"/>
        </w:rPr>
        <w:t>我方如有违背承诺，愿意承担相关违约责任。</w:t>
      </w:r>
    </w:p>
    <w:p w14:paraId="5A0A15BE">
      <w:pPr>
        <w:spacing w:line="720" w:lineRule="auto"/>
        <w:ind w:firstLine="3785" w:firstLineChars="1352"/>
        <w:rPr>
          <w:rFonts w:ascii="宋体" w:hAnsi="宋体"/>
          <w:color w:val="auto"/>
          <w:sz w:val="28"/>
          <w:szCs w:val="28"/>
          <w:highlight w:val="none"/>
        </w:rPr>
      </w:pPr>
    </w:p>
    <w:p w14:paraId="7C11CC80">
      <w:pPr>
        <w:spacing w:line="720" w:lineRule="auto"/>
        <w:ind w:firstLine="3785" w:firstLineChars="1352"/>
        <w:rPr>
          <w:rFonts w:ascii="宋体" w:hAnsi="宋体"/>
          <w:color w:val="auto"/>
          <w:sz w:val="28"/>
          <w:szCs w:val="28"/>
          <w:highlight w:val="none"/>
        </w:rPr>
      </w:pPr>
    </w:p>
    <w:p w14:paraId="3497E057">
      <w:pPr>
        <w:spacing w:line="720" w:lineRule="auto"/>
        <w:ind w:firstLine="3785" w:firstLineChars="1352"/>
        <w:rPr>
          <w:rFonts w:ascii="宋体" w:hAnsi="宋体"/>
          <w:color w:val="auto"/>
          <w:sz w:val="28"/>
          <w:szCs w:val="28"/>
          <w:highlight w:val="none"/>
        </w:rPr>
      </w:pPr>
    </w:p>
    <w:p w14:paraId="3EA8C3A8">
      <w:pPr>
        <w:snapToGrid w:val="0"/>
        <w:spacing w:line="360" w:lineRule="auto"/>
        <w:rPr>
          <w:rFonts w:ascii="宋体"/>
          <w:color w:val="auto"/>
          <w:sz w:val="24"/>
          <w:highlight w:val="none"/>
        </w:rPr>
      </w:pPr>
      <w:r>
        <w:rPr>
          <w:rFonts w:hint="eastAsia" w:ascii="宋体" w:hAnsi="宋体" w:cs="宋体"/>
          <w:color w:val="auto"/>
          <w:sz w:val="24"/>
          <w:highlight w:val="none"/>
        </w:rPr>
        <w:t>承诺人：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（盖单位公章）</w:t>
      </w:r>
      <w:r>
        <w:rPr>
          <w:rFonts w:ascii="宋体" w:hAnsi="宋体" w:cs="宋体"/>
          <w:color w:val="auto"/>
          <w:sz w:val="24"/>
          <w:highlight w:val="none"/>
          <w:u w:val="single"/>
        </w:rPr>
        <w:t xml:space="preserve">    </w:t>
      </w:r>
    </w:p>
    <w:p w14:paraId="358264FC">
      <w:pPr>
        <w:snapToGrid w:val="0"/>
        <w:spacing w:line="360" w:lineRule="auto"/>
        <w:rPr>
          <w:rFonts w:ascii="宋体"/>
          <w:color w:val="auto"/>
          <w:sz w:val="24"/>
          <w:highlight w:val="none"/>
        </w:rPr>
      </w:pPr>
      <w:r>
        <w:rPr>
          <w:rFonts w:hint="eastAsia" w:ascii="宋体" w:hAnsi="宋体" w:cs="宋体"/>
          <w:color w:val="auto"/>
          <w:sz w:val="24"/>
          <w:highlight w:val="none"/>
        </w:rPr>
        <w:t>法定代表人或其授权委托人：</w:t>
      </w:r>
      <w:r>
        <w:rPr>
          <w:rFonts w:ascii="宋体" w:hAnsi="宋体" w:cs="宋体"/>
          <w:color w:val="auto"/>
          <w:sz w:val="24"/>
          <w:highlight w:val="none"/>
          <w:u w:val="single"/>
        </w:rPr>
        <w:t xml:space="preserve">   </w:t>
      </w:r>
      <w:r>
        <w:rPr>
          <w:rFonts w:hint="eastAsia" w:ascii="Arial" w:hAnsi="Arial" w:cs="宋体"/>
          <w:color w:val="auto"/>
          <w:sz w:val="24"/>
          <w:highlight w:val="none"/>
          <w:u w:val="single"/>
        </w:rPr>
        <w:t>（亲笔签名或签名章）</w:t>
      </w:r>
      <w:r>
        <w:rPr>
          <w:rFonts w:ascii="宋体" w:hAnsi="宋体" w:cs="宋体"/>
          <w:color w:val="auto"/>
          <w:sz w:val="24"/>
          <w:highlight w:val="none"/>
          <w:u w:val="single"/>
        </w:rPr>
        <w:t xml:space="preserve">  </w:t>
      </w:r>
    </w:p>
    <w:p w14:paraId="11876348">
      <w:pPr>
        <w:keepNext/>
        <w:keepLines/>
        <w:spacing w:before="240" w:after="120" w:afterLines="50" w:line="400" w:lineRule="exact"/>
        <w:ind w:firstLine="480" w:firstLineChars="200"/>
        <w:jc w:val="right"/>
        <w:outlineLvl w:val="1"/>
        <w:rPr>
          <w:rFonts w:hint="eastAsia"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749DB5AA">
      <w:pPr>
        <w:pStyle w:val="2"/>
        <w:rPr>
          <w:rFonts w:hint="eastAsia" w:ascii="宋体" w:hAnsi="宋体" w:cs="宋体"/>
          <w:color w:val="auto"/>
          <w:sz w:val="24"/>
          <w:highlight w:val="none"/>
        </w:rPr>
      </w:pPr>
    </w:p>
    <w:p w14:paraId="282268EC">
      <w:pPr>
        <w:pStyle w:val="2"/>
        <w:rPr>
          <w:rFonts w:hint="eastAsia" w:ascii="宋体" w:hAnsi="宋体" w:cs="宋体"/>
          <w:color w:val="auto"/>
          <w:highlight w:val="none"/>
          <w:lang w:val="en-US" w:eastAsia="zh-CN"/>
        </w:rPr>
      </w:pPr>
    </w:p>
    <w:p w14:paraId="548482DB">
      <w:pPr>
        <w:rPr>
          <w:rFonts w:hint="eastAsia" w:ascii="宋体" w:hAnsi="宋体" w:cs="宋体"/>
          <w:color w:val="auto"/>
          <w:highlight w:val="none"/>
          <w:lang w:val="en-US" w:eastAsia="zh-CN"/>
        </w:rPr>
      </w:pPr>
      <w:r>
        <w:rPr>
          <w:rFonts w:hint="eastAsia" w:ascii="宋体" w:hAnsi="宋体" w:cs="宋体"/>
          <w:color w:val="auto"/>
          <w:highlight w:val="none"/>
          <w:lang w:val="en-US" w:eastAsia="zh-CN"/>
        </w:rPr>
        <w:br w:type="page"/>
      </w:r>
    </w:p>
    <w:p w14:paraId="1B81BD47">
      <w:pPr>
        <w:spacing w:line="360" w:lineRule="auto"/>
        <w:jc w:val="center"/>
        <w:rPr>
          <w:rFonts w:ascii="宋体" w:hAnsi="宋体"/>
          <w:b/>
          <w:bCs/>
          <w:color w:val="auto"/>
          <w:sz w:val="30"/>
          <w:highlight w:val="none"/>
        </w:rPr>
      </w:pPr>
      <w:r>
        <w:rPr>
          <w:rFonts w:hint="eastAsia" w:ascii="宋体" w:hAnsi="宋体"/>
          <w:b/>
          <w:color w:val="auto"/>
          <w:sz w:val="30"/>
          <w:szCs w:val="30"/>
          <w:highlight w:val="none"/>
          <w:lang w:val="en-US" w:eastAsia="zh-CN"/>
        </w:rPr>
        <w:t>3</w:t>
      </w:r>
      <w:r>
        <w:rPr>
          <w:rFonts w:hint="eastAsia" w:ascii="宋体" w:hAnsi="宋体"/>
          <w:b/>
          <w:bCs/>
          <w:color w:val="auto"/>
          <w:sz w:val="30"/>
          <w:highlight w:val="none"/>
        </w:rPr>
        <w:t>、</w:t>
      </w:r>
      <w:r>
        <w:rPr>
          <w:rFonts w:hint="eastAsia" w:ascii="宋体" w:hAnsi="宋体"/>
          <w:b/>
          <w:bCs/>
          <w:color w:val="auto"/>
          <w:sz w:val="30"/>
          <w:highlight w:val="none"/>
          <w:lang w:val="en-US" w:eastAsia="zh-CN"/>
        </w:rPr>
        <w:t>缺陷责任期服务承诺</w:t>
      </w:r>
      <w:r>
        <w:rPr>
          <w:rFonts w:hint="eastAsia" w:ascii="宋体" w:hAnsi="宋体"/>
          <w:b/>
          <w:bCs/>
          <w:color w:val="auto"/>
          <w:sz w:val="30"/>
          <w:highlight w:val="none"/>
        </w:rPr>
        <w:t>函</w:t>
      </w:r>
    </w:p>
    <w:p w14:paraId="4FA2CCCD">
      <w:pPr>
        <w:spacing w:line="360" w:lineRule="auto"/>
        <w:jc w:val="left"/>
        <w:rPr>
          <w:color w:val="auto"/>
          <w:highlight w:val="none"/>
        </w:rPr>
      </w:pPr>
    </w:p>
    <w:p w14:paraId="03BF173E">
      <w:pPr>
        <w:spacing w:line="360" w:lineRule="auto"/>
        <w:jc w:val="left"/>
        <w:rPr>
          <w:rFonts w:ascii="宋体"/>
          <w:color w:val="auto"/>
          <w:sz w:val="24"/>
          <w:highlight w:val="none"/>
        </w:rPr>
      </w:pPr>
      <w:r>
        <w:rPr>
          <w:rFonts w:hint="eastAsia" w:ascii="宋体" w:hAnsi="宋体"/>
          <w:color w:val="auto"/>
          <w:sz w:val="24"/>
          <w:highlight w:val="none"/>
          <w:u w:val="single"/>
        </w:rPr>
        <w:t>南通市交通公共事业发展中心</w:t>
      </w:r>
      <w:r>
        <w:rPr>
          <w:rFonts w:hint="eastAsia" w:ascii="宋体"/>
          <w:color w:val="auto"/>
          <w:sz w:val="24"/>
          <w:highlight w:val="none"/>
        </w:rPr>
        <w:t>：</w:t>
      </w:r>
    </w:p>
    <w:p w14:paraId="44F34F37">
      <w:pPr>
        <w:spacing w:line="360" w:lineRule="auto"/>
        <w:ind w:firstLine="420"/>
        <w:rPr>
          <w:rFonts w:ascii="宋体"/>
          <w:color w:val="auto"/>
          <w:sz w:val="24"/>
          <w:highlight w:val="none"/>
        </w:rPr>
      </w:pPr>
      <w:r>
        <w:rPr>
          <w:rFonts w:hint="eastAsia" w:ascii="宋体"/>
          <w:color w:val="auto"/>
          <w:sz w:val="24"/>
          <w:highlight w:val="none"/>
        </w:rPr>
        <w:t>我单位自愿参加</w:t>
      </w:r>
      <w:r>
        <w:rPr>
          <w:rFonts w:ascii="Arial" w:hAnsi="Arial" w:cs="Arial"/>
          <w:b/>
          <w:color w:val="auto"/>
          <w:sz w:val="24"/>
          <w:highlight w:val="none"/>
          <w:u w:val="single"/>
        </w:rPr>
        <w:t xml:space="preserve">              </w:t>
      </w:r>
      <w:r>
        <w:rPr>
          <w:rFonts w:hint="eastAsia" w:ascii="Arial" w:hAnsi="Arial" w:cs="Arial"/>
          <w:b/>
          <w:color w:val="auto"/>
          <w:sz w:val="24"/>
          <w:highlight w:val="none"/>
        </w:rPr>
        <w:t>项目</w:t>
      </w:r>
      <w:r>
        <w:rPr>
          <w:rFonts w:hint="eastAsia" w:ascii="宋体"/>
          <w:color w:val="auto"/>
          <w:sz w:val="24"/>
          <w:highlight w:val="none"/>
        </w:rPr>
        <w:t>的投标活动，并郑重承诺：</w:t>
      </w:r>
    </w:p>
    <w:p w14:paraId="316C8E7A">
      <w:pPr>
        <w:spacing w:line="360" w:lineRule="auto"/>
        <w:ind w:firstLine="420"/>
        <w:rPr>
          <w:rFonts w:hint="eastAsia" w:ascii="宋体"/>
          <w:color w:val="auto"/>
          <w:sz w:val="24"/>
          <w:highlight w:val="none"/>
        </w:rPr>
      </w:pPr>
      <w:r>
        <w:rPr>
          <w:rFonts w:hint="eastAsia" w:ascii="宋体"/>
          <w:color w:val="auto"/>
          <w:sz w:val="24"/>
          <w:highlight w:val="none"/>
        </w:rPr>
        <w:t>若我单位中标本项目，</w:t>
      </w:r>
      <w:r>
        <w:rPr>
          <w:rFonts w:hint="eastAsia" w:ascii="宋体"/>
          <w:color w:val="auto"/>
          <w:sz w:val="24"/>
          <w:highlight w:val="none"/>
          <w:lang w:val="en-US" w:eastAsia="zh-CN"/>
        </w:rPr>
        <w:t>项目完成后</w:t>
      </w:r>
      <w:r>
        <w:rPr>
          <w:rFonts w:hint="eastAsia" w:ascii="宋体"/>
          <w:color w:val="auto"/>
          <w:sz w:val="24"/>
          <w:highlight w:val="none"/>
        </w:rPr>
        <w:t>缺陷责任期</w:t>
      </w:r>
      <w:r>
        <w:rPr>
          <w:rFonts w:hint="eastAsia" w:ascii="宋体"/>
          <w:color w:val="auto"/>
          <w:sz w:val="24"/>
          <w:highlight w:val="none"/>
          <w:lang w:val="en-US" w:eastAsia="zh-CN"/>
        </w:rPr>
        <w:t>期间，严格按招标文件、合同条款中相关规定实施</w:t>
      </w:r>
      <w:r>
        <w:rPr>
          <w:rFonts w:hint="eastAsia" w:ascii="宋体"/>
          <w:color w:val="auto"/>
          <w:sz w:val="24"/>
          <w:highlight w:val="none"/>
        </w:rPr>
        <w:t>：缺陷责任期为24个月（自完工验收合格之日起计算），自验收合格后1年内出现工程质量问题，</w:t>
      </w:r>
      <w:r>
        <w:rPr>
          <w:rFonts w:hint="eastAsia" w:ascii="宋体"/>
          <w:color w:val="auto"/>
          <w:sz w:val="24"/>
          <w:highlight w:val="none"/>
          <w:lang w:val="en-US" w:eastAsia="zh-CN"/>
        </w:rPr>
        <w:t>我单位承诺</w:t>
      </w:r>
      <w:r>
        <w:rPr>
          <w:rFonts w:hint="eastAsia" w:ascii="宋体"/>
          <w:color w:val="auto"/>
          <w:sz w:val="24"/>
          <w:highlight w:val="none"/>
        </w:rPr>
        <w:t>免费配合返工处理。</w:t>
      </w:r>
    </w:p>
    <w:p w14:paraId="596F7519">
      <w:pPr>
        <w:spacing w:line="360" w:lineRule="auto"/>
        <w:ind w:firstLine="420"/>
        <w:rPr>
          <w:rFonts w:ascii="宋体"/>
          <w:color w:val="auto"/>
          <w:sz w:val="24"/>
          <w:highlight w:val="none"/>
        </w:rPr>
      </w:pPr>
      <w:r>
        <w:rPr>
          <w:rFonts w:hint="eastAsia" w:ascii="宋体"/>
          <w:color w:val="auto"/>
          <w:sz w:val="24"/>
          <w:highlight w:val="none"/>
        </w:rPr>
        <w:t>我方如有违背承诺，愿意承担相关违约责任。</w:t>
      </w:r>
    </w:p>
    <w:p w14:paraId="1B0949E3">
      <w:pPr>
        <w:spacing w:line="720" w:lineRule="auto"/>
        <w:ind w:firstLine="3785" w:firstLineChars="1352"/>
        <w:rPr>
          <w:rFonts w:ascii="宋体" w:hAnsi="宋体"/>
          <w:color w:val="auto"/>
          <w:sz w:val="28"/>
          <w:szCs w:val="28"/>
          <w:highlight w:val="none"/>
        </w:rPr>
      </w:pPr>
    </w:p>
    <w:p w14:paraId="7AA6FDF5">
      <w:pPr>
        <w:snapToGrid w:val="0"/>
        <w:spacing w:line="360" w:lineRule="auto"/>
        <w:jc w:val="left"/>
        <w:rPr>
          <w:rFonts w:ascii="宋体"/>
          <w:color w:val="auto"/>
          <w:sz w:val="24"/>
          <w:highlight w:val="none"/>
        </w:rPr>
      </w:pPr>
      <w:r>
        <w:rPr>
          <w:rFonts w:hint="eastAsia" w:ascii="宋体" w:hAnsi="宋体" w:cs="宋体"/>
          <w:color w:val="auto"/>
          <w:sz w:val="24"/>
          <w:highlight w:val="none"/>
        </w:rPr>
        <w:t>承诺人：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（盖单位公章）</w:t>
      </w:r>
      <w:r>
        <w:rPr>
          <w:rFonts w:ascii="宋体" w:hAnsi="宋体" w:cs="宋体"/>
          <w:color w:val="auto"/>
          <w:sz w:val="24"/>
          <w:highlight w:val="none"/>
          <w:u w:val="single"/>
        </w:rPr>
        <w:t xml:space="preserve">    </w:t>
      </w:r>
    </w:p>
    <w:p w14:paraId="72FC198E">
      <w:pPr>
        <w:snapToGrid w:val="0"/>
        <w:spacing w:line="360" w:lineRule="auto"/>
        <w:jc w:val="left"/>
        <w:rPr>
          <w:rFonts w:ascii="宋体"/>
          <w:color w:val="auto"/>
          <w:sz w:val="24"/>
          <w:highlight w:val="none"/>
        </w:rPr>
      </w:pPr>
      <w:r>
        <w:rPr>
          <w:rFonts w:hint="eastAsia" w:ascii="宋体" w:hAnsi="宋体" w:cs="宋体"/>
          <w:color w:val="auto"/>
          <w:sz w:val="24"/>
          <w:highlight w:val="none"/>
        </w:rPr>
        <w:t>法定代表人或其授权委托人：</w:t>
      </w:r>
      <w:r>
        <w:rPr>
          <w:rFonts w:ascii="宋体" w:hAnsi="宋体" w:cs="宋体"/>
          <w:color w:val="auto"/>
          <w:sz w:val="24"/>
          <w:highlight w:val="none"/>
          <w:u w:val="single"/>
        </w:rPr>
        <w:t xml:space="preserve">   </w:t>
      </w:r>
      <w:r>
        <w:rPr>
          <w:rFonts w:hint="eastAsia" w:ascii="Arial" w:hAnsi="Arial" w:cs="宋体"/>
          <w:color w:val="auto"/>
          <w:sz w:val="24"/>
          <w:highlight w:val="none"/>
          <w:u w:val="single"/>
        </w:rPr>
        <w:t>（亲笔签名或签名章）</w:t>
      </w:r>
      <w:r>
        <w:rPr>
          <w:rFonts w:ascii="宋体" w:hAnsi="宋体" w:cs="宋体"/>
          <w:color w:val="auto"/>
          <w:sz w:val="24"/>
          <w:highlight w:val="none"/>
          <w:u w:val="single"/>
        </w:rPr>
        <w:t xml:space="preserve">  </w:t>
      </w:r>
    </w:p>
    <w:p w14:paraId="5D434B92">
      <w:pPr>
        <w:pStyle w:val="2"/>
        <w:jc w:val="right"/>
        <w:rPr>
          <w:rFonts w:hint="eastAsia"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19CE18DF">
      <w:pPr>
        <w:pStyle w:val="2"/>
        <w:rPr>
          <w:rFonts w:hint="eastAsia" w:ascii="宋体" w:hAnsi="宋体" w:cs="宋体"/>
          <w:color w:val="auto"/>
          <w:sz w:val="24"/>
          <w:highlight w:val="none"/>
          <w:lang w:val="en-US" w:eastAsia="zh-CN"/>
        </w:rPr>
      </w:pPr>
    </w:p>
    <w:p w14:paraId="52E708A3">
      <w:pPr>
        <w:spacing w:line="360" w:lineRule="auto"/>
        <w:rPr>
          <w:rFonts w:ascii="宋体" w:hAnsi="宋体"/>
          <w:color w:val="auto"/>
          <w:sz w:val="24"/>
          <w:highlight w:val="none"/>
        </w:rPr>
      </w:pPr>
      <w:r>
        <w:rPr>
          <w:rFonts w:eastAsia="黑体"/>
          <w:color w:val="auto"/>
          <w:sz w:val="44"/>
          <w:szCs w:val="44"/>
          <w:highlight w:val="none"/>
        </w:rPr>
        <w:br w:type="page"/>
      </w:r>
    </w:p>
    <w:p w14:paraId="0BEA0690">
      <w:pPr>
        <w:pStyle w:val="24"/>
        <w:spacing w:before="120" w:beforeLines="50" w:after="120" w:afterLines="50"/>
        <w:rPr>
          <w:rFonts w:ascii="宋体" w:hAnsi="宋体"/>
          <w:b/>
          <w:color w:val="auto"/>
          <w:sz w:val="30"/>
          <w:szCs w:val="30"/>
          <w:highlight w:val="none"/>
        </w:rPr>
      </w:pPr>
      <w:r>
        <w:rPr>
          <w:rFonts w:hint="eastAsia" w:ascii="宋体" w:hAnsi="宋体"/>
          <w:b/>
          <w:color w:val="auto"/>
          <w:sz w:val="30"/>
          <w:szCs w:val="30"/>
          <w:highlight w:val="none"/>
          <w:lang w:val="en-US" w:eastAsia="zh-CN"/>
        </w:rPr>
        <w:t>4</w:t>
      </w:r>
      <w:r>
        <w:rPr>
          <w:rFonts w:hint="default" w:ascii="宋体" w:hAnsi="宋体"/>
          <w:b/>
          <w:color w:val="auto"/>
          <w:sz w:val="30"/>
          <w:szCs w:val="30"/>
          <w:highlight w:val="none"/>
        </w:rPr>
        <w:t>、</w:t>
      </w:r>
      <w:r>
        <w:rPr>
          <w:rFonts w:hint="default" w:ascii="宋体" w:hAnsi="宋体"/>
          <w:color w:val="auto"/>
          <w:sz w:val="30"/>
          <w:szCs w:val="30"/>
          <w:highlight w:val="none"/>
        </w:rPr>
        <w:t>投标人认为有必要提交给评标委员会的其他材料</w:t>
      </w:r>
      <w:r>
        <w:rPr>
          <w:rFonts w:hint="default" w:ascii="宋体" w:hAnsi="宋体"/>
          <w:b/>
          <w:color w:val="auto"/>
          <w:sz w:val="30"/>
          <w:szCs w:val="30"/>
          <w:highlight w:val="none"/>
        </w:rPr>
        <w:t>（如有）</w:t>
      </w:r>
    </w:p>
    <w:p w14:paraId="11028867">
      <w:pPr>
        <w:spacing w:line="400" w:lineRule="exact"/>
        <w:jc w:val="center"/>
        <w:rPr>
          <w:rFonts w:ascii="宋体" w:hAnsi="宋体"/>
          <w:b/>
          <w:bCs/>
          <w:color w:val="auto"/>
          <w:sz w:val="32"/>
          <w:szCs w:val="20"/>
          <w:highlight w:val="none"/>
        </w:rPr>
      </w:pPr>
    </w:p>
    <w:bookmarkEnd w:id="261"/>
    <w:bookmarkEnd w:id="262"/>
    <w:bookmarkEnd w:id="263"/>
    <w:p w14:paraId="5286F21A">
      <w:pPr>
        <w:jc w:val="center"/>
        <w:rPr>
          <w:color w:val="auto"/>
          <w:sz w:val="48"/>
          <w:szCs w:val="48"/>
          <w:highlight w:val="none"/>
        </w:rPr>
      </w:pPr>
    </w:p>
    <w:p w14:paraId="5029E4D6">
      <w:pPr>
        <w:jc w:val="center"/>
        <w:rPr>
          <w:color w:val="auto"/>
          <w:sz w:val="48"/>
          <w:szCs w:val="48"/>
          <w:highlight w:val="none"/>
        </w:rPr>
      </w:pPr>
    </w:p>
    <w:p w14:paraId="37BD44E0">
      <w:pPr>
        <w:jc w:val="center"/>
        <w:rPr>
          <w:color w:val="auto"/>
          <w:sz w:val="48"/>
          <w:szCs w:val="48"/>
          <w:highlight w:val="none"/>
        </w:rPr>
      </w:pPr>
    </w:p>
    <w:p w14:paraId="014FE1B5">
      <w:pPr>
        <w:jc w:val="center"/>
        <w:rPr>
          <w:color w:val="auto"/>
          <w:sz w:val="48"/>
          <w:szCs w:val="48"/>
          <w:highlight w:val="none"/>
        </w:rPr>
      </w:pPr>
    </w:p>
    <w:p w14:paraId="7642024C">
      <w:pPr>
        <w:jc w:val="center"/>
        <w:rPr>
          <w:color w:val="auto"/>
          <w:sz w:val="48"/>
          <w:szCs w:val="48"/>
          <w:highlight w:val="none"/>
        </w:rPr>
      </w:pPr>
    </w:p>
    <w:p w14:paraId="0A9CB5BE">
      <w:pPr>
        <w:jc w:val="center"/>
        <w:rPr>
          <w:color w:val="auto"/>
          <w:sz w:val="48"/>
          <w:szCs w:val="48"/>
          <w:highlight w:val="none"/>
        </w:rPr>
      </w:pPr>
    </w:p>
    <w:p w14:paraId="39DEAADA">
      <w:pPr>
        <w:jc w:val="center"/>
        <w:rPr>
          <w:color w:val="auto"/>
          <w:sz w:val="48"/>
          <w:szCs w:val="48"/>
          <w:highlight w:val="none"/>
        </w:rPr>
      </w:pPr>
    </w:p>
    <w:p w14:paraId="2BD9E9E7">
      <w:pPr>
        <w:jc w:val="center"/>
        <w:rPr>
          <w:color w:val="auto"/>
          <w:sz w:val="48"/>
          <w:szCs w:val="48"/>
          <w:highlight w:val="none"/>
        </w:rPr>
      </w:pPr>
    </w:p>
    <w:p w14:paraId="7E9FEB12">
      <w:pPr>
        <w:jc w:val="center"/>
        <w:rPr>
          <w:color w:val="auto"/>
          <w:sz w:val="48"/>
          <w:szCs w:val="48"/>
          <w:highlight w:val="none"/>
        </w:rPr>
      </w:pPr>
    </w:p>
    <w:p w14:paraId="52188194">
      <w:pPr>
        <w:jc w:val="center"/>
        <w:rPr>
          <w:color w:val="auto"/>
          <w:sz w:val="48"/>
          <w:szCs w:val="48"/>
          <w:highlight w:val="none"/>
        </w:rPr>
      </w:pPr>
    </w:p>
    <w:p w14:paraId="72A33BF2">
      <w:pPr>
        <w:jc w:val="center"/>
        <w:rPr>
          <w:color w:val="auto"/>
          <w:sz w:val="48"/>
          <w:szCs w:val="48"/>
          <w:highlight w:val="none"/>
        </w:rPr>
      </w:pPr>
    </w:p>
    <w:p w14:paraId="3B194483">
      <w:pPr>
        <w:jc w:val="center"/>
        <w:rPr>
          <w:color w:val="auto"/>
          <w:sz w:val="48"/>
          <w:szCs w:val="48"/>
          <w:highlight w:val="none"/>
        </w:rPr>
      </w:pPr>
    </w:p>
    <w:p w14:paraId="12D9077F">
      <w:pPr>
        <w:jc w:val="center"/>
        <w:rPr>
          <w:color w:val="auto"/>
          <w:sz w:val="48"/>
          <w:szCs w:val="48"/>
          <w:highlight w:val="none"/>
        </w:rPr>
      </w:pPr>
    </w:p>
    <w:p w14:paraId="7B010F00">
      <w:pPr>
        <w:jc w:val="center"/>
        <w:rPr>
          <w:color w:val="auto"/>
          <w:sz w:val="48"/>
          <w:szCs w:val="48"/>
          <w:highlight w:val="none"/>
        </w:rPr>
      </w:pPr>
    </w:p>
    <w:p w14:paraId="3ABE2D1F">
      <w:pPr>
        <w:jc w:val="center"/>
        <w:rPr>
          <w:color w:val="auto"/>
          <w:sz w:val="48"/>
          <w:szCs w:val="48"/>
          <w:highlight w:val="none"/>
        </w:rPr>
      </w:pPr>
    </w:p>
    <w:p w14:paraId="476FD315">
      <w:pPr>
        <w:jc w:val="center"/>
        <w:rPr>
          <w:color w:val="auto"/>
          <w:sz w:val="48"/>
          <w:szCs w:val="48"/>
          <w:highlight w:val="none"/>
        </w:rPr>
      </w:pPr>
    </w:p>
    <w:p w14:paraId="180B57F7">
      <w:pPr>
        <w:jc w:val="center"/>
        <w:rPr>
          <w:color w:val="auto"/>
          <w:sz w:val="48"/>
          <w:szCs w:val="48"/>
          <w:highlight w:val="none"/>
        </w:rPr>
      </w:pPr>
    </w:p>
    <w:p w14:paraId="34EEC521">
      <w:pPr>
        <w:jc w:val="center"/>
        <w:rPr>
          <w:color w:val="auto"/>
          <w:sz w:val="48"/>
          <w:szCs w:val="48"/>
          <w:highlight w:val="none"/>
        </w:rPr>
      </w:pPr>
    </w:p>
    <w:p w14:paraId="4D7445C9">
      <w:pPr>
        <w:jc w:val="center"/>
        <w:rPr>
          <w:color w:val="auto"/>
          <w:sz w:val="48"/>
          <w:szCs w:val="48"/>
          <w:highlight w:val="none"/>
        </w:rPr>
      </w:pPr>
    </w:p>
    <w:p w14:paraId="686C8C52">
      <w:pPr>
        <w:jc w:val="center"/>
        <w:rPr>
          <w:color w:val="auto"/>
          <w:sz w:val="48"/>
          <w:szCs w:val="48"/>
          <w:highlight w:val="none"/>
        </w:rPr>
      </w:pPr>
    </w:p>
    <w:p w14:paraId="6B56366D">
      <w:pPr>
        <w:jc w:val="center"/>
        <w:rPr>
          <w:color w:val="auto"/>
          <w:sz w:val="48"/>
          <w:szCs w:val="48"/>
          <w:highlight w:val="none"/>
        </w:rPr>
      </w:pPr>
    </w:p>
    <w:p w14:paraId="5ADAF07F">
      <w:pPr>
        <w:jc w:val="center"/>
        <w:rPr>
          <w:color w:val="auto"/>
          <w:sz w:val="48"/>
          <w:szCs w:val="48"/>
          <w:highlight w:val="none"/>
        </w:rPr>
      </w:pPr>
    </w:p>
    <w:p w14:paraId="72ECCBA6">
      <w:pPr>
        <w:widowControl/>
        <w:jc w:val="left"/>
        <w:rPr>
          <w:rFonts w:cs="宋体"/>
          <w:b/>
          <w:bCs/>
          <w:color w:val="auto"/>
          <w:sz w:val="32"/>
          <w:szCs w:val="32"/>
          <w:highlight w:val="none"/>
        </w:rPr>
      </w:pPr>
      <w:bookmarkStart w:id="265" w:name="_Toc20204"/>
      <w:r>
        <w:rPr>
          <w:rFonts w:cs="宋体"/>
          <w:b/>
          <w:bCs/>
          <w:color w:val="auto"/>
          <w:sz w:val="32"/>
          <w:szCs w:val="32"/>
          <w:highlight w:val="none"/>
        </w:rPr>
        <w:br w:type="page"/>
      </w:r>
    </w:p>
    <w:p w14:paraId="0ED8ADF5">
      <w:pPr>
        <w:spacing w:line="400" w:lineRule="exact"/>
        <w:outlineLvl w:val="0"/>
        <w:rPr>
          <w:color w:val="auto"/>
          <w:highlight w:val="none"/>
        </w:rPr>
      </w:pPr>
      <w:r>
        <w:rPr>
          <w:rFonts w:hint="eastAsia" w:cs="宋体"/>
          <w:b/>
          <w:bCs/>
          <w:color w:val="auto"/>
          <w:sz w:val="32"/>
          <w:szCs w:val="32"/>
          <w:highlight w:val="none"/>
        </w:rPr>
        <w:t>第二个信封封面格式</w:t>
      </w:r>
      <w:bookmarkEnd w:id="265"/>
    </w:p>
    <w:p w14:paraId="2C17E109">
      <w:pPr>
        <w:jc w:val="center"/>
        <w:rPr>
          <w:color w:val="auto"/>
          <w:sz w:val="28"/>
          <w:szCs w:val="28"/>
          <w:highlight w:val="none"/>
        </w:rPr>
      </w:pPr>
    </w:p>
    <w:p w14:paraId="540EB6A1">
      <w:pPr>
        <w:jc w:val="center"/>
        <w:rPr>
          <w:color w:val="auto"/>
          <w:sz w:val="20"/>
          <w:szCs w:val="20"/>
          <w:highlight w:val="none"/>
        </w:rPr>
      </w:pPr>
      <w:r>
        <w:rPr>
          <w:rFonts w:hint="eastAsia" w:cs="黑体"/>
          <w:color w:val="auto"/>
          <w:sz w:val="44"/>
          <w:szCs w:val="44"/>
          <w:highlight w:val="none"/>
          <w:lang w:eastAsia="zh-CN"/>
        </w:rPr>
        <w:t>南通市交通公共事业发展中心房屋修缮工程</w:t>
      </w:r>
    </w:p>
    <w:p w14:paraId="21EC4975">
      <w:pPr>
        <w:rPr>
          <w:color w:val="auto"/>
          <w:sz w:val="20"/>
          <w:szCs w:val="20"/>
          <w:highlight w:val="none"/>
        </w:rPr>
      </w:pPr>
    </w:p>
    <w:p w14:paraId="64919206">
      <w:pPr>
        <w:rPr>
          <w:color w:val="auto"/>
          <w:sz w:val="20"/>
          <w:szCs w:val="20"/>
          <w:highlight w:val="none"/>
        </w:rPr>
      </w:pPr>
    </w:p>
    <w:p w14:paraId="7D4F86FD">
      <w:pPr>
        <w:jc w:val="center"/>
        <w:rPr>
          <w:color w:val="auto"/>
          <w:sz w:val="52"/>
          <w:szCs w:val="52"/>
          <w:highlight w:val="none"/>
        </w:rPr>
      </w:pPr>
    </w:p>
    <w:p w14:paraId="2C279EE9">
      <w:pPr>
        <w:jc w:val="center"/>
        <w:rPr>
          <w:color w:val="auto"/>
          <w:sz w:val="52"/>
          <w:szCs w:val="52"/>
          <w:highlight w:val="none"/>
        </w:rPr>
      </w:pPr>
    </w:p>
    <w:p w14:paraId="69E2FE20">
      <w:pPr>
        <w:jc w:val="center"/>
        <w:outlineLvl w:val="0"/>
        <w:rPr>
          <w:color w:val="auto"/>
          <w:sz w:val="72"/>
          <w:szCs w:val="72"/>
          <w:highlight w:val="none"/>
        </w:rPr>
      </w:pPr>
      <w:bookmarkStart w:id="266" w:name="_Toc924"/>
      <w:r>
        <w:rPr>
          <w:rFonts w:hint="eastAsia" w:cs="宋体"/>
          <w:color w:val="auto"/>
          <w:sz w:val="72"/>
          <w:szCs w:val="72"/>
          <w:highlight w:val="none"/>
        </w:rPr>
        <w:t>投标文件</w:t>
      </w:r>
      <w:bookmarkEnd w:id="266"/>
    </w:p>
    <w:p w14:paraId="300B9DE4">
      <w:pPr>
        <w:ind w:right="18"/>
        <w:jc w:val="center"/>
        <w:rPr>
          <w:b/>
          <w:bCs/>
          <w:color w:val="auto"/>
          <w:sz w:val="44"/>
          <w:szCs w:val="44"/>
          <w:highlight w:val="none"/>
        </w:rPr>
      </w:pPr>
    </w:p>
    <w:p w14:paraId="27799168">
      <w:pPr>
        <w:ind w:right="18"/>
        <w:jc w:val="center"/>
        <w:outlineLvl w:val="1"/>
        <w:rPr>
          <w:b/>
          <w:bCs/>
          <w:color w:val="auto"/>
          <w:sz w:val="44"/>
          <w:szCs w:val="44"/>
          <w:highlight w:val="none"/>
        </w:rPr>
      </w:pPr>
      <w:bookmarkStart w:id="267" w:name="_Toc350188287"/>
      <w:bookmarkStart w:id="268" w:name="_Toc365358516"/>
      <w:bookmarkStart w:id="269" w:name="_Toc291352487"/>
      <w:bookmarkStart w:id="270" w:name="_Toc362333683"/>
      <w:r>
        <w:rPr>
          <w:rFonts w:hint="eastAsia" w:cs="宋体"/>
          <w:b/>
          <w:bCs/>
          <w:color w:val="auto"/>
          <w:sz w:val="44"/>
          <w:szCs w:val="44"/>
          <w:highlight w:val="none"/>
        </w:rPr>
        <w:t>（</w:t>
      </w:r>
      <w:bookmarkEnd w:id="267"/>
      <w:bookmarkEnd w:id="268"/>
      <w:bookmarkEnd w:id="269"/>
      <w:bookmarkEnd w:id="270"/>
      <w:r>
        <w:rPr>
          <w:rFonts w:hint="eastAsia" w:cs="宋体"/>
          <w:b/>
          <w:bCs/>
          <w:color w:val="auto"/>
          <w:sz w:val="44"/>
          <w:szCs w:val="44"/>
          <w:highlight w:val="none"/>
        </w:rPr>
        <w:t>报价文件）</w:t>
      </w:r>
    </w:p>
    <w:p w14:paraId="4F4B7458">
      <w:pPr>
        <w:rPr>
          <w:color w:val="auto"/>
          <w:sz w:val="28"/>
          <w:szCs w:val="28"/>
          <w:highlight w:val="none"/>
        </w:rPr>
      </w:pPr>
    </w:p>
    <w:p w14:paraId="7357DBEE">
      <w:pPr>
        <w:rPr>
          <w:color w:val="auto"/>
          <w:sz w:val="28"/>
          <w:szCs w:val="28"/>
          <w:highlight w:val="none"/>
        </w:rPr>
      </w:pPr>
    </w:p>
    <w:p w14:paraId="3A5D476F">
      <w:pPr>
        <w:rPr>
          <w:color w:val="auto"/>
          <w:sz w:val="28"/>
          <w:szCs w:val="28"/>
          <w:highlight w:val="none"/>
        </w:rPr>
      </w:pPr>
    </w:p>
    <w:p w14:paraId="5076A861">
      <w:pPr>
        <w:rPr>
          <w:color w:val="auto"/>
          <w:sz w:val="28"/>
          <w:szCs w:val="28"/>
          <w:highlight w:val="none"/>
        </w:rPr>
      </w:pPr>
    </w:p>
    <w:p w14:paraId="2E974EE8">
      <w:pPr>
        <w:rPr>
          <w:color w:val="auto"/>
          <w:sz w:val="28"/>
          <w:szCs w:val="28"/>
          <w:highlight w:val="none"/>
        </w:rPr>
      </w:pPr>
    </w:p>
    <w:p w14:paraId="6F9D2A99">
      <w:pPr>
        <w:rPr>
          <w:color w:val="auto"/>
          <w:sz w:val="28"/>
          <w:szCs w:val="28"/>
          <w:highlight w:val="none"/>
        </w:rPr>
      </w:pPr>
    </w:p>
    <w:p w14:paraId="59CC3541">
      <w:pPr>
        <w:rPr>
          <w:color w:val="auto"/>
          <w:sz w:val="28"/>
          <w:szCs w:val="28"/>
          <w:highlight w:val="none"/>
        </w:rPr>
      </w:pPr>
    </w:p>
    <w:p w14:paraId="02165B2A">
      <w:pPr>
        <w:rPr>
          <w:color w:val="auto"/>
          <w:sz w:val="28"/>
          <w:szCs w:val="28"/>
          <w:highlight w:val="none"/>
        </w:rPr>
      </w:pPr>
    </w:p>
    <w:p w14:paraId="64DBD02C">
      <w:pPr>
        <w:rPr>
          <w:color w:val="auto"/>
          <w:sz w:val="28"/>
          <w:szCs w:val="28"/>
          <w:highlight w:val="none"/>
        </w:rPr>
      </w:pPr>
    </w:p>
    <w:p w14:paraId="65308298">
      <w:pPr>
        <w:rPr>
          <w:color w:val="auto"/>
          <w:sz w:val="28"/>
          <w:szCs w:val="28"/>
          <w:highlight w:val="none"/>
        </w:rPr>
      </w:pPr>
    </w:p>
    <w:p w14:paraId="4F04A327">
      <w:pPr>
        <w:rPr>
          <w:color w:val="auto"/>
          <w:sz w:val="28"/>
          <w:szCs w:val="28"/>
          <w:highlight w:val="none"/>
        </w:rPr>
      </w:pPr>
    </w:p>
    <w:p w14:paraId="2A2BD737">
      <w:pPr>
        <w:rPr>
          <w:color w:val="auto"/>
          <w:sz w:val="28"/>
          <w:szCs w:val="28"/>
          <w:highlight w:val="none"/>
        </w:rPr>
      </w:pPr>
    </w:p>
    <w:p w14:paraId="354FECE8">
      <w:pPr>
        <w:ind w:firstLine="1818" w:firstLineChars="505"/>
        <w:outlineLvl w:val="0"/>
        <w:rPr>
          <w:color w:val="auto"/>
          <w:sz w:val="36"/>
          <w:szCs w:val="36"/>
          <w:highlight w:val="none"/>
        </w:rPr>
      </w:pPr>
      <w:bookmarkStart w:id="271" w:name="_Toc29624"/>
      <w:r>
        <w:rPr>
          <w:rFonts w:hint="eastAsia" w:cs="宋体"/>
          <w:color w:val="auto"/>
          <w:sz w:val="36"/>
          <w:szCs w:val="36"/>
          <w:highlight w:val="none"/>
        </w:rPr>
        <w:t>投标人：</w:t>
      </w:r>
      <w:bookmarkEnd w:id="271"/>
    </w:p>
    <w:p w14:paraId="762E93A2">
      <w:pPr>
        <w:jc w:val="center"/>
        <w:outlineLvl w:val="0"/>
        <w:rPr>
          <w:color w:val="auto"/>
          <w:sz w:val="36"/>
          <w:szCs w:val="36"/>
          <w:highlight w:val="none"/>
        </w:rPr>
      </w:pPr>
      <w:bookmarkStart w:id="272" w:name="_Toc28656"/>
      <w:r>
        <w:rPr>
          <w:rFonts w:hint="eastAsia" w:cs="宋体"/>
          <w:color w:val="auto"/>
          <w:sz w:val="36"/>
          <w:szCs w:val="36"/>
          <w:highlight w:val="none"/>
        </w:rPr>
        <w:t>年月日</w:t>
      </w:r>
      <w:bookmarkEnd w:id="272"/>
    </w:p>
    <w:p w14:paraId="42B9DE14">
      <w:pPr>
        <w:spacing w:line="400" w:lineRule="exact"/>
        <w:jc w:val="center"/>
        <w:rPr>
          <w:color w:val="auto"/>
          <w:highlight w:val="none"/>
        </w:rPr>
      </w:pPr>
      <w:r>
        <w:rPr>
          <w:color w:val="auto"/>
          <w:highlight w:val="none"/>
        </w:rPr>
        <w:br w:type="page"/>
      </w:r>
    </w:p>
    <w:p w14:paraId="64F6D9C2">
      <w:pPr>
        <w:ind w:left="-3" w:leftChars="-405" w:hanging="847" w:hangingChars="211"/>
        <w:jc w:val="center"/>
        <w:outlineLvl w:val="0"/>
        <w:rPr>
          <w:b/>
          <w:bCs/>
          <w:color w:val="auto"/>
          <w:sz w:val="40"/>
          <w:szCs w:val="40"/>
          <w:highlight w:val="none"/>
        </w:rPr>
      </w:pPr>
      <w:bookmarkStart w:id="273" w:name="_Toc8468"/>
      <w:r>
        <w:rPr>
          <w:rFonts w:hint="eastAsia" w:cs="宋体"/>
          <w:b/>
          <w:bCs/>
          <w:color w:val="auto"/>
          <w:sz w:val="40"/>
          <w:szCs w:val="40"/>
          <w:highlight w:val="none"/>
        </w:rPr>
        <w:t>目录</w:t>
      </w:r>
      <w:bookmarkEnd w:id="273"/>
    </w:p>
    <w:p w14:paraId="6AC443B9">
      <w:pPr>
        <w:rPr>
          <w:b/>
          <w:bCs/>
          <w:color w:val="auto"/>
          <w:sz w:val="24"/>
          <w:szCs w:val="24"/>
          <w:highlight w:val="none"/>
        </w:rPr>
      </w:pPr>
    </w:p>
    <w:p w14:paraId="3F139BAD">
      <w:pPr>
        <w:pStyle w:val="25"/>
        <w:spacing w:before="120" w:after="120"/>
        <w:ind w:left="1680" w:leftChars="800" w:firstLine="959" w:firstLineChars="398"/>
        <w:rPr>
          <w:b/>
          <w:bCs/>
          <w:color w:val="auto"/>
          <w:sz w:val="24"/>
          <w:szCs w:val="24"/>
          <w:highlight w:val="none"/>
        </w:rPr>
      </w:pPr>
      <w:bookmarkStart w:id="274" w:name="_Toc243736133"/>
    </w:p>
    <w:p w14:paraId="38B2242F">
      <w:pPr>
        <w:pStyle w:val="25"/>
        <w:spacing w:before="120" w:after="120"/>
        <w:ind w:firstLine="1673" w:firstLineChars="595"/>
        <w:outlineLvl w:val="0"/>
        <w:rPr>
          <w:b/>
          <w:bCs/>
          <w:color w:val="auto"/>
          <w:sz w:val="28"/>
          <w:szCs w:val="28"/>
          <w:highlight w:val="none"/>
        </w:rPr>
      </w:pPr>
      <w:bookmarkStart w:id="275" w:name="_Toc14836"/>
      <w:r>
        <w:rPr>
          <w:rFonts w:hint="eastAsia" w:cs="宋体"/>
          <w:b/>
          <w:bCs/>
          <w:color w:val="auto"/>
          <w:sz w:val="28"/>
          <w:szCs w:val="28"/>
          <w:highlight w:val="none"/>
        </w:rPr>
        <w:t>一、投标函</w:t>
      </w:r>
      <w:bookmarkEnd w:id="275"/>
    </w:p>
    <w:p w14:paraId="53371A7E">
      <w:pPr>
        <w:pStyle w:val="25"/>
        <w:spacing w:before="120" w:after="120"/>
        <w:ind w:firstLine="1673" w:firstLineChars="595"/>
        <w:outlineLvl w:val="0"/>
        <w:rPr>
          <w:b/>
          <w:bCs/>
          <w:color w:val="auto"/>
          <w:sz w:val="28"/>
          <w:szCs w:val="28"/>
          <w:highlight w:val="none"/>
        </w:rPr>
      </w:pPr>
      <w:bookmarkStart w:id="276" w:name="_Toc20829"/>
      <w:r>
        <w:rPr>
          <w:rFonts w:hint="eastAsia" w:cs="宋体"/>
          <w:b/>
          <w:bCs/>
          <w:color w:val="auto"/>
          <w:sz w:val="28"/>
          <w:szCs w:val="28"/>
          <w:highlight w:val="none"/>
        </w:rPr>
        <w:t>二、已标价工程量清单</w:t>
      </w:r>
      <w:bookmarkEnd w:id="274"/>
      <w:bookmarkEnd w:id="276"/>
    </w:p>
    <w:p w14:paraId="43BCA136">
      <w:pPr>
        <w:jc w:val="center"/>
        <w:outlineLvl w:val="0"/>
        <w:rPr>
          <w:rFonts w:cs="宋体"/>
          <w:b/>
          <w:bCs/>
          <w:color w:val="auto"/>
          <w:sz w:val="30"/>
          <w:szCs w:val="30"/>
          <w:highlight w:val="none"/>
        </w:rPr>
      </w:pPr>
      <w:r>
        <w:rPr>
          <w:b/>
          <w:bCs/>
          <w:color w:val="auto"/>
          <w:sz w:val="30"/>
          <w:szCs w:val="30"/>
          <w:highlight w:val="none"/>
        </w:rPr>
        <w:br w:type="page"/>
      </w:r>
      <w:bookmarkStart w:id="277" w:name="_Toc28726"/>
      <w:r>
        <w:rPr>
          <w:rFonts w:hint="eastAsia" w:cs="宋体"/>
          <w:b/>
          <w:bCs/>
          <w:color w:val="auto"/>
          <w:sz w:val="30"/>
          <w:szCs w:val="30"/>
          <w:highlight w:val="none"/>
        </w:rPr>
        <w:t>一、投标函</w:t>
      </w:r>
      <w:bookmarkEnd w:id="277"/>
    </w:p>
    <w:p w14:paraId="162D99EB">
      <w:pPr>
        <w:jc w:val="center"/>
        <w:outlineLvl w:val="0"/>
        <w:rPr>
          <w:b/>
          <w:bCs/>
          <w:color w:val="auto"/>
          <w:sz w:val="30"/>
          <w:szCs w:val="30"/>
          <w:highlight w:val="none"/>
        </w:rPr>
      </w:pPr>
    </w:p>
    <w:p w14:paraId="58439DFB">
      <w:pPr>
        <w:spacing w:line="440" w:lineRule="exact"/>
        <w:rPr>
          <w:rFonts w:ascii="宋体" w:hAnsi="宋体"/>
          <w:color w:val="auto"/>
          <w:sz w:val="24"/>
          <w:szCs w:val="24"/>
          <w:highlight w:val="none"/>
        </w:rPr>
      </w:pPr>
      <w:r>
        <w:rPr>
          <w:rFonts w:ascii="宋体" w:hAnsi="宋体"/>
          <w:color w:val="auto"/>
          <w:sz w:val="24"/>
          <w:szCs w:val="24"/>
          <w:highlight w:val="none"/>
          <w:u w:val="single"/>
        </w:rPr>
        <w:t xml:space="preserve">                        </w:t>
      </w:r>
      <w:r>
        <w:rPr>
          <w:rFonts w:ascii="宋体" w:hAnsi="宋体"/>
          <w:color w:val="auto"/>
          <w:sz w:val="24"/>
          <w:szCs w:val="24"/>
          <w:highlight w:val="none"/>
        </w:rPr>
        <w:t>（招标人名称）：</w:t>
      </w:r>
    </w:p>
    <w:p w14:paraId="3B2F7542">
      <w:pPr>
        <w:spacing w:line="440" w:lineRule="exact"/>
        <w:rPr>
          <w:rFonts w:ascii="宋体" w:hAnsi="宋体"/>
          <w:color w:val="auto"/>
          <w:highlight w:val="none"/>
        </w:rPr>
      </w:pPr>
    </w:p>
    <w:p w14:paraId="4219F606">
      <w:pPr>
        <w:spacing w:line="360" w:lineRule="auto"/>
        <w:ind w:firstLine="480" w:firstLineChars="200"/>
        <w:rPr>
          <w:rFonts w:hAnsi="宋体"/>
          <w:color w:val="auto"/>
          <w:sz w:val="24"/>
          <w:highlight w:val="none"/>
        </w:rPr>
      </w:pPr>
      <w:r>
        <w:rPr>
          <w:rFonts w:hAnsi="宋体"/>
          <w:color w:val="auto"/>
          <w:sz w:val="24"/>
          <w:highlight w:val="none"/>
        </w:rPr>
        <w:t>1</w:t>
      </w:r>
      <w:r>
        <w:rPr>
          <w:rFonts w:hint="eastAsia" w:hAnsi="宋体"/>
          <w:color w:val="auto"/>
          <w:sz w:val="24"/>
          <w:highlight w:val="none"/>
        </w:rPr>
        <w:t>．我方已仔细研究</w:t>
      </w:r>
      <w:r>
        <w:rPr>
          <w:rFonts w:hAnsi="宋体"/>
          <w:color w:val="auto"/>
          <w:sz w:val="24"/>
          <w:highlight w:val="none"/>
        </w:rPr>
        <w:t xml:space="preserve"> </w:t>
      </w:r>
      <w:r>
        <w:rPr>
          <w:rFonts w:hAnsi="宋体"/>
          <w:color w:val="auto"/>
          <w:sz w:val="24"/>
          <w:highlight w:val="none"/>
          <w:u w:val="single"/>
        </w:rPr>
        <w:t xml:space="preserve">                      </w:t>
      </w:r>
      <w:r>
        <w:rPr>
          <w:rFonts w:hint="eastAsia" w:hAnsi="宋体"/>
          <w:color w:val="auto"/>
          <w:sz w:val="24"/>
          <w:highlight w:val="none"/>
        </w:rPr>
        <w:t>（项目名称）施工招标文件的全部内容，在考察工程现场后，愿意以人民币</w:t>
      </w:r>
      <w:r>
        <w:rPr>
          <w:rFonts w:hAnsi="宋体"/>
          <w:color w:val="auto"/>
          <w:sz w:val="24"/>
          <w:highlight w:val="none"/>
        </w:rPr>
        <w:t xml:space="preserve"> </w:t>
      </w:r>
      <w:r>
        <w:rPr>
          <w:rFonts w:hint="eastAsia" w:hAnsi="宋体"/>
          <w:color w:val="auto"/>
          <w:sz w:val="24"/>
          <w:highlight w:val="none"/>
        </w:rPr>
        <w:t>（大写）</w:t>
      </w:r>
      <w:r>
        <w:rPr>
          <w:rFonts w:hAnsi="宋体"/>
          <w:color w:val="auto"/>
          <w:sz w:val="24"/>
          <w:highlight w:val="none"/>
          <w:u w:val="single"/>
        </w:rPr>
        <w:t xml:space="preserve">                  </w:t>
      </w:r>
      <w:r>
        <w:rPr>
          <w:rFonts w:hint="eastAsia" w:hAnsi="宋体"/>
          <w:color w:val="auto"/>
          <w:sz w:val="24"/>
          <w:highlight w:val="none"/>
        </w:rPr>
        <w:t>元（¥</w:t>
      </w:r>
      <w:r>
        <w:rPr>
          <w:rFonts w:hAnsi="宋体"/>
          <w:color w:val="auto"/>
          <w:sz w:val="24"/>
          <w:highlight w:val="none"/>
          <w:u w:val="single"/>
        </w:rPr>
        <w:t xml:space="preserve">               </w:t>
      </w:r>
      <w:r>
        <w:rPr>
          <w:rFonts w:hint="eastAsia" w:hAnsi="宋体"/>
          <w:color w:val="auto"/>
          <w:sz w:val="24"/>
          <w:highlight w:val="none"/>
        </w:rPr>
        <w:t>）的投标总报价，按合同约定实施和完成承包工程，修补工程中的任何缺陷。</w:t>
      </w:r>
      <w:r>
        <w:rPr>
          <w:rFonts w:hAnsi="宋体"/>
          <w:color w:val="auto"/>
          <w:sz w:val="24"/>
          <w:highlight w:val="none"/>
        </w:rPr>
        <w:t xml:space="preserve"> </w:t>
      </w:r>
    </w:p>
    <w:p w14:paraId="3A045C61">
      <w:pPr>
        <w:spacing w:line="360" w:lineRule="auto"/>
        <w:ind w:firstLine="480" w:firstLineChars="200"/>
        <w:rPr>
          <w:rFonts w:hAnsi="宋体"/>
          <w:color w:val="auto"/>
          <w:sz w:val="24"/>
          <w:highlight w:val="none"/>
        </w:rPr>
      </w:pPr>
      <w:r>
        <w:rPr>
          <w:rFonts w:hAnsi="宋体"/>
          <w:color w:val="auto"/>
          <w:sz w:val="24"/>
          <w:highlight w:val="none"/>
        </w:rPr>
        <w:t>2</w:t>
      </w:r>
      <w:r>
        <w:rPr>
          <w:rFonts w:hint="eastAsia" w:hAnsi="宋体"/>
          <w:color w:val="auto"/>
          <w:sz w:val="24"/>
          <w:highlight w:val="none"/>
        </w:rPr>
        <w:t>．在合同协议书正式签署生效之前，本投标函连同你方的中标通知书将构成我</w:t>
      </w:r>
      <w:r>
        <w:rPr>
          <w:rFonts w:hAnsi="宋体"/>
          <w:color w:val="auto"/>
          <w:sz w:val="24"/>
          <w:highlight w:val="none"/>
        </w:rPr>
        <w:t xml:space="preserve"> </w:t>
      </w:r>
      <w:r>
        <w:rPr>
          <w:rFonts w:hint="eastAsia" w:hAnsi="宋体"/>
          <w:color w:val="auto"/>
          <w:sz w:val="24"/>
          <w:highlight w:val="none"/>
        </w:rPr>
        <w:t>们双方之间共同遵守的文件，对双方具有约束力。</w:t>
      </w:r>
    </w:p>
    <w:p w14:paraId="673654AB">
      <w:pPr>
        <w:spacing w:line="360" w:lineRule="auto"/>
        <w:ind w:firstLine="480" w:firstLineChars="200"/>
        <w:rPr>
          <w:color w:val="auto"/>
          <w:sz w:val="24"/>
          <w:highlight w:val="none"/>
        </w:rPr>
      </w:pPr>
      <w:r>
        <w:rPr>
          <w:rFonts w:hAnsi="宋体"/>
          <w:color w:val="auto"/>
          <w:sz w:val="24"/>
          <w:highlight w:val="none"/>
        </w:rPr>
        <w:t xml:space="preserve"> 3</w:t>
      </w:r>
      <w:r>
        <w:rPr>
          <w:rFonts w:hint="eastAsia" w:hAnsi="宋体"/>
          <w:color w:val="auto"/>
          <w:sz w:val="24"/>
          <w:highlight w:val="none"/>
        </w:rPr>
        <w:t>．</w:t>
      </w:r>
      <w:r>
        <w:rPr>
          <w:rFonts w:hAnsi="宋体"/>
          <w:color w:val="auto"/>
          <w:sz w:val="24"/>
          <w:highlight w:val="none"/>
          <w:u w:val="single"/>
        </w:rPr>
        <w:t xml:space="preserve">                                       </w:t>
      </w:r>
      <w:r>
        <w:rPr>
          <w:rFonts w:hint="eastAsia" w:hAnsi="宋体"/>
          <w:color w:val="auto"/>
          <w:sz w:val="24"/>
          <w:highlight w:val="none"/>
        </w:rPr>
        <w:t>（其他补充说明）。</w:t>
      </w:r>
    </w:p>
    <w:p w14:paraId="08E8261A">
      <w:pPr>
        <w:spacing w:line="360" w:lineRule="auto"/>
        <w:rPr>
          <w:color w:val="auto"/>
          <w:sz w:val="24"/>
          <w:highlight w:val="none"/>
        </w:rPr>
      </w:pPr>
    </w:p>
    <w:p w14:paraId="2D92709E">
      <w:pPr>
        <w:spacing w:line="360" w:lineRule="auto"/>
        <w:jc w:val="right"/>
        <w:rPr>
          <w:color w:val="auto"/>
          <w:sz w:val="24"/>
          <w:highlight w:val="none"/>
        </w:rPr>
      </w:pPr>
      <w:r>
        <w:rPr>
          <w:rFonts w:hAnsi="宋体"/>
          <w:color w:val="auto"/>
          <w:sz w:val="24"/>
          <w:highlight w:val="none"/>
        </w:rPr>
        <w:t>投标人：</w:t>
      </w:r>
      <w:r>
        <w:rPr>
          <w:color w:val="auto"/>
          <w:sz w:val="24"/>
          <w:highlight w:val="none"/>
          <w:u w:val="single"/>
        </w:rPr>
        <w:t xml:space="preserve">                             </w:t>
      </w:r>
      <w:r>
        <w:rPr>
          <w:rFonts w:hAnsi="宋体"/>
          <w:color w:val="auto"/>
          <w:sz w:val="24"/>
          <w:highlight w:val="none"/>
        </w:rPr>
        <w:t>(盖单位章)</w:t>
      </w:r>
    </w:p>
    <w:p w14:paraId="5767AD95">
      <w:pPr>
        <w:spacing w:line="360" w:lineRule="auto"/>
        <w:jc w:val="right"/>
        <w:rPr>
          <w:color w:val="auto"/>
          <w:sz w:val="24"/>
          <w:highlight w:val="none"/>
        </w:rPr>
      </w:pPr>
      <w:r>
        <w:rPr>
          <w:rFonts w:hAnsi="宋体"/>
          <w:color w:val="auto"/>
          <w:sz w:val="24"/>
          <w:highlight w:val="none"/>
        </w:rPr>
        <w:t>法定代表人或</w:t>
      </w:r>
      <w:r>
        <w:rPr>
          <w:rFonts w:hint="eastAsia" w:ascii="宋体" w:hAnsi="宋体" w:cs="宋体"/>
          <w:color w:val="auto"/>
          <w:sz w:val="24"/>
          <w:highlight w:val="none"/>
        </w:rPr>
        <w:t>授权委托</w:t>
      </w:r>
      <w:r>
        <w:rPr>
          <w:rFonts w:hAnsi="宋体"/>
          <w:color w:val="auto"/>
          <w:sz w:val="24"/>
          <w:highlight w:val="none"/>
        </w:rPr>
        <w:t>人：</w:t>
      </w:r>
      <w:r>
        <w:rPr>
          <w:color w:val="auto"/>
          <w:sz w:val="24"/>
          <w:highlight w:val="none"/>
          <w:u w:val="single"/>
        </w:rPr>
        <w:t xml:space="preserve"> </w:t>
      </w:r>
      <w:r>
        <w:rPr>
          <w:rFonts w:hint="eastAsia"/>
          <w:color w:val="auto"/>
          <w:sz w:val="24"/>
          <w:highlight w:val="none"/>
          <w:u w:val="single"/>
        </w:rPr>
        <w:t xml:space="preserve">    </w:t>
      </w:r>
      <w:r>
        <w:rPr>
          <w:rFonts w:hAnsi="宋体"/>
          <w:color w:val="auto"/>
          <w:sz w:val="24"/>
          <w:highlight w:val="none"/>
        </w:rPr>
        <w:t>(</w:t>
      </w:r>
      <w:r>
        <w:rPr>
          <w:rFonts w:hint="eastAsia" w:hAnsi="宋体"/>
          <w:color w:val="auto"/>
          <w:sz w:val="24"/>
          <w:highlight w:val="none"/>
        </w:rPr>
        <w:t>亲笔签名或签名章</w:t>
      </w:r>
      <w:r>
        <w:rPr>
          <w:rFonts w:hAnsi="宋体"/>
          <w:color w:val="auto"/>
          <w:sz w:val="24"/>
          <w:highlight w:val="none"/>
        </w:rPr>
        <w:t>)</w:t>
      </w:r>
    </w:p>
    <w:p w14:paraId="4EBCB20E">
      <w:pPr>
        <w:wordWrap w:val="0"/>
        <w:spacing w:line="360" w:lineRule="auto"/>
        <w:jc w:val="right"/>
        <w:rPr>
          <w:color w:val="auto"/>
          <w:sz w:val="24"/>
          <w:highlight w:val="none"/>
          <w:u w:val="single"/>
        </w:rPr>
      </w:pPr>
      <w:r>
        <w:rPr>
          <w:rFonts w:hAnsi="宋体"/>
          <w:color w:val="auto"/>
          <w:sz w:val="24"/>
          <w:highlight w:val="none"/>
        </w:rPr>
        <w:t>地址：</w:t>
      </w:r>
      <w:r>
        <w:rPr>
          <w:rFonts w:hAnsi="宋体"/>
          <w:color w:val="auto"/>
          <w:sz w:val="24"/>
          <w:highlight w:val="none"/>
          <w:u w:val="single"/>
        </w:rPr>
        <w:t xml:space="preserve">                                        </w:t>
      </w:r>
    </w:p>
    <w:p w14:paraId="2E7401FA">
      <w:pPr>
        <w:wordWrap w:val="0"/>
        <w:spacing w:line="360" w:lineRule="auto"/>
        <w:jc w:val="right"/>
        <w:rPr>
          <w:color w:val="auto"/>
          <w:sz w:val="24"/>
          <w:highlight w:val="none"/>
          <w:u w:val="single"/>
        </w:rPr>
      </w:pPr>
      <w:r>
        <w:rPr>
          <w:rFonts w:hAnsi="宋体"/>
          <w:color w:val="auto"/>
          <w:sz w:val="24"/>
          <w:highlight w:val="none"/>
        </w:rPr>
        <w:t>网址：</w:t>
      </w:r>
      <w:r>
        <w:rPr>
          <w:rFonts w:hAnsi="宋体"/>
          <w:color w:val="auto"/>
          <w:sz w:val="24"/>
          <w:highlight w:val="none"/>
          <w:u w:val="single"/>
        </w:rPr>
        <w:t xml:space="preserve">                                        </w:t>
      </w:r>
    </w:p>
    <w:p w14:paraId="70D30332">
      <w:pPr>
        <w:wordWrap w:val="0"/>
        <w:spacing w:line="360" w:lineRule="auto"/>
        <w:jc w:val="right"/>
        <w:rPr>
          <w:color w:val="auto"/>
          <w:sz w:val="24"/>
          <w:highlight w:val="none"/>
          <w:u w:val="single"/>
        </w:rPr>
      </w:pPr>
      <w:r>
        <w:rPr>
          <w:rFonts w:hAnsi="宋体"/>
          <w:color w:val="auto"/>
          <w:sz w:val="24"/>
          <w:highlight w:val="none"/>
        </w:rPr>
        <w:t>电话：</w:t>
      </w:r>
      <w:r>
        <w:rPr>
          <w:rFonts w:hAnsi="宋体"/>
          <w:color w:val="auto"/>
          <w:sz w:val="24"/>
          <w:highlight w:val="none"/>
          <w:u w:val="single"/>
        </w:rPr>
        <w:t xml:space="preserve">                                        </w:t>
      </w:r>
    </w:p>
    <w:p w14:paraId="19CEC865">
      <w:pPr>
        <w:wordWrap w:val="0"/>
        <w:spacing w:line="360" w:lineRule="auto"/>
        <w:jc w:val="right"/>
        <w:rPr>
          <w:color w:val="auto"/>
          <w:sz w:val="24"/>
          <w:highlight w:val="none"/>
          <w:u w:val="single"/>
        </w:rPr>
      </w:pPr>
      <w:r>
        <w:rPr>
          <w:rFonts w:hAnsi="宋体"/>
          <w:color w:val="auto"/>
          <w:sz w:val="24"/>
          <w:highlight w:val="none"/>
        </w:rPr>
        <w:t>传真：</w:t>
      </w:r>
      <w:r>
        <w:rPr>
          <w:rFonts w:hAnsi="宋体"/>
          <w:color w:val="auto"/>
          <w:sz w:val="24"/>
          <w:highlight w:val="none"/>
          <w:u w:val="single"/>
        </w:rPr>
        <w:t xml:space="preserve">                                        </w:t>
      </w:r>
    </w:p>
    <w:p w14:paraId="4D2AF8D6">
      <w:pPr>
        <w:wordWrap w:val="0"/>
        <w:spacing w:line="360" w:lineRule="auto"/>
        <w:jc w:val="right"/>
        <w:rPr>
          <w:color w:val="auto"/>
          <w:sz w:val="24"/>
          <w:highlight w:val="none"/>
          <w:u w:val="single"/>
        </w:rPr>
      </w:pPr>
      <w:r>
        <w:rPr>
          <w:rFonts w:hAnsi="宋体"/>
          <w:color w:val="auto"/>
          <w:sz w:val="24"/>
          <w:highlight w:val="none"/>
        </w:rPr>
        <w:t xml:space="preserve">    </w:t>
      </w:r>
      <w:r>
        <w:rPr>
          <w:rFonts w:hint="eastAsia" w:hAnsi="宋体"/>
          <w:color w:val="auto"/>
          <w:sz w:val="24"/>
          <w:highlight w:val="none"/>
        </w:rPr>
        <w:t>邮政编码</w:t>
      </w:r>
      <w:r>
        <w:rPr>
          <w:rFonts w:hAnsi="宋体"/>
          <w:color w:val="auto"/>
          <w:sz w:val="24"/>
          <w:highlight w:val="none"/>
        </w:rPr>
        <w:t>：</w:t>
      </w:r>
      <w:r>
        <w:rPr>
          <w:rFonts w:hAnsi="宋体"/>
          <w:color w:val="auto"/>
          <w:sz w:val="24"/>
          <w:highlight w:val="none"/>
          <w:u w:val="single"/>
        </w:rPr>
        <w:t xml:space="preserve">                                  </w:t>
      </w:r>
      <w:r>
        <w:rPr>
          <w:rFonts w:hint="eastAsia" w:hAnsi="宋体"/>
          <w:color w:val="auto"/>
          <w:sz w:val="24"/>
          <w:highlight w:val="none"/>
          <w:u w:val="single"/>
        </w:rPr>
        <w:t xml:space="preserve">  </w:t>
      </w:r>
    </w:p>
    <w:p w14:paraId="255E05D5">
      <w:pPr>
        <w:wordWrap w:val="0"/>
        <w:spacing w:line="420" w:lineRule="exact"/>
        <w:ind w:firstLine="4320" w:firstLineChars="1800"/>
        <w:rPr>
          <w:rFonts w:ascii="宋体" w:hAnsi="宋体"/>
          <w:b/>
          <w:color w:val="auto"/>
          <w:sz w:val="30"/>
          <w:szCs w:val="30"/>
          <w:highlight w:val="none"/>
        </w:rPr>
      </w:pPr>
      <w:r>
        <w:rPr>
          <w:color w:val="auto"/>
          <w:sz w:val="24"/>
          <w:highlight w:val="none"/>
          <w:u w:val="single"/>
        </w:rPr>
        <w:t xml:space="preserve">       </w:t>
      </w:r>
      <w:r>
        <w:rPr>
          <w:rFonts w:hAnsi="宋体"/>
          <w:color w:val="auto"/>
          <w:sz w:val="24"/>
          <w:highlight w:val="none"/>
        </w:rPr>
        <w:t>年</w:t>
      </w:r>
      <w:r>
        <w:rPr>
          <w:color w:val="auto"/>
          <w:sz w:val="24"/>
          <w:highlight w:val="none"/>
          <w:u w:val="single"/>
        </w:rPr>
        <w:t xml:space="preserve">       </w:t>
      </w:r>
      <w:r>
        <w:rPr>
          <w:rFonts w:hAnsi="宋体"/>
          <w:color w:val="auto"/>
          <w:sz w:val="24"/>
          <w:highlight w:val="none"/>
        </w:rPr>
        <w:t>月</w:t>
      </w:r>
      <w:r>
        <w:rPr>
          <w:color w:val="auto"/>
          <w:sz w:val="24"/>
          <w:highlight w:val="none"/>
          <w:u w:val="single"/>
        </w:rPr>
        <w:t xml:space="preserve">       </w:t>
      </w:r>
      <w:r>
        <w:rPr>
          <w:rFonts w:hAnsi="宋体"/>
          <w:color w:val="auto"/>
          <w:sz w:val="24"/>
          <w:highlight w:val="none"/>
        </w:rPr>
        <w:t>日</w:t>
      </w:r>
    </w:p>
    <w:p w14:paraId="5FECDFA3">
      <w:pPr>
        <w:adjustRightInd w:val="0"/>
        <w:snapToGrid w:val="0"/>
        <w:spacing w:line="360" w:lineRule="auto"/>
        <w:jc w:val="center"/>
        <w:rPr>
          <w:b/>
          <w:bCs/>
          <w:color w:val="auto"/>
          <w:sz w:val="30"/>
          <w:szCs w:val="30"/>
          <w:highlight w:val="none"/>
        </w:rPr>
      </w:pPr>
      <w:r>
        <w:rPr>
          <w:rFonts w:ascii="宋体" w:hAnsi="宋体"/>
          <w:b/>
          <w:color w:val="auto"/>
          <w:sz w:val="30"/>
          <w:szCs w:val="30"/>
          <w:highlight w:val="none"/>
        </w:rPr>
        <w:br w:type="page"/>
      </w:r>
      <w:bookmarkStart w:id="278" w:name="_Toc732"/>
      <w:r>
        <w:rPr>
          <w:rFonts w:hint="eastAsia" w:cs="宋体"/>
          <w:b/>
          <w:bCs/>
          <w:color w:val="auto"/>
          <w:sz w:val="30"/>
          <w:szCs w:val="30"/>
          <w:highlight w:val="none"/>
        </w:rPr>
        <w:t>二、工程量清单</w:t>
      </w:r>
      <w:bookmarkEnd w:id="278"/>
    </w:p>
    <w:p w14:paraId="2DF804A5">
      <w:pPr>
        <w:wordWrap w:val="0"/>
        <w:adjustRightInd w:val="0"/>
        <w:snapToGrid w:val="0"/>
        <w:spacing w:line="360" w:lineRule="auto"/>
        <w:rPr>
          <w:b/>
          <w:bCs/>
          <w:color w:val="auto"/>
          <w:sz w:val="24"/>
          <w:szCs w:val="24"/>
          <w:highlight w:val="none"/>
        </w:rPr>
      </w:pPr>
      <w:r>
        <w:rPr>
          <w:rFonts w:hint="eastAsia"/>
          <w:color w:val="auto"/>
          <w:sz w:val="24"/>
          <w:szCs w:val="24"/>
          <w:highlight w:val="none"/>
        </w:rPr>
        <w:t>项目名称：</w:t>
      </w:r>
      <w:r>
        <w:rPr>
          <w:rFonts w:hint="eastAsia"/>
          <w:color w:val="auto"/>
          <w:sz w:val="24"/>
          <w:szCs w:val="24"/>
          <w:highlight w:val="none"/>
          <w:lang w:eastAsia="zh-CN"/>
        </w:rPr>
        <w:t>南通市交通公共事业发展中心房屋修缮工程</w:t>
      </w:r>
      <w:r>
        <w:rPr>
          <w:rFonts w:hint="eastAsia"/>
          <w:color w:val="auto"/>
          <w:sz w:val="24"/>
          <w:szCs w:val="24"/>
          <w:highlight w:val="none"/>
        </w:rPr>
        <w:t xml:space="preserve">           单位：人民币 元</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1141"/>
        <w:gridCol w:w="961"/>
        <w:gridCol w:w="1598"/>
        <w:gridCol w:w="1948"/>
        <w:gridCol w:w="1881"/>
      </w:tblGrid>
      <w:tr w14:paraId="0525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16" w:type="pct"/>
            <w:vAlign w:val="center"/>
          </w:tcPr>
          <w:p w14:paraId="1603C32A">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名称</w:t>
            </w:r>
          </w:p>
        </w:tc>
        <w:tc>
          <w:tcPr>
            <w:tcW w:w="634" w:type="pct"/>
            <w:vAlign w:val="center"/>
          </w:tcPr>
          <w:p w14:paraId="767C95A1">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计量单位</w:t>
            </w:r>
          </w:p>
        </w:tc>
        <w:tc>
          <w:tcPr>
            <w:tcW w:w="533" w:type="pct"/>
            <w:vAlign w:val="center"/>
          </w:tcPr>
          <w:p w14:paraId="4DD3F47F">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数量</w:t>
            </w:r>
          </w:p>
        </w:tc>
        <w:tc>
          <w:tcPr>
            <w:tcW w:w="888" w:type="pct"/>
            <w:vAlign w:val="center"/>
          </w:tcPr>
          <w:p w14:paraId="02F6FEB3">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综合单价（元）</w:t>
            </w:r>
          </w:p>
        </w:tc>
        <w:tc>
          <w:tcPr>
            <w:tcW w:w="1082" w:type="pct"/>
            <w:vAlign w:val="center"/>
          </w:tcPr>
          <w:p w14:paraId="7328DCF7">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合价（元）</w:t>
            </w:r>
          </w:p>
        </w:tc>
        <w:tc>
          <w:tcPr>
            <w:tcW w:w="1044" w:type="pct"/>
            <w:vAlign w:val="center"/>
          </w:tcPr>
          <w:p w14:paraId="6F1A02ED">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备注</w:t>
            </w:r>
          </w:p>
        </w:tc>
      </w:tr>
      <w:tr w14:paraId="07AB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816" w:type="pct"/>
            <w:vAlign w:val="center"/>
          </w:tcPr>
          <w:p w14:paraId="3752B7C0">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0F47E4F6">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6426FCD6">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4C277AD8">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283AF372">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1590147F">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4FC5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16" w:type="pct"/>
            <w:vAlign w:val="center"/>
          </w:tcPr>
          <w:p w14:paraId="03AFA89F">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1BEFED5A">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38FA5896">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1B2452D2">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09A878E0">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55EF87FC">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0F0A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16" w:type="pct"/>
            <w:vAlign w:val="center"/>
          </w:tcPr>
          <w:p w14:paraId="1F68F1A2">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4CD3520D">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4A7993AC">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2DA48772">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50E1E61E">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0CDAD115">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48FB4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816" w:type="pct"/>
            <w:vAlign w:val="center"/>
          </w:tcPr>
          <w:p w14:paraId="7DBDC3A3">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575AD363">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57ABA8CA">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0C80D9CF">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7FABACDB">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5CE0BF98">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188CF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16" w:type="pct"/>
            <w:vAlign w:val="center"/>
          </w:tcPr>
          <w:p w14:paraId="227E5519">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257FC4F8">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069E6E56">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1D14AF48">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7086855C">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709F9C12">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7733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816" w:type="pct"/>
            <w:vAlign w:val="center"/>
          </w:tcPr>
          <w:p w14:paraId="50D325BB">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634" w:type="pct"/>
            <w:vAlign w:val="center"/>
          </w:tcPr>
          <w:p w14:paraId="10FDD4D6">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533" w:type="pct"/>
            <w:vAlign w:val="center"/>
          </w:tcPr>
          <w:p w14:paraId="7274CC77">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888" w:type="pct"/>
            <w:vAlign w:val="center"/>
          </w:tcPr>
          <w:p w14:paraId="2F900ACC">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82" w:type="pct"/>
            <w:vAlign w:val="center"/>
          </w:tcPr>
          <w:p w14:paraId="682D2BA8">
            <w:pPr>
              <w:widowControl/>
              <w:adjustRightInd w:val="0"/>
              <w:snapToGrid w:val="0"/>
              <w:jc w:val="center"/>
              <w:rPr>
                <w:rFonts w:asciiTheme="minorEastAsia" w:hAnsiTheme="minorEastAsia" w:eastAsiaTheme="minorEastAsia" w:cstheme="minorEastAsia"/>
                <w:color w:val="auto"/>
                <w:kern w:val="0"/>
                <w:highlight w:val="none"/>
                <w:lang w:bidi="ar"/>
              </w:rPr>
            </w:pPr>
          </w:p>
        </w:tc>
        <w:tc>
          <w:tcPr>
            <w:tcW w:w="1044" w:type="pct"/>
            <w:vAlign w:val="center"/>
          </w:tcPr>
          <w:p w14:paraId="16D55299">
            <w:pPr>
              <w:widowControl/>
              <w:adjustRightInd w:val="0"/>
              <w:snapToGrid w:val="0"/>
              <w:jc w:val="center"/>
              <w:rPr>
                <w:rFonts w:asciiTheme="minorEastAsia" w:hAnsiTheme="minorEastAsia" w:eastAsiaTheme="minorEastAsia" w:cstheme="minorEastAsia"/>
                <w:color w:val="auto"/>
                <w:kern w:val="0"/>
                <w:highlight w:val="none"/>
                <w:lang w:bidi="ar"/>
              </w:rPr>
            </w:pPr>
          </w:p>
        </w:tc>
      </w:tr>
      <w:tr w14:paraId="6D74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984" w:type="pct"/>
            <w:gridSpan w:val="3"/>
            <w:vAlign w:val="center"/>
          </w:tcPr>
          <w:p w14:paraId="05D649D1">
            <w:pPr>
              <w:widowControl/>
              <w:adjustRightInd w:val="0"/>
              <w:snapToGrid w:val="0"/>
              <w:jc w:val="center"/>
              <w:rPr>
                <w:rFonts w:asciiTheme="minorEastAsia" w:hAnsiTheme="minorEastAsia" w:eastAsiaTheme="minorEastAsia" w:cstheme="minorEastAsia"/>
                <w:color w:val="auto"/>
                <w:kern w:val="0"/>
                <w:highlight w:val="none"/>
                <w:lang w:bidi="ar"/>
              </w:rPr>
            </w:pPr>
            <w:r>
              <w:rPr>
                <w:rFonts w:hint="eastAsia" w:asciiTheme="minorEastAsia" w:hAnsiTheme="minorEastAsia" w:eastAsiaTheme="minorEastAsia" w:cstheme="minorEastAsia"/>
                <w:color w:val="auto"/>
                <w:kern w:val="0"/>
                <w:highlight w:val="none"/>
                <w:lang w:bidi="ar"/>
              </w:rPr>
              <w:t>合计（元）</w:t>
            </w:r>
          </w:p>
        </w:tc>
        <w:tc>
          <w:tcPr>
            <w:tcW w:w="3015" w:type="pct"/>
            <w:gridSpan w:val="3"/>
            <w:vAlign w:val="center"/>
          </w:tcPr>
          <w:p w14:paraId="12F36479">
            <w:pPr>
              <w:widowControl/>
              <w:adjustRightInd w:val="0"/>
              <w:snapToGrid w:val="0"/>
              <w:jc w:val="center"/>
              <w:rPr>
                <w:rFonts w:asciiTheme="minorEastAsia" w:hAnsiTheme="minorEastAsia" w:eastAsiaTheme="minorEastAsia" w:cstheme="minorEastAsia"/>
                <w:color w:val="auto"/>
                <w:kern w:val="0"/>
                <w:highlight w:val="none"/>
                <w:lang w:bidi="ar"/>
              </w:rPr>
            </w:pPr>
          </w:p>
        </w:tc>
      </w:tr>
    </w:tbl>
    <w:p w14:paraId="3AFC0496">
      <w:pPr>
        <w:wordWrap w:val="0"/>
        <w:adjustRightInd w:val="0"/>
        <w:snapToGrid w:val="0"/>
        <w:spacing w:line="360" w:lineRule="auto"/>
        <w:rPr>
          <w:b/>
          <w:bCs/>
          <w:color w:val="auto"/>
          <w:sz w:val="24"/>
          <w:szCs w:val="24"/>
          <w:highlight w:val="none"/>
        </w:rPr>
      </w:pPr>
    </w:p>
    <w:p w14:paraId="5511CE45">
      <w:pPr>
        <w:snapToGrid w:val="0"/>
        <w:spacing w:line="360" w:lineRule="auto"/>
        <w:rPr>
          <w:rFonts w:ascii="宋体"/>
          <w:color w:val="auto"/>
          <w:sz w:val="24"/>
          <w:highlight w:val="none"/>
        </w:rPr>
      </w:pPr>
      <w:r>
        <w:rPr>
          <w:rFonts w:hint="eastAsia" w:ascii="宋体" w:hAnsi="宋体" w:cs="宋体"/>
          <w:color w:val="auto"/>
          <w:sz w:val="24"/>
          <w:highlight w:val="none"/>
        </w:rPr>
        <w:t>投标人：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（盖单位公章）</w:t>
      </w:r>
      <w:r>
        <w:rPr>
          <w:rFonts w:ascii="宋体" w:hAnsi="宋体" w:cs="宋体"/>
          <w:color w:val="auto"/>
          <w:sz w:val="24"/>
          <w:highlight w:val="none"/>
          <w:u w:val="single"/>
        </w:rPr>
        <w:t xml:space="preserve">    </w:t>
      </w:r>
    </w:p>
    <w:p w14:paraId="3DB4A822">
      <w:pPr>
        <w:snapToGrid w:val="0"/>
        <w:spacing w:line="360" w:lineRule="auto"/>
        <w:rPr>
          <w:rFonts w:ascii="宋体"/>
          <w:color w:val="auto"/>
          <w:sz w:val="24"/>
          <w:highlight w:val="none"/>
        </w:rPr>
      </w:pPr>
      <w:r>
        <w:rPr>
          <w:rFonts w:hint="eastAsia" w:ascii="宋体" w:hAnsi="宋体" w:cs="宋体"/>
          <w:color w:val="auto"/>
          <w:sz w:val="24"/>
          <w:highlight w:val="none"/>
        </w:rPr>
        <w:t>法定代表人或其授权委托人：</w:t>
      </w:r>
      <w:r>
        <w:rPr>
          <w:rFonts w:ascii="宋体" w:hAnsi="宋体" w:cs="宋体"/>
          <w:color w:val="auto"/>
          <w:sz w:val="24"/>
          <w:highlight w:val="none"/>
          <w:u w:val="single"/>
        </w:rPr>
        <w:t xml:space="preserve">   </w:t>
      </w:r>
      <w:r>
        <w:rPr>
          <w:rFonts w:hint="eastAsia" w:ascii="Arial" w:hAnsi="Arial" w:cs="宋体"/>
          <w:color w:val="auto"/>
          <w:sz w:val="24"/>
          <w:highlight w:val="none"/>
          <w:u w:val="single"/>
        </w:rPr>
        <w:t>（亲笔签名或签名章）</w:t>
      </w:r>
      <w:r>
        <w:rPr>
          <w:rFonts w:ascii="宋体" w:hAnsi="宋体" w:cs="宋体"/>
          <w:color w:val="auto"/>
          <w:sz w:val="24"/>
          <w:highlight w:val="none"/>
          <w:u w:val="single"/>
        </w:rPr>
        <w:t xml:space="preserve">  </w:t>
      </w:r>
    </w:p>
    <w:p w14:paraId="29AD54CC">
      <w:pPr>
        <w:keepNext/>
        <w:keepLines/>
        <w:spacing w:before="240" w:after="120" w:afterLines="50" w:line="400" w:lineRule="exact"/>
        <w:ind w:firstLine="480" w:firstLineChars="200"/>
        <w:jc w:val="right"/>
        <w:outlineLvl w:val="1"/>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4672464E">
      <w:pPr>
        <w:pStyle w:val="26"/>
        <w:adjustRightInd w:val="0"/>
        <w:snapToGrid w:val="0"/>
        <w:spacing w:beforeLines="0" w:line="360" w:lineRule="auto"/>
        <w:ind w:firstLine="472" w:firstLineChars="196"/>
        <w:jc w:val="both"/>
        <w:rPr>
          <w:rFonts w:ascii="Times New Roman" w:hAnsi="Times New Roman" w:eastAsia="宋体" w:cs="Times New Roman"/>
          <w:color w:val="auto"/>
          <w:sz w:val="24"/>
          <w:szCs w:val="24"/>
          <w:highlight w:val="none"/>
        </w:rPr>
      </w:pPr>
    </w:p>
    <w:p w14:paraId="69B323F8">
      <w:pPr>
        <w:widowControl/>
        <w:jc w:val="left"/>
        <w:rPr>
          <w:color w:val="auto"/>
          <w:sz w:val="48"/>
          <w:szCs w:val="48"/>
          <w:highlight w:val="none"/>
        </w:rPr>
      </w:pPr>
    </w:p>
    <w:p w14:paraId="572ED3EF">
      <w:pPr>
        <w:rPr>
          <w:color w:val="auto"/>
          <w:highlight w:val="none"/>
        </w:rPr>
      </w:pPr>
    </w:p>
    <w:sectPr>
      <w:footerReference r:id="rId7" w:type="default"/>
      <w:pgSz w:w="11905" w:h="16838"/>
      <w:pgMar w:top="1389" w:right="1474" w:bottom="1389" w:left="1644" w:header="850"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T3Font_0">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163BA">
    <w:pPr>
      <w:spacing w:line="200" w:lineRule="exac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53275C">
                          <w:pPr>
                            <w:pStyle w:val="1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D53275C">
                    <w:pPr>
                      <w:pStyle w:val="1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0E1D1">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F91436">
                          <w:pPr>
                            <w:pStyle w:val="13"/>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BF91436">
                    <w:pPr>
                      <w:pStyle w:val="13"/>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B353C">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DC43BC">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CDC43BC">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C4149">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CA19B">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E6CA19B">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6EF3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039FA"/>
    <w:multiLevelType w:val="singleLevel"/>
    <w:tmpl w:val="E2B039FA"/>
    <w:lvl w:ilvl="0" w:tentative="0">
      <w:start w:val="2"/>
      <w:numFmt w:val="decimal"/>
      <w:suff w:val="nothing"/>
      <w:lvlText w:val="（%1）"/>
      <w:lvlJc w:val="left"/>
    </w:lvl>
  </w:abstractNum>
  <w:abstractNum w:abstractNumId="1">
    <w:nsid w:val="009E1542"/>
    <w:multiLevelType w:val="singleLevel"/>
    <w:tmpl w:val="009E154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xMTA1M2I0MDYxZGFiNjRjNmU1MGIyZGQ1NGRjNTcifQ=="/>
  </w:docVars>
  <w:rsids>
    <w:rsidRoot w:val="5E2C4E7E"/>
    <w:rsid w:val="02885DA0"/>
    <w:rsid w:val="043B1F2D"/>
    <w:rsid w:val="052A53FB"/>
    <w:rsid w:val="0620235A"/>
    <w:rsid w:val="0C3B4EC0"/>
    <w:rsid w:val="0E480E31"/>
    <w:rsid w:val="101768E1"/>
    <w:rsid w:val="107579E9"/>
    <w:rsid w:val="107B2FAF"/>
    <w:rsid w:val="10FC5772"/>
    <w:rsid w:val="14702571"/>
    <w:rsid w:val="14E750A9"/>
    <w:rsid w:val="17846A61"/>
    <w:rsid w:val="18910E95"/>
    <w:rsid w:val="18ED2570"/>
    <w:rsid w:val="1B79458F"/>
    <w:rsid w:val="1D4D182F"/>
    <w:rsid w:val="1D8F1E47"/>
    <w:rsid w:val="1DCA6594"/>
    <w:rsid w:val="1EE538E0"/>
    <w:rsid w:val="1F8B4890"/>
    <w:rsid w:val="202251F5"/>
    <w:rsid w:val="220B1924"/>
    <w:rsid w:val="240422A6"/>
    <w:rsid w:val="255E0351"/>
    <w:rsid w:val="2584425C"/>
    <w:rsid w:val="27374FE9"/>
    <w:rsid w:val="285A5748"/>
    <w:rsid w:val="28DE3C83"/>
    <w:rsid w:val="29420EB1"/>
    <w:rsid w:val="2ACF7D27"/>
    <w:rsid w:val="2AE5579D"/>
    <w:rsid w:val="2C1F4AA1"/>
    <w:rsid w:val="2CBC42DB"/>
    <w:rsid w:val="2CCC7F97"/>
    <w:rsid w:val="2F9B4539"/>
    <w:rsid w:val="2FD45B23"/>
    <w:rsid w:val="306565F0"/>
    <w:rsid w:val="30872CAA"/>
    <w:rsid w:val="320F30FF"/>
    <w:rsid w:val="32146967"/>
    <w:rsid w:val="3316226B"/>
    <w:rsid w:val="372E4027"/>
    <w:rsid w:val="38037262"/>
    <w:rsid w:val="38AA1DD4"/>
    <w:rsid w:val="3AEE7DE7"/>
    <w:rsid w:val="3C88781A"/>
    <w:rsid w:val="3D4E0F7F"/>
    <w:rsid w:val="3EBA43F3"/>
    <w:rsid w:val="3FB13A48"/>
    <w:rsid w:val="40800D66"/>
    <w:rsid w:val="40CD665F"/>
    <w:rsid w:val="44226CC2"/>
    <w:rsid w:val="44627A06"/>
    <w:rsid w:val="448E4357"/>
    <w:rsid w:val="451C7BB5"/>
    <w:rsid w:val="47744EFD"/>
    <w:rsid w:val="47DC187E"/>
    <w:rsid w:val="48A56265"/>
    <w:rsid w:val="49D24CE6"/>
    <w:rsid w:val="4C771B75"/>
    <w:rsid w:val="4D6115D9"/>
    <w:rsid w:val="4E3917D8"/>
    <w:rsid w:val="4E5D7EAB"/>
    <w:rsid w:val="4FB37368"/>
    <w:rsid w:val="527C6137"/>
    <w:rsid w:val="53A5521A"/>
    <w:rsid w:val="56CB31E9"/>
    <w:rsid w:val="592F5CB1"/>
    <w:rsid w:val="59883613"/>
    <w:rsid w:val="5ACD5782"/>
    <w:rsid w:val="5AFB13A2"/>
    <w:rsid w:val="5E2C4E7E"/>
    <w:rsid w:val="60432042"/>
    <w:rsid w:val="606049A2"/>
    <w:rsid w:val="61736957"/>
    <w:rsid w:val="63C74D38"/>
    <w:rsid w:val="648A2885"/>
    <w:rsid w:val="66F2031E"/>
    <w:rsid w:val="67191D4F"/>
    <w:rsid w:val="67C049E6"/>
    <w:rsid w:val="6861368C"/>
    <w:rsid w:val="69C4796D"/>
    <w:rsid w:val="6A033E82"/>
    <w:rsid w:val="6A0409EC"/>
    <w:rsid w:val="6AD14E1A"/>
    <w:rsid w:val="6B6A624D"/>
    <w:rsid w:val="6EAB7730"/>
    <w:rsid w:val="759E7FEF"/>
    <w:rsid w:val="76564426"/>
    <w:rsid w:val="76D96E05"/>
    <w:rsid w:val="78F10436"/>
    <w:rsid w:val="79660E24"/>
    <w:rsid w:val="79BD2A0E"/>
    <w:rsid w:val="7B191EC6"/>
    <w:rsid w:val="7CB72AD6"/>
    <w:rsid w:val="7CD442F6"/>
    <w:rsid w:val="7CDA23FD"/>
    <w:rsid w:val="7E5C27F5"/>
    <w:rsid w:val="7E6F0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9"/>
    <w:pPr>
      <w:keepNext/>
      <w:keepLines/>
      <w:spacing w:before="260" w:after="260" w:line="416" w:lineRule="auto"/>
      <w:outlineLvl w:val="2"/>
    </w:pPr>
    <w:rPr>
      <w:b/>
      <w:bCs/>
      <w:sz w:val="32"/>
      <w:szCs w:val="32"/>
    </w:rPr>
  </w:style>
  <w:style w:type="paragraph" w:styleId="6">
    <w:name w:val="heading 4"/>
    <w:basedOn w:val="1"/>
    <w:next w:val="1"/>
    <w:qFormat/>
    <w:uiPriority w:val="99"/>
    <w:pPr>
      <w:keepNext/>
      <w:keepLines/>
      <w:spacing w:before="280" w:after="290" w:line="376" w:lineRule="auto"/>
      <w:outlineLvl w:val="3"/>
    </w:pPr>
    <w:rPr>
      <w:rFonts w:ascii="Arial" w:hAnsi="Arial" w:eastAsia="黑体" w:cs="Arial"/>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7">
    <w:name w:val="Normal Indent"/>
    <w:basedOn w:val="1"/>
    <w:qFormat/>
    <w:uiPriority w:val="99"/>
    <w:pPr>
      <w:ind w:firstLine="420" w:firstLineChars="200"/>
    </w:pPr>
  </w:style>
  <w:style w:type="paragraph" w:styleId="8">
    <w:name w:val="annotation text"/>
    <w:basedOn w:val="1"/>
    <w:qFormat/>
    <w:uiPriority w:val="0"/>
    <w:pPr>
      <w:jc w:val="left"/>
    </w:pPr>
  </w:style>
  <w:style w:type="paragraph" w:styleId="9">
    <w:name w:val="Body Text 3"/>
    <w:basedOn w:val="1"/>
    <w:qFormat/>
    <w:uiPriority w:val="99"/>
    <w:rPr>
      <w:rFonts w:ascii="宋体" w:cs="宋体"/>
      <w:sz w:val="24"/>
      <w:szCs w:val="24"/>
    </w:rPr>
  </w:style>
  <w:style w:type="paragraph" w:styleId="10">
    <w:name w:val="Body Text Indent"/>
    <w:basedOn w:val="1"/>
    <w:next w:val="11"/>
    <w:qFormat/>
    <w:uiPriority w:val="99"/>
    <w:pPr>
      <w:spacing w:after="120"/>
      <w:ind w:left="420" w:leftChars="200"/>
    </w:pPr>
  </w:style>
  <w:style w:type="paragraph" w:styleId="11">
    <w:name w:val="envelope return"/>
    <w:basedOn w:val="1"/>
    <w:qFormat/>
    <w:uiPriority w:val="99"/>
    <w:pPr>
      <w:snapToGrid w:val="0"/>
      <w:spacing w:line="360" w:lineRule="auto"/>
      <w:ind w:firstLine="200" w:firstLineChars="200"/>
    </w:pPr>
    <w:rPr>
      <w:rFonts w:ascii="Arial" w:hAnsi="Arial" w:eastAsia="仿宋_GB2312" w:cs="Arial"/>
      <w:sz w:val="24"/>
    </w:rPr>
  </w:style>
  <w:style w:type="paragraph" w:styleId="12">
    <w:name w:val="Body Text Indent 2"/>
    <w:basedOn w:val="1"/>
    <w:qFormat/>
    <w:uiPriority w:val="99"/>
    <w:pPr>
      <w:spacing w:after="120" w:line="480" w:lineRule="auto"/>
      <w:ind w:left="420" w:leftChars="200"/>
    </w:p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6">
    <w:name w:val="Body Text First Indent 2"/>
    <w:basedOn w:val="10"/>
    <w:unhideWhenUsed/>
    <w:qFormat/>
    <w:uiPriority w:val="99"/>
    <w:pPr>
      <w:ind w:firstLine="420" w:firstLineChars="200"/>
    </w:pPr>
    <w:rPr>
      <w:szCs w:val="24"/>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paragraph" w:customStyle="1" w:styleId="21">
    <w:name w:val="样式 标题 2 + Times New Roman 四号 非加粗 段前: 5 磅 段后: 0 磅 行距: 固定值 20..."/>
    <w:basedOn w:val="4"/>
    <w:qFormat/>
    <w:uiPriority w:val="99"/>
    <w:pPr>
      <w:spacing w:before="100" w:after="0" w:line="400" w:lineRule="exact"/>
    </w:pPr>
    <w:rPr>
      <w:rFonts w:ascii="Times New Roman" w:hAnsi="Times New Roman" w:cs="Times New Roman"/>
      <w:b w:val="0"/>
      <w:bCs w:val="0"/>
      <w:sz w:val="28"/>
      <w:szCs w:val="28"/>
    </w:rPr>
  </w:style>
  <w:style w:type="paragraph" w:customStyle="1" w:styleId="22">
    <w:name w:val="样式 标题 3 + (中文) 黑体 小四 非加粗 段前: 7.8 磅 段后: 0 磅 行距: 固定值 20 磅"/>
    <w:basedOn w:val="5"/>
    <w:next w:val="1"/>
    <w:qFormat/>
    <w:uiPriority w:val="99"/>
    <w:pPr>
      <w:spacing w:before="0" w:after="0" w:line="400" w:lineRule="exact"/>
    </w:pPr>
    <w:rPr>
      <w:rFonts w:eastAsia="黑体"/>
      <w:b w:val="0"/>
      <w:bCs w:val="0"/>
      <w:sz w:val="24"/>
      <w:szCs w:val="24"/>
    </w:rPr>
  </w:style>
  <w:style w:type="paragraph" w:styleId="23">
    <w:name w:val="List Paragraph"/>
    <w:basedOn w:val="1"/>
    <w:qFormat/>
    <w:uiPriority w:val="99"/>
    <w:pPr>
      <w:ind w:firstLine="420" w:firstLineChars="200"/>
    </w:pPr>
  </w:style>
  <w:style w:type="paragraph" w:customStyle="1" w:styleId="24">
    <w:name w:val="标题 2 + Times New Roman 居中 段前: 0 磅 段后: 0 磅 行距: 单倍行距 + 段前..."/>
    <w:basedOn w:val="1"/>
    <w:qFormat/>
    <w:uiPriority w:val="0"/>
    <w:pPr>
      <w:keepNext/>
      <w:keepLines/>
      <w:adjustRightInd w:val="0"/>
      <w:snapToGrid w:val="0"/>
      <w:spacing w:beforeLines="150" w:afterLines="100"/>
      <w:jc w:val="center"/>
      <w:outlineLvl w:val="1"/>
    </w:pPr>
    <w:rPr>
      <w:rFonts w:eastAsia="黑体"/>
      <w:b/>
      <w:bCs/>
      <w:sz w:val="32"/>
      <w:szCs w:val="20"/>
    </w:rPr>
  </w:style>
  <w:style w:type="paragraph" w:customStyle="1" w:styleId="25">
    <w:name w:val="样式1"/>
    <w:basedOn w:val="1"/>
    <w:qFormat/>
    <w:uiPriority w:val="99"/>
    <w:rPr>
      <w:sz w:val="18"/>
      <w:szCs w:val="18"/>
    </w:rPr>
  </w:style>
  <w:style w:type="paragraph" w:customStyle="1" w:styleId="26">
    <w:name w:val="格式1"/>
    <w:basedOn w:val="1"/>
    <w:qFormat/>
    <w:uiPriority w:val="99"/>
    <w:pPr>
      <w:spacing w:beforeLines="50"/>
      <w:jc w:val="center"/>
    </w:pPr>
    <w:rPr>
      <w:rFonts w:ascii="黑体" w:hAnsi="宋体" w:eastAsia="黑体" w:cs="黑体"/>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1705</Words>
  <Characters>1850</Characters>
  <Lines>0</Lines>
  <Paragraphs>0</Paragraphs>
  <TotalTime>3</TotalTime>
  <ScaleCrop>false</ScaleCrop>
  <LinksUpToDate>false</LinksUpToDate>
  <CharactersWithSpaces>1952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2025-04-11T01:42:00Z</dcterms:created>
  <dc:creator>  坚强</dc:creator>
  <cp:lastModifiedBy>T</cp:lastModifiedBy>
  <dcterms:modified xsi:type="dcterms:W3CDTF">2025-11-03T07:37:53Z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2785DD2DF6C645D194D1674EF9015875_13</vt:lpwstr>
  </property>
  <property fmtid="{D5CDD505-2E9C-101B-9397-08002B2CF9AE}" pid="4" name="KSOTemplateDocerSaveRecord">
    <vt:lpwstr>eyJoZGlkIjoiMTIyYmU2ZTAzMDU2YjM4MTljYWI2ZWU1MzFlMjY2MmYiLCJ1c2VySWQiOiIxNTI4Mjk2NTAxIn0=</vt:lpwstr>
  </property>
</Properties>
</file>