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C664F">
      <w:pPr>
        <w:jc w:val="center"/>
        <w:rPr>
          <w:rFonts w:hint="eastAsia" w:ascii="Garamond" w:hAnsi="Garamond" w:eastAsia="黑体"/>
          <w:b/>
          <w:color w:val="auto"/>
          <w:spacing w:val="6"/>
          <w:kern w:val="0"/>
          <w:sz w:val="44"/>
          <w:szCs w:val="44"/>
          <w:highlight w:val="none"/>
          <w:lang w:eastAsia="zh-CN"/>
        </w:rPr>
      </w:pPr>
      <w:bookmarkStart w:id="0" w:name="_Hlk36455775"/>
      <w:r>
        <w:rPr>
          <w:rFonts w:hint="eastAsia" w:ascii="Garamond" w:hAnsi="Garamond" w:eastAsia="黑体"/>
          <w:b/>
          <w:color w:val="auto"/>
          <w:spacing w:val="6"/>
          <w:kern w:val="0"/>
          <w:sz w:val="44"/>
          <w:szCs w:val="44"/>
          <w:highlight w:val="none"/>
          <w:lang w:eastAsia="zh-CN"/>
        </w:rPr>
        <w:t>南通沿江港口公用锚地调整项目配套系船浮工程试验检测项目</w:t>
      </w:r>
    </w:p>
    <w:p w14:paraId="57FF38A4">
      <w:pPr>
        <w:jc w:val="center"/>
        <w:rPr>
          <w:rFonts w:ascii="Garamond" w:hAnsi="Garamond" w:eastAsia="黑体"/>
          <w:b/>
          <w:color w:val="auto"/>
          <w:spacing w:val="6"/>
          <w:kern w:val="0"/>
          <w:szCs w:val="21"/>
          <w:highlight w:val="none"/>
        </w:rPr>
      </w:pPr>
    </w:p>
    <w:p w14:paraId="75AC2F08">
      <w:pPr>
        <w:jc w:val="center"/>
        <w:rPr>
          <w:rFonts w:ascii="Garamond" w:hAnsi="Garamond" w:eastAsia="黑体"/>
          <w:b/>
          <w:color w:val="auto"/>
          <w:spacing w:val="6"/>
          <w:kern w:val="0"/>
          <w:sz w:val="32"/>
          <w:szCs w:val="32"/>
          <w:highlight w:val="none"/>
        </w:rPr>
      </w:pPr>
      <w:r>
        <w:rPr>
          <w:rFonts w:ascii="Garamond" w:hAnsi="Garamond" w:eastAsia="黑体"/>
          <w:b/>
          <w:color w:val="auto"/>
          <w:spacing w:val="6"/>
          <w:kern w:val="0"/>
          <w:sz w:val="32"/>
          <w:szCs w:val="32"/>
          <w:highlight w:val="none"/>
        </w:rPr>
        <w:t>（</w:t>
      </w:r>
      <w:bookmarkEnd w:id="0"/>
      <w:bookmarkStart w:id="1" w:name="_Toc196474969"/>
      <w:bookmarkStart w:id="2" w:name="_Toc144974478"/>
      <w:bookmarkStart w:id="3" w:name="_Toc152042286"/>
      <w:r>
        <w:rPr>
          <w:rFonts w:hint="eastAsia" w:ascii="Garamond" w:hAnsi="Garamond" w:eastAsia="黑体"/>
          <w:b/>
          <w:color w:val="auto"/>
          <w:spacing w:val="6"/>
          <w:kern w:val="0"/>
          <w:sz w:val="32"/>
          <w:szCs w:val="32"/>
          <w:highlight w:val="none"/>
          <w:lang w:eastAsia="zh-CN"/>
        </w:rPr>
        <w:t>XCF-JC标段</w:t>
      </w:r>
      <w:r>
        <w:rPr>
          <w:rFonts w:ascii="Garamond" w:hAnsi="Garamond" w:eastAsia="黑体"/>
          <w:b/>
          <w:color w:val="auto"/>
          <w:spacing w:val="6"/>
          <w:kern w:val="0"/>
          <w:sz w:val="32"/>
          <w:szCs w:val="32"/>
          <w:highlight w:val="none"/>
        </w:rPr>
        <w:t>）</w:t>
      </w:r>
    </w:p>
    <w:p w14:paraId="42137420">
      <w:pPr>
        <w:kinsoku w:val="0"/>
        <w:overflowPunct w:val="0"/>
        <w:autoSpaceDE w:val="0"/>
        <w:autoSpaceDN w:val="0"/>
        <w:adjustRightInd w:val="0"/>
        <w:snapToGrid w:val="0"/>
        <w:ind w:right="-27" w:rightChars="-13"/>
        <w:jc w:val="center"/>
        <w:rPr>
          <w:rFonts w:ascii="Garamond" w:hAnsi="Garamond"/>
          <w:color w:val="auto"/>
          <w:sz w:val="36"/>
          <w:highlight w:val="none"/>
        </w:rPr>
      </w:pPr>
    </w:p>
    <w:p w14:paraId="50320EF0">
      <w:pPr>
        <w:kinsoku w:val="0"/>
        <w:overflowPunct w:val="0"/>
        <w:autoSpaceDE w:val="0"/>
        <w:autoSpaceDN w:val="0"/>
        <w:adjustRightInd w:val="0"/>
        <w:snapToGrid w:val="0"/>
        <w:ind w:right="-27" w:rightChars="-13"/>
        <w:jc w:val="center"/>
        <w:rPr>
          <w:rFonts w:ascii="Garamond" w:hAnsi="Garamond"/>
          <w:color w:val="auto"/>
          <w:sz w:val="36"/>
          <w:highlight w:val="none"/>
        </w:rPr>
      </w:pPr>
    </w:p>
    <w:p w14:paraId="75E5FE45">
      <w:pPr>
        <w:kinsoku w:val="0"/>
        <w:overflowPunct w:val="0"/>
        <w:autoSpaceDE w:val="0"/>
        <w:autoSpaceDN w:val="0"/>
        <w:adjustRightInd w:val="0"/>
        <w:snapToGrid w:val="0"/>
        <w:ind w:right="-27" w:rightChars="-13"/>
        <w:jc w:val="center"/>
        <w:rPr>
          <w:rFonts w:ascii="Garamond" w:hAnsi="Garamond"/>
          <w:color w:val="auto"/>
          <w:sz w:val="36"/>
          <w:highlight w:val="none"/>
        </w:rPr>
      </w:pPr>
    </w:p>
    <w:p w14:paraId="3B8E18CA">
      <w:pPr>
        <w:kinsoku w:val="0"/>
        <w:overflowPunct w:val="0"/>
        <w:autoSpaceDE w:val="0"/>
        <w:autoSpaceDN w:val="0"/>
        <w:adjustRightInd w:val="0"/>
        <w:snapToGrid w:val="0"/>
        <w:ind w:right="-27" w:rightChars="-13"/>
        <w:jc w:val="center"/>
        <w:rPr>
          <w:rFonts w:ascii="Garamond" w:hAnsi="Garamond"/>
          <w:color w:val="auto"/>
          <w:sz w:val="36"/>
          <w:highlight w:val="none"/>
        </w:rPr>
      </w:pPr>
    </w:p>
    <w:p w14:paraId="2D209208">
      <w:pPr>
        <w:kinsoku w:val="0"/>
        <w:overflowPunct w:val="0"/>
        <w:autoSpaceDE w:val="0"/>
        <w:autoSpaceDN w:val="0"/>
        <w:adjustRightInd w:val="0"/>
        <w:snapToGrid w:val="0"/>
        <w:ind w:right="-27" w:rightChars="-13"/>
        <w:jc w:val="center"/>
        <w:rPr>
          <w:rFonts w:ascii="Garamond" w:hAnsi="Garamond"/>
          <w:color w:val="auto"/>
          <w:sz w:val="36"/>
          <w:highlight w:val="none"/>
        </w:rPr>
      </w:pPr>
    </w:p>
    <w:p w14:paraId="025366A2">
      <w:pPr>
        <w:kinsoku w:val="0"/>
        <w:overflowPunct w:val="0"/>
        <w:autoSpaceDE w:val="0"/>
        <w:autoSpaceDN w:val="0"/>
        <w:adjustRightInd w:val="0"/>
        <w:snapToGrid w:val="0"/>
        <w:ind w:right="-27" w:rightChars="-13"/>
        <w:jc w:val="center"/>
        <w:rPr>
          <w:rFonts w:ascii="Garamond" w:hAnsi="Garamond"/>
          <w:color w:val="auto"/>
          <w:sz w:val="36"/>
          <w:highlight w:val="none"/>
        </w:rPr>
      </w:pPr>
    </w:p>
    <w:p w14:paraId="231AE0DE">
      <w:pPr>
        <w:kinsoku w:val="0"/>
        <w:overflowPunct w:val="0"/>
        <w:autoSpaceDE w:val="0"/>
        <w:autoSpaceDN w:val="0"/>
        <w:adjustRightInd w:val="0"/>
        <w:snapToGrid w:val="0"/>
        <w:ind w:right="-27" w:rightChars="-13"/>
        <w:jc w:val="center"/>
        <w:rPr>
          <w:rFonts w:ascii="Garamond" w:hAnsi="Garamond"/>
          <w:color w:val="auto"/>
          <w:sz w:val="36"/>
          <w:highlight w:val="none"/>
        </w:rPr>
      </w:pPr>
    </w:p>
    <w:p w14:paraId="0D81210C">
      <w:pPr>
        <w:kinsoku w:val="0"/>
        <w:overflowPunct w:val="0"/>
        <w:autoSpaceDE w:val="0"/>
        <w:autoSpaceDN w:val="0"/>
        <w:adjustRightInd w:val="0"/>
        <w:snapToGrid w:val="0"/>
        <w:ind w:right="-27" w:rightChars="-13"/>
        <w:jc w:val="center"/>
        <w:rPr>
          <w:rFonts w:ascii="Garamond" w:hAnsi="Garamond"/>
          <w:color w:val="auto"/>
          <w:sz w:val="36"/>
          <w:highlight w:val="none"/>
        </w:rPr>
      </w:pPr>
    </w:p>
    <w:p w14:paraId="75CCC819">
      <w:pPr>
        <w:spacing w:after="240" w:line="360" w:lineRule="auto"/>
        <w:ind w:right="-27" w:rightChars="-13"/>
        <w:jc w:val="center"/>
        <w:rPr>
          <w:rFonts w:ascii="Garamond" w:hAnsi="Garamond" w:eastAsia="黑体"/>
          <w:color w:val="auto"/>
          <w:kern w:val="72"/>
          <w:sz w:val="24"/>
          <w:szCs w:val="72"/>
          <w:highlight w:val="none"/>
          <w:u w:val="single"/>
        </w:rPr>
      </w:pPr>
      <w:r>
        <w:rPr>
          <w:rFonts w:ascii="Garamond" w:hAnsi="Garamond" w:eastAsia="黑体"/>
          <w:b/>
          <w:color w:val="auto"/>
          <w:kern w:val="72"/>
          <w:sz w:val="72"/>
          <w:szCs w:val="72"/>
          <w:highlight w:val="none"/>
        </w:rPr>
        <w:t>招 标 文 件</w:t>
      </w:r>
    </w:p>
    <w:p w14:paraId="7B0FE5AF">
      <w:pPr>
        <w:spacing w:after="240" w:line="360" w:lineRule="auto"/>
        <w:ind w:right="-27" w:rightChars="-13"/>
        <w:jc w:val="center"/>
        <w:rPr>
          <w:rFonts w:ascii="Garamond" w:hAnsi="Garamond" w:eastAsia="黑体"/>
          <w:b/>
          <w:bCs/>
          <w:color w:val="auto"/>
          <w:sz w:val="36"/>
          <w:szCs w:val="36"/>
          <w:highlight w:val="none"/>
        </w:rPr>
      </w:pPr>
      <w:r>
        <w:rPr>
          <w:rFonts w:ascii="Garamond" w:hAnsi="Garamond" w:eastAsia="黑体"/>
          <w:b/>
          <w:bCs/>
          <w:color w:val="auto"/>
          <w:sz w:val="36"/>
          <w:szCs w:val="36"/>
          <w:highlight w:val="none"/>
        </w:rPr>
        <w:t>（项目专用本）</w:t>
      </w:r>
    </w:p>
    <w:p w14:paraId="7C29D20B">
      <w:pPr>
        <w:spacing w:line="360" w:lineRule="auto"/>
        <w:ind w:right="-27" w:rightChars="-13"/>
        <w:jc w:val="center"/>
        <w:rPr>
          <w:rFonts w:ascii="Garamond" w:hAnsi="Garamond"/>
          <w:b/>
          <w:bCs/>
          <w:color w:val="auto"/>
          <w:spacing w:val="40"/>
          <w:sz w:val="44"/>
          <w:highlight w:val="none"/>
        </w:rPr>
      </w:pPr>
    </w:p>
    <w:p w14:paraId="558893DD">
      <w:pPr>
        <w:spacing w:line="360" w:lineRule="auto"/>
        <w:ind w:right="-27" w:rightChars="-13"/>
        <w:jc w:val="center"/>
        <w:rPr>
          <w:rFonts w:ascii="Garamond" w:hAnsi="Garamond"/>
          <w:color w:val="auto"/>
          <w:sz w:val="24"/>
          <w:highlight w:val="none"/>
        </w:rPr>
      </w:pPr>
    </w:p>
    <w:p w14:paraId="5BFF6A5C">
      <w:pPr>
        <w:spacing w:line="360" w:lineRule="auto"/>
        <w:ind w:right="-27" w:rightChars="-13"/>
        <w:jc w:val="center"/>
        <w:rPr>
          <w:rFonts w:ascii="Garamond" w:hAnsi="Garamond"/>
          <w:color w:val="auto"/>
          <w:sz w:val="24"/>
          <w:highlight w:val="none"/>
        </w:rPr>
      </w:pPr>
    </w:p>
    <w:p w14:paraId="27868230">
      <w:pPr>
        <w:spacing w:line="360" w:lineRule="auto"/>
        <w:ind w:right="-27" w:rightChars="-13"/>
        <w:jc w:val="center"/>
        <w:rPr>
          <w:rFonts w:ascii="Garamond" w:hAnsi="Garamond"/>
          <w:color w:val="auto"/>
          <w:sz w:val="24"/>
          <w:highlight w:val="none"/>
        </w:rPr>
      </w:pPr>
    </w:p>
    <w:p w14:paraId="4060DABB">
      <w:pPr>
        <w:spacing w:line="360" w:lineRule="auto"/>
        <w:ind w:right="-27" w:rightChars="-13"/>
        <w:jc w:val="center"/>
        <w:rPr>
          <w:rFonts w:ascii="Garamond" w:hAnsi="Garamond"/>
          <w:color w:val="auto"/>
          <w:sz w:val="24"/>
          <w:highlight w:val="none"/>
        </w:rPr>
      </w:pPr>
    </w:p>
    <w:p w14:paraId="405B8B21">
      <w:pPr>
        <w:spacing w:line="360" w:lineRule="auto"/>
        <w:ind w:right="-27" w:rightChars="-13"/>
        <w:jc w:val="center"/>
        <w:rPr>
          <w:rFonts w:ascii="Garamond" w:hAnsi="Garamond"/>
          <w:color w:val="auto"/>
          <w:sz w:val="24"/>
          <w:highlight w:val="none"/>
        </w:rPr>
      </w:pPr>
    </w:p>
    <w:p w14:paraId="6D6623F7">
      <w:pPr>
        <w:spacing w:line="360" w:lineRule="auto"/>
        <w:ind w:right="-27" w:rightChars="-13"/>
        <w:jc w:val="center"/>
        <w:rPr>
          <w:rFonts w:ascii="Garamond" w:hAnsi="Garamond"/>
          <w:color w:val="auto"/>
          <w:sz w:val="24"/>
          <w:highlight w:val="none"/>
        </w:rPr>
      </w:pPr>
    </w:p>
    <w:p w14:paraId="34E3DB1F">
      <w:pPr>
        <w:spacing w:line="360" w:lineRule="auto"/>
        <w:ind w:firstLine="851" w:firstLineChars="200"/>
        <w:rPr>
          <w:rFonts w:ascii="Garamond" w:hAnsi="Garamond" w:eastAsia="黑体"/>
          <w:b/>
          <w:color w:val="auto"/>
          <w:kern w:val="0"/>
          <w:sz w:val="32"/>
          <w:szCs w:val="32"/>
          <w:highlight w:val="none"/>
        </w:rPr>
      </w:pPr>
      <w:r>
        <w:rPr>
          <w:rFonts w:ascii="Garamond" w:hAnsi="Garamond" w:eastAsia="黑体"/>
          <w:b/>
          <w:color w:val="auto"/>
          <w:spacing w:val="52"/>
          <w:kern w:val="0"/>
          <w:sz w:val="32"/>
          <w:szCs w:val="32"/>
          <w:highlight w:val="none"/>
        </w:rPr>
        <w:t>招标人</w:t>
      </w:r>
      <w:r>
        <w:rPr>
          <w:rFonts w:ascii="Garamond" w:hAnsi="Garamond" w:eastAsia="黑体"/>
          <w:b/>
          <w:color w:val="auto"/>
          <w:kern w:val="0"/>
          <w:sz w:val="32"/>
          <w:szCs w:val="32"/>
          <w:highlight w:val="none"/>
        </w:rPr>
        <w:t>：</w:t>
      </w:r>
      <w:r>
        <w:rPr>
          <w:rFonts w:hint="eastAsia" w:ascii="Garamond" w:hAnsi="Garamond" w:eastAsia="黑体"/>
          <w:b/>
          <w:color w:val="auto"/>
          <w:spacing w:val="40"/>
          <w:kern w:val="0"/>
          <w:sz w:val="32"/>
          <w:szCs w:val="32"/>
          <w:highlight w:val="none"/>
          <w:fitText w:val="5120" w:id="1494054922"/>
        </w:rPr>
        <w:t>南通市交通公共事业发展中</w:t>
      </w:r>
      <w:r>
        <w:rPr>
          <w:rFonts w:hint="eastAsia" w:ascii="Garamond" w:hAnsi="Garamond" w:eastAsia="黑体"/>
          <w:b/>
          <w:color w:val="auto"/>
          <w:spacing w:val="0"/>
          <w:kern w:val="0"/>
          <w:sz w:val="32"/>
          <w:szCs w:val="32"/>
          <w:highlight w:val="none"/>
          <w:fitText w:val="5120" w:id="1494054922"/>
        </w:rPr>
        <w:t>心</w:t>
      </w:r>
    </w:p>
    <w:p w14:paraId="0091B07C">
      <w:pPr>
        <w:spacing w:line="360" w:lineRule="auto"/>
        <w:ind w:right="-27" w:rightChars="-13"/>
        <w:jc w:val="center"/>
        <w:rPr>
          <w:rFonts w:ascii="Garamond" w:hAnsi="Garamond" w:eastAsia="黑体"/>
          <w:b/>
          <w:color w:val="auto"/>
          <w:sz w:val="32"/>
          <w:szCs w:val="32"/>
          <w:highlight w:val="none"/>
        </w:rPr>
      </w:pPr>
      <w:r>
        <w:rPr>
          <w:rFonts w:ascii="Garamond" w:hAnsi="Garamond" w:eastAsia="黑体"/>
          <w:b/>
          <w:color w:val="auto"/>
          <w:sz w:val="32"/>
          <w:szCs w:val="32"/>
          <w:highlight w:val="none"/>
        </w:rPr>
        <w:t>二</w:t>
      </w:r>
      <w:r>
        <w:rPr>
          <w:rFonts w:ascii="黑体" w:hAnsi="黑体" w:eastAsia="黑体"/>
          <w:b/>
          <w:color w:val="auto"/>
          <w:sz w:val="32"/>
          <w:highlight w:val="none"/>
        </w:rPr>
        <w:t>○</w:t>
      </w:r>
      <w:r>
        <w:rPr>
          <w:rFonts w:ascii="Garamond" w:hAnsi="Garamond" w:eastAsia="黑体"/>
          <w:b/>
          <w:color w:val="auto"/>
          <w:sz w:val="32"/>
          <w:szCs w:val="32"/>
          <w:highlight w:val="none"/>
        </w:rPr>
        <w:t>二</w:t>
      </w:r>
      <w:r>
        <w:rPr>
          <w:rFonts w:hint="eastAsia" w:ascii="Garamond" w:hAnsi="Garamond" w:eastAsia="黑体"/>
          <w:b/>
          <w:color w:val="auto"/>
          <w:sz w:val="32"/>
          <w:szCs w:val="32"/>
          <w:highlight w:val="none"/>
          <w:lang w:val="en-US" w:eastAsia="zh-CN"/>
        </w:rPr>
        <w:t>五</w:t>
      </w:r>
      <w:r>
        <w:rPr>
          <w:rFonts w:ascii="Garamond" w:hAnsi="Garamond" w:eastAsia="黑体"/>
          <w:b/>
          <w:color w:val="auto"/>
          <w:sz w:val="32"/>
          <w:szCs w:val="32"/>
          <w:highlight w:val="none"/>
        </w:rPr>
        <w:t>年</w:t>
      </w:r>
      <w:r>
        <w:rPr>
          <w:rFonts w:hint="eastAsia" w:ascii="Garamond" w:hAnsi="Garamond" w:eastAsia="黑体"/>
          <w:b/>
          <w:color w:val="auto"/>
          <w:sz w:val="32"/>
          <w:szCs w:val="32"/>
          <w:highlight w:val="none"/>
        </w:rPr>
        <w:t>九</w:t>
      </w:r>
      <w:r>
        <w:rPr>
          <w:rFonts w:ascii="Garamond" w:hAnsi="Garamond" w:eastAsia="黑体"/>
          <w:b/>
          <w:color w:val="auto"/>
          <w:sz w:val="32"/>
          <w:szCs w:val="32"/>
          <w:highlight w:val="none"/>
        </w:rPr>
        <w:t>月</w:t>
      </w:r>
      <w:bookmarkStart w:id="4" w:name="_Toc234744417"/>
      <w:bookmarkStart w:id="5" w:name="_Toc238559171"/>
      <w:bookmarkStart w:id="6" w:name="_Toc218933019"/>
      <w:bookmarkStart w:id="7" w:name="_Toc234675048"/>
      <w:bookmarkStart w:id="8" w:name="_Toc170618587"/>
      <w:bookmarkStart w:id="9" w:name="_Toc155855594"/>
    </w:p>
    <w:p w14:paraId="540B3BB4">
      <w:pPr>
        <w:spacing w:line="360" w:lineRule="auto"/>
        <w:ind w:right="-27" w:rightChars="-13"/>
        <w:jc w:val="center"/>
        <w:rPr>
          <w:rFonts w:ascii="Garamond" w:hAnsi="Garamond" w:eastAsia="黑体"/>
          <w:b/>
          <w:color w:val="auto"/>
          <w:sz w:val="32"/>
          <w:szCs w:val="32"/>
          <w:highlight w:val="none"/>
        </w:rPr>
      </w:pPr>
    </w:p>
    <w:p w14:paraId="2630F27E">
      <w:pPr>
        <w:pStyle w:val="2"/>
        <w:spacing w:before="0" w:after="0" w:line="360" w:lineRule="auto"/>
        <w:jc w:val="center"/>
        <w:rPr>
          <w:rFonts w:ascii="Garamond" w:hAnsi="Garamond"/>
          <w:color w:val="auto"/>
          <w:highlight w:val="none"/>
        </w:rPr>
        <w:sectPr>
          <w:headerReference r:id="rId3" w:type="default"/>
          <w:footerReference r:id="rId4" w:type="default"/>
          <w:pgSz w:w="11906" w:h="16838"/>
          <w:pgMar w:top="1418" w:right="1247" w:bottom="1418" w:left="1418" w:header="851" w:footer="680" w:gutter="0"/>
          <w:pgNumType w:fmt="decimalFullWidth" w:start="1"/>
          <w:cols w:space="720" w:num="1"/>
          <w:titlePg/>
          <w:docGrid w:linePitch="312" w:charSpace="0"/>
        </w:sectPr>
      </w:pPr>
    </w:p>
    <w:p w14:paraId="5E2BBC67">
      <w:pPr>
        <w:pStyle w:val="2"/>
        <w:spacing w:before="0" w:after="0" w:line="360" w:lineRule="auto"/>
        <w:jc w:val="center"/>
        <w:rPr>
          <w:rFonts w:ascii="Garamond" w:hAnsi="Garamond"/>
          <w:color w:val="auto"/>
          <w:highlight w:val="none"/>
        </w:rPr>
      </w:pPr>
      <w:r>
        <w:rPr>
          <w:rFonts w:ascii="Garamond" w:hAnsi="Garamond"/>
          <w:color w:val="auto"/>
          <w:highlight w:val="none"/>
        </w:rPr>
        <w:t>说  明</w:t>
      </w:r>
      <w:bookmarkEnd w:id="4"/>
      <w:bookmarkEnd w:id="5"/>
      <w:bookmarkEnd w:id="6"/>
      <w:bookmarkEnd w:id="7"/>
      <w:bookmarkEnd w:id="8"/>
      <w:bookmarkEnd w:id="9"/>
    </w:p>
    <w:p w14:paraId="035D14A3">
      <w:pPr>
        <w:wordWrap w:val="0"/>
        <w:adjustRightInd w:val="0"/>
        <w:snapToGrid w:val="0"/>
        <w:spacing w:line="360" w:lineRule="auto"/>
        <w:ind w:firstLine="482"/>
        <w:rPr>
          <w:rFonts w:ascii="Garamond" w:hAnsi="Garamond"/>
          <w:color w:val="auto"/>
          <w:sz w:val="24"/>
          <w:highlight w:val="none"/>
        </w:rPr>
      </w:pPr>
      <w:r>
        <w:rPr>
          <w:rFonts w:ascii="Garamond" w:hAnsi="Garamond"/>
          <w:color w:val="auto"/>
          <w:sz w:val="24"/>
          <w:highlight w:val="none"/>
        </w:rPr>
        <w:t>一、</w:t>
      </w:r>
      <w:r>
        <w:rPr>
          <w:rFonts w:hint="eastAsia" w:ascii="Garamond" w:hAnsi="Garamond"/>
          <w:color w:val="auto"/>
          <w:sz w:val="24"/>
          <w:highlight w:val="none"/>
          <w:lang w:eastAsia="zh-CN"/>
        </w:rPr>
        <w:t>南通沿江港口公用锚地调整项目配套系船浮工程试验检测项目</w:t>
      </w:r>
      <w:r>
        <w:rPr>
          <w:rFonts w:ascii="Garamond" w:hAnsi="Garamond"/>
          <w:color w:val="auto"/>
          <w:sz w:val="24"/>
          <w:highlight w:val="none"/>
        </w:rPr>
        <w:t>（</w:t>
      </w:r>
      <w:r>
        <w:rPr>
          <w:rFonts w:hint="eastAsia" w:ascii="Garamond" w:hAnsi="Garamond"/>
          <w:color w:val="auto"/>
          <w:sz w:val="24"/>
          <w:highlight w:val="none"/>
          <w:lang w:eastAsia="zh-CN"/>
        </w:rPr>
        <w:t>XCF-JC标段</w:t>
      </w:r>
      <w:r>
        <w:rPr>
          <w:rFonts w:ascii="Garamond" w:hAnsi="Garamond"/>
          <w:color w:val="auto"/>
          <w:sz w:val="24"/>
          <w:highlight w:val="none"/>
        </w:rPr>
        <w:t>）招标文件，以江苏省交通运输厅《江苏省公路水运工程试验检测标准招标文件》（2014年版）（以下简称《江苏省试验检测标准文件》）为依据，结合本项目的具体特点和实际需要编制而成。</w:t>
      </w:r>
    </w:p>
    <w:p w14:paraId="20AED25A">
      <w:pPr>
        <w:wordWrap w:val="0"/>
        <w:adjustRightInd w:val="0"/>
        <w:snapToGrid w:val="0"/>
        <w:spacing w:line="360" w:lineRule="auto"/>
        <w:ind w:firstLine="482"/>
        <w:rPr>
          <w:rFonts w:ascii="Garamond" w:hAnsi="Garamond"/>
          <w:color w:val="auto"/>
          <w:sz w:val="24"/>
          <w:highlight w:val="none"/>
        </w:rPr>
      </w:pPr>
      <w:r>
        <w:rPr>
          <w:rFonts w:ascii="Garamond" w:hAnsi="Garamond"/>
          <w:color w:val="auto"/>
          <w:sz w:val="24"/>
          <w:highlight w:val="none"/>
        </w:rPr>
        <w:t>二、本招标文件由范本和项目专用本两部分组成。范本为《江苏省试验检测标准文件》，本册为项目专用本。项目专用本是根据实际情况和需要而对《江苏省试验检测标准文件》进行的补充、完善和修改，投标人应将《江苏省试验检测标准文件》和项目专用本结合阅读，凡《江苏省试验检测标准文件》与项目专用本不一致处以项目专用本为准。专用本未对《江苏省试验检测标准文件》进行补充、完善、修改和说明的，以《江苏省试验检测标准文件》为准。</w:t>
      </w:r>
    </w:p>
    <w:p w14:paraId="36C5A1A3">
      <w:pPr>
        <w:wordWrap w:val="0"/>
        <w:adjustRightInd w:val="0"/>
        <w:snapToGrid w:val="0"/>
        <w:spacing w:line="360" w:lineRule="auto"/>
        <w:ind w:firstLine="482"/>
        <w:rPr>
          <w:rFonts w:ascii="Garamond" w:hAnsi="Garamond"/>
          <w:color w:val="auto"/>
          <w:sz w:val="24"/>
          <w:highlight w:val="none"/>
        </w:rPr>
      </w:pPr>
      <w:r>
        <w:rPr>
          <w:rFonts w:ascii="Garamond" w:hAnsi="Garamond"/>
          <w:color w:val="auto"/>
          <w:sz w:val="24"/>
          <w:highlight w:val="none"/>
        </w:rPr>
        <w:t xml:space="preserve">三、项目专用本对《江苏省试验检测标准文件》各章的引用情况详见下表： </w:t>
      </w:r>
    </w:p>
    <w:tbl>
      <w:tblPr>
        <w:tblStyle w:val="44"/>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2835"/>
        <w:gridCol w:w="5438"/>
      </w:tblGrid>
      <w:tr w14:paraId="00D6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2124" w:type="pct"/>
            <w:gridSpan w:val="2"/>
            <w:vAlign w:val="center"/>
          </w:tcPr>
          <w:p w14:paraId="0A31FDB9">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章节</w:t>
            </w:r>
          </w:p>
        </w:tc>
        <w:tc>
          <w:tcPr>
            <w:tcW w:w="2875" w:type="pct"/>
            <w:vAlign w:val="center"/>
          </w:tcPr>
          <w:p w14:paraId="1D0697D7">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编制说明</w:t>
            </w:r>
          </w:p>
        </w:tc>
      </w:tr>
      <w:tr w14:paraId="4CD5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5B32572E">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第一章</w:t>
            </w:r>
          </w:p>
        </w:tc>
        <w:tc>
          <w:tcPr>
            <w:tcW w:w="1498" w:type="pct"/>
            <w:vAlign w:val="center"/>
          </w:tcPr>
          <w:p w14:paraId="0F51DF09">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招标公告</w:t>
            </w:r>
          </w:p>
        </w:tc>
        <w:tc>
          <w:tcPr>
            <w:tcW w:w="2875" w:type="pct"/>
            <w:vAlign w:val="center"/>
          </w:tcPr>
          <w:p w14:paraId="2104E210">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内容见本项目专用本。</w:t>
            </w:r>
          </w:p>
        </w:tc>
      </w:tr>
      <w:tr w14:paraId="3DA3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0E08D876">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第二章</w:t>
            </w:r>
          </w:p>
        </w:tc>
        <w:tc>
          <w:tcPr>
            <w:tcW w:w="1498" w:type="pct"/>
            <w:vAlign w:val="center"/>
          </w:tcPr>
          <w:p w14:paraId="598253AB">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投标人须知</w:t>
            </w:r>
          </w:p>
        </w:tc>
        <w:tc>
          <w:tcPr>
            <w:tcW w:w="2875" w:type="pct"/>
            <w:vAlign w:val="center"/>
          </w:tcPr>
          <w:p w14:paraId="10A058F4">
            <w:pPr>
              <w:spacing w:line="340" w:lineRule="exact"/>
              <w:jc w:val="center"/>
              <w:rPr>
                <w:rFonts w:ascii="Garamond" w:hAnsi="Garamond"/>
                <w:color w:val="auto"/>
                <w:kern w:val="0"/>
                <w:szCs w:val="21"/>
                <w:highlight w:val="none"/>
              </w:rPr>
            </w:pPr>
          </w:p>
        </w:tc>
      </w:tr>
      <w:tr w14:paraId="6693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18C8B669">
            <w:pPr>
              <w:widowControl/>
              <w:spacing w:line="340" w:lineRule="exact"/>
              <w:jc w:val="center"/>
              <w:rPr>
                <w:rFonts w:ascii="Garamond" w:hAnsi="Garamond"/>
                <w:color w:val="auto"/>
                <w:kern w:val="0"/>
                <w:szCs w:val="21"/>
                <w:highlight w:val="none"/>
              </w:rPr>
            </w:pPr>
          </w:p>
        </w:tc>
        <w:tc>
          <w:tcPr>
            <w:tcW w:w="1498" w:type="pct"/>
            <w:vAlign w:val="center"/>
          </w:tcPr>
          <w:p w14:paraId="28C8A049">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投标人须知前附表</w:t>
            </w:r>
          </w:p>
        </w:tc>
        <w:tc>
          <w:tcPr>
            <w:tcW w:w="2875" w:type="pct"/>
            <w:vAlign w:val="center"/>
          </w:tcPr>
          <w:p w14:paraId="542A5786">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本项目专用本。“投标人须知前附表”是对“投标人须知”正文的补充、细化，是对正文中的未尽事宜的明确。“投标人须知前附表”与“投标人须知”正文有不一致处，以“投标人须知前附表”规定为准。</w:t>
            </w:r>
          </w:p>
        </w:tc>
      </w:tr>
      <w:tr w14:paraId="5A47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3489A527">
            <w:pPr>
              <w:widowControl/>
              <w:spacing w:line="340" w:lineRule="exact"/>
              <w:jc w:val="center"/>
              <w:rPr>
                <w:rFonts w:ascii="Garamond" w:hAnsi="Garamond"/>
                <w:color w:val="auto"/>
                <w:kern w:val="0"/>
                <w:szCs w:val="21"/>
                <w:highlight w:val="none"/>
              </w:rPr>
            </w:pPr>
          </w:p>
        </w:tc>
        <w:tc>
          <w:tcPr>
            <w:tcW w:w="1498" w:type="pct"/>
            <w:vAlign w:val="center"/>
          </w:tcPr>
          <w:p w14:paraId="7D735DA2">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“投标人须知”正文</w:t>
            </w:r>
          </w:p>
        </w:tc>
        <w:tc>
          <w:tcPr>
            <w:tcW w:w="2875" w:type="pct"/>
            <w:vAlign w:val="center"/>
          </w:tcPr>
          <w:p w14:paraId="32A5EF71">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不加修改的引用《江苏省试验检测标准文件》。</w:t>
            </w:r>
          </w:p>
        </w:tc>
      </w:tr>
      <w:tr w14:paraId="1196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6219E8A8">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第三章</w:t>
            </w:r>
          </w:p>
        </w:tc>
        <w:tc>
          <w:tcPr>
            <w:tcW w:w="1498" w:type="pct"/>
            <w:vAlign w:val="center"/>
          </w:tcPr>
          <w:p w14:paraId="679BB1F1">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评标办法（综合评估法）</w:t>
            </w:r>
          </w:p>
        </w:tc>
        <w:tc>
          <w:tcPr>
            <w:tcW w:w="2875" w:type="pct"/>
            <w:vAlign w:val="center"/>
          </w:tcPr>
          <w:p w14:paraId="2EA58B76">
            <w:pPr>
              <w:spacing w:line="340" w:lineRule="exact"/>
              <w:jc w:val="center"/>
              <w:rPr>
                <w:rFonts w:ascii="Garamond" w:hAnsi="Garamond"/>
                <w:color w:val="auto"/>
                <w:kern w:val="0"/>
                <w:szCs w:val="21"/>
                <w:highlight w:val="none"/>
              </w:rPr>
            </w:pPr>
          </w:p>
        </w:tc>
      </w:tr>
      <w:tr w14:paraId="6D12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253BE0A5">
            <w:pPr>
              <w:jc w:val="center"/>
              <w:rPr>
                <w:rFonts w:ascii="Garamond" w:hAnsi="Garamond"/>
                <w:color w:val="auto"/>
                <w:kern w:val="0"/>
                <w:szCs w:val="21"/>
                <w:highlight w:val="none"/>
              </w:rPr>
            </w:pPr>
          </w:p>
        </w:tc>
        <w:tc>
          <w:tcPr>
            <w:tcW w:w="1498" w:type="pct"/>
            <w:vAlign w:val="center"/>
          </w:tcPr>
          <w:p w14:paraId="2628448E">
            <w:pPr>
              <w:jc w:val="center"/>
              <w:rPr>
                <w:rFonts w:ascii="Garamond" w:hAnsi="Garamond"/>
                <w:color w:val="auto"/>
                <w:kern w:val="0"/>
                <w:szCs w:val="21"/>
                <w:highlight w:val="none"/>
              </w:rPr>
            </w:pPr>
            <w:r>
              <w:rPr>
                <w:rFonts w:ascii="Garamond" w:hAnsi="Garamond"/>
                <w:color w:val="auto"/>
                <w:kern w:val="0"/>
                <w:szCs w:val="21"/>
                <w:highlight w:val="none"/>
              </w:rPr>
              <w:t>评标办法前附表</w:t>
            </w:r>
          </w:p>
        </w:tc>
        <w:tc>
          <w:tcPr>
            <w:tcW w:w="2875" w:type="pct"/>
            <w:vAlign w:val="center"/>
          </w:tcPr>
          <w:p w14:paraId="4AFECF6C">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内容见项目专用本。“评标办法前附表”是对“评标办法(综合评估法)”正文的补充、细化。“评标办法前附表”与“评标办法”正文有不一致处，以“评标办法前附表”规定为准。</w:t>
            </w:r>
          </w:p>
        </w:tc>
      </w:tr>
      <w:tr w14:paraId="32E1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10D96ADD">
            <w:pPr>
              <w:jc w:val="center"/>
              <w:rPr>
                <w:rFonts w:ascii="Garamond" w:hAnsi="Garamond"/>
                <w:color w:val="auto"/>
                <w:kern w:val="0"/>
                <w:szCs w:val="21"/>
                <w:highlight w:val="none"/>
              </w:rPr>
            </w:pPr>
          </w:p>
        </w:tc>
        <w:tc>
          <w:tcPr>
            <w:tcW w:w="1498" w:type="pct"/>
            <w:vAlign w:val="center"/>
          </w:tcPr>
          <w:p w14:paraId="15C76F46">
            <w:pPr>
              <w:jc w:val="center"/>
              <w:rPr>
                <w:rFonts w:ascii="Garamond" w:hAnsi="Garamond"/>
                <w:color w:val="auto"/>
                <w:kern w:val="0"/>
                <w:szCs w:val="21"/>
                <w:highlight w:val="none"/>
              </w:rPr>
            </w:pPr>
            <w:r>
              <w:rPr>
                <w:rFonts w:ascii="Garamond" w:hAnsi="Garamond"/>
                <w:color w:val="auto"/>
                <w:kern w:val="0"/>
                <w:szCs w:val="21"/>
                <w:highlight w:val="none"/>
              </w:rPr>
              <w:t>“评标办法”正文</w:t>
            </w:r>
          </w:p>
        </w:tc>
        <w:tc>
          <w:tcPr>
            <w:tcW w:w="2875" w:type="pct"/>
            <w:vAlign w:val="center"/>
          </w:tcPr>
          <w:p w14:paraId="46DF0341">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不加修改的引用《江苏省试验检测标准文件》。</w:t>
            </w:r>
          </w:p>
        </w:tc>
      </w:tr>
      <w:tr w14:paraId="6F28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64496E7D">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第四章</w:t>
            </w:r>
          </w:p>
        </w:tc>
        <w:tc>
          <w:tcPr>
            <w:tcW w:w="1498" w:type="pct"/>
            <w:vAlign w:val="center"/>
          </w:tcPr>
          <w:p w14:paraId="5D9BB328">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合同条款及格式</w:t>
            </w:r>
          </w:p>
        </w:tc>
        <w:tc>
          <w:tcPr>
            <w:tcW w:w="2875" w:type="pct"/>
            <w:vAlign w:val="center"/>
          </w:tcPr>
          <w:p w14:paraId="1495A14A">
            <w:pPr>
              <w:spacing w:line="340" w:lineRule="exact"/>
              <w:jc w:val="center"/>
              <w:rPr>
                <w:rFonts w:ascii="Garamond" w:hAnsi="Garamond"/>
                <w:color w:val="auto"/>
                <w:kern w:val="0"/>
                <w:szCs w:val="21"/>
                <w:highlight w:val="none"/>
              </w:rPr>
            </w:pPr>
          </w:p>
        </w:tc>
      </w:tr>
      <w:tr w14:paraId="1216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706C0803">
            <w:pPr>
              <w:widowControl/>
              <w:spacing w:line="340" w:lineRule="exact"/>
              <w:jc w:val="center"/>
              <w:rPr>
                <w:rFonts w:ascii="Garamond" w:hAnsi="Garamond"/>
                <w:color w:val="auto"/>
                <w:kern w:val="0"/>
                <w:szCs w:val="21"/>
                <w:highlight w:val="none"/>
              </w:rPr>
            </w:pPr>
          </w:p>
        </w:tc>
        <w:tc>
          <w:tcPr>
            <w:tcW w:w="1498" w:type="pct"/>
            <w:vAlign w:val="center"/>
          </w:tcPr>
          <w:p w14:paraId="3CC3A4AE">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通用合同条款</w:t>
            </w:r>
          </w:p>
        </w:tc>
        <w:tc>
          <w:tcPr>
            <w:tcW w:w="2875" w:type="pct"/>
            <w:vAlign w:val="center"/>
          </w:tcPr>
          <w:p w14:paraId="707B2454">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内容见本项目专用本。不加修改的引用《江苏省试验检测标准文件》。</w:t>
            </w:r>
          </w:p>
        </w:tc>
      </w:tr>
      <w:tr w14:paraId="11AF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4DC25051">
            <w:pPr>
              <w:widowControl/>
              <w:spacing w:line="340" w:lineRule="exact"/>
              <w:jc w:val="center"/>
              <w:rPr>
                <w:rFonts w:ascii="Garamond" w:hAnsi="Garamond"/>
                <w:color w:val="auto"/>
                <w:kern w:val="0"/>
                <w:szCs w:val="21"/>
                <w:highlight w:val="none"/>
              </w:rPr>
            </w:pPr>
          </w:p>
        </w:tc>
        <w:tc>
          <w:tcPr>
            <w:tcW w:w="1498" w:type="pct"/>
            <w:vAlign w:val="center"/>
          </w:tcPr>
          <w:p w14:paraId="28E9708B">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专用合同条款</w:t>
            </w:r>
          </w:p>
        </w:tc>
        <w:tc>
          <w:tcPr>
            <w:tcW w:w="2875" w:type="pct"/>
            <w:vAlign w:val="center"/>
          </w:tcPr>
          <w:p w14:paraId="08DC0449">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“专用合同条款”是对《江苏省试验检测标准文件》“合同条款及格式”的补充和细化。</w:t>
            </w:r>
          </w:p>
        </w:tc>
      </w:tr>
      <w:tr w14:paraId="2257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71D4ADFF">
            <w:pPr>
              <w:spacing w:line="340" w:lineRule="exact"/>
              <w:jc w:val="center"/>
              <w:rPr>
                <w:rFonts w:ascii="Garamond" w:hAnsi="Garamond"/>
                <w:color w:val="auto"/>
                <w:kern w:val="0"/>
                <w:szCs w:val="21"/>
                <w:highlight w:val="none"/>
              </w:rPr>
            </w:pPr>
          </w:p>
        </w:tc>
        <w:tc>
          <w:tcPr>
            <w:tcW w:w="1498" w:type="pct"/>
            <w:vAlign w:val="center"/>
          </w:tcPr>
          <w:p w14:paraId="068D0AAA">
            <w:pPr>
              <w:spacing w:line="340" w:lineRule="exact"/>
              <w:jc w:val="center"/>
              <w:rPr>
                <w:rFonts w:ascii="Garamond" w:hAnsi="Garamond"/>
                <w:color w:val="auto"/>
                <w:szCs w:val="21"/>
                <w:highlight w:val="none"/>
              </w:rPr>
            </w:pPr>
            <w:r>
              <w:rPr>
                <w:rFonts w:ascii="Garamond" w:hAnsi="Garamond"/>
                <w:color w:val="auto"/>
                <w:kern w:val="0"/>
                <w:szCs w:val="21"/>
                <w:highlight w:val="none"/>
              </w:rPr>
              <w:t>合同附件格式</w:t>
            </w:r>
          </w:p>
        </w:tc>
        <w:tc>
          <w:tcPr>
            <w:tcW w:w="2875" w:type="pct"/>
            <w:vAlign w:val="center"/>
          </w:tcPr>
          <w:p w14:paraId="60B6BD5D">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内容见本项目专用本。</w:t>
            </w:r>
          </w:p>
        </w:tc>
      </w:tr>
      <w:tr w14:paraId="4FA5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01F2821E">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第五章</w:t>
            </w:r>
          </w:p>
        </w:tc>
        <w:tc>
          <w:tcPr>
            <w:tcW w:w="1498" w:type="pct"/>
            <w:vAlign w:val="center"/>
          </w:tcPr>
          <w:p w14:paraId="2A5970EA">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工程量清单</w:t>
            </w:r>
          </w:p>
        </w:tc>
        <w:tc>
          <w:tcPr>
            <w:tcW w:w="2875" w:type="pct"/>
            <w:vAlign w:val="center"/>
          </w:tcPr>
          <w:p w14:paraId="1809D288">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内容见本项目专用本。</w:t>
            </w:r>
          </w:p>
        </w:tc>
      </w:tr>
      <w:tr w14:paraId="1C81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07B86EC2">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第六章</w:t>
            </w:r>
          </w:p>
        </w:tc>
        <w:tc>
          <w:tcPr>
            <w:tcW w:w="1498" w:type="pct"/>
            <w:vAlign w:val="center"/>
          </w:tcPr>
          <w:p w14:paraId="479421F7">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技术标准和要求</w:t>
            </w:r>
          </w:p>
        </w:tc>
        <w:tc>
          <w:tcPr>
            <w:tcW w:w="2875" w:type="pct"/>
            <w:vAlign w:val="center"/>
          </w:tcPr>
          <w:p w14:paraId="7DBE3EFA">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内容见本项目专用本。</w:t>
            </w:r>
          </w:p>
        </w:tc>
      </w:tr>
      <w:tr w14:paraId="4726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3C5FEEA1">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第七章</w:t>
            </w:r>
          </w:p>
        </w:tc>
        <w:tc>
          <w:tcPr>
            <w:tcW w:w="1498" w:type="pct"/>
            <w:vAlign w:val="center"/>
          </w:tcPr>
          <w:p w14:paraId="5CA97D2E">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投标文件格式</w:t>
            </w:r>
          </w:p>
        </w:tc>
        <w:tc>
          <w:tcPr>
            <w:tcW w:w="2875" w:type="pct"/>
            <w:vAlign w:val="center"/>
          </w:tcPr>
          <w:p w14:paraId="5D77EE5F">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内容见本项目专用本。</w:t>
            </w:r>
          </w:p>
        </w:tc>
      </w:tr>
      <w:tr w14:paraId="7F7B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625" w:type="pct"/>
            <w:vAlign w:val="center"/>
          </w:tcPr>
          <w:p w14:paraId="2370823D">
            <w:pPr>
              <w:widowControl/>
              <w:spacing w:line="340" w:lineRule="exact"/>
              <w:rPr>
                <w:rFonts w:ascii="Garamond" w:hAnsi="Garamond"/>
                <w:color w:val="auto"/>
                <w:kern w:val="0"/>
                <w:szCs w:val="21"/>
                <w:highlight w:val="none"/>
              </w:rPr>
            </w:pPr>
          </w:p>
        </w:tc>
        <w:tc>
          <w:tcPr>
            <w:tcW w:w="1498" w:type="pct"/>
            <w:vAlign w:val="center"/>
          </w:tcPr>
          <w:p w14:paraId="454F46C7">
            <w:pPr>
              <w:widowControl/>
              <w:spacing w:line="340" w:lineRule="exact"/>
              <w:jc w:val="center"/>
              <w:rPr>
                <w:rFonts w:ascii="Garamond" w:hAnsi="Garamond"/>
                <w:color w:val="auto"/>
                <w:kern w:val="0"/>
                <w:szCs w:val="21"/>
                <w:highlight w:val="none"/>
              </w:rPr>
            </w:pPr>
            <w:r>
              <w:rPr>
                <w:rFonts w:ascii="Garamond" w:hAnsi="Garamond"/>
                <w:color w:val="auto"/>
                <w:kern w:val="0"/>
                <w:szCs w:val="21"/>
                <w:highlight w:val="none"/>
              </w:rPr>
              <w:t>招标文件附件</w:t>
            </w:r>
          </w:p>
        </w:tc>
        <w:tc>
          <w:tcPr>
            <w:tcW w:w="2875" w:type="pct"/>
            <w:vAlign w:val="center"/>
          </w:tcPr>
          <w:p w14:paraId="4323F990">
            <w:pPr>
              <w:spacing w:line="340" w:lineRule="exact"/>
              <w:jc w:val="center"/>
              <w:rPr>
                <w:rFonts w:ascii="Garamond" w:hAnsi="Garamond"/>
                <w:color w:val="auto"/>
                <w:kern w:val="0"/>
                <w:szCs w:val="21"/>
                <w:highlight w:val="none"/>
              </w:rPr>
            </w:pPr>
            <w:r>
              <w:rPr>
                <w:rFonts w:ascii="Garamond" w:hAnsi="Garamond"/>
                <w:color w:val="auto"/>
                <w:kern w:val="0"/>
                <w:szCs w:val="21"/>
                <w:highlight w:val="none"/>
              </w:rPr>
              <w:t>内容见本项目专用本。</w:t>
            </w:r>
          </w:p>
        </w:tc>
      </w:tr>
    </w:tbl>
    <w:p w14:paraId="52DB62B7">
      <w:pPr>
        <w:wordWrap w:val="0"/>
        <w:adjustRightInd w:val="0"/>
        <w:snapToGrid w:val="0"/>
        <w:spacing w:line="360" w:lineRule="auto"/>
        <w:ind w:firstLine="482"/>
        <w:rPr>
          <w:rFonts w:ascii="Garamond" w:hAnsi="Garamond"/>
          <w:color w:val="auto"/>
          <w:sz w:val="24"/>
          <w:highlight w:val="none"/>
        </w:rPr>
      </w:pPr>
      <w:r>
        <w:rPr>
          <w:rFonts w:ascii="Garamond" w:hAnsi="Garamond"/>
          <w:color w:val="auto"/>
          <w:sz w:val="24"/>
          <w:highlight w:val="none"/>
        </w:rPr>
        <w:t>四、本项目不接受联合体投标。《江苏省试验检测标准文件》中关于联合体的相关内容对本项目不适用。本项目专用本不再对《江苏省试验检测标准文件》中关于联合体的相关内容进行修改或删减。</w:t>
      </w:r>
    </w:p>
    <w:p w14:paraId="450B4121">
      <w:pPr>
        <w:wordWrap w:val="0"/>
        <w:adjustRightInd w:val="0"/>
        <w:snapToGrid w:val="0"/>
        <w:spacing w:line="360" w:lineRule="auto"/>
        <w:ind w:firstLine="482"/>
        <w:rPr>
          <w:rFonts w:ascii="Garamond" w:hAnsi="Garamond"/>
          <w:color w:val="auto"/>
          <w:sz w:val="24"/>
          <w:highlight w:val="none"/>
        </w:rPr>
      </w:pPr>
      <w:r>
        <w:rPr>
          <w:rFonts w:ascii="Garamond" w:hAnsi="Garamond"/>
          <w:color w:val="auto"/>
          <w:sz w:val="24"/>
          <w:highlight w:val="none"/>
        </w:rPr>
        <w:t>五、本项目采用资格后审形式，评标办法采用双信封形式的综合评估法。《江苏省试验检测标准文件》中关于</w:t>
      </w:r>
      <w:r>
        <w:rPr>
          <w:rFonts w:ascii="Garamond" w:hAnsi="Garamond"/>
          <w:b/>
          <w:color w:val="auto"/>
          <w:sz w:val="24"/>
          <w:highlight w:val="none"/>
          <w:u w:val="single"/>
        </w:rPr>
        <w:t>已进行资格预审的</w:t>
      </w:r>
      <w:r>
        <w:rPr>
          <w:rFonts w:hint="eastAsia" w:ascii="Garamond" w:hAnsi="Garamond"/>
          <w:b/>
          <w:color w:val="auto"/>
          <w:sz w:val="24"/>
          <w:highlight w:val="none"/>
          <w:u w:val="single"/>
        </w:rPr>
        <w:t>、联合体</w:t>
      </w:r>
      <w:r>
        <w:rPr>
          <w:rFonts w:ascii="Garamond" w:hAnsi="Garamond"/>
          <w:b/>
          <w:color w:val="auto"/>
          <w:sz w:val="24"/>
          <w:highlight w:val="none"/>
          <w:u w:val="single"/>
        </w:rPr>
        <w:t>、单信封的相关内容对本项目不适用</w:t>
      </w:r>
      <w:r>
        <w:rPr>
          <w:rFonts w:ascii="Garamond" w:hAnsi="Garamond"/>
          <w:color w:val="auto"/>
          <w:sz w:val="24"/>
          <w:highlight w:val="none"/>
        </w:rPr>
        <w:t>。</w:t>
      </w:r>
    </w:p>
    <w:p w14:paraId="51A9F74A">
      <w:pPr>
        <w:wordWrap w:val="0"/>
        <w:adjustRightInd w:val="0"/>
        <w:snapToGrid w:val="0"/>
        <w:spacing w:line="360" w:lineRule="auto"/>
        <w:ind w:firstLine="482"/>
        <w:rPr>
          <w:rFonts w:ascii="Garamond" w:hAnsi="Garamond"/>
          <w:color w:val="auto"/>
          <w:sz w:val="24"/>
          <w:highlight w:val="none"/>
        </w:rPr>
        <w:sectPr>
          <w:footerReference r:id="rId6" w:type="first"/>
          <w:footerReference r:id="rId5" w:type="default"/>
          <w:pgSz w:w="11906" w:h="16838"/>
          <w:pgMar w:top="1418" w:right="1247" w:bottom="1418" w:left="1418" w:header="851" w:footer="680" w:gutter="0"/>
          <w:pgNumType w:fmt="decimalFullWidth" w:start="1"/>
          <w:cols w:space="720" w:num="1"/>
          <w:titlePg/>
          <w:docGrid w:linePitch="312" w:charSpace="0"/>
        </w:sectPr>
      </w:pPr>
      <w:r>
        <w:rPr>
          <w:rFonts w:ascii="Garamond" w:hAnsi="Garamond"/>
          <w:color w:val="auto"/>
          <w:sz w:val="24"/>
          <w:highlight w:val="none"/>
        </w:rPr>
        <w:t>六、《江苏省试验检测标准文件》由投标人自备。</w:t>
      </w:r>
    </w:p>
    <w:p w14:paraId="568B5E6A">
      <w:pPr>
        <w:adjustRightInd w:val="0"/>
        <w:snapToGrid w:val="0"/>
        <w:spacing w:line="360" w:lineRule="auto"/>
        <w:ind w:firstLine="482"/>
        <w:jc w:val="center"/>
        <w:rPr>
          <w:rFonts w:ascii="Garamond" w:hAnsi="Garamond"/>
          <w:b/>
          <w:color w:val="auto"/>
          <w:sz w:val="44"/>
          <w:szCs w:val="44"/>
          <w:highlight w:val="none"/>
        </w:rPr>
      </w:pPr>
      <w:r>
        <w:rPr>
          <w:rFonts w:ascii="Garamond" w:hAnsi="Garamond"/>
          <w:b/>
          <w:color w:val="auto"/>
          <w:sz w:val="44"/>
          <w:szCs w:val="44"/>
          <w:highlight w:val="none"/>
        </w:rPr>
        <w:t>目  录</w:t>
      </w:r>
      <w:bookmarkEnd w:id="1"/>
    </w:p>
    <w:p w14:paraId="1DBA4078">
      <w:pPr>
        <w:pStyle w:val="28"/>
        <w:tabs>
          <w:tab w:val="right" w:leader="dot" w:pos="9214"/>
        </w:tabs>
        <w:spacing w:line="700" w:lineRule="exact"/>
        <w:rPr>
          <w:rFonts w:ascii="Garamond" w:hAnsi="Garamond"/>
          <w:color w:val="auto"/>
          <w:sz w:val="24"/>
          <w:highlight w:val="none"/>
        </w:rPr>
      </w:pPr>
      <w:r>
        <w:rPr>
          <w:rFonts w:ascii="Garamond" w:hAnsi="Garamond"/>
          <w:color w:val="auto"/>
          <w:sz w:val="28"/>
          <w:szCs w:val="28"/>
          <w:highlight w:val="none"/>
        </w:rPr>
        <w:fldChar w:fldCharType="begin"/>
      </w:r>
      <w:r>
        <w:rPr>
          <w:rFonts w:ascii="Garamond" w:hAnsi="Garamond"/>
          <w:color w:val="auto"/>
          <w:sz w:val="28"/>
          <w:szCs w:val="28"/>
          <w:highlight w:val="none"/>
        </w:rPr>
        <w:instrText xml:space="preserve"> TOC \o "1-2" \h \z \u </w:instrText>
      </w:r>
      <w:r>
        <w:rPr>
          <w:rFonts w:ascii="Garamond" w:hAnsi="Garamond"/>
          <w:color w:val="auto"/>
          <w:sz w:val="28"/>
          <w:szCs w:val="28"/>
          <w:highlight w:val="none"/>
        </w:rPr>
        <w:fldChar w:fldCharType="separate"/>
      </w:r>
      <w:r>
        <w:rPr>
          <w:color w:val="auto"/>
          <w:highlight w:val="none"/>
        </w:rPr>
        <w:fldChar w:fldCharType="begin"/>
      </w:r>
      <w:r>
        <w:rPr>
          <w:color w:val="auto"/>
          <w:highlight w:val="none"/>
        </w:rPr>
        <w:instrText xml:space="preserve"> HYPERLINK \l "_Toc353197071" </w:instrText>
      </w:r>
      <w:r>
        <w:rPr>
          <w:color w:val="auto"/>
          <w:highlight w:val="none"/>
        </w:rPr>
        <w:fldChar w:fldCharType="separate"/>
      </w:r>
      <w:r>
        <w:rPr>
          <w:rStyle w:val="51"/>
          <w:rFonts w:ascii="Garamond" w:hAnsi="Garamond"/>
          <w:snapToGrid w:val="0"/>
          <w:color w:val="auto"/>
          <w:spacing w:val="20"/>
          <w:w w:val="135"/>
          <w:kern w:val="0"/>
          <w:highlight w:val="none"/>
        </w:rPr>
        <w:t>第 一 卷</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_Toc353197071 \h </w:instrText>
      </w:r>
      <w:r>
        <w:rPr>
          <w:rFonts w:ascii="Garamond" w:hAnsi="Garamond"/>
          <w:color w:val="auto"/>
          <w:sz w:val="24"/>
          <w:highlight w:val="none"/>
        </w:rPr>
        <w:fldChar w:fldCharType="separate"/>
      </w:r>
      <w:r>
        <w:rPr>
          <w:rFonts w:ascii="Garamond" w:hAnsi="Garamond"/>
          <w:color w:val="auto"/>
          <w:sz w:val="24"/>
          <w:highlight w:val="none"/>
        </w:rPr>
        <w:t>４</w:t>
      </w:r>
      <w:r>
        <w:rPr>
          <w:rFonts w:ascii="Garamond" w:hAnsi="Garamond"/>
          <w:color w:val="auto"/>
          <w:sz w:val="24"/>
          <w:highlight w:val="none"/>
        </w:rPr>
        <w:fldChar w:fldCharType="end"/>
      </w:r>
      <w:r>
        <w:rPr>
          <w:rFonts w:ascii="Garamond" w:hAnsi="Garamond"/>
          <w:color w:val="auto"/>
          <w:sz w:val="24"/>
          <w:highlight w:val="none"/>
        </w:rPr>
        <w:fldChar w:fldCharType="end"/>
      </w:r>
    </w:p>
    <w:p w14:paraId="61FCDEAA">
      <w:pPr>
        <w:pStyle w:val="34"/>
        <w:tabs>
          <w:tab w:val="right" w:leader="dot" w:pos="9214"/>
        </w:tabs>
        <w:spacing w:line="700" w:lineRule="exact"/>
        <w:rPr>
          <w:rFonts w:ascii="Garamond" w:hAnsi="Garamond"/>
          <w:color w:val="auto"/>
          <w:sz w:val="24"/>
          <w:highlight w:val="none"/>
        </w:rPr>
      </w:pPr>
      <w:r>
        <w:rPr>
          <w:color w:val="auto"/>
          <w:highlight w:val="none"/>
        </w:rPr>
        <w:fldChar w:fldCharType="begin"/>
      </w:r>
      <w:r>
        <w:rPr>
          <w:color w:val="auto"/>
          <w:highlight w:val="none"/>
        </w:rPr>
        <w:instrText xml:space="preserve"> HYPERLINK \l "_Toc353197072" </w:instrText>
      </w:r>
      <w:r>
        <w:rPr>
          <w:color w:val="auto"/>
          <w:highlight w:val="none"/>
        </w:rPr>
        <w:fldChar w:fldCharType="separate"/>
      </w:r>
      <w:r>
        <w:rPr>
          <w:rStyle w:val="51"/>
          <w:rFonts w:ascii="Garamond" w:hAnsi="Garamond"/>
          <w:color w:val="auto"/>
          <w:highlight w:val="none"/>
        </w:rPr>
        <w:t>第一章  招标公告</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_Toc353197072 \h </w:instrText>
      </w:r>
      <w:r>
        <w:rPr>
          <w:rFonts w:ascii="Garamond" w:hAnsi="Garamond"/>
          <w:color w:val="auto"/>
          <w:sz w:val="24"/>
          <w:highlight w:val="none"/>
        </w:rPr>
        <w:fldChar w:fldCharType="separate"/>
      </w:r>
      <w:r>
        <w:rPr>
          <w:rFonts w:ascii="Garamond" w:hAnsi="Garamond"/>
          <w:color w:val="auto"/>
          <w:sz w:val="24"/>
          <w:highlight w:val="none"/>
        </w:rPr>
        <w:t>５</w:t>
      </w:r>
      <w:r>
        <w:rPr>
          <w:rFonts w:ascii="Garamond" w:hAnsi="Garamond"/>
          <w:color w:val="auto"/>
          <w:sz w:val="24"/>
          <w:highlight w:val="none"/>
        </w:rPr>
        <w:fldChar w:fldCharType="end"/>
      </w:r>
      <w:r>
        <w:rPr>
          <w:rFonts w:ascii="Garamond" w:hAnsi="Garamond"/>
          <w:color w:val="auto"/>
          <w:sz w:val="24"/>
          <w:highlight w:val="none"/>
        </w:rPr>
        <w:fldChar w:fldCharType="end"/>
      </w:r>
    </w:p>
    <w:p w14:paraId="0E47DDA8">
      <w:pPr>
        <w:pStyle w:val="34"/>
        <w:tabs>
          <w:tab w:val="right" w:leader="dot" w:pos="9214"/>
        </w:tabs>
        <w:spacing w:line="700" w:lineRule="exact"/>
        <w:rPr>
          <w:rFonts w:ascii="Garamond" w:hAnsi="Garamond"/>
          <w:color w:val="auto"/>
          <w:sz w:val="24"/>
          <w:highlight w:val="none"/>
        </w:rPr>
      </w:pPr>
      <w:r>
        <w:rPr>
          <w:color w:val="auto"/>
          <w:highlight w:val="none"/>
        </w:rPr>
        <w:fldChar w:fldCharType="begin"/>
      </w:r>
      <w:r>
        <w:rPr>
          <w:color w:val="auto"/>
          <w:highlight w:val="none"/>
        </w:rPr>
        <w:instrText xml:space="preserve"> HYPERLINK \l "_Toc353197073" </w:instrText>
      </w:r>
      <w:r>
        <w:rPr>
          <w:color w:val="auto"/>
          <w:highlight w:val="none"/>
        </w:rPr>
        <w:fldChar w:fldCharType="separate"/>
      </w:r>
      <w:r>
        <w:rPr>
          <w:rStyle w:val="51"/>
          <w:rFonts w:ascii="Garamond" w:hAnsi="Garamond"/>
          <w:color w:val="auto"/>
          <w:highlight w:val="none"/>
        </w:rPr>
        <w:t>第二章  投标人须知</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_Toc353197073 \h </w:instrText>
      </w:r>
      <w:r>
        <w:rPr>
          <w:rFonts w:ascii="Garamond" w:hAnsi="Garamond"/>
          <w:color w:val="auto"/>
          <w:sz w:val="24"/>
          <w:highlight w:val="none"/>
        </w:rPr>
        <w:fldChar w:fldCharType="separate"/>
      </w:r>
      <w:r>
        <w:rPr>
          <w:rFonts w:ascii="Garamond" w:hAnsi="Garamond"/>
          <w:color w:val="auto"/>
          <w:sz w:val="24"/>
          <w:highlight w:val="none"/>
        </w:rPr>
        <w:t>１０</w:t>
      </w:r>
      <w:r>
        <w:rPr>
          <w:rFonts w:ascii="Garamond" w:hAnsi="Garamond"/>
          <w:color w:val="auto"/>
          <w:sz w:val="24"/>
          <w:highlight w:val="none"/>
        </w:rPr>
        <w:fldChar w:fldCharType="end"/>
      </w:r>
      <w:r>
        <w:rPr>
          <w:rFonts w:ascii="Garamond" w:hAnsi="Garamond"/>
          <w:color w:val="auto"/>
          <w:sz w:val="24"/>
          <w:highlight w:val="none"/>
        </w:rPr>
        <w:fldChar w:fldCharType="end"/>
      </w:r>
    </w:p>
    <w:p w14:paraId="57159CF4">
      <w:pPr>
        <w:pStyle w:val="34"/>
        <w:tabs>
          <w:tab w:val="right" w:leader="dot" w:pos="9214"/>
        </w:tabs>
        <w:spacing w:line="700" w:lineRule="exact"/>
        <w:rPr>
          <w:rFonts w:ascii="Garamond" w:hAnsi="Garamond"/>
          <w:color w:val="auto"/>
          <w:sz w:val="24"/>
          <w:highlight w:val="none"/>
        </w:rPr>
      </w:pPr>
      <w:r>
        <w:rPr>
          <w:color w:val="auto"/>
          <w:highlight w:val="none"/>
        </w:rPr>
        <w:fldChar w:fldCharType="begin"/>
      </w:r>
      <w:r>
        <w:rPr>
          <w:color w:val="auto"/>
          <w:highlight w:val="none"/>
        </w:rPr>
        <w:instrText xml:space="preserve"> HYPERLINK \l "_Toc353197095" </w:instrText>
      </w:r>
      <w:r>
        <w:rPr>
          <w:color w:val="auto"/>
          <w:highlight w:val="none"/>
        </w:rPr>
        <w:fldChar w:fldCharType="separate"/>
      </w:r>
      <w:r>
        <w:rPr>
          <w:rStyle w:val="51"/>
          <w:rFonts w:ascii="Garamond" w:hAnsi="Garamond"/>
          <w:color w:val="auto"/>
          <w:highlight w:val="none"/>
        </w:rPr>
        <w:t>第三章  评标办法</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_Toc353197095 \h </w:instrText>
      </w:r>
      <w:r>
        <w:rPr>
          <w:rFonts w:ascii="Garamond" w:hAnsi="Garamond"/>
          <w:color w:val="auto"/>
          <w:sz w:val="24"/>
          <w:highlight w:val="none"/>
        </w:rPr>
        <w:fldChar w:fldCharType="separate"/>
      </w:r>
      <w:r>
        <w:rPr>
          <w:rFonts w:ascii="Garamond" w:hAnsi="Garamond"/>
          <w:color w:val="auto"/>
          <w:sz w:val="24"/>
          <w:highlight w:val="none"/>
        </w:rPr>
        <w:t>１７</w:t>
      </w:r>
      <w:r>
        <w:rPr>
          <w:rFonts w:ascii="Garamond" w:hAnsi="Garamond"/>
          <w:color w:val="auto"/>
          <w:sz w:val="24"/>
          <w:highlight w:val="none"/>
        </w:rPr>
        <w:fldChar w:fldCharType="end"/>
      </w:r>
      <w:r>
        <w:rPr>
          <w:rFonts w:ascii="Garamond" w:hAnsi="Garamond"/>
          <w:color w:val="auto"/>
          <w:sz w:val="24"/>
          <w:highlight w:val="none"/>
        </w:rPr>
        <w:fldChar w:fldCharType="end"/>
      </w:r>
    </w:p>
    <w:p w14:paraId="2BD23C48">
      <w:pPr>
        <w:pStyle w:val="34"/>
        <w:tabs>
          <w:tab w:val="right" w:leader="dot" w:pos="9214"/>
        </w:tabs>
        <w:spacing w:line="700" w:lineRule="exact"/>
        <w:rPr>
          <w:rFonts w:ascii="Garamond" w:hAnsi="Garamond"/>
          <w:color w:val="auto"/>
          <w:sz w:val="24"/>
          <w:highlight w:val="none"/>
        </w:rPr>
      </w:pPr>
      <w:r>
        <w:rPr>
          <w:color w:val="auto"/>
          <w:highlight w:val="none"/>
        </w:rPr>
        <w:fldChar w:fldCharType="begin"/>
      </w:r>
      <w:r>
        <w:rPr>
          <w:color w:val="auto"/>
          <w:highlight w:val="none"/>
        </w:rPr>
        <w:instrText xml:space="preserve"> HYPERLINK \l "_Toc353197096" </w:instrText>
      </w:r>
      <w:r>
        <w:rPr>
          <w:color w:val="auto"/>
          <w:highlight w:val="none"/>
        </w:rPr>
        <w:fldChar w:fldCharType="separate"/>
      </w:r>
      <w:r>
        <w:rPr>
          <w:rStyle w:val="51"/>
          <w:rFonts w:ascii="Garamond" w:hAnsi="Garamond"/>
          <w:color w:val="auto"/>
          <w:highlight w:val="none"/>
        </w:rPr>
        <w:t>第四章  合同条款及格式</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_Toc353197096 \h </w:instrText>
      </w:r>
      <w:r>
        <w:rPr>
          <w:rFonts w:ascii="Garamond" w:hAnsi="Garamond"/>
          <w:color w:val="auto"/>
          <w:sz w:val="24"/>
          <w:highlight w:val="none"/>
        </w:rPr>
        <w:fldChar w:fldCharType="separate"/>
      </w:r>
      <w:r>
        <w:rPr>
          <w:rFonts w:ascii="Garamond" w:hAnsi="Garamond"/>
          <w:color w:val="auto"/>
          <w:sz w:val="24"/>
          <w:highlight w:val="none"/>
        </w:rPr>
        <w:t>２６</w:t>
      </w:r>
      <w:r>
        <w:rPr>
          <w:rFonts w:ascii="Garamond" w:hAnsi="Garamond"/>
          <w:color w:val="auto"/>
          <w:sz w:val="24"/>
          <w:highlight w:val="none"/>
        </w:rPr>
        <w:fldChar w:fldCharType="end"/>
      </w:r>
      <w:r>
        <w:rPr>
          <w:rFonts w:ascii="Garamond" w:hAnsi="Garamond"/>
          <w:color w:val="auto"/>
          <w:sz w:val="24"/>
          <w:highlight w:val="none"/>
        </w:rPr>
        <w:fldChar w:fldCharType="end"/>
      </w:r>
    </w:p>
    <w:p w14:paraId="02E17859">
      <w:pPr>
        <w:pStyle w:val="28"/>
        <w:tabs>
          <w:tab w:val="right" w:leader="dot" w:pos="9214"/>
        </w:tabs>
        <w:spacing w:line="700" w:lineRule="exact"/>
        <w:rPr>
          <w:rFonts w:ascii="Garamond" w:hAnsi="Garamond"/>
          <w:color w:val="auto"/>
          <w:sz w:val="24"/>
          <w:highlight w:val="none"/>
        </w:rPr>
      </w:pPr>
      <w:r>
        <w:rPr>
          <w:color w:val="auto"/>
          <w:highlight w:val="none"/>
        </w:rPr>
        <w:fldChar w:fldCharType="begin"/>
      </w:r>
      <w:r>
        <w:rPr>
          <w:color w:val="auto"/>
          <w:highlight w:val="none"/>
        </w:rPr>
        <w:instrText xml:space="preserve"> HYPERLINK \l "_Toc353197102" </w:instrText>
      </w:r>
      <w:r>
        <w:rPr>
          <w:color w:val="auto"/>
          <w:highlight w:val="none"/>
        </w:rPr>
        <w:fldChar w:fldCharType="separate"/>
      </w:r>
      <w:r>
        <w:rPr>
          <w:rStyle w:val="51"/>
          <w:rFonts w:ascii="Garamond" w:hAnsi="Garamond"/>
          <w:snapToGrid w:val="0"/>
          <w:color w:val="auto"/>
          <w:spacing w:val="20"/>
          <w:w w:val="135"/>
          <w:kern w:val="0"/>
          <w:highlight w:val="none"/>
        </w:rPr>
        <w:t>第 二 卷</w:t>
      </w:r>
      <w:bookmarkStart w:id="10" w:name="_Hlt404869483"/>
      <w:bookmarkStart w:id="11" w:name="_Hlt404869482"/>
      <w:r>
        <w:rPr>
          <w:rFonts w:ascii="Garamond" w:hAnsi="Garamond"/>
          <w:color w:val="auto"/>
          <w:sz w:val="24"/>
          <w:highlight w:val="none"/>
        </w:rPr>
        <w:tab/>
      </w:r>
      <w:bookmarkEnd w:id="10"/>
      <w:bookmarkEnd w:id="11"/>
      <w:r>
        <w:rPr>
          <w:rFonts w:ascii="Garamond" w:hAnsi="Garamond"/>
          <w:color w:val="auto"/>
          <w:sz w:val="24"/>
          <w:highlight w:val="none"/>
        </w:rPr>
        <w:fldChar w:fldCharType="begin"/>
      </w:r>
      <w:r>
        <w:rPr>
          <w:rFonts w:ascii="Garamond" w:hAnsi="Garamond"/>
          <w:color w:val="auto"/>
          <w:sz w:val="24"/>
          <w:highlight w:val="none"/>
        </w:rPr>
        <w:instrText xml:space="preserve"> PAGEREF _Toc353197102 \h </w:instrText>
      </w:r>
      <w:r>
        <w:rPr>
          <w:rFonts w:ascii="Garamond" w:hAnsi="Garamond"/>
          <w:color w:val="auto"/>
          <w:sz w:val="24"/>
          <w:highlight w:val="none"/>
        </w:rPr>
        <w:fldChar w:fldCharType="separate"/>
      </w:r>
      <w:r>
        <w:rPr>
          <w:rFonts w:ascii="Garamond" w:hAnsi="Garamond"/>
          <w:color w:val="auto"/>
          <w:sz w:val="24"/>
          <w:highlight w:val="none"/>
        </w:rPr>
        <w:t>４５</w:t>
      </w:r>
      <w:r>
        <w:rPr>
          <w:rFonts w:ascii="Garamond" w:hAnsi="Garamond"/>
          <w:color w:val="auto"/>
          <w:sz w:val="24"/>
          <w:highlight w:val="none"/>
        </w:rPr>
        <w:fldChar w:fldCharType="end"/>
      </w:r>
      <w:r>
        <w:rPr>
          <w:rFonts w:ascii="Garamond" w:hAnsi="Garamond"/>
          <w:color w:val="auto"/>
          <w:sz w:val="24"/>
          <w:highlight w:val="none"/>
        </w:rPr>
        <w:fldChar w:fldCharType="end"/>
      </w:r>
    </w:p>
    <w:p w14:paraId="59C97125">
      <w:pPr>
        <w:pStyle w:val="34"/>
        <w:tabs>
          <w:tab w:val="right" w:leader="dot" w:pos="9214"/>
        </w:tabs>
        <w:spacing w:line="700" w:lineRule="exact"/>
        <w:rPr>
          <w:rFonts w:ascii="Garamond" w:hAnsi="Garamond"/>
          <w:color w:val="auto"/>
          <w:sz w:val="24"/>
          <w:highlight w:val="none"/>
        </w:rPr>
      </w:pPr>
      <w:r>
        <w:rPr>
          <w:color w:val="auto"/>
          <w:highlight w:val="none"/>
        </w:rPr>
        <w:fldChar w:fldCharType="begin"/>
      </w:r>
      <w:r>
        <w:rPr>
          <w:color w:val="auto"/>
          <w:highlight w:val="none"/>
        </w:rPr>
        <w:instrText xml:space="preserve"> HYPERLINK \l "_Toc353197103" </w:instrText>
      </w:r>
      <w:r>
        <w:rPr>
          <w:color w:val="auto"/>
          <w:highlight w:val="none"/>
        </w:rPr>
        <w:fldChar w:fldCharType="separate"/>
      </w:r>
      <w:r>
        <w:rPr>
          <w:rStyle w:val="51"/>
          <w:rFonts w:ascii="Garamond" w:hAnsi="Garamond"/>
          <w:color w:val="auto"/>
          <w:highlight w:val="none"/>
        </w:rPr>
        <w:t>第五章 工程量清单</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_Toc353197103 \h </w:instrText>
      </w:r>
      <w:r>
        <w:rPr>
          <w:rFonts w:ascii="Garamond" w:hAnsi="Garamond"/>
          <w:color w:val="auto"/>
          <w:sz w:val="24"/>
          <w:highlight w:val="none"/>
        </w:rPr>
        <w:fldChar w:fldCharType="separate"/>
      </w:r>
      <w:r>
        <w:rPr>
          <w:rFonts w:ascii="Garamond" w:hAnsi="Garamond"/>
          <w:color w:val="auto"/>
          <w:sz w:val="24"/>
          <w:highlight w:val="none"/>
        </w:rPr>
        <w:t>４６</w:t>
      </w:r>
      <w:r>
        <w:rPr>
          <w:rFonts w:ascii="Garamond" w:hAnsi="Garamond"/>
          <w:color w:val="auto"/>
          <w:sz w:val="24"/>
          <w:highlight w:val="none"/>
        </w:rPr>
        <w:fldChar w:fldCharType="end"/>
      </w:r>
      <w:r>
        <w:rPr>
          <w:rFonts w:ascii="Garamond" w:hAnsi="Garamond"/>
          <w:color w:val="auto"/>
          <w:sz w:val="24"/>
          <w:highlight w:val="none"/>
        </w:rPr>
        <w:fldChar w:fldCharType="end"/>
      </w:r>
    </w:p>
    <w:p w14:paraId="024E431A">
      <w:pPr>
        <w:pStyle w:val="34"/>
        <w:tabs>
          <w:tab w:val="right" w:leader="dot" w:pos="9214"/>
        </w:tabs>
        <w:spacing w:line="700" w:lineRule="exact"/>
        <w:rPr>
          <w:rFonts w:ascii="Garamond" w:hAnsi="Garamond"/>
          <w:color w:val="auto"/>
          <w:sz w:val="24"/>
          <w:highlight w:val="none"/>
        </w:rPr>
      </w:pPr>
      <w:r>
        <w:rPr>
          <w:color w:val="auto"/>
          <w:highlight w:val="none"/>
        </w:rPr>
        <w:fldChar w:fldCharType="begin"/>
      </w:r>
      <w:r>
        <w:rPr>
          <w:color w:val="auto"/>
          <w:highlight w:val="none"/>
        </w:rPr>
        <w:instrText xml:space="preserve"> HYPERLINK \l "_Toc353197103" </w:instrText>
      </w:r>
      <w:r>
        <w:rPr>
          <w:color w:val="auto"/>
          <w:highlight w:val="none"/>
        </w:rPr>
        <w:fldChar w:fldCharType="separate"/>
      </w:r>
      <w:r>
        <w:rPr>
          <w:rStyle w:val="51"/>
          <w:rFonts w:ascii="Garamond" w:hAnsi="Garamond"/>
          <w:color w:val="auto"/>
          <w:highlight w:val="none"/>
        </w:rPr>
        <w:t>第六章 技术标准和要求</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_Toc353197103 \h </w:instrText>
      </w:r>
      <w:r>
        <w:rPr>
          <w:rFonts w:ascii="Garamond" w:hAnsi="Garamond"/>
          <w:color w:val="auto"/>
          <w:sz w:val="24"/>
          <w:highlight w:val="none"/>
        </w:rPr>
        <w:fldChar w:fldCharType="separate"/>
      </w:r>
      <w:r>
        <w:rPr>
          <w:rFonts w:ascii="Garamond" w:hAnsi="Garamond"/>
          <w:color w:val="auto"/>
          <w:sz w:val="24"/>
          <w:highlight w:val="none"/>
        </w:rPr>
        <w:t>４６</w:t>
      </w:r>
      <w:r>
        <w:rPr>
          <w:rFonts w:ascii="Garamond" w:hAnsi="Garamond"/>
          <w:color w:val="auto"/>
          <w:sz w:val="24"/>
          <w:highlight w:val="none"/>
        </w:rPr>
        <w:fldChar w:fldCharType="end"/>
      </w:r>
      <w:r>
        <w:rPr>
          <w:rFonts w:ascii="Garamond" w:hAnsi="Garamond"/>
          <w:color w:val="auto"/>
          <w:sz w:val="24"/>
          <w:highlight w:val="none"/>
        </w:rPr>
        <w:fldChar w:fldCharType="end"/>
      </w:r>
    </w:p>
    <w:p w14:paraId="0BE3DBCC">
      <w:pPr>
        <w:pStyle w:val="28"/>
        <w:tabs>
          <w:tab w:val="right" w:leader="dot" w:pos="9214"/>
        </w:tabs>
        <w:spacing w:line="700" w:lineRule="exact"/>
        <w:rPr>
          <w:rFonts w:ascii="Garamond" w:hAnsi="Garamond"/>
          <w:color w:val="auto"/>
          <w:sz w:val="24"/>
          <w:highlight w:val="none"/>
        </w:rPr>
      </w:pPr>
      <w:r>
        <w:rPr>
          <w:color w:val="auto"/>
          <w:highlight w:val="none"/>
        </w:rPr>
        <w:fldChar w:fldCharType="begin"/>
      </w:r>
      <w:r>
        <w:rPr>
          <w:color w:val="auto"/>
          <w:highlight w:val="none"/>
        </w:rPr>
        <w:instrText xml:space="preserve"> HYPERLINK \l "_Toc353197104" </w:instrText>
      </w:r>
      <w:r>
        <w:rPr>
          <w:color w:val="auto"/>
          <w:highlight w:val="none"/>
        </w:rPr>
        <w:fldChar w:fldCharType="separate"/>
      </w:r>
      <w:r>
        <w:rPr>
          <w:rStyle w:val="51"/>
          <w:rFonts w:ascii="Garamond" w:hAnsi="Garamond"/>
          <w:snapToGrid w:val="0"/>
          <w:color w:val="auto"/>
          <w:spacing w:val="20"/>
          <w:w w:val="135"/>
          <w:kern w:val="0"/>
          <w:highlight w:val="none"/>
        </w:rPr>
        <w:t>第 三 卷</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_Toc353197104 \h </w:instrText>
      </w:r>
      <w:r>
        <w:rPr>
          <w:rFonts w:ascii="Garamond" w:hAnsi="Garamond"/>
          <w:color w:val="auto"/>
          <w:sz w:val="24"/>
          <w:highlight w:val="none"/>
        </w:rPr>
        <w:fldChar w:fldCharType="separate"/>
      </w:r>
      <w:r>
        <w:rPr>
          <w:rFonts w:ascii="Garamond" w:hAnsi="Garamond"/>
          <w:color w:val="auto"/>
          <w:sz w:val="24"/>
          <w:highlight w:val="none"/>
        </w:rPr>
        <w:t>４８</w:t>
      </w:r>
      <w:r>
        <w:rPr>
          <w:rFonts w:ascii="Garamond" w:hAnsi="Garamond"/>
          <w:color w:val="auto"/>
          <w:sz w:val="24"/>
          <w:highlight w:val="none"/>
        </w:rPr>
        <w:fldChar w:fldCharType="end"/>
      </w:r>
      <w:r>
        <w:rPr>
          <w:rFonts w:ascii="Garamond" w:hAnsi="Garamond"/>
          <w:color w:val="auto"/>
          <w:sz w:val="24"/>
          <w:highlight w:val="none"/>
        </w:rPr>
        <w:fldChar w:fldCharType="end"/>
      </w:r>
    </w:p>
    <w:p w14:paraId="19FAB56D">
      <w:pPr>
        <w:pStyle w:val="34"/>
        <w:tabs>
          <w:tab w:val="right" w:leader="dot" w:pos="9214"/>
        </w:tabs>
        <w:spacing w:line="700" w:lineRule="exact"/>
        <w:rPr>
          <w:rFonts w:ascii="Garamond" w:hAnsi="Garamond"/>
          <w:color w:val="auto"/>
          <w:szCs w:val="22"/>
          <w:highlight w:val="none"/>
        </w:rPr>
      </w:pPr>
      <w:r>
        <w:rPr>
          <w:color w:val="auto"/>
          <w:highlight w:val="none"/>
        </w:rPr>
        <w:fldChar w:fldCharType="begin"/>
      </w:r>
      <w:r>
        <w:rPr>
          <w:color w:val="auto"/>
          <w:highlight w:val="none"/>
        </w:rPr>
        <w:instrText xml:space="preserve"> HYPERLINK \l "_Toc353197105" </w:instrText>
      </w:r>
      <w:r>
        <w:rPr>
          <w:color w:val="auto"/>
          <w:highlight w:val="none"/>
        </w:rPr>
        <w:fldChar w:fldCharType="separate"/>
      </w:r>
      <w:r>
        <w:rPr>
          <w:rStyle w:val="51"/>
          <w:rFonts w:ascii="Garamond" w:hAnsi="Garamond"/>
          <w:color w:val="auto"/>
          <w:highlight w:val="none"/>
        </w:rPr>
        <w:t>第七章 投标文件格式</w:t>
      </w:r>
      <w:r>
        <w:rPr>
          <w:rFonts w:ascii="Garamond" w:hAnsi="Garamond"/>
          <w:color w:val="auto"/>
          <w:sz w:val="24"/>
          <w:highlight w:val="none"/>
        </w:rPr>
        <w:tab/>
      </w:r>
      <w:r>
        <w:rPr>
          <w:rFonts w:ascii="Garamond" w:hAnsi="Garamond"/>
          <w:color w:val="auto"/>
          <w:sz w:val="24"/>
          <w:highlight w:val="none"/>
        </w:rPr>
        <w:fldChar w:fldCharType="begin"/>
      </w:r>
      <w:r>
        <w:rPr>
          <w:rFonts w:ascii="Garamond" w:hAnsi="Garamond"/>
          <w:color w:val="auto"/>
          <w:sz w:val="24"/>
          <w:highlight w:val="none"/>
        </w:rPr>
        <w:instrText xml:space="preserve"> PAGEREF _Toc353197105 \h </w:instrText>
      </w:r>
      <w:r>
        <w:rPr>
          <w:rFonts w:ascii="Garamond" w:hAnsi="Garamond"/>
          <w:color w:val="auto"/>
          <w:sz w:val="24"/>
          <w:highlight w:val="none"/>
        </w:rPr>
        <w:fldChar w:fldCharType="separate"/>
      </w:r>
      <w:r>
        <w:rPr>
          <w:rFonts w:ascii="Garamond" w:hAnsi="Garamond"/>
          <w:color w:val="auto"/>
          <w:sz w:val="24"/>
          <w:highlight w:val="none"/>
        </w:rPr>
        <w:t>４９</w:t>
      </w:r>
      <w:r>
        <w:rPr>
          <w:rFonts w:ascii="Garamond" w:hAnsi="Garamond"/>
          <w:color w:val="auto"/>
          <w:sz w:val="24"/>
          <w:highlight w:val="none"/>
        </w:rPr>
        <w:fldChar w:fldCharType="end"/>
      </w:r>
      <w:r>
        <w:rPr>
          <w:rFonts w:ascii="Garamond" w:hAnsi="Garamond"/>
          <w:color w:val="auto"/>
          <w:sz w:val="24"/>
          <w:highlight w:val="none"/>
        </w:rPr>
        <w:fldChar w:fldCharType="end"/>
      </w:r>
    </w:p>
    <w:p w14:paraId="1E368D30">
      <w:pPr>
        <w:pStyle w:val="34"/>
        <w:tabs>
          <w:tab w:val="right" w:leader="dot" w:pos="8810"/>
        </w:tabs>
        <w:rPr>
          <w:rFonts w:ascii="Garamond" w:hAnsi="Garamond"/>
          <w:color w:val="auto"/>
          <w:szCs w:val="22"/>
          <w:highlight w:val="none"/>
        </w:rPr>
      </w:pPr>
    </w:p>
    <w:p w14:paraId="7D5BED46">
      <w:pPr>
        <w:spacing w:line="400" w:lineRule="exact"/>
        <w:jc w:val="center"/>
        <w:rPr>
          <w:rFonts w:ascii="Garamond" w:hAnsi="Garamond"/>
          <w:color w:val="auto"/>
          <w:sz w:val="24"/>
          <w:highlight w:val="none"/>
        </w:rPr>
      </w:pPr>
      <w:r>
        <w:rPr>
          <w:rFonts w:ascii="Garamond" w:hAnsi="Garamond"/>
          <w:color w:val="auto"/>
          <w:sz w:val="28"/>
          <w:szCs w:val="28"/>
          <w:highlight w:val="none"/>
        </w:rPr>
        <w:fldChar w:fldCharType="end"/>
      </w:r>
    </w:p>
    <w:p w14:paraId="3A2568B1">
      <w:pPr>
        <w:spacing w:line="400" w:lineRule="exact"/>
        <w:rPr>
          <w:rFonts w:ascii="Garamond" w:hAnsi="Garamond"/>
          <w:color w:val="auto"/>
          <w:sz w:val="24"/>
          <w:highlight w:val="none"/>
        </w:rPr>
      </w:pPr>
    </w:p>
    <w:p w14:paraId="49EF3497">
      <w:pPr>
        <w:spacing w:line="400" w:lineRule="exact"/>
        <w:rPr>
          <w:rFonts w:ascii="Garamond" w:hAnsi="Garamond"/>
          <w:color w:val="auto"/>
          <w:sz w:val="24"/>
          <w:highlight w:val="none"/>
        </w:rPr>
      </w:pPr>
    </w:p>
    <w:p w14:paraId="46A01FBA">
      <w:pPr>
        <w:spacing w:line="400" w:lineRule="exact"/>
        <w:rPr>
          <w:rFonts w:ascii="Garamond" w:hAnsi="Garamond"/>
          <w:color w:val="auto"/>
          <w:sz w:val="24"/>
          <w:highlight w:val="none"/>
        </w:rPr>
      </w:pPr>
    </w:p>
    <w:p w14:paraId="56926DA0">
      <w:pPr>
        <w:spacing w:line="400" w:lineRule="exact"/>
        <w:rPr>
          <w:rFonts w:ascii="Garamond" w:hAnsi="Garamond"/>
          <w:color w:val="auto"/>
          <w:sz w:val="24"/>
          <w:highlight w:val="none"/>
        </w:rPr>
      </w:pPr>
    </w:p>
    <w:p w14:paraId="600576D7">
      <w:pPr>
        <w:spacing w:line="400" w:lineRule="exact"/>
        <w:rPr>
          <w:rFonts w:ascii="Garamond" w:hAnsi="Garamond"/>
          <w:color w:val="auto"/>
          <w:sz w:val="24"/>
          <w:highlight w:val="none"/>
        </w:rPr>
      </w:pPr>
    </w:p>
    <w:p w14:paraId="0AC38EE3">
      <w:pPr>
        <w:spacing w:line="400" w:lineRule="exact"/>
        <w:rPr>
          <w:rFonts w:ascii="Garamond" w:hAnsi="Garamond"/>
          <w:color w:val="auto"/>
          <w:sz w:val="24"/>
          <w:highlight w:val="none"/>
        </w:rPr>
      </w:pPr>
    </w:p>
    <w:p w14:paraId="00FFADCF">
      <w:pPr>
        <w:spacing w:line="400" w:lineRule="exact"/>
        <w:rPr>
          <w:rFonts w:ascii="Garamond" w:hAnsi="Garamond"/>
          <w:color w:val="auto"/>
          <w:sz w:val="24"/>
          <w:highlight w:val="none"/>
        </w:rPr>
      </w:pPr>
    </w:p>
    <w:p w14:paraId="41469E68">
      <w:pPr>
        <w:spacing w:line="400" w:lineRule="exact"/>
        <w:rPr>
          <w:rFonts w:ascii="Garamond" w:hAnsi="Garamond"/>
          <w:color w:val="auto"/>
          <w:sz w:val="24"/>
          <w:highlight w:val="none"/>
        </w:rPr>
      </w:pPr>
    </w:p>
    <w:p w14:paraId="592A0505">
      <w:pPr>
        <w:spacing w:line="400" w:lineRule="exact"/>
        <w:rPr>
          <w:rFonts w:ascii="Garamond" w:hAnsi="Garamond"/>
          <w:color w:val="auto"/>
          <w:sz w:val="24"/>
          <w:highlight w:val="none"/>
        </w:rPr>
        <w:sectPr>
          <w:pgSz w:w="11906" w:h="16838"/>
          <w:pgMar w:top="1418" w:right="1247" w:bottom="1418" w:left="1418" w:header="851" w:footer="680" w:gutter="0"/>
          <w:pgNumType w:fmt="decimalFullWidth"/>
          <w:cols w:space="720" w:num="1"/>
          <w:docGrid w:linePitch="312" w:charSpace="0"/>
        </w:sectPr>
      </w:pPr>
    </w:p>
    <w:p w14:paraId="648DFA42">
      <w:pPr>
        <w:spacing w:line="400" w:lineRule="exact"/>
        <w:rPr>
          <w:rFonts w:ascii="Garamond" w:hAnsi="Garamond"/>
          <w:color w:val="auto"/>
          <w:sz w:val="24"/>
          <w:highlight w:val="none"/>
        </w:rPr>
      </w:pPr>
    </w:p>
    <w:p w14:paraId="2A84A3B7">
      <w:pPr>
        <w:spacing w:line="340" w:lineRule="exact"/>
        <w:jc w:val="right"/>
        <w:rPr>
          <w:rFonts w:ascii="Garamond" w:hAnsi="Garamond"/>
          <w:color w:val="auto"/>
          <w:sz w:val="24"/>
          <w:highlight w:val="none"/>
        </w:rPr>
      </w:pPr>
    </w:p>
    <w:p w14:paraId="0FCBA825">
      <w:pPr>
        <w:spacing w:line="340" w:lineRule="exact"/>
        <w:jc w:val="right"/>
        <w:rPr>
          <w:rFonts w:ascii="Garamond" w:hAnsi="Garamond"/>
          <w:color w:val="auto"/>
          <w:sz w:val="24"/>
          <w:highlight w:val="none"/>
        </w:rPr>
      </w:pPr>
    </w:p>
    <w:p w14:paraId="568F7865">
      <w:pPr>
        <w:spacing w:line="340" w:lineRule="exact"/>
        <w:jc w:val="right"/>
        <w:rPr>
          <w:rFonts w:ascii="Garamond" w:hAnsi="Garamond"/>
          <w:color w:val="auto"/>
          <w:sz w:val="24"/>
          <w:highlight w:val="none"/>
        </w:rPr>
      </w:pPr>
    </w:p>
    <w:p w14:paraId="5FAC2702">
      <w:pPr>
        <w:spacing w:line="340" w:lineRule="exact"/>
        <w:jc w:val="right"/>
        <w:rPr>
          <w:rFonts w:ascii="Garamond" w:hAnsi="Garamond"/>
          <w:color w:val="auto"/>
          <w:sz w:val="24"/>
          <w:highlight w:val="none"/>
        </w:rPr>
      </w:pPr>
    </w:p>
    <w:p w14:paraId="120891F2">
      <w:pPr>
        <w:spacing w:line="340" w:lineRule="exact"/>
        <w:jc w:val="right"/>
        <w:rPr>
          <w:rFonts w:ascii="Garamond" w:hAnsi="Garamond"/>
          <w:color w:val="auto"/>
          <w:sz w:val="24"/>
          <w:highlight w:val="none"/>
        </w:rPr>
      </w:pPr>
    </w:p>
    <w:p w14:paraId="307C7E87">
      <w:pPr>
        <w:spacing w:line="340" w:lineRule="exact"/>
        <w:jc w:val="right"/>
        <w:rPr>
          <w:rFonts w:ascii="Garamond" w:hAnsi="Garamond"/>
          <w:color w:val="auto"/>
          <w:sz w:val="24"/>
          <w:highlight w:val="none"/>
        </w:rPr>
      </w:pPr>
    </w:p>
    <w:p w14:paraId="2CC4D843">
      <w:pPr>
        <w:spacing w:line="340" w:lineRule="exact"/>
        <w:jc w:val="right"/>
        <w:rPr>
          <w:rFonts w:ascii="Garamond" w:hAnsi="Garamond"/>
          <w:color w:val="auto"/>
          <w:sz w:val="24"/>
          <w:highlight w:val="none"/>
        </w:rPr>
      </w:pPr>
    </w:p>
    <w:p w14:paraId="2B2F1D2F">
      <w:pPr>
        <w:spacing w:line="340" w:lineRule="exact"/>
        <w:jc w:val="right"/>
        <w:rPr>
          <w:rFonts w:ascii="Garamond" w:hAnsi="Garamond"/>
          <w:color w:val="auto"/>
          <w:sz w:val="24"/>
          <w:highlight w:val="none"/>
        </w:rPr>
      </w:pPr>
    </w:p>
    <w:p w14:paraId="2991E4A0">
      <w:pPr>
        <w:pStyle w:val="16"/>
        <w:rPr>
          <w:rFonts w:ascii="Garamond" w:hAnsi="Garamond"/>
          <w:color w:val="auto"/>
          <w:sz w:val="24"/>
          <w:highlight w:val="none"/>
        </w:rPr>
      </w:pPr>
    </w:p>
    <w:p w14:paraId="15032DA0">
      <w:pPr>
        <w:rPr>
          <w:rFonts w:ascii="Garamond" w:hAnsi="Garamond"/>
          <w:color w:val="auto"/>
          <w:sz w:val="24"/>
          <w:highlight w:val="none"/>
        </w:rPr>
      </w:pPr>
    </w:p>
    <w:p w14:paraId="60A7C206">
      <w:pPr>
        <w:pStyle w:val="16"/>
        <w:rPr>
          <w:rFonts w:ascii="Garamond" w:hAnsi="Garamond"/>
          <w:color w:val="auto"/>
          <w:sz w:val="24"/>
          <w:highlight w:val="none"/>
        </w:rPr>
      </w:pPr>
    </w:p>
    <w:p w14:paraId="33ADE802">
      <w:pPr>
        <w:rPr>
          <w:rFonts w:ascii="Garamond" w:hAnsi="Garamond"/>
          <w:color w:val="auto"/>
          <w:sz w:val="24"/>
          <w:highlight w:val="none"/>
        </w:rPr>
      </w:pPr>
    </w:p>
    <w:p w14:paraId="611E3748">
      <w:pPr>
        <w:pStyle w:val="16"/>
        <w:rPr>
          <w:rFonts w:ascii="Garamond" w:hAnsi="Garamond"/>
          <w:color w:val="auto"/>
          <w:sz w:val="24"/>
          <w:highlight w:val="none"/>
        </w:rPr>
      </w:pPr>
    </w:p>
    <w:p w14:paraId="22905B6E">
      <w:pPr>
        <w:rPr>
          <w:color w:val="auto"/>
          <w:highlight w:val="none"/>
        </w:rPr>
      </w:pPr>
    </w:p>
    <w:p w14:paraId="68731E46">
      <w:pPr>
        <w:spacing w:line="340" w:lineRule="exact"/>
        <w:jc w:val="right"/>
        <w:rPr>
          <w:rFonts w:ascii="Garamond" w:hAnsi="Garamond"/>
          <w:color w:val="auto"/>
          <w:sz w:val="24"/>
          <w:highlight w:val="none"/>
        </w:rPr>
      </w:pPr>
    </w:p>
    <w:p w14:paraId="35515889">
      <w:pPr>
        <w:spacing w:line="740" w:lineRule="exact"/>
        <w:jc w:val="center"/>
        <w:outlineLvl w:val="0"/>
        <w:rPr>
          <w:rFonts w:ascii="Garamond" w:hAnsi="Garamond"/>
          <w:b/>
          <w:color w:val="auto"/>
          <w:sz w:val="72"/>
          <w:szCs w:val="72"/>
          <w:highlight w:val="none"/>
        </w:rPr>
      </w:pPr>
      <w:r>
        <w:rPr>
          <w:rFonts w:ascii="Garamond" w:hAnsi="Garamond"/>
          <w:b/>
          <w:color w:val="auto"/>
          <w:sz w:val="72"/>
          <w:szCs w:val="72"/>
          <w:highlight w:val="none"/>
        </w:rPr>
        <w:tab/>
      </w:r>
      <w:bookmarkStart w:id="12" w:name="_Toc353197071"/>
      <w:r>
        <w:rPr>
          <w:rFonts w:ascii="Garamond" w:hAnsi="Garamond"/>
          <w:b/>
          <w:snapToGrid w:val="0"/>
          <w:color w:val="auto"/>
          <w:kern w:val="0"/>
          <w:sz w:val="72"/>
          <w:szCs w:val="72"/>
          <w:highlight w:val="none"/>
        </w:rPr>
        <w:t>第 一 卷</w:t>
      </w:r>
      <w:bookmarkEnd w:id="12"/>
      <w:r>
        <w:rPr>
          <w:rFonts w:ascii="Garamond" w:hAnsi="Garamond"/>
          <w:b/>
          <w:color w:val="auto"/>
          <w:sz w:val="72"/>
          <w:szCs w:val="72"/>
          <w:highlight w:val="none"/>
        </w:rPr>
        <w:tab/>
      </w:r>
    </w:p>
    <w:p w14:paraId="56452B89">
      <w:pPr>
        <w:spacing w:line="340" w:lineRule="exact"/>
        <w:jc w:val="right"/>
        <w:rPr>
          <w:rFonts w:ascii="Garamond" w:hAnsi="Garamond"/>
          <w:color w:val="auto"/>
          <w:sz w:val="24"/>
          <w:highlight w:val="none"/>
        </w:rPr>
      </w:pPr>
    </w:p>
    <w:p w14:paraId="0FD530C8">
      <w:pPr>
        <w:spacing w:line="340" w:lineRule="exact"/>
        <w:jc w:val="right"/>
        <w:rPr>
          <w:rFonts w:ascii="Garamond" w:hAnsi="Garamond"/>
          <w:color w:val="auto"/>
          <w:sz w:val="24"/>
          <w:highlight w:val="none"/>
        </w:rPr>
      </w:pPr>
    </w:p>
    <w:p w14:paraId="71730431">
      <w:pPr>
        <w:spacing w:line="340" w:lineRule="exact"/>
        <w:jc w:val="right"/>
        <w:rPr>
          <w:rFonts w:ascii="Garamond" w:hAnsi="Garamond"/>
          <w:color w:val="auto"/>
          <w:sz w:val="24"/>
          <w:highlight w:val="none"/>
        </w:rPr>
      </w:pPr>
    </w:p>
    <w:p w14:paraId="15B103E0">
      <w:pPr>
        <w:spacing w:line="340" w:lineRule="exact"/>
        <w:jc w:val="right"/>
        <w:rPr>
          <w:rFonts w:ascii="Garamond" w:hAnsi="Garamond"/>
          <w:color w:val="auto"/>
          <w:sz w:val="24"/>
          <w:highlight w:val="none"/>
        </w:rPr>
      </w:pPr>
    </w:p>
    <w:p w14:paraId="425CC145">
      <w:pPr>
        <w:spacing w:line="340" w:lineRule="exact"/>
        <w:jc w:val="right"/>
        <w:rPr>
          <w:rFonts w:ascii="Garamond" w:hAnsi="Garamond"/>
          <w:color w:val="auto"/>
          <w:sz w:val="24"/>
          <w:highlight w:val="none"/>
        </w:rPr>
      </w:pPr>
    </w:p>
    <w:p w14:paraId="276317CC">
      <w:pPr>
        <w:spacing w:line="340" w:lineRule="exact"/>
        <w:jc w:val="right"/>
        <w:rPr>
          <w:rFonts w:ascii="Garamond" w:hAnsi="Garamond"/>
          <w:color w:val="auto"/>
          <w:sz w:val="24"/>
          <w:highlight w:val="none"/>
        </w:rPr>
      </w:pPr>
    </w:p>
    <w:p w14:paraId="16654C1E">
      <w:pPr>
        <w:spacing w:line="340" w:lineRule="exact"/>
        <w:jc w:val="right"/>
        <w:rPr>
          <w:rFonts w:ascii="Garamond" w:hAnsi="Garamond"/>
          <w:color w:val="auto"/>
          <w:sz w:val="24"/>
          <w:highlight w:val="none"/>
        </w:rPr>
      </w:pPr>
    </w:p>
    <w:p w14:paraId="4A628CD2">
      <w:pPr>
        <w:spacing w:line="340" w:lineRule="exact"/>
        <w:jc w:val="right"/>
        <w:rPr>
          <w:rFonts w:ascii="Garamond" w:hAnsi="Garamond"/>
          <w:color w:val="auto"/>
          <w:sz w:val="24"/>
          <w:highlight w:val="none"/>
        </w:rPr>
      </w:pPr>
    </w:p>
    <w:p w14:paraId="67195D87">
      <w:pPr>
        <w:spacing w:line="340" w:lineRule="exact"/>
        <w:jc w:val="right"/>
        <w:rPr>
          <w:rFonts w:ascii="Garamond" w:hAnsi="Garamond"/>
          <w:color w:val="auto"/>
          <w:sz w:val="24"/>
          <w:highlight w:val="none"/>
        </w:rPr>
      </w:pPr>
    </w:p>
    <w:p w14:paraId="2634F34B">
      <w:pPr>
        <w:spacing w:line="340" w:lineRule="exact"/>
        <w:jc w:val="right"/>
        <w:rPr>
          <w:rFonts w:ascii="Garamond" w:hAnsi="Garamond"/>
          <w:color w:val="auto"/>
          <w:sz w:val="24"/>
          <w:highlight w:val="none"/>
        </w:rPr>
      </w:pPr>
    </w:p>
    <w:p w14:paraId="50C06CB2">
      <w:pPr>
        <w:spacing w:line="340" w:lineRule="exact"/>
        <w:jc w:val="right"/>
        <w:rPr>
          <w:rFonts w:ascii="Garamond" w:hAnsi="Garamond"/>
          <w:color w:val="auto"/>
          <w:sz w:val="24"/>
          <w:highlight w:val="none"/>
        </w:rPr>
      </w:pPr>
    </w:p>
    <w:p w14:paraId="4768AF00">
      <w:pPr>
        <w:spacing w:line="340" w:lineRule="exact"/>
        <w:jc w:val="right"/>
        <w:rPr>
          <w:rFonts w:ascii="Garamond" w:hAnsi="Garamond"/>
          <w:color w:val="auto"/>
          <w:sz w:val="24"/>
          <w:highlight w:val="none"/>
        </w:rPr>
      </w:pPr>
    </w:p>
    <w:p w14:paraId="2A9CC503">
      <w:pPr>
        <w:spacing w:line="340" w:lineRule="exact"/>
        <w:jc w:val="right"/>
        <w:rPr>
          <w:rFonts w:ascii="Garamond" w:hAnsi="Garamond"/>
          <w:color w:val="auto"/>
          <w:sz w:val="24"/>
          <w:highlight w:val="none"/>
        </w:rPr>
      </w:pPr>
    </w:p>
    <w:p w14:paraId="1473DC1D">
      <w:pPr>
        <w:spacing w:after="120" w:line="338" w:lineRule="auto"/>
        <w:ind w:firstLine="2371" w:firstLineChars="494"/>
        <w:rPr>
          <w:rFonts w:ascii="Garamond" w:hAnsi="Garamond"/>
          <w:color w:val="auto"/>
          <w:sz w:val="48"/>
          <w:szCs w:val="48"/>
          <w:highlight w:val="none"/>
        </w:rPr>
      </w:pPr>
      <w:bookmarkStart w:id="13" w:name="_Toc353197072"/>
      <w:r>
        <w:rPr>
          <w:rFonts w:ascii="Garamond" w:hAnsi="Garamond"/>
          <w:color w:val="auto"/>
          <w:sz w:val="48"/>
          <w:szCs w:val="48"/>
          <w:highlight w:val="none"/>
        </w:rPr>
        <w:br w:type="page"/>
      </w:r>
    </w:p>
    <w:p w14:paraId="50E97C4A">
      <w:pPr>
        <w:pStyle w:val="2"/>
        <w:spacing w:after="120" w:line="338" w:lineRule="auto"/>
        <w:ind w:firstLine="2380" w:firstLineChars="494"/>
        <w:rPr>
          <w:rFonts w:ascii="Garamond" w:hAnsi="Garamond"/>
          <w:color w:val="auto"/>
          <w:sz w:val="48"/>
          <w:szCs w:val="48"/>
          <w:highlight w:val="none"/>
        </w:rPr>
      </w:pPr>
      <w:r>
        <w:rPr>
          <w:rFonts w:ascii="Garamond" w:hAnsi="Garamond"/>
          <w:color w:val="auto"/>
          <w:sz w:val="48"/>
          <w:szCs w:val="48"/>
          <w:highlight w:val="none"/>
        </w:rPr>
        <w:t>第一章  招标公告</w:t>
      </w:r>
      <w:bookmarkEnd w:id="13"/>
    </w:p>
    <w:bookmarkEnd w:id="2"/>
    <w:bookmarkEnd w:id="3"/>
    <w:p w14:paraId="0F24D14C">
      <w:pPr>
        <w:spacing w:line="360" w:lineRule="auto"/>
        <w:jc w:val="center"/>
        <w:rPr>
          <w:rFonts w:hint="eastAsia" w:ascii="Garamond" w:hAnsi="Garamond" w:eastAsia="宋体"/>
          <w:b/>
          <w:snapToGrid w:val="0"/>
          <w:color w:val="auto"/>
          <w:spacing w:val="-2"/>
          <w:kern w:val="0"/>
          <w:sz w:val="28"/>
          <w:szCs w:val="28"/>
          <w:highlight w:val="none"/>
          <w:lang w:eastAsia="zh-CN"/>
        </w:rPr>
      </w:pPr>
      <w:r>
        <w:rPr>
          <w:rFonts w:hint="eastAsia" w:ascii="Garamond" w:hAnsi="Garamond"/>
          <w:b/>
          <w:snapToGrid w:val="0"/>
          <w:color w:val="auto"/>
          <w:spacing w:val="-2"/>
          <w:kern w:val="0"/>
          <w:sz w:val="28"/>
          <w:szCs w:val="28"/>
          <w:highlight w:val="none"/>
          <w:lang w:eastAsia="zh-CN"/>
        </w:rPr>
        <w:t>南通沿江港口公用锚地调整项目配套系船浮工程试验检测项目</w:t>
      </w:r>
    </w:p>
    <w:p w14:paraId="20DD695E">
      <w:pPr>
        <w:spacing w:line="360" w:lineRule="auto"/>
        <w:jc w:val="center"/>
        <w:rPr>
          <w:rFonts w:ascii="Garamond" w:hAnsi="Garamond"/>
          <w:b/>
          <w:color w:val="auto"/>
          <w:sz w:val="28"/>
          <w:szCs w:val="28"/>
          <w:highlight w:val="none"/>
        </w:rPr>
      </w:pPr>
      <w:r>
        <w:rPr>
          <w:rFonts w:ascii="Garamond" w:hAnsi="Garamond"/>
          <w:b/>
          <w:color w:val="auto"/>
          <w:sz w:val="28"/>
          <w:szCs w:val="28"/>
          <w:highlight w:val="none"/>
        </w:rPr>
        <w:t>招标公告</w:t>
      </w:r>
    </w:p>
    <w:p w14:paraId="3B527D3D">
      <w:pPr>
        <w:tabs>
          <w:tab w:val="left" w:pos="3240"/>
        </w:tabs>
        <w:adjustRightInd w:val="0"/>
        <w:snapToGrid w:val="0"/>
        <w:spacing w:line="360" w:lineRule="auto"/>
        <w:rPr>
          <w:rFonts w:ascii="Garamond" w:hAnsi="Garamond"/>
          <w:b/>
          <w:color w:val="auto"/>
          <w:sz w:val="24"/>
          <w:highlight w:val="none"/>
        </w:rPr>
      </w:pPr>
      <w:r>
        <w:rPr>
          <w:rFonts w:hint="eastAsia" w:ascii="Garamond" w:hAnsi="Garamond"/>
          <w:b/>
          <w:color w:val="auto"/>
          <w:sz w:val="24"/>
          <w:highlight w:val="none"/>
        </w:rPr>
        <w:t>一、</w:t>
      </w:r>
      <w:r>
        <w:rPr>
          <w:rFonts w:ascii="Garamond" w:hAnsi="Garamond"/>
          <w:b/>
          <w:color w:val="auto"/>
          <w:sz w:val="24"/>
          <w:highlight w:val="none"/>
        </w:rPr>
        <w:t>招标条件</w:t>
      </w:r>
    </w:p>
    <w:p w14:paraId="31302E24">
      <w:pPr>
        <w:widowControl/>
        <w:topLinePunct/>
        <w:adjustRightInd w:val="0"/>
        <w:snapToGrid w:val="0"/>
        <w:spacing w:line="360" w:lineRule="auto"/>
        <w:ind w:firstLine="420" w:firstLineChars="200"/>
        <w:rPr>
          <w:rFonts w:ascii="Garamond" w:hAnsi="Garamond"/>
          <w:color w:val="auto"/>
          <w:highlight w:val="none"/>
        </w:rPr>
      </w:pPr>
      <w:bookmarkStart w:id="14" w:name="_Hlk141379251"/>
      <w:r>
        <w:rPr>
          <w:rFonts w:hint="eastAsia" w:ascii="宋体" w:hAnsi="宋体" w:cs="宋体"/>
          <w:spacing w:val="0"/>
          <w:kern w:val="21"/>
          <w:sz w:val="21"/>
          <w:szCs w:val="21"/>
          <w:highlight w:val="none"/>
        </w:rPr>
        <w:t>本招标项目</w:t>
      </w:r>
      <w:bookmarkEnd w:id="14"/>
      <w:r>
        <w:rPr>
          <w:rFonts w:hint="eastAsia" w:ascii="宋体" w:hAnsi="宋体" w:cs="宋体"/>
          <w:spacing w:val="0"/>
          <w:kern w:val="21"/>
          <w:sz w:val="21"/>
          <w:szCs w:val="21"/>
          <w:highlight w:val="none"/>
          <w:u w:val="single"/>
          <w:lang w:val="en-US" w:eastAsia="zh-CN"/>
        </w:rPr>
        <w:t>南通沿江港口公用锚地调整项目配套系船浮工程</w:t>
      </w:r>
      <w:r>
        <w:rPr>
          <w:rFonts w:hint="eastAsia" w:ascii="宋体" w:hAnsi="宋体" w:cs="宋体"/>
          <w:spacing w:val="0"/>
          <w:kern w:val="21"/>
          <w:sz w:val="21"/>
          <w:szCs w:val="21"/>
          <w:highlight w:val="none"/>
          <w:u w:val="none"/>
          <w:lang w:val="en-US" w:eastAsia="zh-CN"/>
        </w:rPr>
        <w:t>经</w:t>
      </w:r>
      <w:r>
        <w:rPr>
          <w:rFonts w:hint="eastAsia" w:ascii="宋体" w:hAnsi="宋体" w:cs="宋体"/>
          <w:spacing w:val="0"/>
          <w:kern w:val="21"/>
          <w:sz w:val="21"/>
          <w:szCs w:val="21"/>
          <w:highlight w:val="none"/>
          <w:u w:val="single"/>
          <w:lang w:val="en-US" w:eastAsia="zh-CN"/>
        </w:rPr>
        <w:t>南通市数据局</w:t>
      </w:r>
      <w:r>
        <w:rPr>
          <w:rFonts w:hint="eastAsia" w:ascii="宋体" w:hAnsi="宋体" w:cs="宋体"/>
          <w:kern w:val="21"/>
          <w:sz w:val="21"/>
          <w:szCs w:val="21"/>
          <w:highlight w:val="none"/>
        </w:rPr>
        <w:t>以</w:t>
      </w:r>
      <w:r>
        <w:rPr>
          <w:rFonts w:hint="eastAsia" w:ascii="宋体" w:hAnsi="宋体" w:cs="宋体"/>
          <w:kern w:val="21"/>
          <w:sz w:val="21"/>
          <w:szCs w:val="21"/>
          <w:highlight w:val="none"/>
          <w:u w:val="single"/>
          <w:lang w:val="en-US" w:eastAsia="zh-CN"/>
        </w:rPr>
        <w:t>通数据审批【2025】230号</w:t>
      </w:r>
      <w:r>
        <w:rPr>
          <w:rFonts w:hint="eastAsia" w:ascii="宋体" w:hAnsi="宋体" w:cs="宋体"/>
          <w:kern w:val="21"/>
          <w:sz w:val="21"/>
          <w:szCs w:val="21"/>
          <w:highlight w:val="none"/>
        </w:rPr>
        <w:t>批准建设</w:t>
      </w:r>
      <w:r>
        <w:rPr>
          <w:rFonts w:hint="eastAsia" w:ascii="宋体" w:hAnsi="宋体" w:cs="宋体"/>
          <w:spacing w:val="0"/>
          <w:kern w:val="21"/>
          <w:sz w:val="21"/>
          <w:szCs w:val="21"/>
          <w:highlight w:val="none"/>
        </w:rPr>
        <w:t>，</w:t>
      </w:r>
      <w:r>
        <w:rPr>
          <w:rFonts w:hint="eastAsia" w:ascii="宋体" w:hAnsi="宋体" w:eastAsia="宋体" w:cs="宋体"/>
          <w:b w:val="0"/>
          <w:bCs w:val="0"/>
          <w:spacing w:val="12"/>
          <w:sz w:val="21"/>
          <w:szCs w:val="21"/>
          <w:highlight w:val="none"/>
          <w:lang w:val="en-US" w:eastAsia="zh-CN"/>
        </w:rPr>
        <w:t>施工图已由</w:t>
      </w:r>
      <w:r>
        <w:rPr>
          <w:rFonts w:hint="eastAsia" w:ascii="宋体" w:hAnsi="宋体" w:eastAsia="宋体" w:cs="宋体"/>
          <w:b w:val="0"/>
          <w:bCs w:val="0"/>
          <w:color w:val="000000"/>
          <w:spacing w:val="12"/>
          <w:sz w:val="21"/>
          <w:szCs w:val="21"/>
          <w:highlight w:val="none"/>
          <w:u w:val="single"/>
          <w:lang w:val="en-US" w:eastAsia="zh-CN"/>
        </w:rPr>
        <w:t>南通市交通运输局</w:t>
      </w:r>
      <w:r>
        <w:rPr>
          <w:rFonts w:hint="eastAsia" w:ascii="宋体" w:hAnsi="宋体" w:eastAsia="宋体" w:cs="宋体"/>
          <w:b w:val="0"/>
          <w:bCs w:val="0"/>
          <w:color w:val="000000"/>
          <w:spacing w:val="12"/>
          <w:sz w:val="21"/>
          <w:szCs w:val="21"/>
          <w:highlight w:val="none"/>
          <w:lang w:val="en-US" w:eastAsia="zh-CN"/>
        </w:rPr>
        <w:t>以</w:t>
      </w:r>
      <w:r>
        <w:rPr>
          <w:rFonts w:hint="eastAsia" w:ascii="宋体" w:hAnsi="宋体" w:eastAsia="宋体" w:cs="宋体"/>
          <w:b w:val="0"/>
          <w:bCs w:val="0"/>
          <w:color w:val="000000"/>
          <w:spacing w:val="12"/>
          <w:sz w:val="21"/>
          <w:szCs w:val="21"/>
          <w:highlight w:val="none"/>
          <w:u w:val="single"/>
          <w:lang w:val="en-US" w:eastAsia="zh-CN"/>
        </w:rPr>
        <w:t>通交建许字〔2025〕00011号</w:t>
      </w:r>
      <w:r>
        <w:rPr>
          <w:rFonts w:hint="eastAsia" w:ascii="宋体" w:hAnsi="宋体" w:eastAsia="宋体" w:cs="宋体"/>
          <w:b w:val="0"/>
          <w:bCs w:val="0"/>
          <w:color w:val="000000"/>
          <w:spacing w:val="12"/>
          <w:sz w:val="21"/>
          <w:szCs w:val="21"/>
          <w:highlight w:val="none"/>
          <w:lang w:val="en-US" w:eastAsia="zh-CN"/>
        </w:rPr>
        <w:t>批准</w:t>
      </w:r>
      <w:r>
        <w:rPr>
          <w:rFonts w:hint="eastAsia" w:ascii="宋体" w:hAnsi="宋体" w:eastAsia="宋体" w:cs="宋体"/>
          <w:b w:val="0"/>
          <w:bCs w:val="0"/>
          <w:spacing w:val="12"/>
          <w:sz w:val="21"/>
          <w:szCs w:val="21"/>
          <w:highlight w:val="none"/>
          <w:lang w:val="en-US" w:eastAsia="zh-CN"/>
        </w:rPr>
        <w:t>，</w:t>
      </w:r>
      <w:r>
        <w:rPr>
          <w:rFonts w:hint="eastAsia" w:ascii="宋体" w:hAnsi="宋体" w:cs="宋体"/>
          <w:spacing w:val="0"/>
          <w:kern w:val="21"/>
          <w:sz w:val="21"/>
          <w:szCs w:val="21"/>
          <w:highlight w:val="none"/>
        </w:rPr>
        <w:t>项目业主为</w:t>
      </w:r>
      <w:r>
        <w:rPr>
          <w:rFonts w:hint="eastAsia" w:ascii="宋体" w:hAnsi="宋体" w:cs="宋体"/>
          <w:spacing w:val="0"/>
          <w:kern w:val="21"/>
          <w:sz w:val="21"/>
          <w:szCs w:val="21"/>
          <w:highlight w:val="none"/>
          <w:u w:val="single"/>
          <w:lang w:eastAsia="zh-CN"/>
        </w:rPr>
        <w:t>南通市交通公共事业发展中心</w:t>
      </w:r>
      <w:r>
        <w:rPr>
          <w:rFonts w:hint="eastAsia" w:ascii="宋体" w:hAnsi="宋体" w:cs="宋体"/>
          <w:spacing w:val="0"/>
          <w:kern w:val="21"/>
          <w:sz w:val="21"/>
          <w:szCs w:val="21"/>
          <w:highlight w:val="none"/>
        </w:rPr>
        <w:t>，建设资金来自</w:t>
      </w:r>
      <w:r>
        <w:rPr>
          <w:rFonts w:hint="eastAsia" w:ascii="宋体" w:hAnsi="宋体" w:cs="宋体"/>
          <w:spacing w:val="0"/>
          <w:kern w:val="21"/>
          <w:sz w:val="21"/>
          <w:szCs w:val="21"/>
          <w:highlight w:val="none"/>
          <w:u w:val="single"/>
          <w:lang w:val="en-US" w:eastAsia="zh-CN"/>
        </w:rPr>
        <w:t>财政资金</w:t>
      </w:r>
      <w:r>
        <w:rPr>
          <w:rFonts w:hint="eastAsia" w:ascii="宋体" w:hAnsi="宋体" w:cs="宋体"/>
          <w:spacing w:val="0"/>
          <w:kern w:val="21"/>
          <w:sz w:val="21"/>
          <w:szCs w:val="21"/>
          <w:highlight w:val="none"/>
        </w:rPr>
        <w:t>，项目出资比例为</w:t>
      </w:r>
      <w:r>
        <w:rPr>
          <w:rFonts w:hint="eastAsia" w:ascii="宋体" w:hAnsi="宋体" w:cs="宋体"/>
          <w:spacing w:val="0"/>
          <w:kern w:val="21"/>
          <w:sz w:val="21"/>
          <w:szCs w:val="21"/>
          <w:highlight w:val="none"/>
          <w:u w:val="single"/>
        </w:rPr>
        <w:t>100%</w:t>
      </w:r>
      <w:r>
        <w:rPr>
          <w:rFonts w:hint="eastAsia" w:ascii="宋体" w:hAnsi="宋体" w:cs="宋体"/>
          <w:spacing w:val="0"/>
          <w:kern w:val="21"/>
          <w:sz w:val="21"/>
          <w:szCs w:val="21"/>
          <w:highlight w:val="none"/>
        </w:rPr>
        <w:t>，招标人为</w:t>
      </w:r>
      <w:r>
        <w:rPr>
          <w:rFonts w:hint="eastAsia" w:ascii="宋体" w:hAnsi="宋体" w:cs="宋体"/>
          <w:spacing w:val="0"/>
          <w:kern w:val="21"/>
          <w:sz w:val="21"/>
          <w:szCs w:val="21"/>
          <w:highlight w:val="none"/>
          <w:u w:val="single"/>
          <w:lang w:eastAsia="zh-CN"/>
        </w:rPr>
        <w:t>南通市交通公共事业发展中心</w:t>
      </w:r>
      <w:r>
        <w:rPr>
          <w:rFonts w:hint="eastAsia" w:ascii="宋体" w:hAnsi="宋体" w:cs="宋体"/>
          <w:spacing w:val="0"/>
          <w:kern w:val="21"/>
          <w:sz w:val="21"/>
          <w:szCs w:val="21"/>
          <w:highlight w:val="none"/>
        </w:rPr>
        <w:t>。项目已具备招标条件，现对该项目的</w:t>
      </w:r>
      <w:r>
        <w:rPr>
          <w:rFonts w:hint="eastAsia" w:ascii="宋体" w:hAnsi="宋体" w:eastAsia="宋体" w:cs="宋体"/>
          <w:b/>
          <w:bCs/>
          <w:color w:val="auto"/>
          <w:sz w:val="21"/>
          <w:szCs w:val="21"/>
          <w:highlight w:val="none"/>
          <w:u w:val="single"/>
          <w:lang w:val="en-US" w:eastAsia="zh-CN"/>
        </w:rPr>
        <w:t>试验</w:t>
      </w:r>
      <w:r>
        <w:rPr>
          <w:rFonts w:hint="eastAsia" w:ascii="宋体" w:hAnsi="宋体" w:eastAsia="宋体" w:cs="宋体"/>
          <w:b/>
          <w:bCs/>
          <w:color w:val="auto"/>
          <w:sz w:val="21"/>
          <w:szCs w:val="21"/>
          <w:highlight w:val="none"/>
          <w:u w:val="single"/>
          <w:lang w:eastAsia="zh-CN"/>
        </w:rPr>
        <w:t>检测</w:t>
      </w:r>
      <w:r>
        <w:rPr>
          <w:rFonts w:hint="eastAsia" w:ascii="宋体" w:hAnsi="宋体" w:cs="宋体"/>
          <w:spacing w:val="0"/>
          <w:kern w:val="21"/>
          <w:sz w:val="21"/>
          <w:szCs w:val="21"/>
          <w:highlight w:val="none"/>
        </w:rPr>
        <w:t>进行公开招标</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本项目采用资格后审方式。</w:t>
      </w:r>
    </w:p>
    <w:p w14:paraId="5D87A544">
      <w:pPr>
        <w:tabs>
          <w:tab w:val="left" w:pos="3240"/>
        </w:tabs>
        <w:adjustRightInd w:val="0"/>
        <w:snapToGrid w:val="0"/>
        <w:spacing w:line="360" w:lineRule="auto"/>
        <w:rPr>
          <w:rFonts w:ascii="Garamond" w:hAnsi="Garamond"/>
          <w:b/>
          <w:color w:val="auto"/>
          <w:sz w:val="24"/>
          <w:highlight w:val="none"/>
        </w:rPr>
      </w:pPr>
      <w:r>
        <w:rPr>
          <w:rFonts w:hint="eastAsia" w:ascii="Garamond" w:hAnsi="Garamond"/>
          <w:b/>
          <w:color w:val="auto"/>
          <w:sz w:val="24"/>
          <w:highlight w:val="none"/>
        </w:rPr>
        <w:t>二、</w:t>
      </w:r>
      <w:r>
        <w:rPr>
          <w:rFonts w:ascii="Garamond" w:hAnsi="Garamond"/>
          <w:b/>
          <w:color w:val="auto"/>
          <w:sz w:val="24"/>
          <w:highlight w:val="none"/>
        </w:rPr>
        <w:t>项目概况与招标范围</w:t>
      </w:r>
    </w:p>
    <w:p w14:paraId="1D113EBD">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2.1项目概况</w:t>
      </w:r>
    </w:p>
    <w:p w14:paraId="054ED6E5">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目前南通港锚地系船浮区域可停泊7个3000吨级江轮，现拟对南通港锚地进行调整，实施9个系船浮工程，系泊船型为散货船（江轮），船舶等级3000吨级。</w:t>
      </w:r>
    </w:p>
    <w:p w14:paraId="76898299">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2.2招标范围及标段划分</w:t>
      </w:r>
    </w:p>
    <w:p w14:paraId="64070734">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本次招标项目共设1个标段，招标范围为</w:t>
      </w:r>
      <w:r>
        <w:rPr>
          <w:rFonts w:hint="eastAsia" w:ascii="Garamond" w:hAnsi="Garamond"/>
          <w:color w:val="auto"/>
          <w:szCs w:val="21"/>
          <w:highlight w:val="none"/>
          <w:lang w:eastAsia="zh-CN"/>
        </w:rPr>
        <w:t>南通沿江港口公用锚地调整项目配套系船浮工程</w:t>
      </w:r>
      <w:r>
        <w:rPr>
          <w:rFonts w:hint="eastAsia" w:ascii="Garamond" w:hAnsi="Garamond"/>
          <w:color w:val="auto"/>
          <w:szCs w:val="21"/>
          <w:highlight w:val="none"/>
        </w:rPr>
        <w:t>施工图设计文件中施工过程中的验证性检测服务，以及根据招标人要求的施工过程中的检测工作、交（竣）工验收检测等工作。本工程项目的检测内容、频率和要求应满足本项目设计文件要求、《水运工程质量检验标准》（JTS257- 2008）、《江苏省水运工程交（竣）工质量核验（鉴定）工作程序及标准》（苏交规〔2020〕3 号）等相关规范文件要求。</w:t>
      </w:r>
    </w:p>
    <w:p w14:paraId="7FAD9361">
      <w:pPr>
        <w:adjustRightInd w:val="0"/>
        <w:snapToGrid w:val="0"/>
        <w:spacing w:line="360" w:lineRule="auto"/>
        <w:ind w:firstLine="420" w:firstLineChars="200"/>
        <w:rPr>
          <w:rFonts w:ascii="Garamond" w:hAnsi="Garamond"/>
          <w:color w:val="auto"/>
          <w:szCs w:val="21"/>
          <w:highlight w:val="none"/>
        </w:rPr>
      </w:pPr>
      <w:r>
        <w:rPr>
          <w:rFonts w:hint="eastAsia" w:ascii="Garamond" w:hAnsi="Garamond"/>
          <w:color w:val="auto"/>
          <w:szCs w:val="21"/>
          <w:highlight w:val="none"/>
        </w:rPr>
        <w:t>计划服务期：自合同签订之日起至项目竣工验收，在此期间应根据项目完成进度和委托人需要，及时完成相关质量检测工作。具体开工日期以发包人指令为准。</w:t>
      </w:r>
    </w:p>
    <w:p w14:paraId="14D28543">
      <w:pPr>
        <w:tabs>
          <w:tab w:val="left" w:pos="3240"/>
        </w:tabs>
        <w:adjustRightInd w:val="0"/>
        <w:snapToGrid w:val="0"/>
        <w:spacing w:line="360" w:lineRule="auto"/>
        <w:rPr>
          <w:rFonts w:ascii="Garamond" w:hAnsi="Garamond"/>
          <w:b/>
          <w:color w:val="auto"/>
          <w:sz w:val="24"/>
          <w:highlight w:val="none"/>
        </w:rPr>
      </w:pPr>
      <w:r>
        <w:rPr>
          <w:rFonts w:hint="eastAsia" w:ascii="Garamond" w:hAnsi="Garamond"/>
          <w:b/>
          <w:color w:val="auto"/>
          <w:sz w:val="24"/>
          <w:highlight w:val="none"/>
        </w:rPr>
        <w:t>三、</w:t>
      </w:r>
      <w:r>
        <w:rPr>
          <w:rFonts w:ascii="Garamond" w:hAnsi="Garamond"/>
          <w:b/>
          <w:color w:val="auto"/>
          <w:sz w:val="24"/>
          <w:highlight w:val="none"/>
        </w:rPr>
        <w:t>投标人资格要求</w:t>
      </w:r>
    </w:p>
    <w:p w14:paraId="3B098EF8">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3.1 本次招标对投标人资格条件要求如下：</w:t>
      </w:r>
    </w:p>
    <w:p w14:paraId="5B7D18C7">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3.1.1资质要求：</w:t>
      </w:r>
    </w:p>
    <w:p w14:paraId="5B5286EC">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①投标人（以联合体形式投标时，指联合体各方）必须是独立的企业法人，持有效营业执照，具有统一社会信用代码信息；</w:t>
      </w:r>
    </w:p>
    <w:p w14:paraId="0FB8A1EF">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 xml:space="preserve"> ②投标人应同时具有下列资质（以联合体形式投标时，联合体必须涵盖下列资质）；</w:t>
      </w:r>
    </w:p>
    <w:p w14:paraId="6C97C12C">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a、具有有效的省级及以上交通运输部门颁发的水运工程结构乙级及以上资质；</w:t>
      </w:r>
    </w:p>
    <w:p w14:paraId="60800AD5">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b、具有有效的省级及以上交通运输部门颁发的水运工程材料乙级及以上资质。</w:t>
      </w:r>
    </w:p>
    <w:p w14:paraId="19856C47">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③投标人（以联合体形式投标时，指联合体各方）具有省级或以上计量行政部门颁发的计量认证证书（或资质认定证书）。</w:t>
      </w:r>
    </w:p>
    <w:p w14:paraId="738CED5A">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3.1.2业绩要求：</w:t>
      </w:r>
    </w:p>
    <w:p w14:paraId="18F29FC4">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投标人（以联合体形式投标时，指联合体各方）2020年1月1日 (以合同签订日期为准，下同)至今承担过水运工程的试验检测项目。</w:t>
      </w:r>
    </w:p>
    <w:p w14:paraId="24C16124">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3.1.3人员要求：</w:t>
      </w:r>
    </w:p>
    <w:p w14:paraId="39C246AF">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①项目负责人（以联合体形式投标时，由联合体牵头人委派）要求：拟投入的项目负责人应具有高级工程师或以上技术职称，具有水运工程（材料或结构专业）试验检测工程师（试验检测师）资格证书，2020年1月1日 (以合同签订日期为准，下同)至今担任过水运工程的试验检测项目的项目负责人（或技术负责人）；</w:t>
      </w:r>
    </w:p>
    <w:p w14:paraId="63997EBF">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②技术负责人（以联合体形式投标时，由联合体牵头人委派）要求：拟投入的技术负责人应具有高级工程师或以上技术职称，具有水运工程（材料或结构专业）试验检测工程师（试验检测师）资格证书，2020年1月1日 (以合同签订日期为准，下同)至今担任过水运工程的试验检测项目的技术负责人（或项目负责人）；</w:t>
      </w:r>
    </w:p>
    <w:p w14:paraId="16881681">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③其他人员要求：除项目负责人和技术负责人外，拟投入本项目的试验检测工程师不少于1名，具备水运工程（材料或结构专业）试验检测工程师（试验检测师）资格；项目组其余试验人员不少于1人，应具备水运工程试验检测员（助理试验检测师）资格。</w:t>
      </w:r>
    </w:p>
    <w:p w14:paraId="02B3D682">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注：拟投入本标段的项目组成员（含项目负责人、技术负责人）提供由投标人所属社保机构出具的所有项目组成员最近3个月（2025年7月至2025年9月）中任意1个月的社保（或养老）缴费证明[社保缴纳证明材料需含缴费起止时间、缴费单位、缴费人员姓名并由社保机构加盖缴费证明专用章，社保机构官网上打印件与线下的盖章件具有同等效力，缴费单位须与投标人名称一致（投标人下属不具备独立法人资格的分支机构缴纳的社保视为本单位））。若社保缴费证明材料中体现缴费类别的，则至少包含养老保险]。</w:t>
      </w:r>
    </w:p>
    <w:p w14:paraId="1E028B82">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3.1.4信誉要求：（以联合体形式投标时，指联合体各方）</w:t>
      </w:r>
    </w:p>
    <w:p w14:paraId="1AF99AC4">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a、投标文件递交截止日当天，投标人在最近一次江苏交通项目的信用档案等级评定中被评为C级或以上级别（试验检测类）；</w:t>
      </w:r>
    </w:p>
    <w:p w14:paraId="570017D6">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b、截止递交投标文件当日，投标人未在“信用中国”网站中被列入失信被执行人名单；</w:t>
      </w:r>
    </w:p>
    <w:p w14:paraId="2BB7EBE6">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c、截止递交投标文件当日，投标人未在国家企业信用信息公示系统中被列入严重违法失信企业名单。</w:t>
      </w:r>
    </w:p>
    <w:p w14:paraId="09D53356">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3.2本次招标接受联合体投标。</w:t>
      </w:r>
    </w:p>
    <w:p w14:paraId="41DCA446">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本项目投标人可独立参加投标，也可以联合体的形式参加投标，如以联合体形式参加投标，联合体牵头人须为水运工程结构乙级或以上资质的单位，联合体成员总数量（含牵头人）不得超过 2 家。 联合体各方不得再以自己名义单独或参加其他联合体在本项目投标。其他联合体投标要求详见招标文件。</w:t>
      </w:r>
    </w:p>
    <w:p w14:paraId="5645D41F">
      <w:pPr>
        <w:adjustRightInd w:val="0"/>
        <w:snapToGrid w:val="0"/>
        <w:spacing w:line="360" w:lineRule="auto"/>
        <w:ind w:firstLine="420" w:firstLineChars="200"/>
        <w:rPr>
          <w:rFonts w:hint="eastAsia" w:ascii="Garamond" w:hAnsi="Garamond"/>
          <w:color w:val="auto"/>
          <w:szCs w:val="21"/>
          <w:highlight w:val="none"/>
        </w:rPr>
      </w:pPr>
      <w:r>
        <w:rPr>
          <w:rFonts w:hint="eastAsia" w:ascii="Garamond" w:hAnsi="Garamond"/>
          <w:color w:val="auto"/>
          <w:szCs w:val="21"/>
          <w:highlight w:val="none"/>
        </w:rPr>
        <w:t>3.3与招标人存在利害关系可能影响招标公正性的法人、其他组织或者个人，不得参加本合同段的投标；单位负责人为同一人或者存在控股、管理关系的不同单位，不得同时参加本标段的投标，否则，其投标均无效。</w:t>
      </w:r>
    </w:p>
    <w:p w14:paraId="088DC74A">
      <w:pPr>
        <w:adjustRightInd w:val="0"/>
        <w:snapToGrid w:val="0"/>
        <w:spacing w:line="360" w:lineRule="auto"/>
        <w:ind w:firstLine="420" w:firstLineChars="200"/>
        <w:rPr>
          <w:color w:val="auto"/>
          <w:highlight w:val="none"/>
        </w:rPr>
      </w:pPr>
      <w:r>
        <w:rPr>
          <w:rFonts w:hint="eastAsia" w:ascii="Garamond" w:hAnsi="Garamond"/>
          <w:color w:val="auto"/>
          <w:szCs w:val="21"/>
          <w:highlight w:val="none"/>
        </w:rPr>
        <w:t>3.4承担</w:t>
      </w:r>
      <w:r>
        <w:rPr>
          <w:rFonts w:hint="eastAsia" w:ascii="Garamond" w:hAnsi="Garamond"/>
          <w:color w:val="auto"/>
          <w:szCs w:val="21"/>
          <w:highlight w:val="none"/>
          <w:lang w:eastAsia="zh-CN"/>
        </w:rPr>
        <w:t>南通沿江港口公用锚地调整项目配套系船浮工程</w:t>
      </w:r>
      <w:r>
        <w:rPr>
          <w:rFonts w:hint="eastAsia" w:ascii="Garamond" w:hAnsi="Garamond"/>
          <w:color w:val="auto"/>
          <w:szCs w:val="21"/>
          <w:highlight w:val="none"/>
        </w:rPr>
        <w:t>施工、监理工作的单位，或与以上单位有隶属或投资参股关系可能影响服务质量或公正性的单位，均不得参与本项目的投标，否则，其投标无效。为</w:t>
      </w:r>
      <w:r>
        <w:rPr>
          <w:rFonts w:hint="eastAsia" w:ascii="Garamond" w:hAnsi="Garamond"/>
          <w:color w:val="auto"/>
          <w:szCs w:val="21"/>
          <w:highlight w:val="none"/>
          <w:lang w:eastAsia="zh-CN"/>
        </w:rPr>
        <w:t>南通沿江港口公用锚地调整项目配套系船浮工程</w:t>
      </w:r>
      <w:r>
        <w:rPr>
          <w:rFonts w:hint="eastAsia" w:ascii="Garamond" w:hAnsi="Garamond"/>
          <w:color w:val="auto"/>
          <w:szCs w:val="21"/>
          <w:highlight w:val="none"/>
        </w:rPr>
        <w:t>施工、监理、质监部门等单位提供本项目的检测服务的潜在投标人不得参加本项目投标，否则投标无效。</w:t>
      </w:r>
    </w:p>
    <w:p w14:paraId="252EA968">
      <w:pPr>
        <w:adjustRightInd w:val="0"/>
        <w:snapToGrid w:val="0"/>
        <w:spacing w:line="360" w:lineRule="auto"/>
        <w:rPr>
          <w:rFonts w:ascii="Garamond" w:hAnsi="Garamond"/>
          <w:b/>
          <w:color w:val="auto"/>
          <w:sz w:val="24"/>
          <w:highlight w:val="none"/>
        </w:rPr>
      </w:pPr>
      <w:r>
        <w:rPr>
          <w:rFonts w:hint="eastAsia" w:ascii="Garamond" w:hAnsi="Garamond"/>
          <w:b/>
          <w:color w:val="auto"/>
          <w:sz w:val="24"/>
          <w:highlight w:val="none"/>
        </w:rPr>
        <w:t>四、</w:t>
      </w:r>
      <w:r>
        <w:rPr>
          <w:rFonts w:ascii="Garamond" w:hAnsi="Garamond"/>
          <w:b/>
          <w:color w:val="auto"/>
          <w:sz w:val="24"/>
          <w:highlight w:val="none"/>
        </w:rPr>
        <w:t>评标办法</w:t>
      </w:r>
    </w:p>
    <w:p w14:paraId="05FE28F9">
      <w:pPr>
        <w:adjustRightInd w:val="0"/>
        <w:snapToGrid w:val="0"/>
        <w:spacing w:line="360" w:lineRule="auto"/>
        <w:ind w:firstLine="420" w:firstLineChars="200"/>
        <w:rPr>
          <w:rFonts w:ascii="Garamond" w:hAnsi="Garamond"/>
          <w:color w:val="auto"/>
          <w:szCs w:val="21"/>
          <w:highlight w:val="none"/>
        </w:rPr>
      </w:pPr>
      <w:r>
        <w:rPr>
          <w:rFonts w:ascii="Garamond" w:hAnsi="Garamond"/>
          <w:color w:val="auto"/>
          <w:szCs w:val="21"/>
          <w:highlight w:val="none"/>
        </w:rPr>
        <w:t>本次招标项目采用综合评分法。详见招标文件。</w:t>
      </w:r>
    </w:p>
    <w:p w14:paraId="6429ADCF">
      <w:pPr>
        <w:tabs>
          <w:tab w:val="left" w:pos="3240"/>
        </w:tabs>
        <w:adjustRightInd w:val="0"/>
        <w:snapToGrid w:val="0"/>
        <w:spacing w:line="360" w:lineRule="auto"/>
        <w:rPr>
          <w:rFonts w:ascii="Garamond" w:hAnsi="Garamond"/>
          <w:b/>
          <w:color w:val="auto"/>
          <w:sz w:val="24"/>
          <w:highlight w:val="none"/>
        </w:rPr>
      </w:pPr>
      <w:bookmarkStart w:id="15" w:name="_Toc90104557"/>
      <w:bookmarkStart w:id="16" w:name="_Toc89848285"/>
      <w:bookmarkStart w:id="17" w:name="_Toc90105264"/>
      <w:bookmarkStart w:id="18" w:name="_Toc90106644"/>
      <w:bookmarkStart w:id="19" w:name="_Toc90105075"/>
      <w:bookmarkStart w:id="20" w:name="_Toc90105452"/>
      <w:bookmarkStart w:id="21" w:name="_Toc90105825"/>
      <w:bookmarkStart w:id="22" w:name="_Toc90106825"/>
      <w:bookmarkStart w:id="23" w:name="_Toc90106187"/>
      <w:bookmarkStart w:id="24" w:name="_Toc92015767"/>
      <w:bookmarkStart w:id="25" w:name="_Toc90105639"/>
      <w:bookmarkStart w:id="26" w:name="_Toc90106006"/>
      <w:r>
        <w:rPr>
          <w:rFonts w:hint="eastAsia" w:ascii="Garamond" w:hAnsi="Garamond"/>
          <w:b/>
          <w:color w:val="auto"/>
          <w:sz w:val="24"/>
          <w:highlight w:val="none"/>
        </w:rPr>
        <w:t>五、</w:t>
      </w:r>
      <w:r>
        <w:rPr>
          <w:rFonts w:ascii="Garamond" w:hAnsi="Garamond"/>
          <w:b/>
          <w:color w:val="auto"/>
          <w:sz w:val="24"/>
          <w:highlight w:val="none"/>
        </w:rPr>
        <w:t>招标文件的获取</w:t>
      </w:r>
    </w:p>
    <w:bookmarkEnd w:id="15"/>
    <w:bookmarkEnd w:id="16"/>
    <w:bookmarkEnd w:id="17"/>
    <w:bookmarkEnd w:id="18"/>
    <w:bookmarkEnd w:id="19"/>
    <w:bookmarkEnd w:id="20"/>
    <w:bookmarkEnd w:id="21"/>
    <w:bookmarkEnd w:id="22"/>
    <w:bookmarkEnd w:id="23"/>
    <w:bookmarkEnd w:id="24"/>
    <w:bookmarkEnd w:id="25"/>
    <w:bookmarkEnd w:id="26"/>
    <w:p w14:paraId="2EBACE99">
      <w:pPr>
        <w:pStyle w:val="15"/>
        <w:topLinePunct/>
        <w:adjustRightInd w:val="0"/>
        <w:snapToGrid w:val="0"/>
        <w:spacing w:line="360" w:lineRule="auto"/>
        <w:ind w:firstLine="420" w:firstLineChars="200"/>
        <w:rPr>
          <w:rFonts w:hint="eastAsia" w:ascii="Garamond" w:hAnsi="Garamond"/>
          <w:color w:val="auto"/>
          <w:sz w:val="21"/>
          <w:szCs w:val="24"/>
          <w:highlight w:val="none"/>
        </w:rPr>
      </w:pPr>
      <w:bookmarkStart w:id="27" w:name="_Toc90106007"/>
      <w:bookmarkStart w:id="28" w:name="_Toc90105826"/>
      <w:bookmarkStart w:id="29" w:name="_Toc90105076"/>
      <w:bookmarkStart w:id="30" w:name="_Toc92015768"/>
      <w:bookmarkStart w:id="31" w:name="_Toc90105265"/>
      <w:bookmarkStart w:id="32" w:name="_Toc90105640"/>
      <w:bookmarkStart w:id="33" w:name="_Toc89848286"/>
      <w:bookmarkStart w:id="34" w:name="_Toc90104558"/>
      <w:bookmarkStart w:id="35" w:name="_Toc90105453"/>
      <w:bookmarkStart w:id="36" w:name="_Toc90106188"/>
      <w:bookmarkStart w:id="37" w:name="_Toc90106826"/>
      <w:bookmarkStart w:id="38" w:name="_Toc90106645"/>
      <w:r>
        <w:rPr>
          <w:rFonts w:hint="eastAsia" w:ascii="Garamond" w:hAnsi="Garamond"/>
          <w:color w:val="auto"/>
          <w:sz w:val="21"/>
          <w:szCs w:val="24"/>
          <w:highlight w:val="none"/>
          <w:lang w:val="en-US" w:eastAsia="zh-CN"/>
        </w:rPr>
        <w:t>5</w:t>
      </w:r>
      <w:r>
        <w:rPr>
          <w:rFonts w:hint="eastAsia" w:ascii="Garamond" w:hAnsi="Garamond"/>
          <w:color w:val="auto"/>
          <w:sz w:val="21"/>
          <w:szCs w:val="24"/>
          <w:highlight w:val="none"/>
        </w:rPr>
        <w:t>.1预约时间：自本公告上网发布之日起至2025年</w:t>
      </w:r>
      <w:r>
        <w:rPr>
          <w:rFonts w:hint="eastAsia" w:ascii="Garamond" w:hAnsi="Garamond"/>
          <w:color w:val="auto"/>
          <w:sz w:val="21"/>
          <w:szCs w:val="24"/>
          <w:highlight w:val="none"/>
          <w:lang w:val="en-US" w:eastAsia="zh-CN"/>
        </w:rPr>
        <w:t>9</w:t>
      </w:r>
      <w:r>
        <w:rPr>
          <w:rFonts w:hint="eastAsia" w:ascii="Garamond" w:hAnsi="Garamond"/>
          <w:color w:val="auto"/>
          <w:sz w:val="21"/>
          <w:szCs w:val="24"/>
          <w:highlight w:val="none"/>
        </w:rPr>
        <w:t>月</w:t>
      </w:r>
      <w:r>
        <w:rPr>
          <w:rFonts w:hint="eastAsia" w:ascii="Garamond" w:hAnsi="Garamond"/>
          <w:color w:val="auto"/>
          <w:sz w:val="21"/>
          <w:szCs w:val="24"/>
          <w:highlight w:val="none"/>
          <w:lang w:val="en-US" w:eastAsia="zh-CN"/>
        </w:rPr>
        <w:t>19</w:t>
      </w:r>
      <w:r>
        <w:rPr>
          <w:rFonts w:hint="eastAsia" w:ascii="Garamond" w:hAnsi="Garamond"/>
          <w:color w:val="auto"/>
          <w:sz w:val="21"/>
          <w:szCs w:val="24"/>
          <w:highlight w:val="none"/>
        </w:rPr>
        <w:t>日，每日工作时间：上午9:00至11:30整，下午13:30至17:30整（北京时间，双休、节假日除外）。</w:t>
      </w:r>
    </w:p>
    <w:p w14:paraId="4351D4E8">
      <w:pPr>
        <w:pStyle w:val="15"/>
        <w:topLinePunct/>
        <w:adjustRightInd w:val="0"/>
        <w:snapToGrid w:val="0"/>
        <w:spacing w:line="360" w:lineRule="auto"/>
        <w:ind w:firstLine="420" w:firstLineChars="200"/>
        <w:rPr>
          <w:rFonts w:hint="eastAsia" w:ascii="Garamond" w:hAnsi="Garamond"/>
          <w:color w:val="auto"/>
          <w:sz w:val="21"/>
          <w:szCs w:val="24"/>
          <w:highlight w:val="none"/>
        </w:rPr>
      </w:pPr>
      <w:r>
        <w:rPr>
          <w:rFonts w:hint="eastAsia" w:ascii="Garamond" w:hAnsi="Garamond"/>
          <w:color w:val="auto"/>
          <w:sz w:val="21"/>
          <w:szCs w:val="24"/>
          <w:highlight w:val="none"/>
          <w:lang w:val="en-US" w:eastAsia="zh-CN"/>
        </w:rPr>
        <w:t>5</w:t>
      </w:r>
      <w:r>
        <w:rPr>
          <w:rFonts w:hint="eastAsia" w:ascii="Garamond" w:hAnsi="Garamond"/>
          <w:color w:val="auto"/>
          <w:sz w:val="21"/>
          <w:szCs w:val="24"/>
          <w:highlight w:val="none"/>
        </w:rPr>
        <w:t>.2预约方式：凡符合资格要求并有意愿参加本项目的投标人，请如实填写《申请函》（格式见本项目公告附件）并加盖公章，发彩色扫描件至邮箱（</w:t>
      </w:r>
      <w:r>
        <w:rPr>
          <w:rFonts w:hint="default" w:ascii="Garamond" w:hAnsi="Garamond"/>
          <w:color w:val="auto"/>
          <w:sz w:val="21"/>
          <w:szCs w:val="24"/>
          <w:highlight w:val="none"/>
          <w:lang w:val="en-US"/>
        </w:rPr>
        <w:t>928788528</w:t>
      </w:r>
      <w:r>
        <w:rPr>
          <w:rFonts w:hint="eastAsia" w:ascii="Garamond" w:hAnsi="Garamond"/>
          <w:color w:val="auto"/>
          <w:sz w:val="21"/>
          <w:szCs w:val="24"/>
          <w:highlight w:val="none"/>
        </w:rPr>
        <w:t>@</w:t>
      </w:r>
      <w:r>
        <w:rPr>
          <w:rFonts w:hint="eastAsia" w:ascii="Garamond" w:hAnsi="Garamond"/>
          <w:color w:val="auto"/>
          <w:sz w:val="21"/>
          <w:szCs w:val="24"/>
          <w:highlight w:val="none"/>
          <w:lang w:val="en-US" w:eastAsia="zh-CN"/>
        </w:rPr>
        <w:t>qq</w:t>
      </w:r>
      <w:r>
        <w:rPr>
          <w:rFonts w:hint="eastAsia" w:ascii="Garamond" w:hAnsi="Garamond"/>
          <w:color w:val="auto"/>
          <w:sz w:val="21"/>
          <w:szCs w:val="24"/>
          <w:highlight w:val="none"/>
        </w:rPr>
        <w:t>.com）中，并致电</w:t>
      </w:r>
      <w:r>
        <w:rPr>
          <w:rFonts w:hint="eastAsia" w:ascii="Garamond" w:hAnsi="Garamond"/>
          <w:color w:val="auto"/>
          <w:sz w:val="21"/>
          <w:szCs w:val="24"/>
          <w:highlight w:val="none"/>
          <w:lang w:val="en-US" w:eastAsia="zh-CN"/>
        </w:rPr>
        <w:t>采购人</w:t>
      </w:r>
      <w:r>
        <w:rPr>
          <w:rFonts w:hint="eastAsia" w:ascii="Garamond" w:hAnsi="Garamond"/>
          <w:color w:val="auto"/>
          <w:sz w:val="21"/>
          <w:szCs w:val="24"/>
          <w:highlight w:val="none"/>
        </w:rPr>
        <w:t>确认邮件送达，确认预约是否成功。预约成功的投标人，采购人将邮寄一份纸质招标文件。</w:t>
      </w:r>
      <w:bookmarkStart w:id="88" w:name="_GoBack"/>
      <w:bookmarkEnd w:id="88"/>
    </w:p>
    <w:p w14:paraId="65A956E0">
      <w:pPr>
        <w:pStyle w:val="15"/>
        <w:topLinePunct/>
        <w:adjustRightInd w:val="0"/>
        <w:snapToGrid w:val="0"/>
        <w:spacing w:line="360" w:lineRule="auto"/>
        <w:ind w:firstLine="420" w:firstLineChars="200"/>
        <w:rPr>
          <w:rFonts w:hint="eastAsia" w:ascii="Garamond" w:hAnsi="Garamond"/>
          <w:color w:val="auto"/>
          <w:sz w:val="21"/>
          <w:szCs w:val="24"/>
          <w:highlight w:val="none"/>
        </w:rPr>
      </w:pPr>
      <w:r>
        <w:rPr>
          <w:rFonts w:hint="eastAsia" w:ascii="Garamond" w:hAnsi="Garamond"/>
          <w:color w:val="auto"/>
          <w:sz w:val="21"/>
          <w:szCs w:val="24"/>
          <w:highlight w:val="none"/>
        </w:rPr>
        <w:t>联系电话：</w:t>
      </w:r>
      <w:r>
        <w:rPr>
          <w:rFonts w:hint="eastAsia" w:ascii="Garamond" w:hAnsi="Garamond"/>
          <w:color w:val="auto"/>
          <w:sz w:val="21"/>
          <w:szCs w:val="24"/>
          <w:highlight w:val="none"/>
          <w:lang w:val="en-US" w:eastAsia="zh-CN"/>
        </w:rPr>
        <w:t>13806291039</w:t>
      </w:r>
      <w:r>
        <w:rPr>
          <w:rFonts w:hint="eastAsia" w:ascii="Garamond" w:hAnsi="Garamond"/>
          <w:color w:val="auto"/>
          <w:sz w:val="21"/>
          <w:szCs w:val="24"/>
          <w:highlight w:val="none"/>
        </w:rPr>
        <w:t>。</w:t>
      </w:r>
    </w:p>
    <w:p w14:paraId="2EAF4EC3">
      <w:pPr>
        <w:pStyle w:val="15"/>
        <w:topLinePunct/>
        <w:adjustRightInd w:val="0"/>
        <w:snapToGrid w:val="0"/>
        <w:spacing w:line="360" w:lineRule="auto"/>
        <w:ind w:firstLine="420" w:firstLineChars="200"/>
        <w:rPr>
          <w:rFonts w:ascii="Garamond" w:hAnsi="Garamond"/>
          <w:color w:val="auto"/>
          <w:sz w:val="21"/>
          <w:szCs w:val="24"/>
          <w:highlight w:val="none"/>
        </w:rPr>
      </w:pPr>
      <w:r>
        <w:rPr>
          <w:rFonts w:hint="eastAsia" w:ascii="Garamond" w:hAnsi="Garamond"/>
          <w:color w:val="auto"/>
          <w:sz w:val="21"/>
          <w:szCs w:val="24"/>
          <w:highlight w:val="none"/>
        </w:rPr>
        <w:t>注：未按上述要求进行预约的，视为放弃本项目投标。</w:t>
      </w:r>
    </w:p>
    <w:p w14:paraId="2FFEF9F1">
      <w:pPr>
        <w:pStyle w:val="15"/>
        <w:topLinePunct/>
        <w:adjustRightInd w:val="0"/>
        <w:snapToGrid w:val="0"/>
        <w:spacing w:line="360" w:lineRule="auto"/>
        <w:rPr>
          <w:rFonts w:ascii="Garamond" w:hAnsi="Garamond"/>
          <w:b/>
          <w:bCs/>
          <w:color w:val="auto"/>
          <w:highlight w:val="none"/>
        </w:rPr>
      </w:pPr>
      <w:r>
        <w:rPr>
          <w:rFonts w:hint="eastAsia" w:ascii="Garamond" w:hAnsi="Garamond"/>
          <w:b/>
          <w:bCs/>
          <w:color w:val="auto"/>
          <w:highlight w:val="none"/>
        </w:rPr>
        <w:t>六、</w:t>
      </w:r>
      <w:r>
        <w:rPr>
          <w:rFonts w:ascii="Garamond" w:hAnsi="Garamond"/>
          <w:b/>
          <w:bCs/>
          <w:color w:val="auto"/>
          <w:highlight w:val="none"/>
        </w:rPr>
        <w:t>投标文件的递交</w:t>
      </w:r>
      <w:bookmarkEnd w:id="27"/>
      <w:bookmarkEnd w:id="28"/>
      <w:bookmarkEnd w:id="29"/>
      <w:bookmarkEnd w:id="30"/>
      <w:bookmarkEnd w:id="31"/>
      <w:bookmarkEnd w:id="32"/>
      <w:bookmarkEnd w:id="33"/>
      <w:bookmarkEnd w:id="34"/>
      <w:bookmarkEnd w:id="35"/>
      <w:bookmarkEnd w:id="36"/>
      <w:bookmarkEnd w:id="37"/>
      <w:bookmarkEnd w:id="38"/>
      <w:r>
        <w:rPr>
          <w:rFonts w:hint="eastAsia" w:ascii="Garamond" w:hAnsi="Garamond"/>
          <w:b/>
          <w:bCs/>
          <w:color w:val="auto"/>
          <w:highlight w:val="none"/>
        </w:rPr>
        <w:t>及相关事宜</w:t>
      </w:r>
    </w:p>
    <w:p w14:paraId="3E3C9903">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.1投标文件递交截止时间和地点</w:t>
      </w:r>
    </w:p>
    <w:p w14:paraId="3B7D3D7C">
      <w:pPr>
        <w:pStyle w:val="71"/>
        <w:tabs>
          <w:tab w:val="left" w:pos="2880"/>
        </w:tabs>
        <w:snapToGrid w:val="0"/>
        <w:spacing w:line="360" w:lineRule="auto"/>
        <w:ind w:firstLine="420" w:firstLineChars="20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投标文件递交截止时间：2025年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日1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点</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0分（北京时间）。</w:t>
      </w:r>
    </w:p>
    <w:p w14:paraId="6DDEF793">
      <w:pPr>
        <w:pStyle w:val="71"/>
        <w:tabs>
          <w:tab w:val="left" w:pos="2880"/>
        </w:tabs>
        <w:snapToGrid w:val="0"/>
        <w:spacing w:line="360" w:lineRule="auto"/>
        <w:ind w:firstLine="420" w:firstLineChars="20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投标文件递交地点：</w:t>
      </w:r>
      <w:r>
        <w:rPr>
          <w:rFonts w:hint="eastAsia" w:ascii="宋体" w:hAnsi="宋体" w:eastAsia="宋体" w:cs="宋体"/>
          <w:color w:val="auto"/>
          <w:sz w:val="21"/>
          <w:szCs w:val="21"/>
          <w:highlight w:val="none"/>
          <w:lang w:val="en-US" w:eastAsia="zh-CN"/>
        </w:rPr>
        <w:t>南通市交通公共事业发展中心</w:t>
      </w:r>
      <w:r>
        <w:rPr>
          <w:rFonts w:hint="eastAsia" w:ascii="宋体" w:hAnsi="宋体" w:eastAsia="宋体" w:cs="宋体"/>
          <w:sz w:val="21"/>
          <w:szCs w:val="21"/>
          <w:highlight w:val="none"/>
        </w:rPr>
        <w:t>108会议室</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rPr>
        <w:t>江苏省南通市崇川区通京大道5号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，如有变化另行通知。</w:t>
      </w:r>
    </w:p>
    <w:p w14:paraId="3A7E0EE4">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eastAsia="宋体" w:cs="宋体"/>
          <w:sz w:val="21"/>
          <w:szCs w:val="21"/>
          <w:highlight w:val="none"/>
        </w:rPr>
        <w:t>逾期送达的或者未送达指定地点的投标文件，采购人不予受理。</w:t>
      </w:r>
    </w:p>
    <w:p w14:paraId="0D67C6A5">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.2开标时间及地点</w:t>
      </w:r>
    </w:p>
    <w:p w14:paraId="114143F0">
      <w:pPr>
        <w:pStyle w:val="71"/>
        <w:tabs>
          <w:tab w:val="left" w:pos="2880"/>
        </w:tabs>
        <w:snapToGrid w:val="0"/>
        <w:spacing w:line="360" w:lineRule="auto"/>
        <w:ind w:firstLine="420" w:firstLineChars="200"/>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开标时间：2025年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日1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点</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0分（北京时间）。</w:t>
      </w:r>
    </w:p>
    <w:p w14:paraId="4C99E92D">
      <w:pPr>
        <w:adjustRightInd w:val="0"/>
        <w:snapToGrid w:val="0"/>
        <w:spacing w:line="360" w:lineRule="auto"/>
        <w:ind w:firstLine="420" w:firstLineChars="200"/>
        <w:rPr>
          <w:rFonts w:ascii="宋体" w:hAnsi="宋体" w:cs="宋体"/>
          <w:color w:val="auto"/>
          <w:highlight w:val="none"/>
        </w:rPr>
      </w:pPr>
      <w:r>
        <w:rPr>
          <w:rFonts w:hint="eastAsia" w:ascii="宋体" w:hAnsi="宋体" w:eastAsia="宋体" w:cs="宋体"/>
          <w:sz w:val="21"/>
          <w:szCs w:val="21"/>
          <w:highlight w:val="none"/>
        </w:rPr>
        <w:t>开标地点：</w:t>
      </w:r>
      <w:r>
        <w:rPr>
          <w:rFonts w:hint="eastAsia" w:ascii="宋体" w:hAnsi="宋体" w:eastAsia="宋体" w:cs="宋体"/>
          <w:color w:val="auto"/>
          <w:sz w:val="21"/>
          <w:szCs w:val="21"/>
          <w:highlight w:val="none"/>
          <w:lang w:val="en-US" w:eastAsia="zh-CN"/>
        </w:rPr>
        <w:t>南通市交通公共事业发展中心</w:t>
      </w:r>
      <w:r>
        <w:rPr>
          <w:rFonts w:hint="eastAsia" w:ascii="宋体" w:hAnsi="宋体" w:eastAsia="宋体" w:cs="宋体"/>
          <w:sz w:val="21"/>
          <w:szCs w:val="21"/>
          <w:highlight w:val="none"/>
        </w:rPr>
        <w:t>108会议室</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rPr>
        <w:t>江苏省南通市崇川区通京大道5号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，如有变化另行通知。</w:t>
      </w:r>
    </w:p>
    <w:p w14:paraId="7DBFA98E">
      <w:pPr>
        <w:pStyle w:val="15"/>
        <w:topLinePunct/>
        <w:adjustRightInd w:val="0"/>
        <w:snapToGrid w:val="0"/>
        <w:spacing w:line="360" w:lineRule="auto"/>
        <w:rPr>
          <w:rFonts w:ascii="Garamond" w:hAnsi="Garamond"/>
          <w:b/>
          <w:bCs/>
          <w:color w:val="auto"/>
          <w:highlight w:val="none"/>
        </w:rPr>
      </w:pPr>
      <w:r>
        <w:rPr>
          <w:rFonts w:hint="eastAsia" w:ascii="Garamond" w:hAnsi="Garamond"/>
          <w:b/>
          <w:bCs/>
          <w:color w:val="auto"/>
          <w:highlight w:val="none"/>
        </w:rPr>
        <w:t>七、</w:t>
      </w:r>
      <w:r>
        <w:rPr>
          <w:rFonts w:ascii="Garamond" w:hAnsi="Garamond"/>
          <w:b/>
          <w:bCs/>
          <w:color w:val="auto"/>
          <w:highlight w:val="none"/>
        </w:rPr>
        <w:t>发布公告的媒介</w:t>
      </w:r>
    </w:p>
    <w:p w14:paraId="3283A7FA">
      <w:pPr>
        <w:pStyle w:val="15"/>
        <w:topLinePunct/>
        <w:adjustRightInd w:val="0"/>
        <w:snapToGrid w:val="0"/>
        <w:spacing w:line="360" w:lineRule="auto"/>
        <w:ind w:firstLine="420" w:firstLineChars="200"/>
        <w:rPr>
          <w:rFonts w:ascii="Garamond" w:hAnsi="Garamond"/>
          <w:color w:val="auto"/>
          <w:sz w:val="21"/>
          <w:szCs w:val="24"/>
          <w:highlight w:val="none"/>
        </w:rPr>
      </w:pPr>
      <w:r>
        <w:rPr>
          <w:rFonts w:ascii="Garamond" w:hAnsi="Garamond"/>
          <w:color w:val="auto"/>
          <w:sz w:val="21"/>
          <w:szCs w:val="24"/>
          <w:highlight w:val="none"/>
        </w:rPr>
        <w:t>本次招标公告在南通市交通运输局网站（http://jtysj.nantong.gov.cn）上</w:t>
      </w:r>
      <w:r>
        <w:rPr>
          <w:rFonts w:hint="eastAsia" w:ascii="Garamond" w:hAnsi="Garamond"/>
          <w:color w:val="auto"/>
          <w:sz w:val="21"/>
          <w:szCs w:val="24"/>
          <w:highlight w:val="none"/>
        </w:rPr>
        <w:t>发布</w:t>
      </w:r>
      <w:r>
        <w:rPr>
          <w:rFonts w:ascii="Garamond" w:hAnsi="Garamond"/>
          <w:color w:val="auto"/>
          <w:sz w:val="21"/>
          <w:szCs w:val="24"/>
          <w:highlight w:val="none"/>
        </w:rPr>
        <w:t>。南通市交通运输局网站是本项目招标公告、招标文件澄清、</w:t>
      </w:r>
      <w:r>
        <w:rPr>
          <w:rFonts w:hint="eastAsia" w:ascii="Garamond" w:hAnsi="Garamond"/>
          <w:color w:val="auto"/>
          <w:sz w:val="21"/>
          <w:szCs w:val="24"/>
          <w:highlight w:val="none"/>
        </w:rPr>
        <w:t>补遗书、中标候选人公示、</w:t>
      </w:r>
      <w:r>
        <w:rPr>
          <w:rFonts w:ascii="Garamond" w:hAnsi="Garamond"/>
          <w:color w:val="auto"/>
          <w:sz w:val="21"/>
          <w:szCs w:val="24"/>
          <w:highlight w:val="none"/>
        </w:rPr>
        <w:t>中标公</w:t>
      </w:r>
      <w:r>
        <w:rPr>
          <w:rFonts w:hint="eastAsia" w:ascii="Garamond" w:hAnsi="Garamond"/>
          <w:color w:val="auto"/>
          <w:sz w:val="21"/>
          <w:szCs w:val="24"/>
          <w:highlight w:val="none"/>
        </w:rPr>
        <w:t>告</w:t>
      </w:r>
      <w:r>
        <w:rPr>
          <w:rFonts w:ascii="Garamond" w:hAnsi="Garamond"/>
          <w:color w:val="auto"/>
          <w:sz w:val="21"/>
          <w:szCs w:val="24"/>
          <w:highlight w:val="none"/>
        </w:rPr>
        <w:t>等招标信息约定的唯一公开发布媒介。</w:t>
      </w:r>
    </w:p>
    <w:p w14:paraId="756AB1F4">
      <w:pPr>
        <w:topLinePunct/>
        <w:adjustRightInd w:val="0"/>
        <w:snapToGrid w:val="0"/>
        <w:spacing w:line="360" w:lineRule="auto"/>
        <w:rPr>
          <w:rFonts w:ascii="Garamond" w:hAnsi="Garamond"/>
          <w:b/>
          <w:bCs/>
          <w:color w:val="auto"/>
          <w:sz w:val="24"/>
          <w:highlight w:val="none"/>
        </w:rPr>
      </w:pPr>
      <w:bookmarkStart w:id="39" w:name="_Toc92015769"/>
      <w:bookmarkStart w:id="40" w:name="_Toc90104559"/>
      <w:bookmarkStart w:id="41" w:name="_Toc90106646"/>
      <w:bookmarkStart w:id="42" w:name="_Toc90106827"/>
      <w:bookmarkStart w:id="43" w:name="_Toc90105266"/>
      <w:bookmarkStart w:id="44" w:name="_Toc90106008"/>
      <w:bookmarkStart w:id="45" w:name="_Toc89848287"/>
      <w:bookmarkStart w:id="46" w:name="_Toc90106189"/>
      <w:bookmarkStart w:id="47" w:name="_Toc90105641"/>
      <w:bookmarkStart w:id="48" w:name="_Toc90105077"/>
      <w:bookmarkStart w:id="49" w:name="_Toc90105454"/>
      <w:bookmarkStart w:id="50" w:name="_Toc90105827"/>
      <w:r>
        <w:rPr>
          <w:rFonts w:hint="eastAsia" w:ascii="Garamond" w:hAnsi="Garamond" w:cs="宋体"/>
          <w:b/>
          <w:bCs/>
          <w:color w:val="auto"/>
          <w:sz w:val="24"/>
          <w:highlight w:val="none"/>
        </w:rPr>
        <w:t>八、</w:t>
      </w:r>
      <w:r>
        <w:rPr>
          <w:rFonts w:ascii="Garamond" w:hAnsi="Garamond" w:cs="宋体"/>
          <w:b/>
          <w:bCs/>
          <w:color w:val="auto"/>
          <w:sz w:val="24"/>
          <w:highlight w:val="none"/>
        </w:rPr>
        <w:t>联系方式</w:t>
      </w:r>
      <w:bookmarkEnd w:id="39"/>
      <w:bookmarkEnd w:id="40"/>
      <w:bookmarkEnd w:id="41"/>
      <w:bookmarkEnd w:id="42"/>
      <w:bookmarkEnd w:id="43"/>
      <w:bookmarkEnd w:id="44"/>
      <w:bookmarkEnd w:id="45"/>
      <w:bookmarkEnd w:id="46"/>
      <w:bookmarkEnd w:id="47"/>
      <w:bookmarkEnd w:id="48"/>
      <w:bookmarkEnd w:id="49"/>
      <w:bookmarkEnd w:id="50"/>
    </w:p>
    <w:p w14:paraId="0862468A">
      <w:pPr>
        <w:adjustRightInd w:val="0"/>
        <w:snapToGrid w:val="0"/>
        <w:spacing w:line="360" w:lineRule="auto"/>
        <w:ind w:firstLine="420" w:firstLineChars="200"/>
        <w:rPr>
          <w:rFonts w:hint="eastAsia" w:ascii="Garamond" w:hAnsi="Garamond"/>
          <w:color w:val="auto"/>
          <w:highlight w:val="none"/>
        </w:rPr>
      </w:pPr>
      <w:r>
        <w:rPr>
          <w:rFonts w:hint="eastAsia" w:ascii="Garamond" w:hAnsi="Garamond"/>
          <w:color w:val="auto"/>
          <w:highlight w:val="none"/>
        </w:rPr>
        <w:t>招标人：南通市交通公共事业发展中心</w:t>
      </w:r>
    </w:p>
    <w:p w14:paraId="0C839EE2">
      <w:pPr>
        <w:adjustRightInd w:val="0"/>
        <w:snapToGrid w:val="0"/>
        <w:spacing w:line="360" w:lineRule="auto"/>
        <w:ind w:firstLine="420" w:firstLineChars="200"/>
        <w:rPr>
          <w:rFonts w:hint="eastAsia" w:ascii="Garamond" w:hAnsi="Garamond"/>
          <w:color w:val="auto"/>
          <w:highlight w:val="none"/>
        </w:rPr>
      </w:pPr>
      <w:r>
        <w:rPr>
          <w:rFonts w:hint="eastAsia" w:ascii="Garamond" w:hAnsi="Garamond"/>
          <w:color w:val="auto"/>
          <w:highlight w:val="none"/>
        </w:rPr>
        <w:t xml:space="preserve">地    址：江苏省南通市崇川区通京大道5号 </w:t>
      </w:r>
    </w:p>
    <w:p w14:paraId="789A31F5">
      <w:pPr>
        <w:adjustRightInd w:val="0"/>
        <w:snapToGrid w:val="0"/>
        <w:spacing w:line="360" w:lineRule="auto"/>
        <w:ind w:firstLine="420" w:firstLineChars="200"/>
        <w:rPr>
          <w:rFonts w:hint="eastAsia" w:ascii="Garamond" w:hAnsi="Garamond"/>
          <w:color w:val="auto"/>
          <w:highlight w:val="none"/>
        </w:rPr>
      </w:pPr>
      <w:r>
        <w:rPr>
          <w:rFonts w:hint="eastAsia" w:ascii="Garamond" w:hAnsi="Garamond"/>
          <w:color w:val="auto"/>
          <w:highlight w:val="none"/>
        </w:rPr>
        <w:t xml:space="preserve">联 系 人：黄工 </w:t>
      </w:r>
    </w:p>
    <w:p w14:paraId="75D31439">
      <w:pPr>
        <w:adjustRightInd w:val="0"/>
        <w:snapToGrid w:val="0"/>
        <w:spacing w:line="360" w:lineRule="auto"/>
        <w:ind w:firstLine="420" w:firstLineChars="200"/>
        <w:rPr>
          <w:rFonts w:hint="default" w:ascii="Garamond" w:hAnsi="Garamond" w:eastAsia="宋体"/>
          <w:color w:val="auto"/>
          <w:highlight w:val="none"/>
          <w:lang w:val="en-US" w:eastAsia="zh-CN"/>
        </w:rPr>
      </w:pPr>
      <w:r>
        <w:rPr>
          <w:rFonts w:hint="eastAsia" w:ascii="Garamond" w:hAnsi="Garamond"/>
          <w:color w:val="auto"/>
          <w:highlight w:val="none"/>
        </w:rPr>
        <w:t>联系电话：0513-5900</w:t>
      </w:r>
      <w:r>
        <w:rPr>
          <w:rFonts w:hint="eastAsia" w:ascii="Garamond" w:hAnsi="Garamond"/>
          <w:color w:val="auto"/>
          <w:highlight w:val="none"/>
          <w:lang w:val="en-US" w:eastAsia="zh-CN"/>
        </w:rPr>
        <w:t>1181</w:t>
      </w:r>
    </w:p>
    <w:p w14:paraId="2BB6BC5B">
      <w:pPr>
        <w:pStyle w:val="15"/>
        <w:spacing w:line="360" w:lineRule="auto"/>
        <w:jc w:val="right"/>
        <w:rPr>
          <w:rFonts w:ascii="Garamond" w:hAnsi="Garamond"/>
          <w:color w:val="auto"/>
          <w:sz w:val="21"/>
          <w:szCs w:val="24"/>
          <w:highlight w:val="none"/>
        </w:rPr>
      </w:pPr>
      <w:r>
        <w:rPr>
          <w:rFonts w:hint="eastAsia" w:ascii="Garamond" w:hAnsi="Garamond"/>
          <w:color w:val="auto"/>
          <w:sz w:val="21"/>
          <w:szCs w:val="24"/>
          <w:highlight w:val="none"/>
        </w:rPr>
        <w:t>202</w:t>
      </w:r>
      <w:r>
        <w:rPr>
          <w:rFonts w:hint="eastAsia" w:ascii="Garamond" w:hAnsi="Garamond"/>
          <w:color w:val="auto"/>
          <w:sz w:val="21"/>
          <w:szCs w:val="24"/>
          <w:highlight w:val="none"/>
          <w:lang w:val="en-US" w:eastAsia="zh-CN"/>
        </w:rPr>
        <w:t>5</w:t>
      </w:r>
      <w:r>
        <w:rPr>
          <w:rFonts w:hint="eastAsia" w:ascii="Garamond" w:hAnsi="Garamond"/>
          <w:color w:val="auto"/>
          <w:sz w:val="21"/>
          <w:szCs w:val="24"/>
          <w:highlight w:val="none"/>
        </w:rPr>
        <w:t>年</w:t>
      </w:r>
      <w:r>
        <w:rPr>
          <w:rFonts w:ascii="Garamond" w:hAnsi="Garamond"/>
          <w:color w:val="auto"/>
          <w:sz w:val="21"/>
          <w:szCs w:val="24"/>
          <w:highlight w:val="none"/>
        </w:rPr>
        <w:t>9</w:t>
      </w:r>
      <w:r>
        <w:rPr>
          <w:rFonts w:hint="eastAsia" w:ascii="Garamond" w:hAnsi="Garamond"/>
          <w:color w:val="auto"/>
          <w:sz w:val="21"/>
          <w:szCs w:val="24"/>
          <w:highlight w:val="none"/>
        </w:rPr>
        <w:t>月</w:t>
      </w:r>
    </w:p>
    <w:p w14:paraId="2408ED4C">
      <w:pPr>
        <w:pStyle w:val="15"/>
        <w:spacing w:line="360" w:lineRule="auto"/>
        <w:jc w:val="right"/>
        <w:rPr>
          <w:rFonts w:ascii="Garamond" w:hAnsi="Garamond"/>
          <w:color w:val="auto"/>
          <w:kern w:val="0"/>
          <w:highlight w:val="none"/>
        </w:rPr>
      </w:pPr>
      <w:r>
        <w:rPr>
          <w:rFonts w:ascii="Garamond" w:hAnsi="Garamond"/>
          <w:color w:val="auto"/>
          <w:kern w:val="0"/>
          <w:sz w:val="21"/>
          <w:szCs w:val="21"/>
          <w:highlight w:val="none"/>
        </w:rPr>
        <w:t>注：上述时间均为北京时间。</w:t>
      </w:r>
    </w:p>
    <w:p w14:paraId="42405DAF">
      <w:pPr>
        <w:jc w:val="left"/>
        <w:rPr>
          <w:rFonts w:ascii="宋体" w:hAnsi="宋体"/>
          <w:color w:val="auto"/>
          <w:kern w:val="0"/>
          <w:sz w:val="28"/>
          <w:szCs w:val="28"/>
          <w:highlight w:val="none"/>
        </w:rPr>
      </w:pPr>
      <w:r>
        <w:rPr>
          <w:rFonts w:hint="eastAsia" w:ascii="宋体" w:hAnsi="宋体"/>
          <w:color w:val="auto"/>
          <w:kern w:val="0"/>
          <w:sz w:val="28"/>
          <w:szCs w:val="28"/>
          <w:highlight w:val="none"/>
        </w:rPr>
        <w:br w:type="page"/>
      </w:r>
    </w:p>
    <w:p w14:paraId="0C8D9AE5">
      <w:pPr>
        <w:jc w:val="left"/>
        <w:rPr>
          <w:rFonts w:ascii="宋体" w:hAnsi="宋体"/>
          <w:color w:val="auto"/>
          <w:kern w:val="0"/>
          <w:sz w:val="28"/>
          <w:szCs w:val="28"/>
          <w:highlight w:val="none"/>
        </w:rPr>
      </w:pPr>
      <w:r>
        <w:rPr>
          <w:rFonts w:hint="eastAsia" w:ascii="宋体" w:hAnsi="宋体"/>
          <w:color w:val="auto"/>
          <w:kern w:val="0"/>
          <w:sz w:val="28"/>
          <w:szCs w:val="28"/>
          <w:highlight w:val="none"/>
        </w:rPr>
        <w:t>附件1</w:t>
      </w:r>
    </w:p>
    <w:p w14:paraId="06039A16">
      <w:pPr>
        <w:spacing w:line="420" w:lineRule="exact"/>
        <w:jc w:val="center"/>
        <w:rPr>
          <w:b/>
          <w:color w:val="auto"/>
          <w:kern w:val="0"/>
          <w:sz w:val="32"/>
          <w:szCs w:val="20"/>
          <w:highlight w:val="none"/>
        </w:rPr>
      </w:pPr>
      <w:r>
        <w:rPr>
          <w:rFonts w:hint="eastAsia"/>
          <w:b/>
          <w:color w:val="auto"/>
          <w:kern w:val="0"/>
          <w:sz w:val="32"/>
          <w:szCs w:val="20"/>
          <w:highlight w:val="none"/>
        </w:rPr>
        <w:t>申请函</w:t>
      </w:r>
    </w:p>
    <w:p w14:paraId="5843A9F9">
      <w:pPr>
        <w:spacing w:line="420" w:lineRule="exact"/>
        <w:jc w:val="left"/>
        <w:rPr>
          <w:b/>
          <w:color w:val="auto"/>
          <w:kern w:val="0"/>
          <w:sz w:val="32"/>
          <w:szCs w:val="20"/>
          <w:highlight w:val="none"/>
        </w:rPr>
      </w:pPr>
    </w:p>
    <w:p w14:paraId="6A95D8FE">
      <w:pPr>
        <w:spacing w:line="360" w:lineRule="auto"/>
        <w:jc w:val="left"/>
        <w:rPr>
          <w:rFonts w:hint="eastAsia" w:ascii="宋体" w:hAnsi="宋体" w:eastAsia="宋体" w:cs="宋体"/>
          <w:b/>
          <w:color w:val="auto"/>
          <w:kern w:val="0"/>
          <w:szCs w:val="21"/>
          <w:highlight w:val="none"/>
          <w:u w:val="single"/>
          <w:lang w:eastAsia="zh-CN"/>
        </w:rPr>
      </w:pPr>
      <w:r>
        <w:rPr>
          <w:rFonts w:hint="eastAsia" w:ascii="宋体" w:hAnsi="宋体" w:cs="宋体"/>
          <w:b/>
          <w:color w:val="auto"/>
          <w:kern w:val="0"/>
          <w:szCs w:val="21"/>
          <w:highlight w:val="none"/>
        </w:rPr>
        <w:t>致：</w:t>
      </w:r>
      <w:r>
        <w:rPr>
          <w:rFonts w:hint="eastAsia" w:ascii="宋体" w:hAnsi="宋体" w:cs="宋体"/>
          <w:b/>
          <w:color w:val="auto"/>
          <w:kern w:val="0"/>
          <w:szCs w:val="21"/>
          <w:highlight w:val="none"/>
          <w:u w:val="single"/>
          <w:lang w:eastAsia="zh-CN"/>
        </w:rPr>
        <w:t>南通市交通公共事业发展中心</w:t>
      </w:r>
    </w:p>
    <w:p w14:paraId="39525FA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我公司已获悉贵单位发出的</w:t>
      </w:r>
      <w:r>
        <w:rPr>
          <w:rFonts w:hint="eastAsia" w:ascii="宋体" w:hAnsi="宋体" w:cs="宋体"/>
          <w:color w:val="auto"/>
          <w:spacing w:val="7"/>
          <w:kern w:val="0"/>
          <w:szCs w:val="21"/>
          <w:highlight w:val="none"/>
          <w:u w:val="single"/>
        </w:rPr>
        <w:t xml:space="preserve"> </w:t>
      </w:r>
      <w:r>
        <w:rPr>
          <w:rFonts w:ascii="宋体" w:hAnsi="宋体" w:cs="宋体"/>
          <w:color w:val="auto"/>
          <w:spacing w:val="7"/>
          <w:kern w:val="0"/>
          <w:szCs w:val="21"/>
          <w:highlight w:val="none"/>
          <w:u w:val="single"/>
        </w:rPr>
        <w:t xml:space="preserve">                           </w:t>
      </w:r>
      <w:r>
        <w:rPr>
          <w:rFonts w:hint="eastAsia" w:ascii="宋体" w:hAnsi="宋体" w:cs="宋体"/>
          <w:color w:val="auto"/>
          <w:spacing w:val="7"/>
          <w:kern w:val="0"/>
          <w:szCs w:val="21"/>
          <w:highlight w:val="none"/>
        </w:rPr>
        <w:t>招标公告</w:t>
      </w:r>
      <w:r>
        <w:rPr>
          <w:rFonts w:hint="eastAsia" w:ascii="宋体" w:hAnsi="宋体" w:cs="宋体"/>
          <w:color w:val="auto"/>
          <w:kern w:val="0"/>
          <w:szCs w:val="21"/>
          <w:highlight w:val="none"/>
        </w:rPr>
        <w:t>，经研究，我单位报名拟参加本项目投标，现申请获取招标文件。</w:t>
      </w:r>
    </w:p>
    <w:p w14:paraId="61581054">
      <w:pPr>
        <w:spacing w:line="360" w:lineRule="auto"/>
        <w:ind w:firstLine="420" w:firstLineChars="200"/>
        <w:jc w:val="left"/>
        <w:rPr>
          <w:rFonts w:ascii="宋体" w:hAnsi="宋体" w:cs="宋体"/>
          <w:color w:val="auto"/>
          <w:kern w:val="0"/>
          <w:szCs w:val="21"/>
          <w:highlight w:val="none"/>
        </w:rPr>
      </w:pPr>
    </w:p>
    <w:p w14:paraId="281CBF09">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联系人：</w:t>
      </w:r>
    </w:p>
    <w:p w14:paraId="755EDB43">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w:t>
      </w:r>
    </w:p>
    <w:p w14:paraId="6E676354">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E-MAIL地址：</w:t>
      </w:r>
    </w:p>
    <w:p w14:paraId="038F0E92">
      <w:pPr>
        <w:spacing w:line="360" w:lineRule="auto"/>
        <w:jc w:val="left"/>
        <w:rPr>
          <w:rFonts w:cs="宋体"/>
          <w:color w:val="auto"/>
          <w:kern w:val="0"/>
          <w:szCs w:val="21"/>
          <w:highlight w:val="none"/>
          <w:lang w:val="zh-CN"/>
        </w:rPr>
      </w:pPr>
    </w:p>
    <w:p w14:paraId="57418C7B">
      <w:pPr>
        <w:spacing w:line="360" w:lineRule="auto"/>
        <w:jc w:val="left"/>
        <w:rPr>
          <w:rFonts w:cs="宋体"/>
          <w:b/>
          <w:color w:val="auto"/>
          <w:kern w:val="0"/>
          <w:szCs w:val="21"/>
          <w:highlight w:val="none"/>
          <w:lang w:val="zh-CN"/>
        </w:rPr>
      </w:pPr>
    </w:p>
    <w:p w14:paraId="0290C35E">
      <w:pPr>
        <w:spacing w:line="360" w:lineRule="auto"/>
        <w:jc w:val="left"/>
        <w:rPr>
          <w:rFonts w:cs="宋体"/>
          <w:b/>
          <w:color w:val="auto"/>
          <w:kern w:val="0"/>
          <w:szCs w:val="21"/>
          <w:highlight w:val="none"/>
          <w:lang w:val="zh-CN"/>
        </w:rPr>
      </w:pPr>
    </w:p>
    <w:p w14:paraId="571CB336">
      <w:pPr>
        <w:spacing w:line="360" w:lineRule="auto"/>
        <w:jc w:val="left"/>
        <w:rPr>
          <w:rFonts w:cs="宋体"/>
          <w:b/>
          <w:color w:val="auto"/>
          <w:kern w:val="0"/>
          <w:szCs w:val="21"/>
          <w:highlight w:val="none"/>
          <w:lang w:val="zh-CN"/>
        </w:rPr>
      </w:pPr>
    </w:p>
    <w:p w14:paraId="2E534509">
      <w:pPr>
        <w:spacing w:line="360" w:lineRule="auto"/>
        <w:ind w:firstLine="4620" w:firstLineChars="2200"/>
        <w:jc w:val="left"/>
        <w:rPr>
          <w:rFonts w:cs="宋体"/>
          <w:color w:val="auto"/>
          <w:kern w:val="0"/>
          <w:szCs w:val="21"/>
          <w:highlight w:val="none"/>
          <w:u w:val="single"/>
          <w:lang w:val="zh-CN"/>
        </w:rPr>
      </w:pPr>
      <w:r>
        <w:rPr>
          <w:rFonts w:hint="eastAsia" w:cs="宋体"/>
          <w:color w:val="auto"/>
          <w:kern w:val="0"/>
          <w:szCs w:val="21"/>
          <w:highlight w:val="none"/>
          <w:lang w:val="zh-CN"/>
        </w:rPr>
        <w:t>单位：</w:t>
      </w:r>
      <w:r>
        <w:rPr>
          <w:rFonts w:hint="eastAsia" w:cs="宋体"/>
          <w:color w:val="auto"/>
          <w:kern w:val="0"/>
          <w:szCs w:val="21"/>
          <w:highlight w:val="none"/>
          <w:u w:val="single"/>
          <w:lang w:val="zh-CN"/>
        </w:rPr>
        <w:t xml:space="preserve"> （盖章）                 </w:t>
      </w:r>
    </w:p>
    <w:p w14:paraId="575AB520">
      <w:pPr>
        <w:spacing w:line="360" w:lineRule="auto"/>
        <w:ind w:firstLine="5661" w:firstLineChars="2696"/>
        <w:jc w:val="left"/>
        <w:rPr>
          <w:color w:val="auto"/>
          <w:kern w:val="0"/>
          <w:szCs w:val="21"/>
          <w:highlight w:val="none"/>
        </w:rPr>
      </w:pPr>
      <w:r>
        <w:rPr>
          <w:rFonts w:hint="eastAsia" w:cs="宋体"/>
          <w:color w:val="auto"/>
          <w:kern w:val="0"/>
          <w:szCs w:val="21"/>
          <w:highlight w:val="none"/>
          <w:lang w:val="zh-CN"/>
        </w:rPr>
        <w:t>年   月   日</w:t>
      </w:r>
    </w:p>
    <w:p w14:paraId="7BFA3BC0">
      <w:pPr>
        <w:spacing w:line="480" w:lineRule="auto"/>
        <w:ind w:firstLine="480" w:firstLineChars="200"/>
        <w:jc w:val="left"/>
        <w:rPr>
          <w:bCs/>
          <w:color w:val="auto"/>
          <w:sz w:val="24"/>
          <w:highlight w:val="none"/>
          <w:u w:val="single"/>
        </w:rPr>
      </w:pPr>
    </w:p>
    <w:p w14:paraId="4595FF3E">
      <w:pPr>
        <w:pStyle w:val="15"/>
        <w:spacing w:line="360" w:lineRule="auto"/>
        <w:jc w:val="left"/>
        <w:rPr>
          <w:rFonts w:ascii="Garamond" w:hAnsi="Garamond"/>
          <w:b/>
          <w:color w:val="auto"/>
          <w:szCs w:val="24"/>
          <w:highlight w:val="none"/>
        </w:rPr>
      </w:pPr>
    </w:p>
    <w:p w14:paraId="15AB6DCE">
      <w:pPr>
        <w:spacing w:line="360" w:lineRule="auto"/>
        <w:ind w:firstLine="4410" w:firstLineChars="2100"/>
        <w:jc w:val="left"/>
        <w:rPr>
          <w:rFonts w:ascii="Garamond" w:hAnsi="Garamond"/>
          <w:color w:val="auto"/>
          <w:szCs w:val="21"/>
          <w:highlight w:val="none"/>
        </w:rPr>
        <w:sectPr>
          <w:footerReference r:id="rId7" w:type="even"/>
          <w:pgSz w:w="11906" w:h="16838"/>
          <w:pgMar w:top="1418" w:right="1247" w:bottom="1418" w:left="1418" w:header="851" w:footer="680" w:gutter="0"/>
          <w:pgNumType w:fmt="decimalFullWidth"/>
          <w:cols w:space="720" w:num="1"/>
          <w:docGrid w:linePitch="312" w:charSpace="0"/>
        </w:sectPr>
      </w:pPr>
    </w:p>
    <w:p w14:paraId="2F395A50">
      <w:pPr>
        <w:pStyle w:val="2"/>
        <w:spacing w:after="120" w:line="338" w:lineRule="auto"/>
        <w:ind w:firstLine="2380" w:firstLineChars="494"/>
        <w:rPr>
          <w:rFonts w:ascii="Garamond" w:hAnsi="Garamond"/>
          <w:color w:val="auto"/>
          <w:sz w:val="48"/>
          <w:szCs w:val="48"/>
          <w:highlight w:val="none"/>
        </w:rPr>
      </w:pPr>
      <w:bookmarkStart w:id="51" w:name="_Toc353197073"/>
      <w:r>
        <w:rPr>
          <w:rFonts w:ascii="Garamond" w:hAnsi="Garamond"/>
          <w:color w:val="auto"/>
          <w:sz w:val="48"/>
          <w:szCs w:val="48"/>
          <w:highlight w:val="none"/>
        </w:rPr>
        <w:t>第二章  投标人须知</w:t>
      </w:r>
      <w:bookmarkEnd w:id="51"/>
    </w:p>
    <w:p w14:paraId="7D2BBFB6">
      <w:pPr>
        <w:pStyle w:val="112"/>
        <w:spacing w:before="120" w:after="120" w:afterLines="50"/>
        <w:jc w:val="center"/>
        <w:rPr>
          <w:rFonts w:ascii="Garamond" w:hAnsi="Garamond" w:eastAsia="宋体" w:cs="Times New Roman"/>
          <w:b/>
          <w:color w:val="auto"/>
          <w:highlight w:val="none"/>
        </w:rPr>
      </w:pPr>
      <w:bookmarkStart w:id="52" w:name="_Toc152045528"/>
      <w:bookmarkStart w:id="53" w:name="_Toc144974496"/>
      <w:bookmarkStart w:id="54" w:name="_Toc152042304"/>
      <w:bookmarkStart w:id="55" w:name="_Toc238559184"/>
      <w:bookmarkStart w:id="56" w:name="_Toc234744443"/>
      <w:bookmarkStart w:id="57" w:name="_Toc234675075"/>
      <w:bookmarkStart w:id="58" w:name="_Toc179632545"/>
      <w:r>
        <w:rPr>
          <w:rFonts w:ascii="Garamond" w:hAnsi="Garamond" w:eastAsia="宋体" w:cs="Times New Roman"/>
          <w:b/>
          <w:color w:val="auto"/>
          <w:highlight w:val="none"/>
        </w:rPr>
        <w:t>投标人须知前附表</w:t>
      </w:r>
      <w:bookmarkEnd w:id="52"/>
      <w:bookmarkEnd w:id="53"/>
      <w:bookmarkEnd w:id="54"/>
      <w:bookmarkEnd w:id="55"/>
      <w:bookmarkEnd w:id="56"/>
      <w:bookmarkEnd w:id="57"/>
      <w:bookmarkEnd w:id="58"/>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869"/>
        <w:gridCol w:w="6358"/>
      </w:tblGrid>
      <w:tr w14:paraId="4315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1" w:type="pct"/>
            <w:vAlign w:val="center"/>
          </w:tcPr>
          <w:p w14:paraId="5F97EA66">
            <w:pPr>
              <w:jc w:val="center"/>
              <w:rPr>
                <w:color w:val="auto"/>
                <w:highlight w:val="none"/>
              </w:rPr>
            </w:pPr>
            <w:r>
              <w:rPr>
                <w:color w:val="auto"/>
                <w:highlight w:val="none"/>
              </w:rPr>
              <w:t>条款号</w:t>
            </w:r>
          </w:p>
        </w:tc>
        <w:tc>
          <w:tcPr>
            <w:tcW w:w="988" w:type="pct"/>
            <w:vAlign w:val="center"/>
          </w:tcPr>
          <w:p w14:paraId="04DF9164">
            <w:pPr>
              <w:jc w:val="center"/>
              <w:rPr>
                <w:color w:val="auto"/>
                <w:highlight w:val="none"/>
              </w:rPr>
            </w:pPr>
            <w:r>
              <w:rPr>
                <w:color w:val="auto"/>
                <w:highlight w:val="none"/>
              </w:rPr>
              <w:t>条款名称</w:t>
            </w:r>
          </w:p>
        </w:tc>
        <w:tc>
          <w:tcPr>
            <w:tcW w:w="3360" w:type="pct"/>
            <w:vAlign w:val="center"/>
          </w:tcPr>
          <w:p w14:paraId="08881DAD">
            <w:pPr>
              <w:jc w:val="center"/>
              <w:rPr>
                <w:color w:val="auto"/>
                <w:highlight w:val="none"/>
              </w:rPr>
            </w:pPr>
            <w:r>
              <w:rPr>
                <w:color w:val="auto"/>
                <w:highlight w:val="none"/>
              </w:rPr>
              <w:t>编列内容</w:t>
            </w:r>
          </w:p>
        </w:tc>
      </w:tr>
      <w:tr w14:paraId="303A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51" w:type="pct"/>
            <w:vAlign w:val="center"/>
          </w:tcPr>
          <w:p w14:paraId="790AACD4">
            <w:pPr>
              <w:jc w:val="center"/>
              <w:rPr>
                <w:color w:val="auto"/>
                <w:highlight w:val="none"/>
              </w:rPr>
            </w:pPr>
            <w:r>
              <w:rPr>
                <w:color w:val="auto"/>
                <w:highlight w:val="none"/>
              </w:rPr>
              <w:t>1.1.2</w:t>
            </w:r>
          </w:p>
        </w:tc>
        <w:tc>
          <w:tcPr>
            <w:tcW w:w="988" w:type="pct"/>
            <w:vAlign w:val="center"/>
          </w:tcPr>
          <w:p w14:paraId="76B55FFD">
            <w:pPr>
              <w:jc w:val="center"/>
              <w:rPr>
                <w:color w:val="auto"/>
                <w:highlight w:val="none"/>
              </w:rPr>
            </w:pPr>
            <w:r>
              <w:rPr>
                <w:color w:val="auto"/>
                <w:highlight w:val="none"/>
              </w:rPr>
              <w:t>招标人</w:t>
            </w:r>
          </w:p>
        </w:tc>
        <w:tc>
          <w:tcPr>
            <w:tcW w:w="3360" w:type="pct"/>
            <w:vAlign w:val="center"/>
          </w:tcPr>
          <w:p w14:paraId="5B8D0B71">
            <w:pPr>
              <w:rPr>
                <w:rFonts w:hint="eastAsia"/>
                <w:color w:val="auto"/>
                <w:highlight w:val="none"/>
              </w:rPr>
            </w:pPr>
            <w:r>
              <w:rPr>
                <w:rFonts w:hint="eastAsia"/>
                <w:color w:val="auto"/>
                <w:highlight w:val="none"/>
              </w:rPr>
              <w:t>招标人：南通市交通公共事业发展中心</w:t>
            </w:r>
          </w:p>
          <w:p w14:paraId="311B160D">
            <w:pPr>
              <w:rPr>
                <w:rFonts w:hint="eastAsia"/>
                <w:color w:val="auto"/>
                <w:highlight w:val="none"/>
              </w:rPr>
            </w:pPr>
            <w:r>
              <w:rPr>
                <w:rFonts w:hint="eastAsia"/>
                <w:color w:val="auto"/>
                <w:highlight w:val="none"/>
              </w:rPr>
              <w:t xml:space="preserve">地    址：江苏省南通市崇川区通京大道5号 </w:t>
            </w:r>
          </w:p>
          <w:p w14:paraId="241FA273">
            <w:pPr>
              <w:rPr>
                <w:rFonts w:hint="eastAsia"/>
                <w:color w:val="auto"/>
                <w:highlight w:val="none"/>
              </w:rPr>
            </w:pPr>
            <w:r>
              <w:rPr>
                <w:rFonts w:hint="eastAsia"/>
                <w:color w:val="auto"/>
                <w:highlight w:val="none"/>
              </w:rPr>
              <w:t xml:space="preserve">联 系 人：黄工 </w:t>
            </w:r>
          </w:p>
          <w:p w14:paraId="1F3C808E">
            <w:pPr>
              <w:rPr>
                <w:rFonts w:hint="default" w:eastAsia="宋体"/>
                <w:color w:val="auto"/>
                <w:highlight w:val="none"/>
                <w:lang w:val="en-US" w:eastAsia="zh-CN"/>
              </w:rPr>
            </w:pPr>
            <w:r>
              <w:rPr>
                <w:rFonts w:hint="eastAsia"/>
                <w:color w:val="auto"/>
                <w:highlight w:val="none"/>
              </w:rPr>
              <w:t>联系电话：0513-5900</w:t>
            </w:r>
            <w:r>
              <w:rPr>
                <w:rFonts w:hint="eastAsia"/>
                <w:color w:val="auto"/>
                <w:highlight w:val="none"/>
                <w:lang w:val="en-US" w:eastAsia="zh-CN"/>
              </w:rPr>
              <w:t>1181</w:t>
            </w:r>
          </w:p>
        </w:tc>
      </w:tr>
      <w:tr w14:paraId="1E28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1" w:type="pct"/>
            <w:vAlign w:val="center"/>
          </w:tcPr>
          <w:p w14:paraId="19A29903">
            <w:pPr>
              <w:jc w:val="center"/>
              <w:rPr>
                <w:color w:val="auto"/>
                <w:highlight w:val="none"/>
              </w:rPr>
            </w:pPr>
            <w:r>
              <w:rPr>
                <w:color w:val="auto"/>
                <w:highlight w:val="none"/>
              </w:rPr>
              <w:t>1.1.4</w:t>
            </w:r>
          </w:p>
        </w:tc>
        <w:tc>
          <w:tcPr>
            <w:tcW w:w="988" w:type="pct"/>
            <w:vAlign w:val="center"/>
          </w:tcPr>
          <w:p w14:paraId="51E9A138">
            <w:pPr>
              <w:jc w:val="center"/>
              <w:rPr>
                <w:color w:val="auto"/>
                <w:highlight w:val="none"/>
              </w:rPr>
            </w:pPr>
            <w:r>
              <w:rPr>
                <w:color w:val="auto"/>
                <w:highlight w:val="none"/>
              </w:rPr>
              <w:t>项目名称</w:t>
            </w:r>
          </w:p>
        </w:tc>
        <w:tc>
          <w:tcPr>
            <w:tcW w:w="3360" w:type="pct"/>
            <w:vAlign w:val="center"/>
          </w:tcPr>
          <w:p w14:paraId="0F6A1B81">
            <w:pPr>
              <w:rPr>
                <w:rFonts w:hint="eastAsia" w:eastAsia="宋体"/>
                <w:color w:val="auto"/>
                <w:highlight w:val="none"/>
                <w:lang w:eastAsia="zh-CN"/>
              </w:rPr>
            </w:pPr>
            <w:r>
              <w:rPr>
                <w:rFonts w:hint="eastAsia"/>
                <w:color w:val="auto"/>
                <w:highlight w:val="none"/>
                <w:lang w:eastAsia="zh-CN"/>
              </w:rPr>
              <w:t>南通沿江港口公用锚地调整项目配套系船浮工程试验检测项目</w:t>
            </w:r>
          </w:p>
        </w:tc>
      </w:tr>
      <w:tr w14:paraId="441B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1" w:type="pct"/>
            <w:vAlign w:val="center"/>
          </w:tcPr>
          <w:p w14:paraId="3BB8EC97">
            <w:pPr>
              <w:jc w:val="center"/>
              <w:rPr>
                <w:color w:val="auto"/>
                <w:highlight w:val="none"/>
              </w:rPr>
            </w:pPr>
            <w:r>
              <w:rPr>
                <w:color w:val="auto"/>
                <w:highlight w:val="none"/>
              </w:rPr>
              <w:t>1.1.5</w:t>
            </w:r>
          </w:p>
        </w:tc>
        <w:tc>
          <w:tcPr>
            <w:tcW w:w="988" w:type="pct"/>
            <w:vAlign w:val="center"/>
          </w:tcPr>
          <w:p w14:paraId="25786651">
            <w:pPr>
              <w:jc w:val="center"/>
              <w:rPr>
                <w:color w:val="auto"/>
                <w:highlight w:val="none"/>
              </w:rPr>
            </w:pPr>
            <w:r>
              <w:rPr>
                <w:color w:val="auto"/>
                <w:highlight w:val="none"/>
              </w:rPr>
              <w:t>建设地点</w:t>
            </w:r>
          </w:p>
        </w:tc>
        <w:tc>
          <w:tcPr>
            <w:tcW w:w="3360" w:type="pct"/>
            <w:vAlign w:val="center"/>
          </w:tcPr>
          <w:p w14:paraId="66AA897D">
            <w:pPr>
              <w:rPr>
                <w:color w:val="auto"/>
                <w:highlight w:val="none"/>
              </w:rPr>
            </w:pPr>
            <w:r>
              <w:rPr>
                <w:color w:val="auto"/>
                <w:highlight w:val="none"/>
              </w:rPr>
              <w:t>江苏省南通市</w:t>
            </w:r>
          </w:p>
        </w:tc>
      </w:tr>
      <w:tr w14:paraId="71ED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1" w:type="pct"/>
            <w:vAlign w:val="center"/>
          </w:tcPr>
          <w:p w14:paraId="7ECEB74E">
            <w:pPr>
              <w:jc w:val="center"/>
              <w:rPr>
                <w:color w:val="auto"/>
                <w:highlight w:val="none"/>
              </w:rPr>
            </w:pPr>
            <w:r>
              <w:rPr>
                <w:color w:val="auto"/>
                <w:highlight w:val="none"/>
              </w:rPr>
              <w:t>1.2.1</w:t>
            </w:r>
          </w:p>
        </w:tc>
        <w:tc>
          <w:tcPr>
            <w:tcW w:w="988" w:type="pct"/>
            <w:vAlign w:val="center"/>
          </w:tcPr>
          <w:p w14:paraId="0C3AD218">
            <w:pPr>
              <w:jc w:val="center"/>
              <w:rPr>
                <w:color w:val="auto"/>
                <w:highlight w:val="none"/>
              </w:rPr>
            </w:pPr>
            <w:r>
              <w:rPr>
                <w:color w:val="auto"/>
                <w:highlight w:val="none"/>
              </w:rPr>
              <w:t>资金来源</w:t>
            </w:r>
          </w:p>
        </w:tc>
        <w:tc>
          <w:tcPr>
            <w:tcW w:w="3360" w:type="pct"/>
            <w:vAlign w:val="center"/>
          </w:tcPr>
          <w:p w14:paraId="20F955D5">
            <w:pPr>
              <w:rPr>
                <w:rFonts w:hint="default" w:eastAsia="宋体"/>
                <w:color w:val="auto"/>
                <w:highlight w:val="none"/>
                <w:lang w:val="en-US" w:eastAsia="zh-CN"/>
              </w:rPr>
            </w:pPr>
            <w:r>
              <w:rPr>
                <w:rFonts w:hint="eastAsia"/>
                <w:color w:val="auto"/>
                <w:highlight w:val="none"/>
                <w:lang w:val="en-US" w:eastAsia="zh-CN"/>
              </w:rPr>
              <w:t>财政资金</w:t>
            </w:r>
          </w:p>
        </w:tc>
      </w:tr>
      <w:tr w14:paraId="5018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1" w:type="pct"/>
            <w:vAlign w:val="center"/>
          </w:tcPr>
          <w:p w14:paraId="3B09B439">
            <w:pPr>
              <w:jc w:val="center"/>
              <w:rPr>
                <w:color w:val="auto"/>
                <w:highlight w:val="none"/>
              </w:rPr>
            </w:pPr>
            <w:r>
              <w:rPr>
                <w:color w:val="auto"/>
                <w:highlight w:val="none"/>
              </w:rPr>
              <w:t>1.2.2</w:t>
            </w:r>
          </w:p>
        </w:tc>
        <w:tc>
          <w:tcPr>
            <w:tcW w:w="988" w:type="pct"/>
            <w:vAlign w:val="center"/>
          </w:tcPr>
          <w:p w14:paraId="0E84A13C">
            <w:pPr>
              <w:jc w:val="center"/>
              <w:rPr>
                <w:color w:val="auto"/>
                <w:highlight w:val="none"/>
              </w:rPr>
            </w:pPr>
            <w:r>
              <w:rPr>
                <w:color w:val="auto"/>
                <w:highlight w:val="none"/>
              </w:rPr>
              <w:t>出资比例</w:t>
            </w:r>
          </w:p>
        </w:tc>
        <w:tc>
          <w:tcPr>
            <w:tcW w:w="3360" w:type="pct"/>
            <w:vAlign w:val="center"/>
          </w:tcPr>
          <w:p w14:paraId="7BCD87C5">
            <w:pPr>
              <w:rPr>
                <w:color w:val="auto"/>
                <w:highlight w:val="none"/>
              </w:rPr>
            </w:pPr>
            <w:r>
              <w:rPr>
                <w:color w:val="auto"/>
                <w:highlight w:val="none"/>
              </w:rPr>
              <w:t>100%</w:t>
            </w:r>
          </w:p>
        </w:tc>
      </w:tr>
      <w:tr w14:paraId="1744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1" w:type="pct"/>
            <w:vAlign w:val="center"/>
          </w:tcPr>
          <w:p w14:paraId="04FDFCFD">
            <w:pPr>
              <w:jc w:val="center"/>
              <w:rPr>
                <w:color w:val="auto"/>
                <w:highlight w:val="none"/>
              </w:rPr>
            </w:pPr>
            <w:r>
              <w:rPr>
                <w:color w:val="auto"/>
                <w:highlight w:val="none"/>
              </w:rPr>
              <w:t>1.2.3</w:t>
            </w:r>
          </w:p>
        </w:tc>
        <w:tc>
          <w:tcPr>
            <w:tcW w:w="988" w:type="pct"/>
            <w:vAlign w:val="center"/>
          </w:tcPr>
          <w:p w14:paraId="1D01001C">
            <w:pPr>
              <w:jc w:val="center"/>
              <w:rPr>
                <w:color w:val="auto"/>
                <w:highlight w:val="none"/>
              </w:rPr>
            </w:pPr>
            <w:r>
              <w:rPr>
                <w:color w:val="auto"/>
                <w:highlight w:val="none"/>
              </w:rPr>
              <w:t>资金落实情况</w:t>
            </w:r>
          </w:p>
        </w:tc>
        <w:tc>
          <w:tcPr>
            <w:tcW w:w="3360" w:type="pct"/>
            <w:vAlign w:val="center"/>
          </w:tcPr>
          <w:p w14:paraId="6BED12F7">
            <w:pPr>
              <w:rPr>
                <w:color w:val="auto"/>
                <w:highlight w:val="none"/>
              </w:rPr>
            </w:pPr>
            <w:r>
              <w:rPr>
                <w:color w:val="auto"/>
                <w:highlight w:val="none"/>
              </w:rPr>
              <w:t>已落实</w:t>
            </w:r>
          </w:p>
        </w:tc>
      </w:tr>
      <w:tr w14:paraId="6468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1" w:type="pct"/>
            <w:vAlign w:val="center"/>
          </w:tcPr>
          <w:p w14:paraId="032DE1A0">
            <w:pPr>
              <w:jc w:val="center"/>
              <w:rPr>
                <w:color w:val="auto"/>
                <w:highlight w:val="none"/>
              </w:rPr>
            </w:pPr>
            <w:r>
              <w:rPr>
                <w:color w:val="auto"/>
                <w:highlight w:val="none"/>
              </w:rPr>
              <w:t>1.3.1</w:t>
            </w:r>
          </w:p>
        </w:tc>
        <w:tc>
          <w:tcPr>
            <w:tcW w:w="988" w:type="pct"/>
            <w:vAlign w:val="center"/>
          </w:tcPr>
          <w:p w14:paraId="3555C4B4">
            <w:pPr>
              <w:jc w:val="center"/>
              <w:rPr>
                <w:color w:val="auto"/>
                <w:highlight w:val="none"/>
              </w:rPr>
            </w:pPr>
            <w:r>
              <w:rPr>
                <w:color w:val="auto"/>
                <w:highlight w:val="none"/>
              </w:rPr>
              <w:t>招标范围</w:t>
            </w:r>
          </w:p>
        </w:tc>
        <w:tc>
          <w:tcPr>
            <w:tcW w:w="3360" w:type="pct"/>
            <w:vAlign w:val="center"/>
          </w:tcPr>
          <w:p w14:paraId="1FEA055B">
            <w:pPr>
              <w:rPr>
                <w:color w:val="auto"/>
                <w:highlight w:val="none"/>
              </w:rPr>
            </w:pPr>
            <w:r>
              <w:rPr>
                <w:color w:val="auto"/>
                <w:highlight w:val="none"/>
              </w:rPr>
              <w:t>见招标公告</w:t>
            </w:r>
          </w:p>
        </w:tc>
      </w:tr>
      <w:tr w14:paraId="3D26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1" w:type="pct"/>
            <w:vAlign w:val="center"/>
          </w:tcPr>
          <w:p w14:paraId="2F7C47D8">
            <w:pPr>
              <w:jc w:val="center"/>
              <w:rPr>
                <w:color w:val="auto"/>
                <w:highlight w:val="none"/>
              </w:rPr>
            </w:pPr>
            <w:r>
              <w:rPr>
                <w:color w:val="auto"/>
                <w:highlight w:val="none"/>
              </w:rPr>
              <w:t>1.3.2</w:t>
            </w:r>
          </w:p>
        </w:tc>
        <w:tc>
          <w:tcPr>
            <w:tcW w:w="988" w:type="pct"/>
            <w:vAlign w:val="center"/>
          </w:tcPr>
          <w:p w14:paraId="42A5BCA8">
            <w:pPr>
              <w:jc w:val="center"/>
              <w:rPr>
                <w:color w:val="auto"/>
                <w:highlight w:val="none"/>
              </w:rPr>
            </w:pPr>
            <w:r>
              <w:rPr>
                <w:color w:val="auto"/>
                <w:highlight w:val="none"/>
              </w:rPr>
              <w:t>计划检测服务期</w:t>
            </w:r>
          </w:p>
        </w:tc>
        <w:tc>
          <w:tcPr>
            <w:tcW w:w="3360" w:type="pct"/>
            <w:vAlign w:val="center"/>
          </w:tcPr>
          <w:p w14:paraId="49A15F1C">
            <w:pPr>
              <w:rPr>
                <w:color w:val="auto"/>
                <w:highlight w:val="none"/>
              </w:rPr>
            </w:pPr>
            <w:r>
              <w:rPr>
                <w:color w:val="auto"/>
                <w:highlight w:val="none"/>
              </w:rPr>
              <w:t>见招标公告</w:t>
            </w:r>
          </w:p>
        </w:tc>
      </w:tr>
      <w:tr w14:paraId="30D6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1" w:type="pct"/>
            <w:vAlign w:val="center"/>
          </w:tcPr>
          <w:p w14:paraId="512503C1">
            <w:pPr>
              <w:jc w:val="center"/>
              <w:rPr>
                <w:color w:val="auto"/>
                <w:highlight w:val="none"/>
              </w:rPr>
            </w:pPr>
            <w:r>
              <w:rPr>
                <w:color w:val="auto"/>
                <w:highlight w:val="none"/>
              </w:rPr>
              <w:t>1.4.1</w:t>
            </w:r>
          </w:p>
        </w:tc>
        <w:tc>
          <w:tcPr>
            <w:tcW w:w="988" w:type="pct"/>
            <w:vAlign w:val="center"/>
          </w:tcPr>
          <w:p w14:paraId="66B8DFDE">
            <w:pPr>
              <w:jc w:val="center"/>
              <w:rPr>
                <w:color w:val="auto"/>
                <w:highlight w:val="none"/>
              </w:rPr>
            </w:pPr>
            <w:r>
              <w:rPr>
                <w:color w:val="auto"/>
                <w:highlight w:val="none"/>
              </w:rPr>
              <w:t>投标人资质条件、能力和信誉</w:t>
            </w:r>
          </w:p>
        </w:tc>
        <w:tc>
          <w:tcPr>
            <w:tcW w:w="3360" w:type="pct"/>
            <w:vAlign w:val="center"/>
          </w:tcPr>
          <w:p w14:paraId="58F1C138">
            <w:pPr>
              <w:rPr>
                <w:color w:val="auto"/>
                <w:highlight w:val="none"/>
              </w:rPr>
            </w:pPr>
            <w:r>
              <w:rPr>
                <w:color w:val="auto"/>
                <w:highlight w:val="none"/>
              </w:rPr>
              <w:t>见招标公告</w:t>
            </w:r>
          </w:p>
        </w:tc>
      </w:tr>
      <w:tr w14:paraId="4644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1" w:type="pct"/>
            <w:vAlign w:val="center"/>
          </w:tcPr>
          <w:p w14:paraId="19830789">
            <w:pPr>
              <w:jc w:val="center"/>
              <w:rPr>
                <w:color w:val="auto"/>
                <w:highlight w:val="none"/>
              </w:rPr>
            </w:pPr>
            <w:r>
              <w:rPr>
                <w:color w:val="auto"/>
                <w:highlight w:val="none"/>
              </w:rPr>
              <w:t>1.4.2</w:t>
            </w:r>
          </w:p>
        </w:tc>
        <w:tc>
          <w:tcPr>
            <w:tcW w:w="988" w:type="pct"/>
            <w:vAlign w:val="center"/>
          </w:tcPr>
          <w:p w14:paraId="19BE762E">
            <w:pPr>
              <w:jc w:val="center"/>
              <w:rPr>
                <w:color w:val="auto"/>
                <w:highlight w:val="none"/>
              </w:rPr>
            </w:pPr>
            <w:r>
              <w:rPr>
                <w:color w:val="auto"/>
                <w:highlight w:val="none"/>
              </w:rPr>
              <w:t>是否接受联合体投标</w:t>
            </w:r>
          </w:p>
        </w:tc>
        <w:tc>
          <w:tcPr>
            <w:tcW w:w="3360" w:type="pct"/>
            <w:vAlign w:val="center"/>
          </w:tcPr>
          <w:p w14:paraId="0BF8C575">
            <w:pPr>
              <w:rPr>
                <w:rFonts w:hint="eastAsia"/>
                <w:color w:val="auto"/>
                <w:highlight w:val="none"/>
              </w:rPr>
            </w:pPr>
            <w:r>
              <w:rPr>
                <w:rFonts w:hint="eastAsia"/>
                <w:color w:val="auto"/>
                <w:highlight w:val="none"/>
              </w:rPr>
              <w:t>接受，若接受，应满足下列要求：</w:t>
            </w:r>
          </w:p>
          <w:p w14:paraId="77EF2B19">
            <w:pPr>
              <w:rPr>
                <w:rFonts w:hint="eastAsia"/>
                <w:color w:val="auto"/>
                <w:highlight w:val="none"/>
              </w:rPr>
            </w:pPr>
            <w:r>
              <w:rPr>
                <w:rFonts w:hint="eastAsia"/>
                <w:color w:val="auto"/>
                <w:highlight w:val="none"/>
              </w:rPr>
              <w:t>（1）联合体各方应按招标文件提供的格式签订联合体协议书，明确联合体牵头人和各方权利义务；</w:t>
            </w:r>
          </w:p>
          <w:p w14:paraId="248323AD">
            <w:pPr>
              <w:rPr>
                <w:rFonts w:hint="eastAsia"/>
                <w:color w:val="auto"/>
                <w:highlight w:val="none"/>
              </w:rPr>
            </w:pPr>
            <w:r>
              <w:rPr>
                <w:rFonts w:hint="eastAsia"/>
                <w:color w:val="auto"/>
                <w:highlight w:val="none"/>
              </w:rPr>
              <w:t xml:space="preserve">（2）联合体各方不得再以自己名义单独或参加其他联合体在本招标项目中投标； </w:t>
            </w:r>
          </w:p>
          <w:p w14:paraId="50BA1921">
            <w:pPr>
              <w:rPr>
                <w:rFonts w:hint="eastAsia"/>
                <w:color w:val="auto"/>
                <w:highlight w:val="none"/>
              </w:rPr>
            </w:pPr>
            <w:r>
              <w:rPr>
                <w:rFonts w:hint="eastAsia"/>
                <w:color w:val="auto"/>
                <w:highlight w:val="none"/>
              </w:rPr>
              <w:t xml:space="preserve">（3）联合体所有成员数量不得超过2个，联合体牵头人须为水运工程结构乙级或以上资质的单位。 </w:t>
            </w:r>
          </w:p>
          <w:p w14:paraId="561CCBC7">
            <w:pPr>
              <w:rPr>
                <w:rFonts w:hint="eastAsia"/>
                <w:color w:val="auto"/>
                <w:highlight w:val="none"/>
              </w:rPr>
            </w:pPr>
            <w:r>
              <w:rPr>
                <w:rFonts w:hint="eastAsia"/>
                <w:color w:val="auto"/>
                <w:highlight w:val="none"/>
              </w:rPr>
              <w:t>（4）联合体各成员单位应当具备与联合体协议中约定的分工相适应的能力；联合体中有同类资质的投标人按照联合体分工承担相同工作的，应当按照资质等级较低的投标人确定资质等级。</w:t>
            </w:r>
          </w:p>
          <w:p w14:paraId="21006071">
            <w:pPr>
              <w:rPr>
                <w:rFonts w:hint="eastAsia"/>
                <w:color w:val="auto"/>
                <w:highlight w:val="none"/>
              </w:rPr>
            </w:pPr>
            <w:r>
              <w:rPr>
                <w:rFonts w:hint="eastAsia"/>
                <w:color w:val="auto"/>
                <w:highlight w:val="none"/>
              </w:rPr>
              <w:t>（5）尽管委任了联合体牵头人，但联合体各成员在投标、签约与履行合同过程中，仍负有连带的各自的法律责任；</w:t>
            </w:r>
          </w:p>
          <w:p w14:paraId="37C6FAF1">
            <w:pPr>
              <w:rPr>
                <w:color w:val="auto"/>
                <w:highlight w:val="none"/>
              </w:rPr>
            </w:pPr>
            <w:r>
              <w:rPr>
                <w:rFonts w:hint="eastAsia"/>
                <w:color w:val="auto"/>
                <w:highlight w:val="none"/>
              </w:rPr>
              <w:t>（6）联合体信用等级按联合体成员最低信用等级确定。</w:t>
            </w:r>
          </w:p>
        </w:tc>
      </w:tr>
      <w:tr w14:paraId="7305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1" w:type="pct"/>
            <w:vAlign w:val="center"/>
          </w:tcPr>
          <w:p w14:paraId="38725734">
            <w:pPr>
              <w:jc w:val="center"/>
              <w:rPr>
                <w:color w:val="auto"/>
                <w:highlight w:val="none"/>
              </w:rPr>
            </w:pPr>
            <w:r>
              <w:rPr>
                <w:color w:val="auto"/>
                <w:highlight w:val="none"/>
              </w:rPr>
              <w:t>1.9.1</w:t>
            </w:r>
          </w:p>
        </w:tc>
        <w:tc>
          <w:tcPr>
            <w:tcW w:w="988" w:type="pct"/>
            <w:vAlign w:val="center"/>
          </w:tcPr>
          <w:p w14:paraId="7438389C">
            <w:pPr>
              <w:jc w:val="center"/>
              <w:rPr>
                <w:color w:val="auto"/>
                <w:highlight w:val="none"/>
              </w:rPr>
            </w:pPr>
            <w:r>
              <w:rPr>
                <w:color w:val="auto"/>
                <w:highlight w:val="none"/>
              </w:rPr>
              <w:t>踏勘现场</w:t>
            </w:r>
          </w:p>
        </w:tc>
        <w:tc>
          <w:tcPr>
            <w:tcW w:w="3360" w:type="pct"/>
            <w:vAlign w:val="center"/>
          </w:tcPr>
          <w:p w14:paraId="1903154B">
            <w:pPr>
              <w:rPr>
                <w:color w:val="auto"/>
                <w:highlight w:val="none"/>
              </w:rPr>
            </w:pPr>
            <w:r>
              <w:rPr>
                <w:color w:val="auto"/>
                <w:highlight w:val="none"/>
              </w:rPr>
              <w:t>不组织</w:t>
            </w:r>
          </w:p>
        </w:tc>
      </w:tr>
      <w:tr w14:paraId="3746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1" w:type="pct"/>
            <w:vAlign w:val="center"/>
          </w:tcPr>
          <w:p w14:paraId="36790B8D">
            <w:pPr>
              <w:jc w:val="center"/>
              <w:rPr>
                <w:color w:val="auto"/>
                <w:highlight w:val="none"/>
              </w:rPr>
            </w:pPr>
            <w:r>
              <w:rPr>
                <w:color w:val="auto"/>
                <w:highlight w:val="none"/>
              </w:rPr>
              <w:t>1.10.1</w:t>
            </w:r>
          </w:p>
        </w:tc>
        <w:tc>
          <w:tcPr>
            <w:tcW w:w="988" w:type="pct"/>
            <w:vAlign w:val="center"/>
          </w:tcPr>
          <w:p w14:paraId="766E6F8C">
            <w:pPr>
              <w:jc w:val="center"/>
              <w:rPr>
                <w:color w:val="auto"/>
                <w:highlight w:val="none"/>
              </w:rPr>
            </w:pPr>
            <w:r>
              <w:rPr>
                <w:color w:val="auto"/>
                <w:highlight w:val="none"/>
              </w:rPr>
              <w:t>投标预备会</w:t>
            </w:r>
          </w:p>
        </w:tc>
        <w:tc>
          <w:tcPr>
            <w:tcW w:w="3360" w:type="pct"/>
            <w:vAlign w:val="center"/>
          </w:tcPr>
          <w:p w14:paraId="53F5BBA2">
            <w:pPr>
              <w:rPr>
                <w:color w:val="auto"/>
                <w:highlight w:val="none"/>
              </w:rPr>
            </w:pPr>
            <w:r>
              <w:rPr>
                <w:color w:val="auto"/>
                <w:highlight w:val="none"/>
              </w:rPr>
              <w:t>不召开</w:t>
            </w:r>
          </w:p>
        </w:tc>
      </w:tr>
      <w:tr w14:paraId="58EA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pct"/>
            <w:vAlign w:val="center"/>
          </w:tcPr>
          <w:p w14:paraId="1FD6274C">
            <w:pPr>
              <w:jc w:val="center"/>
              <w:rPr>
                <w:color w:val="auto"/>
                <w:highlight w:val="none"/>
              </w:rPr>
            </w:pPr>
            <w:r>
              <w:rPr>
                <w:color w:val="auto"/>
                <w:highlight w:val="none"/>
              </w:rPr>
              <w:t>1.10.2</w:t>
            </w:r>
          </w:p>
        </w:tc>
        <w:tc>
          <w:tcPr>
            <w:tcW w:w="988" w:type="pct"/>
            <w:vAlign w:val="center"/>
          </w:tcPr>
          <w:p w14:paraId="79C2AF6C">
            <w:pPr>
              <w:jc w:val="center"/>
              <w:rPr>
                <w:color w:val="auto"/>
                <w:highlight w:val="none"/>
              </w:rPr>
            </w:pPr>
            <w:r>
              <w:rPr>
                <w:color w:val="auto"/>
                <w:highlight w:val="none"/>
              </w:rPr>
              <w:t>投标人提出问题的截止时间</w:t>
            </w:r>
          </w:p>
        </w:tc>
        <w:tc>
          <w:tcPr>
            <w:tcW w:w="3360" w:type="pct"/>
            <w:vAlign w:val="center"/>
          </w:tcPr>
          <w:p w14:paraId="41BC9FE2">
            <w:pPr>
              <w:rPr>
                <w:color w:val="auto"/>
                <w:highlight w:val="none"/>
              </w:rPr>
            </w:pPr>
            <w:r>
              <w:rPr>
                <w:color w:val="auto"/>
                <w:highlight w:val="none"/>
              </w:rPr>
              <w:t>递交投标文件截止之日10</w:t>
            </w:r>
            <w:r>
              <w:rPr>
                <w:rFonts w:hint="eastAsia"/>
                <w:color w:val="auto"/>
                <w:highlight w:val="none"/>
              </w:rPr>
              <w:t>日</w:t>
            </w:r>
            <w:r>
              <w:rPr>
                <w:color w:val="auto"/>
                <w:highlight w:val="none"/>
              </w:rPr>
              <w:t xml:space="preserve">前 </w:t>
            </w:r>
          </w:p>
        </w:tc>
      </w:tr>
      <w:tr w14:paraId="0E6B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51" w:type="pct"/>
            <w:vAlign w:val="center"/>
          </w:tcPr>
          <w:p w14:paraId="089F7CC3">
            <w:pPr>
              <w:jc w:val="center"/>
              <w:rPr>
                <w:color w:val="auto"/>
                <w:highlight w:val="none"/>
              </w:rPr>
            </w:pPr>
            <w:r>
              <w:rPr>
                <w:color w:val="auto"/>
                <w:highlight w:val="none"/>
              </w:rPr>
              <w:t>1.10.3</w:t>
            </w:r>
          </w:p>
        </w:tc>
        <w:tc>
          <w:tcPr>
            <w:tcW w:w="988" w:type="pct"/>
            <w:vAlign w:val="center"/>
          </w:tcPr>
          <w:p w14:paraId="364D0D65">
            <w:pPr>
              <w:jc w:val="center"/>
              <w:rPr>
                <w:color w:val="auto"/>
                <w:highlight w:val="none"/>
              </w:rPr>
            </w:pPr>
            <w:r>
              <w:rPr>
                <w:color w:val="auto"/>
                <w:highlight w:val="none"/>
              </w:rPr>
              <w:t>招标人书面澄清的时间</w:t>
            </w:r>
          </w:p>
        </w:tc>
        <w:tc>
          <w:tcPr>
            <w:tcW w:w="3360" w:type="pct"/>
            <w:vAlign w:val="center"/>
          </w:tcPr>
          <w:p w14:paraId="4AF35CD9">
            <w:pPr>
              <w:rPr>
                <w:color w:val="auto"/>
                <w:highlight w:val="none"/>
              </w:rPr>
            </w:pPr>
            <w:r>
              <w:rPr>
                <w:color w:val="auto"/>
                <w:highlight w:val="none"/>
              </w:rPr>
              <w:t>递交投标文件截止之日15</w:t>
            </w:r>
            <w:r>
              <w:rPr>
                <w:rFonts w:hint="eastAsia"/>
                <w:color w:val="auto"/>
                <w:highlight w:val="none"/>
              </w:rPr>
              <w:t>日前</w:t>
            </w:r>
          </w:p>
        </w:tc>
      </w:tr>
      <w:tr w14:paraId="40A8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51" w:type="pct"/>
            <w:vAlign w:val="center"/>
          </w:tcPr>
          <w:p w14:paraId="2BB01DC9">
            <w:pPr>
              <w:jc w:val="center"/>
              <w:rPr>
                <w:color w:val="auto"/>
                <w:highlight w:val="none"/>
              </w:rPr>
            </w:pPr>
            <w:r>
              <w:rPr>
                <w:color w:val="auto"/>
                <w:highlight w:val="none"/>
              </w:rPr>
              <w:t>1.11</w:t>
            </w:r>
          </w:p>
        </w:tc>
        <w:tc>
          <w:tcPr>
            <w:tcW w:w="988" w:type="pct"/>
            <w:vAlign w:val="center"/>
          </w:tcPr>
          <w:p w14:paraId="23D783F3">
            <w:pPr>
              <w:jc w:val="center"/>
              <w:rPr>
                <w:color w:val="auto"/>
                <w:highlight w:val="none"/>
              </w:rPr>
            </w:pPr>
            <w:r>
              <w:rPr>
                <w:color w:val="auto"/>
                <w:highlight w:val="none"/>
              </w:rPr>
              <w:t>分包</w:t>
            </w:r>
          </w:p>
        </w:tc>
        <w:tc>
          <w:tcPr>
            <w:tcW w:w="3360" w:type="pct"/>
            <w:vAlign w:val="center"/>
          </w:tcPr>
          <w:p w14:paraId="7FF6F52B">
            <w:pPr>
              <w:rPr>
                <w:color w:val="auto"/>
                <w:highlight w:val="none"/>
              </w:rPr>
            </w:pPr>
            <w:r>
              <w:rPr>
                <w:color w:val="auto"/>
                <w:highlight w:val="none"/>
              </w:rPr>
              <w:t>不允许</w:t>
            </w:r>
          </w:p>
        </w:tc>
      </w:tr>
      <w:tr w14:paraId="1C56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1" w:type="pct"/>
            <w:vAlign w:val="center"/>
          </w:tcPr>
          <w:p w14:paraId="1C4B404C">
            <w:pPr>
              <w:jc w:val="center"/>
              <w:rPr>
                <w:color w:val="auto"/>
                <w:highlight w:val="none"/>
              </w:rPr>
            </w:pPr>
            <w:r>
              <w:rPr>
                <w:color w:val="auto"/>
                <w:highlight w:val="none"/>
              </w:rPr>
              <w:t>1.12</w:t>
            </w:r>
          </w:p>
        </w:tc>
        <w:tc>
          <w:tcPr>
            <w:tcW w:w="988" w:type="pct"/>
            <w:vAlign w:val="center"/>
          </w:tcPr>
          <w:p w14:paraId="28B049B6">
            <w:pPr>
              <w:jc w:val="center"/>
              <w:rPr>
                <w:color w:val="auto"/>
                <w:highlight w:val="none"/>
              </w:rPr>
            </w:pPr>
            <w:r>
              <w:rPr>
                <w:color w:val="auto"/>
                <w:highlight w:val="none"/>
              </w:rPr>
              <w:t>偏离</w:t>
            </w:r>
          </w:p>
        </w:tc>
        <w:tc>
          <w:tcPr>
            <w:tcW w:w="3360" w:type="pct"/>
            <w:vAlign w:val="center"/>
          </w:tcPr>
          <w:p w14:paraId="37FA150A">
            <w:pPr>
              <w:rPr>
                <w:color w:val="auto"/>
                <w:highlight w:val="none"/>
              </w:rPr>
            </w:pPr>
            <w:r>
              <w:rPr>
                <w:color w:val="auto"/>
                <w:highlight w:val="none"/>
              </w:rPr>
              <w:t>允许细微偏差。属于重大偏差的，视为对招标文件未作出实质性响应，按否决投标处理。</w:t>
            </w:r>
          </w:p>
        </w:tc>
      </w:tr>
      <w:tr w14:paraId="66AD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6" w:hRule="atLeast"/>
          <w:jc w:val="center"/>
        </w:trPr>
        <w:tc>
          <w:tcPr>
            <w:tcW w:w="651" w:type="pct"/>
            <w:vAlign w:val="center"/>
          </w:tcPr>
          <w:p w14:paraId="71F93E2F">
            <w:pPr>
              <w:jc w:val="center"/>
              <w:rPr>
                <w:color w:val="auto"/>
                <w:highlight w:val="none"/>
              </w:rPr>
            </w:pPr>
            <w:r>
              <w:rPr>
                <w:color w:val="auto"/>
                <w:highlight w:val="none"/>
              </w:rPr>
              <w:t>2.1</w:t>
            </w:r>
          </w:p>
        </w:tc>
        <w:tc>
          <w:tcPr>
            <w:tcW w:w="988" w:type="pct"/>
            <w:vAlign w:val="center"/>
          </w:tcPr>
          <w:p w14:paraId="04D24E86">
            <w:pPr>
              <w:jc w:val="center"/>
              <w:rPr>
                <w:color w:val="auto"/>
                <w:highlight w:val="none"/>
              </w:rPr>
            </w:pPr>
            <w:r>
              <w:rPr>
                <w:color w:val="auto"/>
                <w:highlight w:val="none"/>
              </w:rPr>
              <w:t>构成招标文件的其他材料</w:t>
            </w:r>
          </w:p>
        </w:tc>
        <w:tc>
          <w:tcPr>
            <w:tcW w:w="3360" w:type="pct"/>
            <w:vAlign w:val="center"/>
          </w:tcPr>
          <w:p w14:paraId="3DDA3FEF">
            <w:pPr>
              <w:rPr>
                <w:color w:val="auto"/>
                <w:highlight w:val="none"/>
              </w:rPr>
            </w:pPr>
            <w:r>
              <w:rPr>
                <w:color w:val="auto"/>
                <w:highlight w:val="none"/>
              </w:rPr>
              <w:t>1、江苏省交通运输厅《江苏省公路水运工程试验检测标准招标文件》（2014年版）、补遗书（如有）</w:t>
            </w:r>
          </w:p>
          <w:p w14:paraId="59C54E4A">
            <w:pPr>
              <w:rPr>
                <w:color w:val="auto"/>
                <w:highlight w:val="none"/>
              </w:rPr>
            </w:pPr>
            <w:r>
              <w:rPr>
                <w:color w:val="auto"/>
                <w:highlight w:val="none"/>
              </w:rPr>
              <w:t>2、招标文件附件：</w:t>
            </w:r>
          </w:p>
          <w:p w14:paraId="6AE3A88B">
            <w:pPr>
              <w:rPr>
                <w:color w:val="auto"/>
                <w:highlight w:val="none"/>
              </w:rPr>
            </w:pPr>
            <w:r>
              <w:rPr>
                <w:rFonts w:hint="eastAsia"/>
                <w:color w:val="auto"/>
                <w:highlight w:val="none"/>
              </w:rPr>
              <w:t>附件一：省交通运输厅关于江苏省公路水路建设市场信用信息服务系统有关功能使用要求和从业单位信息备案规则的公告 苏交建〔2015〕25号</w:t>
            </w:r>
          </w:p>
          <w:p w14:paraId="7598CF77">
            <w:pPr>
              <w:rPr>
                <w:color w:val="auto"/>
                <w:highlight w:val="none"/>
              </w:rPr>
            </w:pPr>
            <w:r>
              <w:rPr>
                <w:rFonts w:hint="eastAsia"/>
                <w:color w:val="auto"/>
                <w:highlight w:val="none"/>
              </w:rPr>
              <w:t>附件二：江苏省公路水运建设市场信用信息管理办法（苏交规〔2019〕2号）</w:t>
            </w:r>
          </w:p>
          <w:p w14:paraId="6FCB43B6">
            <w:pPr>
              <w:rPr>
                <w:color w:val="auto"/>
                <w:highlight w:val="none"/>
              </w:rPr>
            </w:pPr>
            <w:r>
              <w:rPr>
                <w:rFonts w:hint="eastAsia"/>
                <w:color w:val="auto"/>
                <w:highlight w:val="none"/>
              </w:rPr>
              <w:t>附件三：省交通运输厅关于明确公路水运项目招投标和信用管理有关要求的通知（苏交建〔2020〕5号）</w:t>
            </w:r>
          </w:p>
          <w:p w14:paraId="67615F71">
            <w:pPr>
              <w:rPr>
                <w:color w:val="auto"/>
                <w:highlight w:val="none"/>
              </w:rPr>
            </w:pPr>
            <w:r>
              <w:rPr>
                <w:rFonts w:hint="eastAsia"/>
                <w:color w:val="auto"/>
                <w:highlight w:val="none"/>
              </w:rPr>
              <w:t>附件四：省交通运输厅关于印发《江苏省公路水运建设单位信用评价实施细则》《江苏省公路水运服务类单位信用评价实施细则》的通知（苏交规〔2020〕3号）</w:t>
            </w:r>
          </w:p>
          <w:p w14:paraId="7853A3E4">
            <w:pPr>
              <w:rPr>
                <w:color w:val="auto"/>
                <w:highlight w:val="none"/>
              </w:rPr>
            </w:pPr>
            <w:r>
              <w:rPr>
                <w:rFonts w:hint="eastAsia"/>
                <w:color w:val="auto"/>
                <w:highlight w:val="none"/>
              </w:rPr>
              <w:t>附件五：《公路工程建设项目招标投标管理办法》（中华人民共和国交通运输部令2015年第24号）</w:t>
            </w:r>
          </w:p>
          <w:p w14:paraId="65098CF1">
            <w:pPr>
              <w:rPr>
                <w:color w:val="auto"/>
                <w:highlight w:val="none"/>
              </w:rPr>
            </w:pPr>
            <w:r>
              <w:rPr>
                <w:rFonts w:hint="eastAsia"/>
                <w:color w:val="auto"/>
                <w:highlight w:val="none"/>
              </w:rPr>
              <w:t>附件六：《关于进一步加强全市公路水运工程建设领域信用管理工作的通知》（通交建〔2021〕12号）</w:t>
            </w:r>
          </w:p>
          <w:p w14:paraId="20F5DF70">
            <w:pPr>
              <w:rPr>
                <w:color w:val="auto"/>
                <w:highlight w:val="none"/>
              </w:rPr>
            </w:pPr>
            <w:r>
              <w:rPr>
                <w:rFonts w:hint="eastAsia"/>
                <w:color w:val="auto"/>
                <w:highlight w:val="none"/>
              </w:rPr>
              <w:t>附件七：关于印发《从业单位弄虚作假违法行为分类及信用评定标准（补充指南）》《招投标有关问题界定工作指南》的通知（苏交建便函〔2020〕82号）</w:t>
            </w:r>
          </w:p>
          <w:p w14:paraId="0CF4C89E">
            <w:pPr>
              <w:rPr>
                <w:color w:val="auto"/>
                <w:highlight w:val="none"/>
              </w:rPr>
            </w:pPr>
            <w:r>
              <w:rPr>
                <w:rFonts w:hint="eastAsia"/>
                <w:color w:val="auto"/>
                <w:highlight w:val="none"/>
              </w:rPr>
              <w:t>投标人自行从网站下载。</w:t>
            </w:r>
          </w:p>
        </w:tc>
      </w:tr>
      <w:tr w14:paraId="286B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51" w:type="pct"/>
            <w:vAlign w:val="center"/>
          </w:tcPr>
          <w:p w14:paraId="3B6AE830">
            <w:pPr>
              <w:jc w:val="center"/>
              <w:rPr>
                <w:color w:val="auto"/>
                <w:highlight w:val="none"/>
              </w:rPr>
            </w:pPr>
            <w:r>
              <w:rPr>
                <w:color w:val="auto"/>
                <w:highlight w:val="none"/>
              </w:rPr>
              <w:t>2.2.1</w:t>
            </w:r>
          </w:p>
        </w:tc>
        <w:tc>
          <w:tcPr>
            <w:tcW w:w="988" w:type="pct"/>
            <w:vAlign w:val="center"/>
          </w:tcPr>
          <w:p w14:paraId="4120982F">
            <w:pPr>
              <w:jc w:val="center"/>
              <w:rPr>
                <w:color w:val="auto"/>
                <w:highlight w:val="none"/>
              </w:rPr>
            </w:pPr>
            <w:r>
              <w:rPr>
                <w:color w:val="auto"/>
                <w:highlight w:val="none"/>
              </w:rPr>
              <w:t>投标人要求澄清招标文件的截止时间</w:t>
            </w:r>
          </w:p>
        </w:tc>
        <w:tc>
          <w:tcPr>
            <w:tcW w:w="3360" w:type="pct"/>
            <w:vAlign w:val="center"/>
          </w:tcPr>
          <w:p w14:paraId="2384635B">
            <w:pPr>
              <w:rPr>
                <w:color w:val="auto"/>
                <w:highlight w:val="none"/>
              </w:rPr>
            </w:pPr>
            <w:r>
              <w:rPr>
                <w:color w:val="auto"/>
                <w:highlight w:val="none"/>
              </w:rPr>
              <w:t>递交投标文件截止之日10</w:t>
            </w:r>
            <w:r>
              <w:rPr>
                <w:rFonts w:hint="eastAsia"/>
                <w:color w:val="auto"/>
                <w:highlight w:val="none"/>
              </w:rPr>
              <w:t>日前</w:t>
            </w:r>
          </w:p>
        </w:tc>
      </w:tr>
      <w:tr w14:paraId="6B22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51" w:type="pct"/>
            <w:vAlign w:val="center"/>
          </w:tcPr>
          <w:p w14:paraId="254E2E45">
            <w:pPr>
              <w:jc w:val="center"/>
              <w:rPr>
                <w:color w:val="auto"/>
                <w:highlight w:val="none"/>
              </w:rPr>
            </w:pPr>
            <w:r>
              <w:rPr>
                <w:color w:val="auto"/>
                <w:highlight w:val="none"/>
              </w:rPr>
              <w:t>2.2.2</w:t>
            </w:r>
          </w:p>
        </w:tc>
        <w:tc>
          <w:tcPr>
            <w:tcW w:w="988" w:type="pct"/>
            <w:vAlign w:val="center"/>
          </w:tcPr>
          <w:p w14:paraId="7CB8283C">
            <w:pPr>
              <w:jc w:val="center"/>
              <w:rPr>
                <w:color w:val="auto"/>
                <w:highlight w:val="none"/>
              </w:rPr>
            </w:pPr>
            <w:r>
              <w:rPr>
                <w:color w:val="auto"/>
                <w:highlight w:val="none"/>
              </w:rPr>
              <w:t>投标截止时间</w:t>
            </w:r>
          </w:p>
        </w:tc>
        <w:tc>
          <w:tcPr>
            <w:tcW w:w="3360" w:type="pct"/>
            <w:vAlign w:val="center"/>
          </w:tcPr>
          <w:p w14:paraId="259D3076">
            <w:pPr>
              <w:rPr>
                <w:color w:val="auto"/>
                <w:highlight w:val="none"/>
              </w:rPr>
            </w:pPr>
            <w:r>
              <w:rPr>
                <w:color w:val="auto"/>
                <w:highlight w:val="none"/>
              </w:rPr>
              <w:t>见招标公告</w:t>
            </w:r>
          </w:p>
        </w:tc>
      </w:tr>
      <w:tr w14:paraId="2B1E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51" w:type="pct"/>
            <w:vAlign w:val="center"/>
          </w:tcPr>
          <w:p w14:paraId="3C9810E0">
            <w:pPr>
              <w:jc w:val="center"/>
              <w:rPr>
                <w:color w:val="auto"/>
                <w:highlight w:val="none"/>
              </w:rPr>
            </w:pPr>
            <w:r>
              <w:rPr>
                <w:color w:val="auto"/>
                <w:highlight w:val="none"/>
              </w:rPr>
              <w:t>2.2.3</w:t>
            </w:r>
          </w:p>
        </w:tc>
        <w:tc>
          <w:tcPr>
            <w:tcW w:w="988" w:type="pct"/>
            <w:vAlign w:val="center"/>
          </w:tcPr>
          <w:p w14:paraId="68BBDC35">
            <w:pPr>
              <w:jc w:val="center"/>
              <w:rPr>
                <w:color w:val="auto"/>
                <w:highlight w:val="none"/>
              </w:rPr>
            </w:pPr>
            <w:r>
              <w:rPr>
                <w:color w:val="auto"/>
                <w:highlight w:val="none"/>
              </w:rPr>
              <w:t>投标人确认收到招标文件澄清的时间</w:t>
            </w:r>
          </w:p>
        </w:tc>
        <w:tc>
          <w:tcPr>
            <w:tcW w:w="3360" w:type="pct"/>
            <w:vAlign w:val="center"/>
          </w:tcPr>
          <w:p w14:paraId="272B7CF1">
            <w:pPr>
              <w:rPr>
                <w:color w:val="auto"/>
                <w:highlight w:val="none"/>
              </w:rPr>
            </w:pPr>
            <w:r>
              <w:rPr>
                <w:rFonts w:hint="eastAsia"/>
                <w:color w:val="auto"/>
                <w:highlight w:val="none"/>
              </w:rPr>
              <w:t>时间：收到澄清后24小时内（以发出时间为准）</w:t>
            </w:r>
          </w:p>
          <w:p w14:paraId="63B86606">
            <w:pPr>
              <w:rPr>
                <w:color w:val="auto"/>
                <w:highlight w:val="none"/>
              </w:rPr>
            </w:pPr>
            <w:r>
              <w:rPr>
                <w:rFonts w:hint="eastAsia"/>
                <w:color w:val="auto"/>
                <w:highlight w:val="none"/>
              </w:rPr>
              <w:t>形式：将盖有法人章的澄清扫描件发送至招标</w:t>
            </w:r>
            <w:r>
              <w:rPr>
                <w:rFonts w:hint="eastAsia"/>
                <w:color w:val="auto"/>
                <w:highlight w:val="none"/>
                <w:lang w:val="en-US" w:eastAsia="zh-CN"/>
              </w:rPr>
              <w:t>人</w:t>
            </w:r>
            <w:r>
              <w:rPr>
                <w:rFonts w:hint="eastAsia"/>
                <w:color w:val="auto"/>
                <w:highlight w:val="none"/>
              </w:rPr>
              <w:t>的电子邮箱，澄清中应留有联系人的姓名和电话，并电话联系招标</w:t>
            </w:r>
            <w:r>
              <w:rPr>
                <w:rFonts w:hint="eastAsia"/>
                <w:color w:val="auto"/>
                <w:highlight w:val="none"/>
                <w:lang w:val="en-US" w:eastAsia="zh-CN"/>
              </w:rPr>
              <w:t>人</w:t>
            </w:r>
            <w:r>
              <w:rPr>
                <w:rFonts w:hint="eastAsia"/>
                <w:color w:val="auto"/>
                <w:highlight w:val="none"/>
              </w:rPr>
              <w:t>以确认澄清是否已被接收。</w:t>
            </w:r>
          </w:p>
        </w:tc>
      </w:tr>
      <w:tr w14:paraId="2463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1" w:type="pct"/>
            <w:vAlign w:val="center"/>
          </w:tcPr>
          <w:p w14:paraId="0068E8E3">
            <w:pPr>
              <w:jc w:val="center"/>
              <w:rPr>
                <w:color w:val="auto"/>
                <w:highlight w:val="none"/>
              </w:rPr>
            </w:pPr>
            <w:r>
              <w:rPr>
                <w:color w:val="auto"/>
                <w:highlight w:val="none"/>
              </w:rPr>
              <w:t>2.3.2</w:t>
            </w:r>
          </w:p>
        </w:tc>
        <w:tc>
          <w:tcPr>
            <w:tcW w:w="988" w:type="pct"/>
            <w:vAlign w:val="center"/>
          </w:tcPr>
          <w:p w14:paraId="12AA8830">
            <w:pPr>
              <w:jc w:val="center"/>
              <w:rPr>
                <w:color w:val="auto"/>
                <w:highlight w:val="none"/>
              </w:rPr>
            </w:pPr>
            <w:r>
              <w:rPr>
                <w:color w:val="auto"/>
                <w:highlight w:val="none"/>
              </w:rPr>
              <w:t>投标人确认收到招标文件修改的时间</w:t>
            </w:r>
          </w:p>
        </w:tc>
        <w:tc>
          <w:tcPr>
            <w:tcW w:w="3360" w:type="pct"/>
            <w:vAlign w:val="center"/>
          </w:tcPr>
          <w:p w14:paraId="3F942481">
            <w:pPr>
              <w:rPr>
                <w:color w:val="auto"/>
                <w:highlight w:val="none"/>
              </w:rPr>
            </w:pPr>
            <w:r>
              <w:rPr>
                <w:rFonts w:hint="eastAsia"/>
                <w:color w:val="auto"/>
                <w:highlight w:val="none"/>
              </w:rPr>
              <w:t>时间：收到修改后24小时内（以发出时间为准）</w:t>
            </w:r>
          </w:p>
          <w:p w14:paraId="400D18B9">
            <w:pPr>
              <w:rPr>
                <w:color w:val="auto"/>
                <w:highlight w:val="none"/>
              </w:rPr>
            </w:pPr>
            <w:r>
              <w:rPr>
                <w:rFonts w:hint="eastAsia"/>
                <w:color w:val="auto"/>
                <w:highlight w:val="none"/>
              </w:rPr>
              <w:t>形式：将盖有法人章的补遗书扫描件发送至招标</w:t>
            </w:r>
            <w:r>
              <w:rPr>
                <w:rFonts w:hint="eastAsia"/>
                <w:color w:val="auto"/>
                <w:highlight w:val="none"/>
                <w:lang w:val="en-US" w:eastAsia="zh-CN"/>
              </w:rPr>
              <w:t>人</w:t>
            </w:r>
            <w:r>
              <w:rPr>
                <w:rFonts w:hint="eastAsia"/>
                <w:color w:val="auto"/>
                <w:highlight w:val="none"/>
              </w:rPr>
              <w:t>的电子邮箱，澄清中应留有联系人的姓名和电话，并电话联系招标</w:t>
            </w:r>
            <w:r>
              <w:rPr>
                <w:rFonts w:hint="eastAsia"/>
                <w:color w:val="auto"/>
                <w:highlight w:val="none"/>
                <w:lang w:val="en-US" w:eastAsia="zh-CN"/>
              </w:rPr>
              <w:t>人</w:t>
            </w:r>
            <w:r>
              <w:rPr>
                <w:rFonts w:hint="eastAsia"/>
                <w:color w:val="auto"/>
                <w:highlight w:val="none"/>
              </w:rPr>
              <w:t>以确认澄清是否已被接收。</w:t>
            </w:r>
          </w:p>
        </w:tc>
      </w:tr>
      <w:tr w14:paraId="1E54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jc w:val="center"/>
        </w:trPr>
        <w:tc>
          <w:tcPr>
            <w:tcW w:w="651" w:type="pct"/>
            <w:vAlign w:val="center"/>
          </w:tcPr>
          <w:p w14:paraId="33E93EBB">
            <w:pPr>
              <w:jc w:val="center"/>
              <w:rPr>
                <w:color w:val="auto"/>
                <w:highlight w:val="none"/>
              </w:rPr>
            </w:pPr>
            <w:r>
              <w:rPr>
                <w:color w:val="auto"/>
                <w:highlight w:val="none"/>
              </w:rPr>
              <w:t>3.1.1</w:t>
            </w:r>
          </w:p>
        </w:tc>
        <w:tc>
          <w:tcPr>
            <w:tcW w:w="988" w:type="pct"/>
            <w:vAlign w:val="center"/>
          </w:tcPr>
          <w:p w14:paraId="0A85DA60">
            <w:pPr>
              <w:jc w:val="center"/>
              <w:rPr>
                <w:color w:val="auto"/>
                <w:highlight w:val="none"/>
              </w:rPr>
            </w:pPr>
            <w:r>
              <w:rPr>
                <w:color w:val="auto"/>
                <w:highlight w:val="none"/>
              </w:rPr>
              <w:t>投标文件应包括下列内容</w:t>
            </w:r>
          </w:p>
        </w:tc>
        <w:tc>
          <w:tcPr>
            <w:tcW w:w="3360" w:type="pct"/>
            <w:vAlign w:val="center"/>
          </w:tcPr>
          <w:p w14:paraId="159F1C29">
            <w:pPr>
              <w:rPr>
                <w:color w:val="auto"/>
                <w:highlight w:val="none"/>
              </w:rPr>
            </w:pPr>
            <w:r>
              <w:rPr>
                <w:color w:val="auto"/>
                <w:highlight w:val="none"/>
              </w:rPr>
              <w:t>第一个信封（商务及技术文件）：</w:t>
            </w:r>
          </w:p>
          <w:p w14:paraId="7E62F42F">
            <w:pPr>
              <w:rPr>
                <w:color w:val="auto"/>
                <w:highlight w:val="none"/>
              </w:rPr>
            </w:pPr>
            <w:r>
              <w:rPr>
                <w:color w:val="auto"/>
                <w:highlight w:val="none"/>
              </w:rPr>
              <w:t>（1）投标函；</w:t>
            </w:r>
          </w:p>
          <w:p w14:paraId="62E55644">
            <w:pPr>
              <w:rPr>
                <w:color w:val="auto"/>
                <w:highlight w:val="none"/>
              </w:rPr>
            </w:pPr>
            <w:r>
              <w:rPr>
                <w:color w:val="auto"/>
                <w:highlight w:val="none"/>
              </w:rPr>
              <w:t>（2）法定代表人身份证明及授权委托书；</w:t>
            </w:r>
          </w:p>
          <w:p w14:paraId="59736D0E">
            <w:pPr>
              <w:rPr>
                <w:color w:val="auto"/>
                <w:highlight w:val="none"/>
              </w:rPr>
            </w:pPr>
            <w:r>
              <w:rPr>
                <w:color w:val="auto"/>
                <w:highlight w:val="none"/>
              </w:rPr>
              <w:t>（3）</w:t>
            </w:r>
            <w:r>
              <w:rPr>
                <w:rFonts w:hint="eastAsia"/>
                <w:color w:val="auto"/>
                <w:highlight w:val="none"/>
              </w:rPr>
              <w:t>联合体协议书（如为联合体形式投标须提供）</w:t>
            </w:r>
            <w:r>
              <w:rPr>
                <w:color w:val="auto"/>
                <w:highlight w:val="none"/>
              </w:rPr>
              <w:t>；</w:t>
            </w:r>
          </w:p>
          <w:p w14:paraId="53B55FCA">
            <w:pPr>
              <w:rPr>
                <w:color w:val="auto"/>
                <w:highlight w:val="none"/>
              </w:rPr>
            </w:pPr>
            <w:r>
              <w:rPr>
                <w:color w:val="auto"/>
                <w:highlight w:val="none"/>
              </w:rPr>
              <w:t>（4）</w:t>
            </w:r>
            <w:r>
              <w:rPr>
                <w:rFonts w:hint="eastAsia"/>
                <w:color w:val="auto"/>
                <w:highlight w:val="none"/>
              </w:rPr>
              <w:t>资料真实性承诺书；</w:t>
            </w:r>
          </w:p>
          <w:p w14:paraId="53509008">
            <w:pPr>
              <w:rPr>
                <w:color w:val="auto"/>
                <w:highlight w:val="none"/>
              </w:rPr>
            </w:pPr>
            <w:r>
              <w:rPr>
                <w:rFonts w:hint="eastAsia"/>
                <w:color w:val="auto"/>
                <w:highlight w:val="none"/>
              </w:rPr>
              <w:t>（5）</w:t>
            </w:r>
            <w:r>
              <w:rPr>
                <w:color w:val="auto"/>
                <w:highlight w:val="none"/>
              </w:rPr>
              <w:t xml:space="preserve">检测工作大纲； </w:t>
            </w:r>
          </w:p>
          <w:p w14:paraId="6B28EAD4">
            <w:pPr>
              <w:rPr>
                <w:color w:val="auto"/>
                <w:highlight w:val="none"/>
              </w:rPr>
            </w:pPr>
            <w:r>
              <w:rPr>
                <w:color w:val="auto"/>
                <w:highlight w:val="none"/>
              </w:rPr>
              <w:t>（</w:t>
            </w:r>
            <w:r>
              <w:rPr>
                <w:rFonts w:hint="eastAsia"/>
                <w:color w:val="auto"/>
                <w:highlight w:val="none"/>
              </w:rPr>
              <w:t>6</w:t>
            </w:r>
            <w:r>
              <w:rPr>
                <w:color w:val="auto"/>
                <w:highlight w:val="none"/>
              </w:rPr>
              <w:t>）资格审查资料；</w:t>
            </w:r>
          </w:p>
          <w:p w14:paraId="59CBD393">
            <w:pPr>
              <w:rPr>
                <w:color w:val="auto"/>
                <w:highlight w:val="none"/>
              </w:rPr>
            </w:pPr>
            <w:r>
              <w:rPr>
                <w:color w:val="auto"/>
                <w:highlight w:val="none"/>
              </w:rPr>
              <w:t>（</w:t>
            </w:r>
            <w:r>
              <w:rPr>
                <w:rFonts w:hint="eastAsia"/>
                <w:color w:val="auto"/>
                <w:highlight w:val="none"/>
              </w:rPr>
              <w:t>7</w:t>
            </w:r>
            <w:r>
              <w:rPr>
                <w:color w:val="auto"/>
                <w:highlight w:val="none"/>
              </w:rPr>
              <w:t>）江苏省公路水运建设项目投标人信用承诺书</w:t>
            </w:r>
            <w:r>
              <w:rPr>
                <w:rFonts w:hint="eastAsia"/>
                <w:color w:val="auto"/>
                <w:highlight w:val="none"/>
              </w:rPr>
              <w:t>；</w:t>
            </w:r>
          </w:p>
          <w:p w14:paraId="55D7DD98">
            <w:pPr>
              <w:rPr>
                <w:color w:val="auto"/>
                <w:highlight w:val="none"/>
              </w:rPr>
            </w:pPr>
            <w:r>
              <w:rPr>
                <w:rFonts w:hint="eastAsia"/>
                <w:color w:val="auto"/>
                <w:highlight w:val="none"/>
              </w:rPr>
              <w:t>（8）江苏公路水运建设市场主要从业人员信用承诺书；</w:t>
            </w:r>
          </w:p>
          <w:p w14:paraId="091990C5">
            <w:pPr>
              <w:rPr>
                <w:color w:val="auto"/>
                <w:highlight w:val="none"/>
              </w:rPr>
            </w:pPr>
            <w:r>
              <w:rPr>
                <w:rFonts w:hint="eastAsia"/>
                <w:color w:val="auto"/>
                <w:highlight w:val="none"/>
              </w:rPr>
              <w:t>（9）承诺函；</w:t>
            </w:r>
          </w:p>
          <w:p w14:paraId="4CB873DB">
            <w:pPr>
              <w:rPr>
                <w:color w:val="auto"/>
                <w:highlight w:val="none"/>
              </w:rPr>
            </w:pPr>
            <w:r>
              <w:rPr>
                <w:color w:val="auto"/>
                <w:highlight w:val="none"/>
              </w:rPr>
              <w:t>（</w:t>
            </w:r>
            <w:r>
              <w:rPr>
                <w:rFonts w:hint="eastAsia"/>
                <w:color w:val="auto"/>
                <w:highlight w:val="none"/>
              </w:rPr>
              <w:t>10</w:t>
            </w:r>
            <w:r>
              <w:rPr>
                <w:color w:val="auto"/>
                <w:highlight w:val="none"/>
              </w:rPr>
              <w:t>）其他材料。</w:t>
            </w:r>
          </w:p>
          <w:p w14:paraId="6D5008D6">
            <w:pPr>
              <w:rPr>
                <w:color w:val="auto"/>
                <w:highlight w:val="none"/>
              </w:rPr>
            </w:pPr>
            <w:r>
              <w:rPr>
                <w:color w:val="auto"/>
                <w:highlight w:val="none"/>
              </w:rPr>
              <w:t>第二个信封（投标报价和工程量清单）</w:t>
            </w:r>
          </w:p>
          <w:p w14:paraId="548CF3AF">
            <w:pPr>
              <w:rPr>
                <w:color w:val="auto"/>
                <w:highlight w:val="none"/>
              </w:rPr>
            </w:pPr>
            <w:r>
              <w:rPr>
                <w:color w:val="auto"/>
                <w:highlight w:val="none"/>
              </w:rPr>
              <w:t>（1）投标函</w:t>
            </w:r>
            <w:r>
              <w:rPr>
                <w:rFonts w:hint="eastAsia"/>
                <w:color w:val="auto"/>
                <w:highlight w:val="none"/>
              </w:rPr>
              <w:t>。</w:t>
            </w:r>
          </w:p>
        </w:tc>
      </w:tr>
      <w:tr w14:paraId="53C4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pct"/>
            <w:vAlign w:val="center"/>
          </w:tcPr>
          <w:p w14:paraId="6BAB9B64">
            <w:pPr>
              <w:jc w:val="center"/>
              <w:rPr>
                <w:color w:val="auto"/>
                <w:highlight w:val="none"/>
              </w:rPr>
            </w:pPr>
            <w:r>
              <w:rPr>
                <w:color w:val="auto"/>
                <w:highlight w:val="none"/>
              </w:rPr>
              <w:t>3.1.1</w:t>
            </w:r>
          </w:p>
        </w:tc>
        <w:tc>
          <w:tcPr>
            <w:tcW w:w="988" w:type="pct"/>
            <w:vAlign w:val="center"/>
          </w:tcPr>
          <w:p w14:paraId="70BD015A">
            <w:pPr>
              <w:jc w:val="center"/>
              <w:rPr>
                <w:color w:val="auto"/>
                <w:highlight w:val="none"/>
              </w:rPr>
            </w:pPr>
            <w:r>
              <w:rPr>
                <w:color w:val="auto"/>
                <w:highlight w:val="none"/>
              </w:rPr>
              <w:t>构成投标文件的其他材料</w:t>
            </w:r>
          </w:p>
        </w:tc>
        <w:tc>
          <w:tcPr>
            <w:tcW w:w="3360" w:type="pct"/>
            <w:vAlign w:val="center"/>
          </w:tcPr>
          <w:p w14:paraId="6206AD04">
            <w:pPr>
              <w:rPr>
                <w:color w:val="auto"/>
                <w:highlight w:val="none"/>
              </w:rPr>
            </w:pPr>
            <w:r>
              <w:rPr>
                <w:color w:val="auto"/>
                <w:highlight w:val="none"/>
              </w:rPr>
              <w:t>无</w:t>
            </w:r>
          </w:p>
        </w:tc>
      </w:tr>
      <w:tr w14:paraId="5C1A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pct"/>
            <w:vAlign w:val="center"/>
          </w:tcPr>
          <w:p w14:paraId="401C7079">
            <w:pPr>
              <w:jc w:val="center"/>
              <w:rPr>
                <w:color w:val="auto"/>
                <w:highlight w:val="none"/>
              </w:rPr>
            </w:pPr>
            <w:r>
              <w:rPr>
                <w:color w:val="auto"/>
                <w:highlight w:val="none"/>
              </w:rPr>
              <w:t>3.2</w:t>
            </w:r>
          </w:p>
        </w:tc>
        <w:tc>
          <w:tcPr>
            <w:tcW w:w="988" w:type="pct"/>
            <w:vAlign w:val="center"/>
          </w:tcPr>
          <w:p w14:paraId="510A045C">
            <w:pPr>
              <w:jc w:val="center"/>
              <w:rPr>
                <w:color w:val="auto"/>
                <w:highlight w:val="none"/>
              </w:rPr>
            </w:pPr>
            <w:r>
              <w:rPr>
                <w:color w:val="auto"/>
                <w:highlight w:val="none"/>
              </w:rPr>
              <w:t>投标报价</w:t>
            </w:r>
          </w:p>
        </w:tc>
        <w:tc>
          <w:tcPr>
            <w:tcW w:w="3360" w:type="pct"/>
            <w:vAlign w:val="center"/>
          </w:tcPr>
          <w:p w14:paraId="7703F231">
            <w:pPr>
              <w:rPr>
                <w:color w:val="auto"/>
                <w:highlight w:val="none"/>
              </w:rPr>
            </w:pPr>
            <w:r>
              <w:rPr>
                <w:color w:val="auto"/>
                <w:highlight w:val="none"/>
              </w:rPr>
              <w:t>投标人须知正文第3.2款修改为：</w:t>
            </w:r>
          </w:p>
          <w:p w14:paraId="34561FCA">
            <w:pPr>
              <w:rPr>
                <w:color w:val="auto"/>
                <w:highlight w:val="none"/>
              </w:rPr>
            </w:pPr>
            <w:r>
              <w:rPr>
                <w:color w:val="auto"/>
                <w:highlight w:val="none"/>
              </w:rPr>
              <w:t>3.2 投标报价</w:t>
            </w:r>
          </w:p>
          <w:p w14:paraId="387A03A6">
            <w:pPr>
              <w:rPr>
                <w:color w:val="auto"/>
                <w:highlight w:val="none"/>
              </w:rPr>
            </w:pPr>
            <w:r>
              <w:rPr>
                <w:color w:val="auto"/>
                <w:highlight w:val="none"/>
              </w:rPr>
              <w:t>3.2.1</w:t>
            </w:r>
            <w:r>
              <w:rPr>
                <w:rFonts w:hint="eastAsia"/>
                <w:color w:val="auto"/>
                <w:highlight w:val="none"/>
              </w:rPr>
              <w:t>本项目为总价合同，检测服务费包括招标范围及相关规范内涉及的工程实体和原材料检测费用、施工工艺和现场质量安全管理行为检查费用、质量安全内业资料检查费用、各责任主体工作情况检查费用、交通工具使用费、特殊检测设备及检测仪器使用费等，以及为实施相关试验检测工作相关的人员费用（含差旅费）、现场费用、交通工具及使用费、安全生产费、公司取费、法定税金、利润等与履行本合同有关的一切费用以及招标文件明示或暗示的一切风险。</w:t>
            </w:r>
          </w:p>
          <w:p w14:paraId="3AE76E24">
            <w:pPr>
              <w:rPr>
                <w:color w:val="auto"/>
                <w:highlight w:val="none"/>
              </w:rPr>
            </w:pPr>
            <w:r>
              <w:rPr>
                <w:color w:val="auto"/>
                <w:highlight w:val="none"/>
              </w:rPr>
              <w:t>3.2.2本项目采用总价合同。在本合同实施期间，除另有规定外，服务费不予调整。因此，投标人应充分考虑本项目实施期间的各种风险。</w:t>
            </w:r>
          </w:p>
          <w:p w14:paraId="1747164E">
            <w:pPr>
              <w:rPr>
                <w:color w:val="auto"/>
                <w:highlight w:val="none"/>
                <w:u w:val="double"/>
              </w:rPr>
            </w:pPr>
            <w:r>
              <w:rPr>
                <w:color w:val="auto"/>
                <w:highlight w:val="none"/>
                <w:u w:val="double"/>
              </w:rPr>
              <w:t>3.2.3本项目最高限价为人民币大写</w:t>
            </w:r>
            <w:r>
              <w:rPr>
                <w:rFonts w:hint="eastAsia"/>
                <w:color w:val="auto"/>
                <w:highlight w:val="none"/>
                <w:u w:val="double"/>
                <w:lang w:val="en-US" w:eastAsia="zh-CN"/>
              </w:rPr>
              <w:t>叁万伍仟</w:t>
            </w:r>
            <w:r>
              <w:rPr>
                <w:rFonts w:hint="eastAsia"/>
                <w:color w:val="auto"/>
                <w:highlight w:val="none"/>
                <w:u w:val="double"/>
              </w:rPr>
              <w:t>元整（</w:t>
            </w:r>
            <w:r>
              <w:rPr>
                <w:rFonts w:hint="eastAsia"/>
                <w:color w:val="auto"/>
                <w:highlight w:val="none"/>
                <w:u w:val="double"/>
                <w:lang w:val="en-US" w:eastAsia="zh-CN"/>
              </w:rPr>
              <w:t>￥35000</w:t>
            </w:r>
            <w:r>
              <w:rPr>
                <w:rFonts w:hint="eastAsia"/>
                <w:color w:val="auto"/>
                <w:highlight w:val="none"/>
                <w:u w:val="double"/>
              </w:rPr>
              <w:t>元</w:t>
            </w:r>
            <w:r>
              <w:rPr>
                <w:color w:val="auto"/>
                <w:highlight w:val="none"/>
                <w:u w:val="double"/>
              </w:rPr>
              <w:t>），投标报价不得高于最高限价，否则按否决投标处理。</w:t>
            </w:r>
          </w:p>
          <w:p w14:paraId="3DE90480">
            <w:pPr>
              <w:rPr>
                <w:color w:val="auto"/>
                <w:highlight w:val="none"/>
              </w:rPr>
            </w:pPr>
            <w:r>
              <w:rPr>
                <w:color w:val="auto"/>
                <w:highlight w:val="none"/>
              </w:rPr>
              <w:t>3.2.4投标人在编制投标报价时应考虑以下因素：</w:t>
            </w:r>
          </w:p>
          <w:p w14:paraId="5A4B0EE0">
            <w:pPr>
              <w:rPr>
                <w:color w:val="auto"/>
                <w:highlight w:val="none"/>
              </w:rPr>
            </w:pPr>
            <w:r>
              <w:rPr>
                <w:color w:val="auto"/>
                <w:highlight w:val="none"/>
              </w:rPr>
              <w:t>3.2.4.1投标人的住房办公、生活设施、设备以及交通工具等由试验检测人自备、自购或租用，其设施费用及维修服务费用由投标人在报价费率中考虑，不单独计量与支付，投标人在投标报价时就作充分考虑。试验检测工作结束后，其产权仍归试验检测人所有。</w:t>
            </w:r>
          </w:p>
          <w:p w14:paraId="3B4EF795">
            <w:pPr>
              <w:rPr>
                <w:color w:val="auto"/>
                <w:highlight w:val="none"/>
              </w:rPr>
            </w:pPr>
            <w:r>
              <w:rPr>
                <w:color w:val="auto"/>
                <w:highlight w:val="none"/>
              </w:rPr>
              <w:t>3.2.4.2投标人的雇员及装备的保险由试验检测人自行投保，包含在报价费率中，不单独计量与支付。</w:t>
            </w:r>
          </w:p>
          <w:p w14:paraId="4CBB5096">
            <w:pPr>
              <w:rPr>
                <w:color w:val="auto"/>
                <w:highlight w:val="none"/>
              </w:rPr>
            </w:pPr>
            <w:r>
              <w:rPr>
                <w:color w:val="auto"/>
                <w:highlight w:val="none"/>
              </w:rPr>
              <w:t>3.2.4.3为实施本合同工程采取的安全保通措施，其中应配备必要的安全负责人，需配置临时交通安全设施，以及到交警等部门完善相关手续费用等，此费用包含在报价费率中，不单独计量与支付。</w:t>
            </w:r>
          </w:p>
          <w:p w14:paraId="36F2E037">
            <w:pPr>
              <w:rPr>
                <w:color w:val="auto"/>
                <w:highlight w:val="none"/>
              </w:rPr>
            </w:pPr>
            <w:r>
              <w:rPr>
                <w:color w:val="auto"/>
                <w:highlight w:val="none"/>
              </w:rPr>
              <w:t>3.2.4.4投标人为实施本合同须遵守国家和地方有关环境保护和水土保持及内河通航的有关法律法规并将其措施实施到位。所需费用包含在报价费率中，不单独计量与支付。</w:t>
            </w:r>
          </w:p>
          <w:p w14:paraId="3B577FAD">
            <w:pPr>
              <w:rPr>
                <w:color w:val="auto"/>
                <w:highlight w:val="none"/>
              </w:rPr>
            </w:pPr>
            <w:r>
              <w:rPr>
                <w:color w:val="auto"/>
                <w:highlight w:val="none"/>
              </w:rPr>
              <w:t>3.2.4.5投标人在实施作业过程中应做到文明检查，由此发生的费用包含在报价费率中，不单独计量与支付。</w:t>
            </w:r>
          </w:p>
          <w:p w14:paraId="192458E9">
            <w:pPr>
              <w:rPr>
                <w:color w:val="auto"/>
                <w:highlight w:val="none"/>
              </w:rPr>
            </w:pPr>
            <w:r>
              <w:rPr>
                <w:color w:val="auto"/>
                <w:highlight w:val="none"/>
              </w:rPr>
              <w:t>3.2.5安全生产费及各项措施费包含在报价费率中，不单独计量与支付。</w:t>
            </w:r>
          </w:p>
          <w:p w14:paraId="50581162">
            <w:pPr>
              <w:rPr>
                <w:color w:val="auto"/>
                <w:highlight w:val="none"/>
              </w:rPr>
            </w:pPr>
            <w:r>
              <w:rPr>
                <w:color w:val="auto"/>
                <w:highlight w:val="none"/>
              </w:rPr>
              <w:t>3.2.6投标人应承担其投标文件编制与递交所涉及的一切费用，不管结果如何，委托人对上述费用不负任何责任。</w:t>
            </w:r>
          </w:p>
          <w:p w14:paraId="4D07294E">
            <w:pPr>
              <w:rPr>
                <w:color w:val="auto"/>
                <w:highlight w:val="none"/>
              </w:rPr>
            </w:pPr>
            <w:r>
              <w:rPr>
                <w:color w:val="auto"/>
                <w:highlight w:val="none"/>
              </w:rPr>
              <w:t>3.2.7投标文件中只允许有一个报价，委托人不接受选择性报价。</w:t>
            </w:r>
          </w:p>
          <w:p w14:paraId="275D8A65">
            <w:pPr>
              <w:rPr>
                <w:color w:val="auto"/>
                <w:highlight w:val="none"/>
              </w:rPr>
            </w:pPr>
            <w:r>
              <w:rPr>
                <w:color w:val="auto"/>
                <w:highlight w:val="none"/>
              </w:rPr>
              <w:t>3.2.8本项目不接受调价函。如投标人中标，在本合同实施期间，除另有规定外，受托人提供的费率不予调整，因此，投标人应充分考虑本检测项目实施期间的各种风险。</w:t>
            </w:r>
          </w:p>
          <w:p w14:paraId="3052EAE7">
            <w:pPr>
              <w:rPr>
                <w:color w:val="auto"/>
                <w:highlight w:val="none"/>
              </w:rPr>
            </w:pPr>
            <w:r>
              <w:rPr>
                <w:color w:val="auto"/>
                <w:highlight w:val="none"/>
              </w:rPr>
              <w:t>3.2.9投标人的投标价中应含的保险费按如下规定办理：</w:t>
            </w:r>
          </w:p>
          <w:p w14:paraId="20211D00">
            <w:pPr>
              <w:rPr>
                <w:color w:val="auto"/>
                <w:highlight w:val="none"/>
              </w:rPr>
            </w:pPr>
            <w:r>
              <w:rPr>
                <w:color w:val="auto"/>
                <w:highlight w:val="none"/>
              </w:rPr>
              <w:t>受托人装备险和受托人职工的(人身)事故险（现场检测人员人身意外险赔付额不低于100万）由受托人自行投保，保险费由受托人承担并支付，并包含在报价费率中，不单独报价。</w:t>
            </w:r>
          </w:p>
          <w:p w14:paraId="1D52DC61">
            <w:pPr>
              <w:rPr>
                <w:color w:val="auto"/>
                <w:highlight w:val="none"/>
              </w:rPr>
            </w:pPr>
            <w:r>
              <w:rPr>
                <w:color w:val="auto"/>
                <w:highlight w:val="none"/>
              </w:rPr>
              <w:t>3.2.10履行合同过程中，如有超过中标人资质范围的试验检测项目，中标人应委托给有相应资质的单位承担，且须经发包人批准。</w:t>
            </w:r>
          </w:p>
        </w:tc>
      </w:tr>
      <w:tr w14:paraId="109D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pct"/>
            <w:vAlign w:val="center"/>
          </w:tcPr>
          <w:p w14:paraId="46DB5A54">
            <w:pPr>
              <w:jc w:val="center"/>
              <w:rPr>
                <w:color w:val="auto"/>
                <w:highlight w:val="none"/>
              </w:rPr>
            </w:pPr>
            <w:r>
              <w:rPr>
                <w:color w:val="auto"/>
                <w:highlight w:val="none"/>
              </w:rPr>
              <w:t>3.2.3</w:t>
            </w:r>
          </w:p>
        </w:tc>
        <w:tc>
          <w:tcPr>
            <w:tcW w:w="988" w:type="pct"/>
            <w:vAlign w:val="center"/>
          </w:tcPr>
          <w:p w14:paraId="7DAFA670">
            <w:pPr>
              <w:jc w:val="center"/>
              <w:rPr>
                <w:color w:val="auto"/>
                <w:highlight w:val="none"/>
              </w:rPr>
            </w:pPr>
            <w:r>
              <w:rPr>
                <w:color w:val="auto"/>
                <w:highlight w:val="none"/>
              </w:rPr>
              <w:t>工程量清单的填写方式</w:t>
            </w:r>
          </w:p>
        </w:tc>
        <w:tc>
          <w:tcPr>
            <w:tcW w:w="3360" w:type="pct"/>
            <w:vAlign w:val="center"/>
          </w:tcPr>
          <w:p w14:paraId="18790032">
            <w:pPr>
              <w:rPr>
                <w:color w:val="auto"/>
                <w:highlight w:val="none"/>
              </w:rPr>
            </w:pPr>
            <w:r>
              <w:rPr>
                <w:rFonts w:hint="eastAsia"/>
                <w:color w:val="auto"/>
                <w:highlight w:val="none"/>
              </w:rPr>
              <w:t>/</w:t>
            </w:r>
          </w:p>
        </w:tc>
      </w:tr>
      <w:tr w14:paraId="363E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pct"/>
            <w:vAlign w:val="center"/>
          </w:tcPr>
          <w:p w14:paraId="6AD14C1D">
            <w:pPr>
              <w:jc w:val="center"/>
              <w:rPr>
                <w:color w:val="auto"/>
                <w:highlight w:val="none"/>
              </w:rPr>
            </w:pPr>
            <w:r>
              <w:rPr>
                <w:color w:val="auto"/>
                <w:highlight w:val="none"/>
              </w:rPr>
              <w:t>3.3.1</w:t>
            </w:r>
          </w:p>
        </w:tc>
        <w:tc>
          <w:tcPr>
            <w:tcW w:w="988" w:type="pct"/>
            <w:vAlign w:val="center"/>
          </w:tcPr>
          <w:p w14:paraId="012983F0">
            <w:pPr>
              <w:jc w:val="center"/>
              <w:rPr>
                <w:color w:val="auto"/>
                <w:highlight w:val="none"/>
              </w:rPr>
            </w:pPr>
            <w:r>
              <w:rPr>
                <w:color w:val="auto"/>
                <w:highlight w:val="none"/>
              </w:rPr>
              <w:t>投标有效期</w:t>
            </w:r>
          </w:p>
        </w:tc>
        <w:tc>
          <w:tcPr>
            <w:tcW w:w="3360" w:type="pct"/>
            <w:vAlign w:val="center"/>
          </w:tcPr>
          <w:p w14:paraId="0CED6955">
            <w:pPr>
              <w:rPr>
                <w:color w:val="auto"/>
                <w:highlight w:val="none"/>
              </w:rPr>
            </w:pPr>
            <w:r>
              <w:rPr>
                <w:color w:val="auto"/>
                <w:highlight w:val="none"/>
              </w:rPr>
              <w:t>自招标文件规定的投标截止之日起计算90天</w:t>
            </w:r>
          </w:p>
        </w:tc>
      </w:tr>
      <w:tr w14:paraId="3E2E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51" w:type="pct"/>
            <w:vAlign w:val="center"/>
          </w:tcPr>
          <w:p w14:paraId="7F83E590">
            <w:pPr>
              <w:jc w:val="center"/>
              <w:rPr>
                <w:color w:val="auto"/>
                <w:highlight w:val="none"/>
              </w:rPr>
            </w:pPr>
            <w:r>
              <w:rPr>
                <w:color w:val="auto"/>
                <w:highlight w:val="none"/>
              </w:rPr>
              <w:t>3.4.1</w:t>
            </w:r>
          </w:p>
        </w:tc>
        <w:tc>
          <w:tcPr>
            <w:tcW w:w="988" w:type="pct"/>
            <w:vAlign w:val="center"/>
          </w:tcPr>
          <w:p w14:paraId="31F0FC66">
            <w:pPr>
              <w:jc w:val="center"/>
              <w:rPr>
                <w:color w:val="auto"/>
                <w:highlight w:val="none"/>
              </w:rPr>
            </w:pPr>
            <w:r>
              <w:rPr>
                <w:color w:val="auto"/>
                <w:highlight w:val="none"/>
              </w:rPr>
              <w:t>投标保证金</w:t>
            </w:r>
          </w:p>
        </w:tc>
        <w:tc>
          <w:tcPr>
            <w:tcW w:w="3360" w:type="pct"/>
            <w:vAlign w:val="center"/>
          </w:tcPr>
          <w:p w14:paraId="0BDFCB4B">
            <w:pPr>
              <w:rPr>
                <w:color w:val="auto"/>
                <w:highlight w:val="none"/>
              </w:rPr>
            </w:pP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无需提供</w:t>
            </w:r>
          </w:p>
        </w:tc>
      </w:tr>
      <w:tr w14:paraId="1CE6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1" w:type="pct"/>
            <w:vAlign w:val="center"/>
          </w:tcPr>
          <w:p w14:paraId="0AD889C3">
            <w:pPr>
              <w:jc w:val="center"/>
              <w:rPr>
                <w:color w:val="auto"/>
                <w:highlight w:val="none"/>
              </w:rPr>
            </w:pPr>
            <w:r>
              <w:rPr>
                <w:color w:val="auto"/>
                <w:highlight w:val="none"/>
              </w:rPr>
              <w:t>3.5.2</w:t>
            </w:r>
          </w:p>
        </w:tc>
        <w:tc>
          <w:tcPr>
            <w:tcW w:w="988" w:type="pct"/>
            <w:vAlign w:val="center"/>
          </w:tcPr>
          <w:p w14:paraId="796199D2">
            <w:pPr>
              <w:jc w:val="center"/>
              <w:rPr>
                <w:color w:val="auto"/>
                <w:highlight w:val="none"/>
              </w:rPr>
            </w:pPr>
            <w:r>
              <w:rPr>
                <w:color w:val="auto"/>
                <w:highlight w:val="none"/>
              </w:rPr>
              <w:t>近年财务状况的年份要求</w:t>
            </w:r>
          </w:p>
        </w:tc>
        <w:tc>
          <w:tcPr>
            <w:tcW w:w="3360" w:type="pct"/>
            <w:vAlign w:val="center"/>
          </w:tcPr>
          <w:p w14:paraId="1A155059">
            <w:pPr>
              <w:rPr>
                <w:color w:val="auto"/>
                <w:highlight w:val="none"/>
              </w:rPr>
            </w:pPr>
            <w:r>
              <w:rPr>
                <w:color w:val="auto"/>
                <w:highlight w:val="none"/>
              </w:rPr>
              <w:t>近三年</w:t>
            </w:r>
          </w:p>
        </w:tc>
      </w:tr>
      <w:tr w14:paraId="11E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1" w:type="pct"/>
            <w:vAlign w:val="center"/>
          </w:tcPr>
          <w:p w14:paraId="14850909">
            <w:pPr>
              <w:jc w:val="center"/>
              <w:rPr>
                <w:color w:val="auto"/>
                <w:highlight w:val="none"/>
              </w:rPr>
            </w:pPr>
            <w:r>
              <w:rPr>
                <w:color w:val="auto"/>
                <w:highlight w:val="none"/>
              </w:rPr>
              <w:t>3.5.3</w:t>
            </w:r>
          </w:p>
        </w:tc>
        <w:tc>
          <w:tcPr>
            <w:tcW w:w="988" w:type="pct"/>
            <w:vAlign w:val="center"/>
          </w:tcPr>
          <w:p w14:paraId="5A1A2F45">
            <w:pPr>
              <w:jc w:val="center"/>
              <w:rPr>
                <w:color w:val="auto"/>
                <w:highlight w:val="none"/>
              </w:rPr>
            </w:pPr>
            <w:r>
              <w:rPr>
                <w:color w:val="auto"/>
                <w:highlight w:val="none"/>
              </w:rPr>
              <w:t>近年完成的类似项目的年份要求</w:t>
            </w:r>
          </w:p>
        </w:tc>
        <w:tc>
          <w:tcPr>
            <w:tcW w:w="3360" w:type="pct"/>
            <w:vAlign w:val="center"/>
          </w:tcPr>
          <w:p w14:paraId="697A4A3B">
            <w:pPr>
              <w:rPr>
                <w:color w:val="auto"/>
                <w:highlight w:val="none"/>
              </w:rPr>
            </w:pPr>
            <w:r>
              <w:rPr>
                <w:color w:val="auto"/>
                <w:highlight w:val="none"/>
              </w:rPr>
              <w:t>20</w:t>
            </w:r>
            <w:r>
              <w:rPr>
                <w:rFonts w:hint="eastAsia"/>
                <w:color w:val="auto"/>
                <w:highlight w:val="none"/>
              </w:rPr>
              <w:t>20</w:t>
            </w:r>
            <w:r>
              <w:rPr>
                <w:color w:val="auto"/>
                <w:highlight w:val="none"/>
              </w:rPr>
              <w:t>年1月1日以来</w:t>
            </w:r>
          </w:p>
        </w:tc>
      </w:tr>
      <w:tr w14:paraId="14C8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51" w:type="pct"/>
            <w:vAlign w:val="center"/>
          </w:tcPr>
          <w:p w14:paraId="069F8418">
            <w:pPr>
              <w:jc w:val="center"/>
              <w:rPr>
                <w:color w:val="auto"/>
                <w:highlight w:val="none"/>
              </w:rPr>
            </w:pPr>
            <w:r>
              <w:rPr>
                <w:color w:val="auto"/>
                <w:highlight w:val="none"/>
              </w:rPr>
              <w:t>3.5.4</w:t>
            </w:r>
          </w:p>
        </w:tc>
        <w:tc>
          <w:tcPr>
            <w:tcW w:w="988" w:type="pct"/>
            <w:vAlign w:val="center"/>
          </w:tcPr>
          <w:p w14:paraId="7394505F">
            <w:pPr>
              <w:jc w:val="center"/>
              <w:rPr>
                <w:color w:val="auto"/>
                <w:highlight w:val="none"/>
              </w:rPr>
            </w:pPr>
            <w:r>
              <w:rPr>
                <w:color w:val="auto"/>
                <w:highlight w:val="none"/>
              </w:rPr>
              <w:t>近年发生的诉讼及仲裁情况的年份要求</w:t>
            </w:r>
          </w:p>
        </w:tc>
        <w:tc>
          <w:tcPr>
            <w:tcW w:w="3360" w:type="pct"/>
            <w:vAlign w:val="center"/>
          </w:tcPr>
          <w:p w14:paraId="41B89405">
            <w:pPr>
              <w:rPr>
                <w:color w:val="auto"/>
                <w:highlight w:val="none"/>
              </w:rPr>
            </w:pPr>
            <w:r>
              <w:rPr>
                <w:color w:val="auto"/>
                <w:highlight w:val="none"/>
              </w:rPr>
              <w:t>20</w:t>
            </w:r>
            <w:r>
              <w:rPr>
                <w:rFonts w:hint="eastAsia"/>
                <w:color w:val="auto"/>
                <w:highlight w:val="none"/>
              </w:rPr>
              <w:t>2</w:t>
            </w:r>
            <w:r>
              <w:rPr>
                <w:rFonts w:hint="eastAsia"/>
                <w:color w:val="auto"/>
                <w:highlight w:val="none"/>
                <w:lang w:val="en-US" w:eastAsia="zh-CN"/>
              </w:rPr>
              <w:t>2</w:t>
            </w:r>
            <w:r>
              <w:rPr>
                <w:color w:val="auto"/>
                <w:highlight w:val="none"/>
              </w:rPr>
              <w:t>年1月1日以来</w:t>
            </w:r>
          </w:p>
        </w:tc>
      </w:tr>
      <w:tr w14:paraId="7845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1" w:type="pct"/>
            <w:vAlign w:val="center"/>
          </w:tcPr>
          <w:p w14:paraId="71C677FD">
            <w:pPr>
              <w:jc w:val="center"/>
              <w:rPr>
                <w:color w:val="auto"/>
                <w:highlight w:val="none"/>
              </w:rPr>
            </w:pPr>
            <w:r>
              <w:rPr>
                <w:color w:val="auto"/>
                <w:highlight w:val="none"/>
              </w:rPr>
              <w:t>3.6</w:t>
            </w:r>
          </w:p>
        </w:tc>
        <w:tc>
          <w:tcPr>
            <w:tcW w:w="988" w:type="pct"/>
            <w:vAlign w:val="center"/>
          </w:tcPr>
          <w:p w14:paraId="34F31EF1">
            <w:pPr>
              <w:jc w:val="center"/>
              <w:rPr>
                <w:color w:val="auto"/>
                <w:highlight w:val="none"/>
              </w:rPr>
            </w:pPr>
            <w:r>
              <w:rPr>
                <w:color w:val="auto"/>
                <w:highlight w:val="none"/>
              </w:rPr>
              <w:t>是否允许递交备选投标方案</w:t>
            </w:r>
          </w:p>
        </w:tc>
        <w:tc>
          <w:tcPr>
            <w:tcW w:w="3360" w:type="pct"/>
            <w:vAlign w:val="center"/>
          </w:tcPr>
          <w:p w14:paraId="26D642BA">
            <w:pPr>
              <w:rPr>
                <w:color w:val="auto"/>
                <w:highlight w:val="none"/>
              </w:rPr>
            </w:pPr>
            <w:r>
              <w:rPr>
                <w:color w:val="auto"/>
                <w:highlight w:val="none"/>
              </w:rPr>
              <w:t>不允许</w:t>
            </w:r>
          </w:p>
        </w:tc>
      </w:tr>
      <w:tr w14:paraId="5764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51" w:type="pct"/>
            <w:vAlign w:val="center"/>
          </w:tcPr>
          <w:p w14:paraId="5AA122A6">
            <w:pPr>
              <w:jc w:val="center"/>
              <w:rPr>
                <w:color w:val="auto"/>
                <w:highlight w:val="none"/>
              </w:rPr>
            </w:pPr>
            <w:r>
              <w:rPr>
                <w:color w:val="auto"/>
                <w:highlight w:val="none"/>
              </w:rPr>
              <w:t>3.7.3</w:t>
            </w:r>
          </w:p>
        </w:tc>
        <w:tc>
          <w:tcPr>
            <w:tcW w:w="988" w:type="pct"/>
            <w:vAlign w:val="center"/>
          </w:tcPr>
          <w:p w14:paraId="785A2044">
            <w:pPr>
              <w:jc w:val="center"/>
              <w:rPr>
                <w:color w:val="auto"/>
                <w:highlight w:val="none"/>
              </w:rPr>
            </w:pPr>
            <w:r>
              <w:rPr>
                <w:color w:val="auto"/>
                <w:highlight w:val="none"/>
              </w:rPr>
              <w:t>签字或盖章的其他要求</w:t>
            </w:r>
          </w:p>
        </w:tc>
        <w:tc>
          <w:tcPr>
            <w:tcW w:w="3360" w:type="pct"/>
            <w:vAlign w:val="center"/>
          </w:tcPr>
          <w:p w14:paraId="4AF5C45A">
            <w:pPr>
              <w:rPr>
                <w:color w:val="auto"/>
                <w:highlight w:val="none"/>
              </w:rPr>
            </w:pPr>
            <w:r>
              <w:rPr>
                <w:rFonts w:hint="eastAsia"/>
                <w:color w:val="auto"/>
                <w:highlight w:val="none"/>
              </w:rPr>
              <w:t>投标文件上法定代表人或其授权代理人的签名、盖单位公章齐全，符合招标文件第七章“投标文件格式”中的相应要求。</w:t>
            </w:r>
          </w:p>
        </w:tc>
      </w:tr>
      <w:tr w14:paraId="051F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51" w:type="pct"/>
            <w:vAlign w:val="center"/>
          </w:tcPr>
          <w:p w14:paraId="58A4BC5A">
            <w:pPr>
              <w:jc w:val="center"/>
              <w:rPr>
                <w:color w:val="auto"/>
                <w:highlight w:val="none"/>
              </w:rPr>
            </w:pPr>
            <w:r>
              <w:rPr>
                <w:color w:val="auto"/>
                <w:highlight w:val="none"/>
              </w:rPr>
              <w:t>3.7.4</w:t>
            </w:r>
          </w:p>
        </w:tc>
        <w:tc>
          <w:tcPr>
            <w:tcW w:w="988" w:type="pct"/>
            <w:vAlign w:val="center"/>
          </w:tcPr>
          <w:p w14:paraId="29E08D0B">
            <w:pPr>
              <w:jc w:val="center"/>
              <w:rPr>
                <w:color w:val="auto"/>
                <w:highlight w:val="none"/>
              </w:rPr>
            </w:pPr>
            <w:r>
              <w:rPr>
                <w:color w:val="auto"/>
                <w:highlight w:val="none"/>
              </w:rPr>
              <w:t>投标文件副本份数</w:t>
            </w:r>
          </w:p>
        </w:tc>
        <w:tc>
          <w:tcPr>
            <w:tcW w:w="3360" w:type="pct"/>
            <w:vAlign w:val="center"/>
          </w:tcPr>
          <w:p w14:paraId="11677412">
            <w:pPr>
              <w:rPr>
                <w:color w:val="auto"/>
                <w:highlight w:val="none"/>
              </w:rPr>
            </w:pPr>
            <w:r>
              <w:rPr>
                <w:rFonts w:hint="eastAsia"/>
                <w:color w:val="auto"/>
                <w:highlight w:val="none"/>
              </w:rPr>
              <w:t>投标文件副本份数：投标文件第一个信封正本1份、副本2份；投标文件第二个信封正本1份、副本2份。中标人在办理合同签订手续时再提交副本若干份，具体份数由发包人确定，副本为正本的复制件（投标人编制投标文件时，务必自留一份投标文件以便中标后复制）。</w:t>
            </w:r>
          </w:p>
          <w:p w14:paraId="25C8636B">
            <w:pPr>
              <w:rPr>
                <w:color w:val="auto"/>
                <w:highlight w:val="none"/>
              </w:rPr>
            </w:pPr>
            <w:r>
              <w:rPr>
                <w:rFonts w:hint="eastAsia"/>
                <w:color w:val="auto"/>
                <w:highlight w:val="none"/>
              </w:rPr>
              <w:t>是否要求提交电子版文件：是（电子版文件应分第一信封、第二信封分别拷入不同U盘中，并与对应的投标文件一同密封包装，第一信封电子文件不得出现第二信封的任何内容），</w:t>
            </w:r>
            <w:r>
              <w:rPr>
                <w:rFonts w:hint="eastAsia"/>
                <w:b/>
                <w:bCs/>
                <w:color w:val="auto"/>
                <w:highlight w:val="none"/>
                <w:u w:val="double"/>
              </w:rPr>
              <w:t>电子文档应为已签字盖章后的纸质文档的电子扫描件，电子文件不得设置密码并保证无病毒。</w:t>
            </w:r>
          </w:p>
        </w:tc>
      </w:tr>
      <w:tr w14:paraId="4C2B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51" w:type="pct"/>
            <w:vAlign w:val="center"/>
          </w:tcPr>
          <w:p w14:paraId="28C034B8">
            <w:pPr>
              <w:jc w:val="center"/>
              <w:rPr>
                <w:color w:val="auto"/>
                <w:highlight w:val="none"/>
              </w:rPr>
            </w:pPr>
            <w:r>
              <w:rPr>
                <w:color w:val="auto"/>
                <w:highlight w:val="none"/>
              </w:rPr>
              <w:t>3.7.5</w:t>
            </w:r>
          </w:p>
        </w:tc>
        <w:tc>
          <w:tcPr>
            <w:tcW w:w="988" w:type="pct"/>
            <w:vAlign w:val="center"/>
          </w:tcPr>
          <w:p w14:paraId="4E62D0E2">
            <w:pPr>
              <w:jc w:val="center"/>
              <w:rPr>
                <w:color w:val="auto"/>
                <w:highlight w:val="none"/>
              </w:rPr>
            </w:pPr>
            <w:r>
              <w:rPr>
                <w:color w:val="auto"/>
                <w:highlight w:val="none"/>
              </w:rPr>
              <w:t>装订要求</w:t>
            </w:r>
          </w:p>
        </w:tc>
        <w:tc>
          <w:tcPr>
            <w:tcW w:w="3360" w:type="pct"/>
            <w:vAlign w:val="center"/>
          </w:tcPr>
          <w:p w14:paraId="576B2441">
            <w:pPr>
              <w:rPr>
                <w:color w:val="auto"/>
                <w:highlight w:val="none"/>
              </w:rPr>
            </w:pPr>
            <w:r>
              <w:rPr>
                <w:rFonts w:hint="eastAsia"/>
                <w:b/>
                <w:bCs/>
                <w:color w:val="auto"/>
                <w:highlight w:val="none"/>
              </w:rPr>
              <w:t>投标文件第一个信封、第二个信封应分别、分正副本装订成册</w:t>
            </w:r>
            <w:r>
              <w:rPr>
                <w:rFonts w:hint="eastAsia"/>
                <w:color w:val="auto"/>
                <w:highlight w:val="none"/>
              </w:rPr>
              <w:t>，应编制目录，且逐页标注连续页码。投标文件不得采用活页夹装订。投标文件应编制目录，并标注页码，否则，招标人对由于投标文件装订松散而造成的丢失或其它后果不承担任何责任。每个篇章用彩色纸张隔离，以便查阅。</w:t>
            </w:r>
          </w:p>
        </w:tc>
      </w:tr>
      <w:tr w14:paraId="040A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651" w:type="pct"/>
            <w:vAlign w:val="center"/>
          </w:tcPr>
          <w:p w14:paraId="3DD3C369">
            <w:pPr>
              <w:jc w:val="center"/>
              <w:rPr>
                <w:color w:val="auto"/>
                <w:highlight w:val="none"/>
              </w:rPr>
            </w:pPr>
            <w:r>
              <w:rPr>
                <w:color w:val="auto"/>
                <w:highlight w:val="none"/>
              </w:rPr>
              <w:t>4.1.2</w:t>
            </w:r>
          </w:p>
        </w:tc>
        <w:tc>
          <w:tcPr>
            <w:tcW w:w="988" w:type="pct"/>
            <w:vAlign w:val="center"/>
          </w:tcPr>
          <w:p w14:paraId="701F3DC0">
            <w:pPr>
              <w:jc w:val="center"/>
              <w:rPr>
                <w:color w:val="auto"/>
                <w:highlight w:val="none"/>
              </w:rPr>
            </w:pPr>
            <w:r>
              <w:rPr>
                <w:color w:val="auto"/>
                <w:highlight w:val="none"/>
              </w:rPr>
              <w:t>封套上写明</w:t>
            </w:r>
          </w:p>
        </w:tc>
        <w:tc>
          <w:tcPr>
            <w:tcW w:w="3360" w:type="pct"/>
            <w:vAlign w:val="center"/>
          </w:tcPr>
          <w:p w14:paraId="6D41EE6F">
            <w:pPr>
              <w:rPr>
                <w:color w:val="auto"/>
                <w:highlight w:val="none"/>
              </w:rPr>
            </w:pPr>
            <w:r>
              <w:rPr>
                <w:rFonts w:hint="eastAsia"/>
                <w:color w:val="auto"/>
                <w:highlight w:val="none"/>
              </w:rPr>
              <w:t>投标文件第一个信封（商务及技术文件）</w:t>
            </w:r>
          </w:p>
          <w:p w14:paraId="6EF2D64A">
            <w:pPr>
              <w:rPr>
                <w:color w:val="auto"/>
                <w:highlight w:val="none"/>
              </w:rPr>
            </w:pPr>
            <w:r>
              <w:rPr>
                <w:rFonts w:hint="eastAsia"/>
                <w:color w:val="auto"/>
                <w:highlight w:val="none"/>
              </w:rPr>
              <w:t>_________（项目名称）______标段第一个信封（商务及技术文件）投标文件</w:t>
            </w:r>
          </w:p>
          <w:p w14:paraId="0C58FA82">
            <w:pPr>
              <w:rPr>
                <w:color w:val="auto"/>
                <w:highlight w:val="none"/>
              </w:rPr>
            </w:pPr>
            <w:r>
              <w:rPr>
                <w:rFonts w:hint="eastAsia"/>
                <w:color w:val="auto"/>
                <w:highlight w:val="none"/>
              </w:rPr>
              <w:t>投标人名称：_______________</w:t>
            </w:r>
          </w:p>
          <w:p w14:paraId="104135C9">
            <w:pPr>
              <w:rPr>
                <w:color w:val="auto"/>
                <w:highlight w:val="none"/>
              </w:rPr>
            </w:pPr>
            <w:r>
              <w:rPr>
                <w:rFonts w:hint="eastAsia"/>
                <w:color w:val="auto"/>
                <w:highlight w:val="none"/>
              </w:rPr>
              <w:t>投标人联系人：_____________</w:t>
            </w:r>
          </w:p>
          <w:p w14:paraId="7C77D211">
            <w:pPr>
              <w:rPr>
                <w:color w:val="auto"/>
                <w:highlight w:val="none"/>
              </w:rPr>
            </w:pPr>
            <w:r>
              <w:rPr>
                <w:rFonts w:hint="eastAsia"/>
                <w:color w:val="auto"/>
                <w:highlight w:val="none"/>
              </w:rPr>
              <w:t>投标人联系电话：___________</w:t>
            </w:r>
          </w:p>
          <w:p w14:paraId="44A6205B">
            <w:pPr>
              <w:rPr>
                <w:color w:val="auto"/>
                <w:highlight w:val="none"/>
              </w:rPr>
            </w:pPr>
            <w:r>
              <w:rPr>
                <w:rFonts w:hint="eastAsia"/>
                <w:color w:val="auto"/>
                <w:highlight w:val="none"/>
              </w:rPr>
              <w:t>在____年___月____日____时___分前不得开启</w:t>
            </w:r>
          </w:p>
          <w:p w14:paraId="02BDA212">
            <w:pPr>
              <w:rPr>
                <w:color w:val="auto"/>
                <w:highlight w:val="none"/>
              </w:rPr>
            </w:pPr>
            <w:r>
              <w:rPr>
                <w:rFonts w:hint="eastAsia"/>
                <w:color w:val="auto"/>
                <w:highlight w:val="none"/>
              </w:rPr>
              <w:t>投标文件第二个信封（投标报价和工程量清单）</w:t>
            </w:r>
          </w:p>
          <w:p w14:paraId="20F58969">
            <w:pPr>
              <w:rPr>
                <w:color w:val="auto"/>
                <w:highlight w:val="none"/>
              </w:rPr>
            </w:pPr>
            <w:r>
              <w:rPr>
                <w:rFonts w:hint="eastAsia"/>
                <w:color w:val="auto"/>
                <w:highlight w:val="none"/>
              </w:rPr>
              <w:t>__________（项目名称）________标段第二个信封（投标报价和工程量清单）投标文件</w:t>
            </w:r>
          </w:p>
          <w:p w14:paraId="6CC9A13E">
            <w:pPr>
              <w:rPr>
                <w:color w:val="auto"/>
                <w:highlight w:val="none"/>
              </w:rPr>
            </w:pPr>
            <w:r>
              <w:rPr>
                <w:rFonts w:hint="eastAsia"/>
                <w:color w:val="auto"/>
                <w:highlight w:val="none"/>
              </w:rPr>
              <w:t>投标人名称：_______________</w:t>
            </w:r>
          </w:p>
          <w:p w14:paraId="2FD51425">
            <w:pPr>
              <w:rPr>
                <w:color w:val="auto"/>
                <w:highlight w:val="none"/>
              </w:rPr>
            </w:pPr>
            <w:r>
              <w:rPr>
                <w:rFonts w:hint="eastAsia"/>
                <w:color w:val="auto"/>
                <w:highlight w:val="none"/>
              </w:rPr>
              <w:t>投标人联系人：_____________</w:t>
            </w:r>
          </w:p>
          <w:p w14:paraId="75D3AEB0">
            <w:pPr>
              <w:rPr>
                <w:color w:val="auto"/>
                <w:highlight w:val="none"/>
              </w:rPr>
            </w:pPr>
            <w:r>
              <w:rPr>
                <w:rFonts w:hint="eastAsia"/>
                <w:color w:val="auto"/>
                <w:highlight w:val="none"/>
              </w:rPr>
              <w:t>投标人联系电话：___________</w:t>
            </w:r>
          </w:p>
          <w:p w14:paraId="0B939F6A">
            <w:pPr>
              <w:rPr>
                <w:color w:val="auto"/>
                <w:highlight w:val="none"/>
              </w:rPr>
            </w:pPr>
            <w:r>
              <w:rPr>
                <w:rFonts w:hint="eastAsia"/>
                <w:color w:val="auto"/>
                <w:highlight w:val="none"/>
              </w:rPr>
              <w:t xml:space="preserve">在____年___月____日____时___分前不得开启                   </w:t>
            </w:r>
          </w:p>
        </w:tc>
      </w:tr>
      <w:tr w14:paraId="772F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pct"/>
            <w:vAlign w:val="center"/>
          </w:tcPr>
          <w:p w14:paraId="6C1BCEA0">
            <w:pPr>
              <w:jc w:val="center"/>
              <w:rPr>
                <w:color w:val="auto"/>
                <w:highlight w:val="none"/>
              </w:rPr>
            </w:pPr>
            <w:r>
              <w:rPr>
                <w:color w:val="auto"/>
                <w:highlight w:val="none"/>
              </w:rPr>
              <w:t>4.2.2</w:t>
            </w:r>
          </w:p>
        </w:tc>
        <w:tc>
          <w:tcPr>
            <w:tcW w:w="988" w:type="pct"/>
            <w:vAlign w:val="center"/>
          </w:tcPr>
          <w:p w14:paraId="51486B2F">
            <w:pPr>
              <w:jc w:val="center"/>
              <w:rPr>
                <w:color w:val="auto"/>
                <w:highlight w:val="none"/>
              </w:rPr>
            </w:pPr>
            <w:r>
              <w:rPr>
                <w:color w:val="auto"/>
                <w:highlight w:val="none"/>
              </w:rPr>
              <w:t>递交投标文件地点</w:t>
            </w:r>
          </w:p>
        </w:tc>
        <w:tc>
          <w:tcPr>
            <w:tcW w:w="3360" w:type="pct"/>
            <w:vAlign w:val="center"/>
          </w:tcPr>
          <w:p w14:paraId="06A687D9">
            <w:pPr>
              <w:rPr>
                <w:color w:val="auto"/>
                <w:highlight w:val="none"/>
              </w:rPr>
            </w:pPr>
            <w:r>
              <w:rPr>
                <w:color w:val="auto"/>
                <w:highlight w:val="none"/>
              </w:rPr>
              <w:t>见招标公告</w:t>
            </w:r>
          </w:p>
        </w:tc>
      </w:tr>
      <w:tr w14:paraId="6B1A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51" w:type="pct"/>
            <w:vAlign w:val="center"/>
          </w:tcPr>
          <w:p w14:paraId="0E9E8182">
            <w:pPr>
              <w:jc w:val="center"/>
              <w:rPr>
                <w:color w:val="auto"/>
                <w:highlight w:val="none"/>
              </w:rPr>
            </w:pPr>
            <w:r>
              <w:rPr>
                <w:color w:val="auto"/>
                <w:highlight w:val="none"/>
              </w:rPr>
              <w:t>4.2.3</w:t>
            </w:r>
          </w:p>
        </w:tc>
        <w:tc>
          <w:tcPr>
            <w:tcW w:w="988" w:type="pct"/>
            <w:vAlign w:val="center"/>
          </w:tcPr>
          <w:p w14:paraId="1D22A10A">
            <w:pPr>
              <w:jc w:val="center"/>
              <w:rPr>
                <w:color w:val="auto"/>
                <w:highlight w:val="none"/>
              </w:rPr>
            </w:pPr>
            <w:r>
              <w:rPr>
                <w:color w:val="auto"/>
                <w:highlight w:val="none"/>
              </w:rPr>
              <w:t>是否退还投标文件</w:t>
            </w:r>
          </w:p>
        </w:tc>
        <w:tc>
          <w:tcPr>
            <w:tcW w:w="3360" w:type="pct"/>
            <w:vAlign w:val="center"/>
          </w:tcPr>
          <w:p w14:paraId="1E29A099">
            <w:pPr>
              <w:rPr>
                <w:color w:val="auto"/>
                <w:highlight w:val="none"/>
              </w:rPr>
            </w:pPr>
            <w:r>
              <w:rPr>
                <w:color w:val="auto"/>
                <w:highlight w:val="none"/>
              </w:rPr>
              <w:t>是。</w:t>
            </w:r>
            <w:r>
              <w:rPr>
                <w:rFonts w:hint="eastAsia" w:ascii="宋体" w:hAnsi="宋体" w:cs="宋体"/>
                <w:color w:val="auto"/>
                <w:szCs w:val="21"/>
                <w:highlight w:val="none"/>
              </w:rPr>
              <w:t>招标人将在开标现场退还未通过开标完备性检查的投标人文件；招标人将在投标文件第二个信封开标现场退还未通过投标文件第一个信封审查的投标人的投标文件第二个信封，若投标人未参加投标文件第二个信封开标，请与开标结束后三天内至招标</w:t>
            </w:r>
            <w:r>
              <w:rPr>
                <w:rFonts w:hint="eastAsia"/>
                <w:color w:val="auto"/>
                <w:highlight w:val="none"/>
                <w:lang w:val="en-US" w:eastAsia="zh-CN"/>
              </w:rPr>
              <w:t>人</w:t>
            </w:r>
            <w:r>
              <w:rPr>
                <w:rFonts w:hint="eastAsia" w:ascii="宋体" w:hAnsi="宋体" w:cs="宋体"/>
                <w:color w:val="auto"/>
                <w:szCs w:val="21"/>
                <w:highlight w:val="none"/>
              </w:rPr>
              <w:t>处办理投标文件退还（投标人逾期未来办理投标文件退还手续，视为自动默认招标人对投标文件的处理结果）。</w:t>
            </w:r>
          </w:p>
        </w:tc>
      </w:tr>
      <w:tr w14:paraId="63D4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pct"/>
            <w:vAlign w:val="center"/>
          </w:tcPr>
          <w:p w14:paraId="677E11BF">
            <w:pPr>
              <w:jc w:val="center"/>
              <w:rPr>
                <w:color w:val="auto"/>
                <w:highlight w:val="none"/>
              </w:rPr>
            </w:pPr>
            <w:r>
              <w:rPr>
                <w:color w:val="auto"/>
                <w:highlight w:val="none"/>
              </w:rPr>
              <w:t>4.2.6</w:t>
            </w:r>
          </w:p>
        </w:tc>
        <w:tc>
          <w:tcPr>
            <w:tcW w:w="988" w:type="pct"/>
            <w:vAlign w:val="center"/>
          </w:tcPr>
          <w:p w14:paraId="59F4D637">
            <w:pPr>
              <w:jc w:val="center"/>
              <w:rPr>
                <w:color w:val="auto"/>
                <w:highlight w:val="none"/>
              </w:rPr>
            </w:pPr>
            <w:r>
              <w:rPr>
                <w:color w:val="auto"/>
                <w:highlight w:val="none"/>
              </w:rPr>
              <w:t>招标人通知延后投标截止时间的时间</w:t>
            </w:r>
          </w:p>
        </w:tc>
        <w:tc>
          <w:tcPr>
            <w:tcW w:w="3360" w:type="pct"/>
            <w:vAlign w:val="center"/>
          </w:tcPr>
          <w:p w14:paraId="2D1DFBD8">
            <w:pPr>
              <w:rPr>
                <w:color w:val="auto"/>
                <w:highlight w:val="none"/>
              </w:rPr>
            </w:pPr>
            <w:r>
              <w:rPr>
                <w:color w:val="auto"/>
                <w:highlight w:val="none"/>
              </w:rPr>
              <w:t>原定投标截止时间3天前</w:t>
            </w:r>
          </w:p>
        </w:tc>
      </w:tr>
      <w:tr w14:paraId="1780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51" w:type="pct"/>
            <w:vAlign w:val="center"/>
          </w:tcPr>
          <w:p w14:paraId="6ED4E113">
            <w:pPr>
              <w:jc w:val="center"/>
              <w:rPr>
                <w:color w:val="auto"/>
                <w:highlight w:val="none"/>
              </w:rPr>
            </w:pPr>
            <w:r>
              <w:rPr>
                <w:color w:val="auto"/>
                <w:highlight w:val="none"/>
              </w:rPr>
              <w:t>5.1</w:t>
            </w:r>
          </w:p>
        </w:tc>
        <w:tc>
          <w:tcPr>
            <w:tcW w:w="988" w:type="pct"/>
            <w:vAlign w:val="center"/>
          </w:tcPr>
          <w:p w14:paraId="4A2A6F47">
            <w:pPr>
              <w:jc w:val="center"/>
              <w:rPr>
                <w:color w:val="auto"/>
                <w:highlight w:val="none"/>
              </w:rPr>
            </w:pPr>
            <w:r>
              <w:rPr>
                <w:color w:val="auto"/>
                <w:highlight w:val="none"/>
              </w:rPr>
              <w:t>开标时间和地点</w:t>
            </w:r>
          </w:p>
        </w:tc>
        <w:tc>
          <w:tcPr>
            <w:tcW w:w="3360" w:type="pct"/>
            <w:vAlign w:val="center"/>
          </w:tcPr>
          <w:p w14:paraId="2944D634">
            <w:pPr>
              <w:rPr>
                <w:rFonts w:ascii="宋体"/>
                <w:color w:val="auto"/>
                <w:highlight w:val="none"/>
              </w:rPr>
            </w:pPr>
            <w:r>
              <w:rPr>
                <w:rFonts w:hint="eastAsia" w:ascii="宋体" w:hAnsi="宋体" w:cs="宋体"/>
                <w:color w:val="auto"/>
                <w:highlight w:val="none"/>
              </w:rPr>
              <w:t>投标文件第一个信封</w:t>
            </w:r>
            <w:r>
              <w:rPr>
                <w:rFonts w:ascii="宋体" w:hAnsi="宋体" w:cs="宋体"/>
                <w:color w:val="auto"/>
                <w:highlight w:val="none"/>
              </w:rPr>
              <w:t>(</w:t>
            </w:r>
            <w:r>
              <w:rPr>
                <w:rFonts w:hint="eastAsia" w:ascii="宋体" w:hAnsi="宋体" w:cs="宋体"/>
                <w:color w:val="auto"/>
                <w:highlight w:val="none"/>
              </w:rPr>
              <w:t>商务及技术文件</w:t>
            </w:r>
            <w:r>
              <w:rPr>
                <w:rFonts w:ascii="宋体" w:hAnsi="宋体" w:cs="宋体"/>
                <w:color w:val="auto"/>
                <w:highlight w:val="none"/>
              </w:rPr>
              <w:t>)</w:t>
            </w:r>
            <w:r>
              <w:rPr>
                <w:rFonts w:hint="eastAsia" w:ascii="宋体" w:hAnsi="宋体" w:cs="宋体"/>
                <w:color w:val="auto"/>
                <w:highlight w:val="none"/>
              </w:rPr>
              <w:t>开标时间：</w:t>
            </w:r>
            <w:r>
              <w:rPr>
                <w:rFonts w:hint="eastAsia" w:ascii="宋体" w:hAnsi="宋体" w:cs="宋体"/>
                <w:color w:val="auto"/>
                <w:highlight w:val="none"/>
                <w:u w:val="single"/>
              </w:rPr>
              <w:t>同投标截止时间</w:t>
            </w:r>
            <w:r>
              <w:rPr>
                <w:rFonts w:hint="eastAsia" w:ascii="宋体" w:hAnsi="宋体" w:cs="宋体"/>
                <w:color w:val="auto"/>
                <w:highlight w:val="none"/>
              </w:rPr>
              <w:t>；</w:t>
            </w:r>
          </w:p>
          <w:p w14:paraId="4E2E2C81">
            <w:pPr>
              <w:rPr>
                <w:rFonts w:ascii="宋体"/>
                <w:color w:val="auto"/>
                <w:highlight w:val="none"/>
              </w:rPr>
            </w:pPr>
            <w:r>
              <w:rPr>
                <w:rFonts w:hint="eastAsia" w:ascii="宋体" w:hAnsi="宋体" w:cs="宋体"/>
                <w:color w:val="auto"/>
                <w:highlight w:val="none"/>
              </w:rPr>
              <w:t>投标文件第一个信封</w:t>
            </w:r>
            <w:r>
              <w:rPr>
                <w:rFonts w:ascii="宋体" w:hAnsi="宋体" w:cs="宋体"/>
                <w:color w:val="auto"/>
                <w:highlight w:val="none"/>
              </w:rPr>
              <w:t>(</w:t>
            </w:r>
            <w:r>
              <w:rPr>
                <w:rFonts w:hint="eastAsia" w:ascii="宋体" w:hAnsi="宋体" w:cs="宋体"/>
                <w:color w:val="auto"/>
                <w:highlight w:val="none"/>
              </w:rPr>
              <w:t>商务及技术文件</w:t>
            </w:r>
            <w:r>
              <w:rPr>
                <w:rFonts w:ascii="宋体" w:hAnsi="宋体" w:cs="宋体"/>
                <w:color w:val="auto"/>
                <w:highlight w:val="none"/>
              </w:rPr>
              <w:t>)</w:t>
            </w:r>
            <w:r>
              <w:rPr>
                <w:rFonts w:hint="eastAsia" w:ascii="宋体" w:hAnsi="宋体" w:cs="宋体"/>
                <w:color w:val="auto"/>
                <w:highlight w:val="none"/>
              </w:rPr>
              <w:t>开标地点：</w:t>
            </w:r>
            <w:r>
              <w:rPr>
                <w:rFonts w:hint="eastAsia" w:ascii="宋体" w:hAnsi="宋体" w:cs="宋体"/>
                <w:color w:val="auto"/>
                <w:highlight w:val="none"/>
                <w:u w:val="single"/>
              </w:rPr>
              <w:t>同投标文件递交地点</w:t>
            </w:r>
            <w:r>
              <w:rPr>
                <w:rFonts w:hint="eastAsia" w:ascii="宋体" w:hAnsi="宋体" w:cs="宋体"/>
                <w:color w:val="auto"/>
                <w:highlight w:val="none"/>
              </w:rPr>
              <w:t>；</w:t>
            </w:r>
          </w:p>
          <w:p w14:paraId="7D3E8826">
            <w:pPr>
              <w:rPr>
                <w:rFonts w:ascii="宋体"/>
                <w:color w:val="auto"/>
                <w:highlight w:val="none"/>
              </w:rPr>
            </w:pPr>
            <w:r>
              <w:rPr>
                <w:rFonts w:hint="eastAsia" w:ascii="宋体" w:hAnsi="宋体" w:cs="宋体"/>
                <w:color w:val="auto"/>
                <w:highlight w:val="none"/>
              </w:rPr>
              <w:t>投标文件第二个信封</w:t>
            </w:r>
            <w:r>
              <w:rPr>
                <w:rFonts w:ascii="宋体" w:hAnsi="宋体" w:cs="宋体"/>
                <w:color w:val="auto"/>
                <w:highlight w:val="none"/>
              </w:rPr>
              <w:t>(</w:t>
            </w:r>
            <w:r>
              <w:rPr>
                <w:rFonts w:hint="eastAsia" w:ascii="宋体" w:hAnsi="宋体" w:cs="宋体"/>
                <w:color w:val="auto"/>
                <w:highlight w:val="none"/>
              </w:rPr>
              <w:t>报价文件</w:t>
            </w:r>
            <w:r>
              <w:rPr>
                <w:rFonts w:ascii="宋体" w:hAnsi="宋体" w:cs="宋体"/>
                <w:color w:val="auto"/>
                <w:highlight w:val="none"/>
              </w:rPr>
              <w:t>)</w:t>
            </w:r>
            <w:r>
              <w:rPr>
                <w:rFonts w:hint="eastAsia" w:ascii="宋体" w:hAnsi="宋体" w:cs="宋体"/>
                <w:color w:val="auto"/>
                <w:highlight w:val="none"/>
              </w:rPr>
              <w:t>开标时间：</w:t>
            </w:r>
            <w:r>
              <w:rPr>
                <w:rFonts w:hint="eastAsia" w:ascii="宋体" w:hAnsi="宋体" w:cs="宋体"/>
                <w:color w:val="auto"/>
                <w:highlight w:val="none"/>
                <w:u w:val="single"/>
              </w:rPr>
              <w:t>另行通知</w:t>
            </w:r>
            <w:r>
              <w:rPr>
                <w:rFonts w:hint="eastAsia" w:ascii="宋体" w:hAnsi="宋体" w:cs="宋体"/>
                <w:color w:val="auto"/>
                <w:highlight w:val="none"/>
              </w:rPr>
              <w:t>；</w:t>
            </w:r>
          </w:p>
          <w:p w14:paraId="43091B97">
            <w:pPr>
              <w:rPr>
                <w:color w:val="auto"/>
                <w:highlight w:val="none"/>
              </w:rPr>
            </w:pPr>
            <w:r>
              <w:rPr>
                <w:rFonts w:hint="eastAsia" w:ascii="宋体" w:hAnsi="宋体" w:cs="宋体"/>
                <w:color w:val="auto"/>
                <w:highlight w:val="none"/>
              </w:rPr>
              <w:t>投标文件第二个信封</w:t>
            </w:r>
            <w:r>
              <w:rPr>
                <w:rFonts w:ascii="宋体" w:hAnsi="宋体" w:cs="宋体"/>
                <w:color w:val="auto"/>
                <w:highlight w:val="none"/>
              </w:rPr>
              <w:t>(</w:t>
            </w:r>
            <w:r>
              <w:rPr>
                <w:rFonts w:hint="eastAsia" w:ascii="宋体" w:hAnsi="宋体" w:cs="宋体"/>
                <w:color w:val="auto"/>
                <w:highlight w:val="none"/>
              </w:rPr>
              <w:t>报价文件</w:t>
            </w:r>
            <w:r>
              <w:rPr>
                <w:rFonts w:ascii="宋体" w:hAnsi="宋体" w:cs="宋体"/>
                <w:color w:val="auto"/>
                <w:highlight w:val="none"/>
              </w:rPr>
              <w:t>)</w:t>
            </w:r>
            <w:r>
              <w:rPr>
                <w:rFonts w:hint="eastAsia" w:ascii="宋体" w:hAnsi="宋体" w:cs="宋体"/>
                <w:color w:val="auto"/>
                <w:highlight w:val="none"/>
              </w:rPr>
              <w:t>开标地点：</w:t>
            </w:r>
            <w:r>
              <w:rPr>
                <w:rFonts w:hint="eastAsia" w:ascii="宋体" w:hAnsi="宋体" w:cs="宋体"/>
                <w:color w:val="auto"/>
                <w:highlight w:val="none"/>
                <w:u w:val="single"/>
              </w:rPr>
              <w:t>另行通知</w:t>
            </w:r>
            <w:r>
              <w:rPr>
                <w:rFonts w:hint="eastAsia" w:ascii="宋体" w:hAnsi="宋体" w:cs="宋体"/>
                <w:color w:val="auto"/>
                <w:highlight w:val="none"/>
              </w:rPr>
              <w:t>。</w:t>
            </w:r>
          </w:p>
        </w:tc>
      </w:tr>
      <w:tr w14:paraId="5B48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pct"/>
            <w:vAlign w:val="center"/>
          </w:tcPr>
          <w:p w14:paraId="2DAF6267">
            <w:pPr>
              <w:jc w:val="center"/>
              <w:rPr>
                <w:color w:val="auto"/>
                <w:highlight w:val="none"/>
              </w:rPr>
            </w:pPr>
            <w:r>
              <w:rPr>
                <w:color w:val="auto"/>
                <w:highlight w:val="none"/>
              </w:rPr>
              <w:t>5.2.1</w:t>
            </w:r>
          </w:p>
        </w:tc>
        <w:tc>
          <w:tcPr>
            <w:tcW w:w="988" w:type="pct"/>
            <w:vAlign w:val="center"/>
          </w:tcPr>
          <w:p w14:paraId="39EEE5FC">
            <w:pPr>
              <w:jc w:val="center"/>
              <w:rPr>
                <w:color w:val="auto"/>
                <w:highlight w:val="none"/>
              </w:rPr>
            </w:pPr>
            <w:r>
              <w:rPr>
                <w:color w:val="auto"/>
                <w:highlight w:val="none"/>
              </w:rPr>
              <w:t>开标程序</w:t>
            </w:r>
          </w:p>
        </w:tc>
        <w:tc>
          <w:tcPr>
            <w:tcW w:w="3360" w:type="pct"/>
            <w:vAlign w:val="center"/>
          </w:tcPr>
          <w:p w14:paraId="434C505E">
            <w:pPr>
              <w:rPr>
                <w:color w:val="auto"/>
                <w:highlight w:val="none"/>
              </w:rPr>
            </w:pPr>
            <w:r>
              <w:rPr>
                <w:color w:val="auto"/>
                <w:highlight w:val="none"/>
              </w:rPr>
              <w:t>（4）密封情况检查：由投标人代表共同检查并宣布检查结果；</w:t>
            </w:r>
          </w:p>
          <w:p w14:paraId="56B8033A">
            <w:pPr>
              <w:rPr>
                <w:color w:val="auto"/>
                <w:highlight w:val="none"/>
              </w:rPr>
            </w:pPr>
            <w:r>
              <w:rPr>
                <w:color w:val="auto"/>
                <w:highlight w:val="none"/>
              </w:rPr>
              <w:t>（5）开标顺序：</w:t>
            </w:r>
            <w:r>
              <w:rPr>
                <w:rFonts w:hint="eastAsia"/>
                <w:color w:val="auto"/>
                <w:highlight w:val="none"/>
              </w:rPr>
              <w:t>开标现场随机确定</w:t>
            </w:r>
            <w:r>
              <w:rPr>
                <w:color w:val="auto"/>
                <w:highlight w:val="none"/>
              </w:rPr>
              <w:t>。</w:t>
            </w:r>
          </w:p>
        </w:tc>
      </w:tr>
      <w:tr w14:paraId="45A7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51" w:type="pct"/>
            <w:vAlign w:val="center"/>
          </w:tcPr>
          <w:p w14:paraId="301D6916">
            <w:pPr>
              <w:jc w:val="center"/>
              <w:rPr>
                <w:color w:val="auto"/>
                <w:highlight w:val="none"/>
              </w:rPr>
            </w:pPr>
            <w:r>
              <w:rPr>
                <w:color w:val="auto"/>
                <w:highlight w:val="none"/>
              </w:rPr>
              <w:t>6.1.1</w:t>
            </w:r>
          </w:p>
        </w:tc>
        <w:tc>
          <w:tcPr>
            <w:tcW w:w="988" w:type="pct"/>
            <w:vAlign w:val="center"/>
          </w:tcPr>
          <w:p w14:paraId="32E665BA">
            <w:pPr>
              <w:jc w:val="center"/>
              <w:rPr>
                <w:color w:val="auto"/>
                <w:highlight w:val="none"/>
              </w:rPr>
            </w:pPr>
            <w:r>
              <w:rPr>
                <w:color w:val="auto"/>
                <w:highlight w:val="none"/>
              </w:rPr>
              <w:t>评标委员会的组建</w:t>
            </w:r>
          </w:p>
        </w:tc>
        <w:tc>
          <w:tcPr>
            <w:tcW w:w="3360" w:type="pct"/>
            <w:vAlign w:val="center"/>
          </w:tcPr>
          <w:p w14:paraId="0F1EF07A">
            <w:pPr>
              <w:rPr>
                <w:color w:val="auto"/>
                <w:highlight w:val="none"/>
              </w:rPr>
            </w:pPr>
            <w:r>
              <w:rPr>
                <w:color w:val="auto"/>
                <w:highlight w:val="none"/>
              </w:rPr>
              <w:t>评标委员会构成：5人或5人以上单数；其中招标人代表不超过1/3，专家不少于2/3。</w:t>
            </w:r>
          </w:p>
          <w:p w14:paraId="093B21C0">
            <w:pPr>
              <w:pStyle w:val="16"/>
              <w:rPr>
                <w:color w:val="auto"/>
                <w:highlight w:val="none"/>
              </w:rPr>
            </w:pPr>
            <w:r>
              <w:rPr>
                <w:rFonts w:ascii="宋体" w:hAnsi="宋体" w:cs="宋体"/>
                <w:color w:val="auto"/>
                <w:highlight w:val="none"/>
              </w:rPr>
              <w:t>评标专家确定方式</w:t>
            </w:r>
            <w:r>
              <w:rPr>
                <w:rFonts w:hint="eastAsia" w:ascii="宋体" w:hAnsi="宋体" w:cs="宋体"/>
                <w:color w:val="auto"/>
                <w:highlight w:val="none"/>
              </w:rPr>
              <w:t>：由招标人</w:t>
            </w:r>
            <w:r>
              <w:rPr>
                <w:rFonts w:hint="eastAsia"/>
                <w:color w:val="auto"/>
                <w:highlight w:val="none"/>
              </w:rPr>
              <w:t>依法组建</w:t>
            </w:r>
          </w:p>
        </w:tc>
      </w:tr>
      <w:tr w14:paraId="25B8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pct"/>
            <w:vAlign w:val="center"/>
          </w:tcPr>
          <w:p w14:paraId="61E714AA">
            <w:pPr>
              <w:jc w:val="center"/>
              <w:rPr>
                <w:color w:val="auto"/>
                <w:highlight w:val="none"/>
              </w:rPr>
            </w:pPr>
            <w:r>
              <w:rPr>
                <w:color w:val="auto"/>
                <w:highlight w:val="none"/>
              </w:rPr>
              <w:t>7.1</w:t>
            </w:r>
          </w:p>
        </w:tc>
        <w:tc>
          <w:tcPr>
            <w:tcW w:w="988" w:type="pct"/>
            <w:vAlign w:val="center"/>
          </w:tcPr>
          <w:p w14:paraId="558C224E">
            <w:pPr>
              <w:jc w:val="center"/>
              <w:rPr>
                <w:color w:val="auto"/>
                <w:highlight w:val="none"/>
              </w:rPr>
            </w:pPr>
            <w:r>
              <w:rPr>
                <w:color w:val="auto"/>
                <w:highlight w:val="none"/>
              </w:rPr>
              <w:t>是否授权评标委员会确定中标人</w:t>
            </w:r>
          </w:p>
        </w:tc>
        <w:tc>
          <w:tcPr>
            <w:tcW w:w="3360" w:type="pct"/>
            <w:vAlign w:val="center"/>
          </w:tcPr>
          <w:p w14:paraId="7D53062B">
            <w:pPr>
              <w:rPr>
                <w:color w:val="auto"/>
                <w:highlight w:val="none"/>
              </w:rPr>
            </w:pPr>
            <w:r>
              <w:rPr>
                <w:color w:val="auto"/>
                <w:highlight w:val="none"/>
              </w:rPr>
              <w:t>否，</w:t>
            </w:r>
            <w:r>
              <w:rPr>
                <w:rFonts w:hint="eastAsia"/>
                <w:color w:val="auto"/>
                <w:highlight w:val="none"/>
              </w:rPr>
              <w:t>评标委员会推荐的中标候选人的数量为3家，若有效投标人不足3家的，则推荐的中标候选人的数量为有效投标人的数量</w:t>
            </w:r>
            <w:r>
              <w:rPr>
                <w:color w:val="auto"/>
                <w:highlight w:val="none"/>
              </w:rPr>
              <w:t>。</w:t>
            </w:r>
          </w:p>
        </w:tc>
      </w:tr>
      <w:tr w14:paraId="2334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1" w:type="pct"/>
            <w:vAlign w:val="center"/>
          </w:tcPr>
          <w:p w14:paraId="7919EDBE">
            <w:pPr>
              <w:jc w:val="center"/>
              <w:rPr>
                <w:color w:val="auto"/>
                <w:highlight w:val="none"/>
              </w:rPr>
            </w:pPr>
            <w:r>
              <w:rPr>
                <w:color w:val="auto"/>
                <w:highlight w:val="none"/>
              </w:rPr>
              <w:t>7.3.1</w:t>
            </w:r>
          </w:p>
        </w:tc>
        <w:tc>
          <w:tcPr>
            <w:tcW w:w="988" w:type="pct"/>
            <w:vAlign w:val="center"/>
          </w:tcPr>
          <w:p w14:paraId="100E68D3">
            <w:pPr>
              <w:jc w:val="center"/>
              <w:rPr>
                <w:color w:val="auto"/>
                <w:highlight w:val="none"/>
              </w:rPr>
            </w:pPr>
            <w:r>
              <w:rPr>
                <w:color w:val="auto"/>
                <w:highlight w:val="none"/>
              </w:rPr>
              <w:t>履约保证金</w:t>
            </w:r>
          </w:p>
        </w:tc>
        <w:tc>
          <w:tcPr>
            <w:tcW w:w="3360" w:type="pct"/>
            <w:vAlign w:val="center"/>
          </w:tcPr>
          <w:p w14:paraId="03C3182E">
            <w:pPr>
              <w:rPr>
                <w:color w:val="auto"/>
                <w:highlight w:val="none"/>
              </w:rPr>
            </w:pPr>
            <w:r>
              <w:rPr>
                <w:color w:val="auto"/>
                <w:highlight w:val="none"/>
              </w:rPr>
              <w:t>履约保证金的金额：10％签约合同价</w:t>
            </w:r>
          </w:p>
          <w:p w14:paraId="4617EB95">
            <w:pPr>
              <w:pStyle w:val="16"/>
              <w:rPr>
                <w:color w:val="auto"/>
                <w:highlight w:val="none"/>
              </w:rPr>
            </w:pPr>
            <w:r>
              <w:rPr>
                <w:rFonts w:hint="eastAsia"/>
                <w:color w:val="auto"/>
                <w:highlight w:val="none"/>
              </w:rPr>
              <w:t>江苏省公路水运建设市场信用等级评定为AA级的投标单位（以最近一次江苏省公路水运建设市场信用等级评定公布结果为准） ，减少20%的履约保证金；最近一次被省交通运输主管部门列入“江苏省交通运输守信联合激励对象名单”</w:t>
            </w:r>
            <w:r>
              <w:rPr>
                <w:color w:val="auto"/>
                <w:highlight w:val="none"/>
              </w:rPr>
              <w:t xml:space="preserve"> (</w:t>
            </w:r>
            <w:r>
              <w:rPr>
                <w:rFonts w:hint="eastAsia"/>
                <w:color w:val="auto"/>
                <w:highlight w:val="none"/>
              </w:rPr>
              <w:t>红名单</w:t>
            </w:r>
            <w:r>
              <w:rPr>
                <w:color w:val="auto"/>
                <w:highlight w:val="none"/>
              </w:rPr>
              <w:t>)</w:t>
            </w:r>
            <w:r>
              <w:rPr>
                <w:rFonts w:hint="eastAsia"/>
                <w:color w:val="auto"/>
                <w:highlight w:val="none"/>
              </w:rPr>
              <w:t>的投标人，可以减免</w:t>
            </w:r>
            <w:r>
              <w:rPr>
                <w:color w:val="auto"/>
                <w:highlight w:val="none"/>
              </w:rPr>
              <w:t>50%</w:t>
            </w:r>
            <w:r>
              <w:rPr>
                <w:rFonts w:hint="eastAsia"/>
                <w:color w:val="auto"/>
                <w:highlight w:val="none"/>
              </w:rPr>
              <w:t>的履约保证金。</w:t>
            </w:r>
          </w:p>
          <w:p w14:paraId="7BEC82F4">
            <w:pPr>
              <w:keepNext/>
              <w:keepLines/>
              <w:tabs>
                <w:tab w:val="left" w:pos="1170"/>
              </w:tabs>
              <w:jc w:val="left"/>
              <w:outlineLvl w:val="2"/>
              <w:rPr>
                <w:rFonts w:ascii="宋体" w:hAnsi="宋体" w:cs="宋体"/>
                <w:color w:val="auto"/>
                <w:szCs w:val="21"/>
                <w:highlight w:val="none"/>
              </w:rPr>
            </w:pPr>
            <w:r>
              <w:rPr>
                <w:rFonts w:hint="eastAsia" w:ascii="宋体" w:hAnsi="宋体" w:cs="宋体"/>
                <w:color w:val="auto"/>
                <w:szCs w:val="21"/>
                <w:highlight w:val="none"/>
              </w:rPr>
              <w:t>履约担保形式：不限。</w:t>
            </w:r>
          </w:p>
          <w:p w14:paraId="12DEB54D">
            <w:pPr>
              <w:keepNext/>
              <w:keepLines/>
              <w:tabs>
                <w:tab w:val="left" w:pos="1170"/>
              </w:tabs>
              <w:jc w:val="left"/>
              <w:outlineLvl w:val="2"/>
              <w:rPr>
                <w:rFonts w:ascii="宋体" w:hAnsi="宋体" w:cs="宋体"/>
                <w:color w:val="auto"/>
                <w:szCs w:val="21"/>
                <w:highlight w:val="none"/>
              </w:rPr>
            </w:pPr>
            <w:r>
              <w:rPr>
                <w:rFonts w:hint="eastAsia" w:ascii="宋体" w:hAnsi="宋体" w:cs="宋体"/>
                <w:color w:val="auto"/>
                <w:szCs w:val="21"/>
                <w:highlight w:val="none"/>
              </w:rPr>
              <w:t>（1）若采用电汇，中标人应在合同签订前将履约保证金由中标人</w:t>
            </w:r>
            <w:r>
              <w:rPr>
                <w:rFonts w:hint="eastAsia" w:ascii="宋体" w:hAnsi="宋体" w:cs="宋体"/>
                <w:color w:val="auto"/>
                <w:szCs w:val="21"/>
                <w:highlight w:val="none"/>
                <w:lang w:eastAsia="zh-CN"/>
              </w:rPr>
              <w:t>基本账户</w:t>
            </w:r>
            <w:r>
              <w:rPr>
                <w:rFonts w:hint="eastAsia" w:ascii="宋体" w:hAnsi="宋体" w:cs="宋体"/>
                <w:color w:val="auto"/>
                <w:szCs w:val="21"/>
                <w:highlight w:val="none"/>
              </w:rPr>
              <w:t>一次性汇入招标人指定账户。</w:t>
            </w:r>
          </w:p>
          <w:p w14:paraId="1864E157">
            <w:pPr>
              <w:keepNext/>
              <w:keepLines/>
              <w:tabs>
                <w:tab w:val="left" w:pos="1170"/>
              </w:tabs>
              <w:jc w:val="left"/>
              <w:outlineLvl w:val="2"/>
              <w:rPr>
                <w:rFonts w:ascii="宋体" w:hAnsi="宋体" w:cs="宋体"/>
                <w:color w:val="auto"/>
                <w:szCs w:val="21"/>
                <w:highlight w:val="none"/>
              </w:rPr>
            </w:pPr>
            <w:r>
              <w:rPr>
                <w:rFonts w:hint="eastAsia" w:ascii="宋体" w:hAnsi="宋体" w:cs="宋体"/>
                <w:color w:val="auto"/>
                <w:szCs w:val="21"/>
                <w:highlight w:val="none"/>
              </w:rPr>
              <w:t>（2）若采用银行汇票或银行本票（若投标人基本开户行在南通，则可递交银行本票），中标人应在合同签订前将银行汇票或银行本票原件递交给招标人。</w:t>
            </w:r>
          </w:p>
          <w:p w14:paraId="0F6EFCE9">
            <w:pPr>
              <w:keepNext/>
              <w:keepLines/>
              <w:tabs>
                <w:tab w:val="left" w:pos="1170"/>
              </w:tabs>
              <w:jc w:val="left"/>
              <w:outlineLvl w:val="2"/>
              <w:rPr>
                <w:rFonts w:ascii="宋体" w:hAnsi="宋体" w:cs="宋体"/>
                <w:color w:val="auto"/>
                <w:szCs w:val="21"/>
                <w:highlight w:val="none"/>
              </w:rPr>
            </w:pPr>
            <w:r>
              <w:rPr>
                <w:rFonts w:hint="eastAsia" w:ascii="宋体" w:hAnsi="宋体" w:cs="宋体"/>
                <w:color w:val="auto"/>
                <w:szCs w:val="21"/>
                <w:highlight w:val="none"/>
              </w:rPr>
              <w:t>（3）若采用银行保函，银行保函应采用招标认可的格式，且应在合同期内保持有效，招标人如果延长了合同期，则履约保函的有效期也相应延长。</w:t>
            </w:r>
          </w:p>
          <w:p w14:paraId="0A2DE3C0">
            <w:pPr>
              <w:rPr>
                <w:color w:val="auto"/>
                <w:highlight w:val="none"/>
              </w:rPr>
            </w:pPr>
            <w:r>
              <w:rPr>
                <w:rFonts w:hint="eastAsia" w:ascii="宋体" w:hAnsi="宋体" w:cs="宋体"/>
                <w:color w:val="auto"/>
                <w:szCs w:val="21"/>
                <w:highlight w:val="none"/>
              </w:rPr>
              <w:t>采用银行保函时，出具保函的银行级别：中标人基本账户所在国有或股份制商业银行的支行及以上级别（不限于基本账户所在银行具体分支机构）</w:t>
            </w:r>
          </w:p>
          <w:p w14:paraId="1289D18E">
            <w:pPr>
              <w:rPr>
                <w:color w:val="auto"/>
                <w:highlight w:val="none"/>
              </w:rPr>
            </w:pPr>
            <w:r>
              <w:rPr>
                <w:color w:val="auto"/>
                <w:highlight w:val="none"/>
              </w:rPr>
              <w:t>□不要求</w:t>
            </w:r>
          </w:p>
        </w:tc>
      </w:tr>
      <w:tr w14:paraId="02C2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651" w:type="pct"/>
            <w:vAlign w:val="center"/>
          </w:tcPr>
          <w:p w14:paraId="6FFC56A5">
            <w:pPr>
              <w:jc w:val="center"/>
              <w:rPr>
                <w:color w:val="auto"/>
                <w:highlight w:val="none"/>
              </w:rPr>
            </w:pPr>
            <w:r>
              <w:rPr>
                <w:rFonts w:hint="eastAsia" w:ascii="宋体" w:hAnsi="宋体" w:cs="宋体"/>
                <w:color w:val="auto"/>
                <w:szCs w:val="21"/>
                <w:highlight w:val="none"/>
                <w:lang w:val="zh-CN"/>
              </w:rPr>
              <w:t>9.5</w:t>
            </w:r>
          </w:p>
        </w:tc>
        <w:tc>
          <w:tcPr>
            <w:tcW w:w="988" w:type="pct"/>
            <w:vAlign w:val="center"/>
          </w:tcPr>
          <w:p w14:paraId="7F095E5E">
            <w:pPr>
              <w:jc w:val="center"/>
              <w:rPr>
                <w:color w:val="auto"/>
                <w:highlight w:val="none"/>
              </w:rPr>
            </w:pPr>
            <w:r>
              <w:rPr>
                <w:rFonts w:hint="eastAsia" w:ascii="宋体" w:hAnsi="宋体" w:cs="宋体"/>
                <w:color w:val="auto"/>
                <w:szCs w:val="21"/>
                <w:highlight w:val="none"/>
              </w:rPr>
              <w:t>监督部门</w:t>
            </w:r>
          </w:p>
        </w:tc>
        <w:tc>
          <w:tcPr>
            <w:tcW w:w="3360" w:type="pct"/>
            <w:vAlign w:val="center"/>
          </w:tcPr>
          <w:p w14:paraId="3C572889">
            <w:pPr>
              <w:widowControl/>
              <w:adjustRightInd w:val="0"/>
              <w:snapToGri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纪检监督：</w:t>
            </w:r>
          </w:p>
          <w:p w14:paraId="5E698CC9">
            <w:pPr>
              <w:widowControl/>
              <w:adjustRightInd w:val="0"/>
              <w:snapToGri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地    址：</w:t>
            </w:r>
          </w:p>
          <w:p w14:paraId="4CCDDE2E">
            <w:pPr>
              <w:widowControl/>
              <w:adjustRightInd w:val="0"/>
              <w:snapToGri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电    话：</w:t>
            </w:r>
          </w:p>
          <w:p w14:paraId="33B4C9D3">
            <w:pPr>
              <w:widowControl/>
              <w:adjustRightInd w:val="0"/>
              <w:snapToGri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传    真：</w:t>
            </w:r>
          </w:p>
          <w:p w14:paraId="69338CFD">
            <w:pPr>
              <w:rPr>
                <w:color w:val="auto"/>
                <w:highlight w:val="none"/>
              </w:rPr>
            </w:pPr>
            <w:r>
              <w:rPr>
                <w:rFonts w:hint="eastAsia" w:ascii="宋体" w:hAnsi="宋体" w:cs="宋体"/>
                <w:color w:val="auto"/>
                <w:szCs w:val="21"/>
                <w:highlight w:val="none"/>
                <w:lang w:val="zh-CN"/>
              </w:rPr>
              <w:t>邮政编码：</w:t>
            </w:r>
          </w:p>
        </w:tc>
      </w:tr>
      <w:tr w14:paraId="759A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vAlign w:val="center"/>
          </w:tcPr>
          <w:p w14:paraId="1BDAEEFD">
            <w:pPr>
              <w:jc w:val="center"/>
              <w:rPr>
                <w:color w:val="auto"/>
                <w:highlight w:val="none"/>
              </w:rPr>
            </w:pPr>
            <w:r>
              <w:rPr>
                <w:color w:val="auto"/>
                <w:highlight w:val="none"/>
              </w:rPr>
              <w:t>需要补充的其他内容</w:t>
            </w:r>
          </w:p>
        </w:tc>
      </w:tr>
      <w:tr w14:paraId="4C30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jc w:val="center"/>
        </w:trPr>
        <w:tc>
          <w:tcPr>
            <w:tcW w:w="651" w:type="pct"/>
            <w:vAlign w:val="center"/>
          </w:tcPr>
          <w:p w14:paraId="0B16BB58">
            <w:pPr>
              <w:jc w:val="center"/>
              <w:rPr>
                <w:color w:val="auto"/>
                <w:highlight w:val="none"/>
              </w:rPr>
            </w:pPr>
            <w:r>
              <w:rPr>
                <w:color w:val="auto"/>
                <w:highlight w:val="none"/>
              </w:rPr>
              <w:t>4.1.1</w:t>
            </w:r>
          </w:p>
        </w:tc>
        <w:tc>
          <w:tcPr>
            <w:tcW w:w="4348" w:type="pct"/>
            <w:gridSpan w:val="2"/>
            <w:vAlign w:val="center"/>
          </w:tcPr>
          <w:p w14:paraId="41D96E5D">
            <w:pPr>
              <w:jc w:val="left"/>
              <w:rPr>
                <w:color w:val="auto"/>
                <w:highlight w:val="none"/>
              </w:rPr>
            </w:pPr>
            <w:r>
              <w:rPr>
                <w:color w:val="auto"/>
                <w:highlight w:val="none"/>
              </w:rPr>
              <w:t>原4.1.1款内容细化为：</w:t>
            </w:r>
          </w:p>
          <w:p w14:paraId="4EF14BA7">
            <w:pPr>
              <w:jc w:val="left"/>
              <w:rPr>
                <w:color w:val="auto"/>
                <w:highlight w:val="none"/>
              </w:rPr>
            </w:pPr>
            <w:r>
              <w:rPr>
                <w:color w:val="auto"/>
                <w:highlight w:val="none"/>
              </w:rPr>
              <w:t>4.1.1 投标文件应采用双信封形式密封。投标文件第一个信封（商务及技术文件）以及第二个信封（投标报价和工程量清单）应单独密封包装。商务及技术文件的正本与副本以及商务及技术文件电子版文件应统一密封在一个封套中。投标报价和工程量清单的正本与副本以及投标报价和工程量清单电子版文件应统一密封在另一个封套中。封套应加贴封条（封条格式不限，但封条上必须有“密封”或“封条”或“密封条”字样），并在封套的封口处加盖投标人单位章。</w:t>
            </w:r>
          </w:p>
          <w:p w14:paraId="04F474C2">
            <w:pPr>
              <w:jc w:val="left"/>
              <w:rPr>
                <w:color w:val="auto"/>
                <w:highlight w:val="none"/>
              </w:rPr>
            </w:pPr>
            <w:r>
              <w:rPr>
                <w:color w:val="auto"/>
                <w:highlight w:val="none"/>
              </w:rPr>
              <w:t>投标人应将电子文件内容存放于相应文件夹内，文件夹名为投标人全称及所投项目名称、标段号。电子版文件的载体为U盘，电子版文件的载体上或包装上注明投标人全称及所投项目、标段名称。</w:t>
            </w:r>
          </w:p>
        </w:tc>
      </w:tr>
      <w:tr w14:paraId="3BAA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51" w:type="pct"/>
            <w:vAlign w:val="center"/>
          </w:tcPr>
          <w:p w14:paraId="7E1985FB">
            <w:pPr>
              <w:jc w:val="center"/>
              <w:rPr>
                <w:color w:val="auto"/>
                <w:highlight w:val="none"/>
              </w:rPr>
            </w:pPr>
            <w:r>
              <w:rPr>
                <w:rFonts w:hint="eastAsia"/>
                <w:color w:val="auto"/>
                <w:highlight w:val="none"/>
              </w:rPr>
              <w:t>7.1.1</w:t>
            </w:r>
          </w:p>
        </w:tc>
        <w:tc>
          <w:tcPr>
            <w:tcW w:w="4348" w:type="pct"/>
            <w:gridSpan w:val="2"/>
            <w:vAlign w:val="center"/>
          </w:tcPr>
          <w:p w14:paraId="03D49982">
            <w:pPr>
              <w:jc w:val="left"/>
              <w:rPr>
                <w:rFonts w:ascii="宋体" w:hAnsi="宋体" w:cs="宋体"/>
                <w:color w:val="auto"/>
                <w:szCs w:val="21"/>
                <w:highlight w:val="none"/>
              </w:rPr>
            </w:pPr>
            <w:r>
              <w:rPr>
                <w:rFonts w:hint="eastAsia" w:ascii="宋体" w:hAnsi="宋体" w:cs="宋体"/>
                <w:color w:val="auto"/>
                <w:szCs w:val="21"/>
                <w:highlight w:val="none"/>
              </w:rPr>
              <w:t>中标候选人公示媒介及期限：</w:t>
            </w:r>
          </w:p>
          <w:p w14:paraId="51940144">
            <w:pPr>
              <w:spacing w:line="340" w:lineRule="exact"/>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highlight w:val="none"/>
              </w:rPr>
              <w:t>南通市交通运输局官网</w:t>
            </w:r>
          </w:p>
          <w:p w14:paraId="6AB54A76">
            <w:pPr>
              <w:spacing w:line="340" w:lineRule="exact"/>
              <w:rPr>
                <w:rFonts w:ascii="宋体" w:hAnsi="宋体" w:cs="宋体"/>
                <w:color w:val="auto"/>
                <w:szCs w:val="21"/>
                <w:highlight w:val="none"/>
              </w:rPr>
            </w:pPr>
            <w:r>
              <w:rPr>
                <w:rFonts w:hint="eastAsia" w:ascii="宋体" w:hAnsi="宋体" w:cs="宋体"/>
                <w:color w:val="auto"/>
                <w:szCs w:val="21"/>
                <w:highlight w:val="none"/>
              </w:rPr>
              <w:t>公示期限：3日</w:t>
            </w:r>
          </w:p>
        </w:tc>
      </w:tr>
      <w:tr w14:paraId="2A04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51" w:type="pct"/>
            <w:vAlign w:val="center"/>
          </w:tcPr>
          <w:p w14:paraId="2336747B">
            <w:pPr>
              <w:jc w:val="center"/>
              <w:rPr>
                <w:color w:val="auto"/>
                <w:highlight w:val="none"/>
              </w:rPr>
            </w:pPr>
            <w:r>
              <w:rPr>
                <w:rFonts w:hint="eastAsia"/>
                <w:color w:val="auto"/>
                <w:highlight w:val="none"/>
              </w:rPr>
              <w:t>7.1.2</w:t>
            </w:r>
          </w:p>
        </w:tc>
        <w:tc>
          <w:tcPr>
            <w:tcW w:w="4348" w:type="pct"/>
            <w:gridSpan w:val="2"/>
            <w:vAlign w:val="center"/>
          </w:tcPr>
          <w:p w14:paraId="3881B88F">
            <w:pPr>
              <w:jc w:val="left"/>
              <w:rPr>
                <w:rFonts w:ascii="宋体" w:hAnsi="宋体" w:cs="宋体"/>
                <w:color w:val="auto"/>
                <w:szCs w:val="21"/>
                <w:highlight w:val="none"/>
              </w:rPr>
            </w:pPr>
            <w:r>
              <w:rPr>
                <w:rFonts w:hint="eastAsia" w:ascii="宋体" w:hAnsi="宋体" w:cs="宋体"/>
                <w:color w:val="auto"/>
                <w:szCs w:val="21"/>
                <w:highlight w:val="none"/>
              </w:rPr>
              <w:t>中标通知书和中标结果通知发出的形式：</w:t>
            </w:r>
          </w:p>
          <w:p w14:paraId="1AA2CC04">
            <w:pPr>
              <w:pStyle w:val="15"/>
              <w:topLinePunct/>
              <w:spacing w:line="340" w:lineRule="exact"/>
              <w:rPr>
                <w:rFonts w:hAnsi="宋体" w:cs="宋体"/>
                <w:color w:val="auto"/>
                <w:sz w:val="21"/>
                <w:szCs w:val="21"/>
                <w:highlight w:val="none"/>
              </w:rPr>
            </w:pPr>
            <w:r>
              <w:rPr>
                <w:rFonts w:hint="eastAsia" w:hAnsi="宋体" w:cs="宋体"/>
                <w:color w:val="auto"/>
                <w:sz w:val="21"/>
                <w:szCs w:val="21"/>
                <w:highlight w:val="none"/>
              </w:rPr>
              <w:t>中标通知书发出的形式：由中标人自行至招标人处领取。</w:t>
            </w:r>
          </w:p>
          <w:p w14:paraId="46D6D273">
            <w:pPr>
              <w:pStyle w:val="16"/>
              <w:jc w:val="left"/>
              <w:rPr>
                <w:color w:val="auto"/>
                <w:highlight w:val="none"/>
              </w:rPr>
            </w:pPr>
            <w:r>
              <w:rPr>
                <w:rFonts w:hint="eastAsia" w:hAnsi="宋体" w:cs="宋体"/>
                <w:color w:val="auto"/>
                <w:szCs w:val="21"/>
                <w:highlight w:val="none"/>
              </w:rPr>
              <w:t>中标结果通知发出的形式：中标结果在南通市交通运输局官网予以公告，投标人自行查阅，招标人不再另行发出通知。</w:t>
            </w:r>
          </w:p>
        </w:tc>
      </w:tr>
      <w:tr w14:paraId="6918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51" w:type="pct"/>
            <w:vAlign w:val="center"/>
          </w:tcPr>
          <w:p w14:paraId="60453A40">
            <w:pPr>
              <w:jc w:val="center"/>
              <w:rPr>
                <w:color w:val="auto"/>
                <w:highlight w:val="none"/>
              </w:rPr>
            </w:pPr>
            <w:r>
              <w:rPr>
                <w:rFonts w:hint="eastAsia"/>
                <w:color w:val="auto"/>
                <w:highlight w:val="none"/>
              </w:rPr>
              <w:t>7.1.3</w:t>
            </w:r>
          </w:p>
        </w:tc>
        <w:tc>
          <w:tcPr>
            <w:tcW w:w="4348" w:type="pct"/>
            <w:gridSpan w:val="2"/>
            <w:vAlign w:val="center"/>
          </w:tcPr>
          <w:p w14:paraId="7DDA6378">
            <w:pPr>
              <w:jc w:val="left"/>
              <w:rPr>
                <w:rFonts w:ascii="宋体" w:hAnsi="宋体" w:cs="宋体"/>
                <w:color w:val="auto"/>
                <w:szCs w:val="21"/>
                <w:highlight w:val="none"/>
              </w:rPr>
            </w:pPr>
            <w:r>
              <w:rPr>
                <w:rFonts w:hint="eastAsia" w:ascii="宋体" w:hAnsi="宋体" w:cs="宋体"/>
                <w:color w:val="auto"/>
                <w:szCs w:val="21"/>
                <w:highlight w:val="none"/>
              </w:rPr>
              <w:t>中标结果公告媒介及期限：</w:t>
            </w:r>
          </w:p>
          <w:p w14:paraId="2880AEAF">
            <w:pPr>
              <w:pStyle w:val="15"/>
              <w:topLinePunct/>
              <w:spacing w:line="340" w:lineRule="exact"/>
              <w:rPr>
                <w:rFonts w:hAnsi="宋体" w:cs="宋体"/>
                <w:color w:val="auto"/>
                <w:sz w:val="21"/>
                <w:szCs w:val="21"/>
                <w:highlight w:val="none"/>
              </w:rPr>
            </w:pPr>
            <w:r>
              <w:rPr>
                <w:rFonts w:hint="eastAsia" w:hAnsi="宋体" w:cs="宋体"/>
                <w:color w:val="auto"/>
                <w:sz w:val="21"/>
                <w:szCs w:val="21"/>
                <w:highlight w:val="none"/>
              </w:rPr>
              <w:t xml:space="preserve">公告媒介：南通市交通运输局官网  </w:t>
            </w:r>
          </w:p>
          <w:p w14:paraId="3013F434">
            <w:pPr>
              <w:pStyle w:val="16"/>
              <w:jc w:val="left"/>
              <w:rPr>
                <w:rFonts w:ascii="宋体" w:hAnsi="宋体" w:cs="宋体"/>
                <w:color w:val="auto"/>
                <w:szCs w:val="21"/>
                <w:highlight w:val="none"/>
              </w:rPr>
            </w:pPr>
            <w:r>
              <w:rPr>
                <w:rFonts w:hint="eastAsia" w:hAnsi="宋体" w:cs="宋体"/>
                <w:color w:val="auto"/>
                <w:szCs w:val="21"/>
                <w:highlight w:val="none"/>
              </w:rPr>
              <w:t>公告期限：</w:t>
            </w:r>
            <w:r>
              <w:rPr>
                <w:rFonts w:hAnsi="宋体" w:cs="宋体"/>
                <w:color w:val="auto"/>
                <w:szCs w:val="21"/>
                <w:highlight w:val="none"/>
              </w:rPr>
              <w:t>3</w:t>
            </w:r>
            <w:r>
              <w:rPr>
                <w:rFonts w:hint="eastAsia" w:hAnsi="宋体" w:cs="宋体"/>
                <w:color w:val="auto"/>
                <w:szCs w:val="21"/>
                <w:highlight w:val="none"/>
              </w:rPr>
              <w:t>日</w:t>
            </w:r>
            <w:r>
              <w:rPr>
                <w:rFonts w:ascii="宋体" w:hAnsi="宋体" w:cs="宋体"/>
                <w:color w:val="auto"/>
                <w:szCs w:val="21"/>
                <w:highlight w:val="none"/>
              </w:rPr>
              <w:t xml:space="preserve"> </w:t>
            </w:r>
          </w:p>
        </w:tc>
      </w:tr>
      <w:tr w14:paraId="192C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651" w:type="pct"/>
            <w:vAlign w:val="center"/>
          </w:tcPr>
          <w:p w14:paraId="59C51ECF">
            <w:pPr>
              <w:jc w:val="center"/>
              <w:rPr>
                <w:color w:val="auto"/>
                <w:highlight w:val="none"/>
              </w:rPr>
            </w:pPr>
            <w:r>
              <w:rPr>
                <w:color w:val="auto"/>
                <w:highlight w:val="none"/>
              </w:rPr>
              <w:t>10.2</w:t>
            </w:r>
          </w:p>
        </w:tc>
        <w:tc>
          <w:tcPr>
            <w:tcW w:w="4348" w:type="pct"/>
            <w:gridSpan w:val="2"/>
            <w:vAlign w:val="center"/>
          </w:tcPr>
          <w:p w14:paraId="0231EC2A">
            <w:pPr>
              <w:jc w:val="left"/>
              <w:rPr>
                <w:color w:val="auto"/>
                <w:highlight w:val="none"/>
              </w:rPr>
            </w:pPr>
            <w:r>
              <w:rPr>
                <w:color w:val="auto"/>
                <w:highlight w:val="none"/>
              </w:rPr>
              <w:t>承包人应根据《关于进一步做好建筑业工伤保险工作的意见》（人社部发[2014]103号）、《人力资源社会保障部办公厅关于进一步做好建筑业工伤保险工作的通知》（人社厅函〔2017〕53号）、《关于深入推进建筑交通运输水利建设项目参加工伤保险工作的通知》（苏人社发[2017]126号）及省厅相关文件要求参加工伤保险，为其履行合同所雇佣的全部人员，缴纳工伤保险费，并要求其分包人</w:t>
            </w:r>
            <w:r>
              <w:rPr>
                <w:rFonts w:hint="eastAsia"/>
                <w:color w:val="auto"/>
                <w:highlight w:val="none"/>
              </w:rPr>
              <w:t>（如有）</w:t>
            </w:r>
            <w:r>
              <w:rPr>
                <w:color w:val="auto"/>
                <w:highlight w:val="none"/>
              </w:rPr>
              <w:t>也进行此项保险。</w:t>
            </w:r>
          </w:p>
        </w:tc>
      </w:tr>
      <w:tr w14:paraId="5FA0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51" w:type="pct"/>
            <w:vAlign w:val="center"/>
          </w:tcPr>
          <w:p w14:paraId="6E913087">
            <w:pPr>
              <w:jc w:val="center"/>
              <w:rPr>
                <w:color w:val="auto"/>
                <w:highlight w:val="none"/>
              </w:rPr>
            </w:pPr>
            <w:r>
              <w:rPr>
                <w:color w:val="auto"/>
                <w:highlight w:val="none"/>
              </w:rPr>
              <w:t>10.</w:t>
            </w:r>
            <w:r>
              <w:rPr>
                <w:rFonts w:hint="eastAsia"/>
                <w:color w:val="auto"/>
                <w:highlight w:val="none"/>
              </w:rPr>
              <w:t>3</w:t>
            </w:r>
          </w:p>
        </w:tc>
        <w:tc>
          <w:tcPr>
            <w:tcW w:w="4348" w:type="pct"/>
            <w:gridSpan w:val="2"/>
            <w:vAlign w:val="center"/>
          </w:tcPr>
          <w:p w14:paraId="31A8D640">
            <w:pPr>
              <w:jc w:val="left"/>
              <w:rPr>
                <w:color w:val="auto"/>
                <w:highlight w:val="none"/>
              </w:rPr>
            </w:pPr>
            <w:r>
              <w:rPr>
                <w:color w:val="auto"/>
                <w:highlight w:val="none"/>
              </w:rPr>
              <w:t>第一信封投标文件（包括其电子文件）中不得出现投标报价有关内容。</w:t>
            </w:r>
          </w:p>
        </w:tc>
      </w:tr>
      <w:tr w14:paraId="2E4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51" w:type="pct"/>
            <w:vAlign w:val="center"/>
          </w:tcPr>
          <w:p w14:paraId="0ECA669D">
            <w:pPr>
              <w:jc w:val="center"/>
              <w:rPr>
                <w:color w:val="auto"/>
                <w:highlight w:val="none"/>
              </w:rPr>
            </w:pPr>
            <w:r>
              <w:rPr>
                <w:rFonts w:hint="eastAsia"/>
                <w:color w:val="auto"/>
                <w:highlight w:val="none"/>
              </w:rPr>
              <w:t>10.4</w:t>
            </w:r>
          </w:p>
        </w:tc>
        <w:tc>
          <w:tcPr>
            <w:tcW w:w="4348" w:type="pct"/>
            <w:gridSpan w:val="2"/>
            <w:vAlign w:val="center"/>
          </w:tcPr>
          <w:p w14:paraId="2E40E185">
            <w:pPr>
              <w:jc w:val="left"/>
              <w:rPr>
                <w:color w:val="auto"/>
                <w:highlight w:val="none"/>
              </w:rPr>
            </w:pPr>
            <w:r>
              <w:rPr>
                <w:rFonts w:hint="eastAsia"/>
                <w:color w:val="auto"/>
                <w:highlight w:val="none"/>
              </w:rPr>
              <w:t>根据国家和</w:t>
            </w:r>
            <w:r>
              <w:rPr>
                <w:rFonts w:hint="eastAsia"/>
                <w:color w:val="auto"/>
                <w:highlight w:val="none"/>
                <w:lang w:eastAsia="zh-CN"/>
              </w:rPr>
              <w:t>交通运输部</w:t>
            </w:r>
            <w:r>
              <w:rPr>
                <w:rFonts w:hint="eastAsia"/>
                <w:color w:val="auto"/>
                <w:highlight w:val="none"/>
              </w:rPr>
              <w:t>有关廉政建设的规定，预防和遏制腐败现象的滋生，发包人和中标人在签订咨询服务合同协议书的同时需按照本招标文件规定的格式和要求签订廉政合同，明确双方在廉政建设方面的权利和义务以及应承担的责任。</w:t>
            </w:r>
          </w:p>
        </w:tc>
      </w:tr>
      <w:tr w14:paraId="727D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51" w:type="pct"/>
            <w:vAlign w:val="center"/>
          </w:tcPr>
          <w:p w14:paraId="0C970878">
            <w:pPr>
              <w:jc w:val="center"/>
              <w:rPr>
                <w:color w:val="auto"/>
                <w:highlight w:val="none"/>
              </w:rPr>
            </w:pPr>
            <w:r>
              <w:rPr>
                <w:rFonts w:hint="eastAsia"/>
                <w:color w:val="auto"/>
                <w:highlight w:val="none"/>
              </w:rPr>
              <w:t>10.5</w:t>
            </w:r>
          </w:p>
        </w:tc>
        <w:tc>
          <w:tcPr>
            <w:tcW w:w="4348" w:type="pct"/>
            <w:gridSpan w:val="2"/>
            <w:vAlign w:val="center"/>
          </w:tcPr>
          <w:p w14:paraId="76A2DDF5">
            <w:pPr>
              <w:jc w:val="left"/>
              <w:rPr>
                <w:color w:val="auto"/>
                <w:highlight w:val="none"/>
              </w:rPr>
            </w:pPr>
            <w:r>
              <w:rPr>
                <w:rFonts w:hint="eastAsia"/>
                <w:color w:val="auto"/>
                <w:highlight w:val="none"/>
              </w:rPr>
              <w:t>在工程实施期间，结合《江苏省公路水运建设市场信用信息管理办法》，发包人有权对中标人的履约情况进行考核，并将结果上报上级交通运输行政主管部门。</w:t>
            </w:r>
          </w:p>
        </w:tc>
      </w:tr>
    </w:tbl>
    <w:p w14:paraId="074E8CF4">
      <w:pPr>
        <w:pStyle w:val="112"/>
        <w:spacing w:before="120" w:after="120" w:afterLines="50"/>
        <w:jc w:val="center"/>
        <w:rPr>
          <w:rFonts w:ascii="Garamond" w:hAnsi="Garamond" w:eastAsia="宋体" w:cs="Times New Roman"/>
          <w:b/>
          <w:color w:val="auto"/>
          <w:highlight w:val="none"/>
        </w:rPr>
      </w:pPr>
    </w:p>
    <w:p w14:paraId="09CBDD27">
      <w:pPr>
        <w:widowControl/>
        <w:jc w:val="left"/>
        <w:rPr>
          <w:rFonts w:ascii="Garamond" w:hAnsi="Garamond"/>
          <w:b/>
          <w:bCs/>
          <w:color w:val="auto"/>
          <w:sz w:val="32"/>
          <w:szCs w:val="32"/>
          <w:highlight w:val="none"/>
        </w:rPr>
      </w:pPr>
      <w:bookmarkStart w:id="59" w:name="_Toc387133631"/>
      <w:bookmarkStart w:id="60" w:name="_Toc196474983"/>
      <w:bookmarkStart w:id="61" w:name="_Toc35766213"/>
      <w:bookmarkStart w:id="62" w:name="_Toc451945793"/>
      <w:bookmarkStart w:id="63" w:name="_Toc446323654"/>
      <w:bookmarkStart w:id="64" w:name="_Toc445813319"/>
      <w:bookmarkStart w:id="65" w:name="_Toc451945959"/>
      <w:r>
        <w:rPr>
          <w:rFonts w:ascii="Garamond" w:hAnsi="Garamond"/>
          <w:color w:val="auto"/>
          <w:highlight w:val="none"/>
        </w:rPr>
        <w:br w:type="page"/>
      </w:r>
    </w:p>
    <w:bookmarkEnd w:id="59"/>
    <w:bookmarkEnd w:id="60"/>
    <w:bookmarkEnd w:id="61"/>
    <w:bookmarkEnd w:id="62"/>
    <w:bookmarkEnd w:id="63"/>
    <w:bookmarkEnd w:id="64"/>
    <w:bookmarkEnd w:id="65"/>
    <w:p w14:paraId="48465AA9">
      <w:pPr>
        <w:rPr>
          <w:rFonts w:ascii="Garamond" w:hAnsi="Garamond"/>
          <w:color w:val="auto"/>
          <w:highlight w:val="none"/>
        </w:rPr>
      </w:pPr>
      <w:bookmarkStart w:id="66" w:name="_Toc353197095"/>
    </w:p>
    <w:p w14:paraId="73D8142C">
      <w:pPr>
        <w:pStyle w:val="16"/>
        <w:rPr>
          <w:color w:val="auto"/>
          <w:highlight w:val="none"/>
        </w:rPr>
      </w:pPr>
    </w:p>
    <w:p w14:paraId="479A6D46">
      <w:pPr>
        <w:rPr>
          <w:color w:val="auto"/>
          <w:highlight w:val="none"/>
        </w:rPr>
      </w:pPr>
    </w:p>
    <w:p w14:paraId="7E122D0D">
      <w:pPr>
        <w:pStyle w:val="16"/>
        <w:rPr>
          <w:color w:val="auto"/>
          <w:highlight w:val="none"/>
        </w:rPr>
      </w:pPr>
    </w:p>
    <w:p w14:paraId="746BB8F7">
      <w:pPr>
        <w:rPr>
          <w:rFonts w:ascii="Garamond" w:hAnsi="Garamond"/>
          <w:color w:val="auto"/>
          <w:highlight w:val="none"/>
        </w:rPr>
      </w:pPr>
    </w:p>
    <w:p w14:paraId="5C0BEBA9">
      <w:pPr>
        <w:rPr>
          <w:rFonts w:ascii="Garamond" w:hAnsi="Garamond"/>
          <w:color w:val="auto"/>
          <w:highlight w:val="none"/>
        </w:rPr>
      </w:pPr>
    </w:p>
    <w:p w14:paraId="3ABB3F15">
      <w:pPr>
        <w:rPr>
          <w:rFonts w:ascii="Garamond" w:hAnsi="Garamond"/>
          <w:color w:val="auto"/>
          <w:highlight w:val="none"/>
        </w:rPr>
      </w:pPr>
    </w:p>
    <w:p w14:paraId="4A61C5C6">
      <w:pPr>
        <w:rPr>
          <w:rFonts w:ascii="Garamond" w:hAnsi="Garamond"/>
          <w:color w:val="auto"/>
          <w:highlight w:val="none"/>
        </w:rPr>
      </w:pPr>
    </w:p>
    <w:p w14:paraId="0D5A770E">
      <w:pPr>
        <w:rPr>
          <w:rFonts w:ascii="Garamond" w:hAnsi="Garamond"/>
          <w:color w:val="auto"/>
          <w:highlight w:val="none"/>
        </w:rPr>
      </w:pPr>
    </w:p>
    <w:p w14:paraId="169D276E">
      <w:pPr>
        <w:rPr>
          <w:rFonts w:ascii="Garamond" w:hAnsi="Garamond"/>
          <w:color w:val="auto"/>
          <w:highlight w:val="none"/>
        </w:rPr>
      </w:pPr>
    </w:p>
    <w:p w14:paraId="223606A6">
      <w:pPr>
        <w:rPr>
          <w:rFonts w:ascii="Garamond" w:hAnsi="Garamond"/>
          <w:color w:val="auto"/>
          <w:highlight w:val="none"/>
        </w:rPr>
      </w:pPr>
    </w:p>
    <w:p w14:paraId="62F719B0">
      <w:pPr>
        <w:rPr>
          <w:rFonts w:ascii="Garamond" w:hAnsi="Garamond"/>
          <w:color w:val="auto"/>
          <w:highlight w:val="none"/>
        </w:rPr>
      </w:pPr>
    </w:p>
    <w:p w14:paraId="5284ED19">
      <w:pPr>
        <w:rPr>
          <w:rFonts w:ascii="Garamond" w:hAnsi="Garamond"/>
          <w:color w:val="auto"/>
          <w:highlight w:val="none"/>
        </w:rPr>
      </w:pPr>
    </w:p>
    <w:p w14:paraId="0E33AD3D">
      <w:pPr>
        <w:rPr>
          <w:rFonts w:ascii="Garamond" w:hAnsi="Garamond"/>
          <w:color w:val="auto"/>
          <w:highlight w:val="none"/>
        </w:rPr>
      </w:pPr>
    </w:p>
    <w:p w14:paraId="3582817E">
      <w:pPr>
        <w:rPr>
          <w:rFonts w:ascii="Garamond" w:hAnsi="Garamond"/>
          <w:color w:val="auto"/>
          <w:highlight w:val="none"/>
        </w:rPr>
      </w:pPr>
    </w:p>
    <w:p w14:paraId="3F4F6BFA">
      <w:pPr>
        <w:pStyle w:val="2"/>
        <w:spacing w:before="120" w:beforeLines="50" w:after="120" w:afterLines="50" w:line="240" w:lineRule="auto"/>
        <w:jc w:val="center"/>
        <w:rPr>
          <w:rFonts w:ascii="Garamond" w:hAnsi="Garamond"/>
          <w:bCs w:val="0"/>
          <w:color w:val="auto"/>
          <w:sz w:val="48"/>
          <w:szCs w:val="48"/>
          <w:highlight w:val="none"/>
        </w:rPr>
      </w:pPr>
      <w:r>
        <w:rPr>
          <w:rFonts w:ascii="Garamond" w:hAnsi="Garamond"/>
          <w:bCs w:val="0"/>
          <w:color w:val="auto"/>
          <w:sz w:val="48"/>
          <w:szCs w:val="48"/>
          <w:highlight w:val="none"/>
        </w:rPr>
        <w:t>第三章  评标办法</w:t>
      </w:r>
      <w:bookmarkEnd w:id="66"/>
    </w:p>
    <w:p w14:paraId="4B639A83">
      <w:pPr>
        <w:ind w:firstLine="480"/>
        <w:jc w:val="right"/>
        <w:rPr>
          <w:rFonts w:ascii="Garamond" w:hAnsi="Garamond"/>
          <w:color w:val="auto"/>
          <w:sz w:val="24"/>
          <w:highlight w:val="none"/>
        </w:rPr>
      </w:pPr>
    </w:p>
    <w:p w14:paraId="3B77CE42">
      <w:pPr>
        <w:ind w:firstLine="480"/>
        <w:jc w:val="right"/>
        <w:rPr>
          <w:rFonts w:ascii="Garamond" w:hAnsi="Garamond"/>
          <w:color w:val="auto"/>
          <w:sz w:val="24"/>
          <w:highlight w:val="none"/>
        </w:rPr>
      </w:pPr>
    </w:p>
    <w:p w14:paraId="6F9C5AF7">
      <w:pPr>
        <w:ind w:firstLine="480"/>
        <w:jc w:val="right"/>
        <w:rPr>
          <w:rFonts w:ascii="Garamond" w:hAnsi="Garamond"/>
          <w:color w:val="auto"/>
          <w:sz w:val="24"/>
          <w:highlight w:val="none"/>
        </w:rPr>
      </w:pPr>
    </w:p>
    <w:p w14:paraId="7635E741">
      <w:pPr>
        <w:ind w:firstLine="480"/>
        <w:jc w:val="right"/>
        <w:rPr>
          <w:rFonts w:ascii="Garamond" w:hAnsi="Garamond"/>
          <w:color w:val="auto"/>
          <w:sz w:val="24"/>
          <w:highlight w:val="none"/>
        </w:rPr>
      </w:pPr>
    </w:p>
    <w:p w14:paraId="4808A49F">
      <w:pPr>
        <w:ind w:firstLine="480"/>
        <w:jc w:val="right"/>
        <w:rPr>
          <w:rFonts w:ascii="Garamond" w:hAnsi="Garamond"/>
          <w:color w:val="auto"/>
          <w:sz w:val="24"/>
          <w:highlight w:val="none"/>
        </w:rPr>
      </w:pPr>
    </w:p>
    <w:p w14:paraId="56A1BF63">
      <w:pPr>
        <w:ind w:firstLine="480"/>
        <w:jc w:val="right"/>
        <w:rPr>
          <w:rFonts w:ascii="Garamond" w:hAnsi="Garamond"/>
          <w:color w:val="auto"/>
          <w:sz w:val="24"/>
          <w:highlight w:val="none"/>
        </w:rPr>
      </w:pPr>
    </w:p>
    <w:p w14:paraId="1424CDE9">
      <w:pPr>
        <w:ind w:firstLine="480"/>
        <w:jc w:val="right"/>
        <w:rPr>
          <w:rFonts w:ascii="Garamond" w:hAnsi="Garamond"/>
          <w:color w:val="auto"/>
          <w:sz w:val="24"/>
          <w:highlight w:val="none"/>
        </w:rPr>
      </w:pPr>
    </w:p>
    <w:p w14:paraId="493A7C76">
      <w:pPr>
        <w:ind w:firstLine="480"/>
        <w:jc w:val="right"/>
        <w:rPr>
          <w:rFonts w:ascii="Garamond" w:hAnsi="Garamond"/>
          <w:color w:val="auto"/>
          <w:sz w:val="24"/>
          <w:highlight w:val="none"/>
        </w:rPr>
      </w:pPr>
    </w:p>
    <w:p w14:paraId="250FB9BD">
      <w:pPr>
        <w:ind w:firstLine="480"/>
        <w:jc w:val="right"/>
        <w:rPr>
          <w:rFonts w:ascii="Garamond" w:hAnsi="Garamond"/>
          <w:color w:val="auto"/>
          <w:sz w:val="24"/>
          <w:highlight w:val="none"/>
        </w:rPr>
      </w:pPr>
    </w:p>
    <w:p w14:paraId="0B73D8A3">
      <w:pPr>
        <w:ind w:firstLine="480"/>
        <w:jc w:val="right"/>
        <w:rPr>
          <w:rFonts w:ascii="Garamond" w:hAnsi="Garamond"/>
          <w:color w:val="auto"/>
          <w:sz w:val="24"/>
          <w:highlight w:val="none"/>
        </w:rPr>
      </w:pPr>
    </w:p>
    <w:p w14:paraId="2E42E44E">
      <w:pPr>
        <w:ind w:firstLine="480"/>
        <w:jc w:val="right"/>
        <w:rPr>
          <w:rFonts w:ascii="Garamond" w:hAnsi="Garamond"/>
          <w:color w:val="auto"/>
          <w:sz w:val="24"/>
          <w:highlight w:val="none"/>
        </w:rPr>
      </w:pPr>
    </w:p>
    <w:p w14:paraId="7AB1E277">
      <w:pPr>
        <w:ind w:firstLine="480"/>
        <w:jc w:val="right"/>
        <w:rPr>
          <w:rFonts w:ascii="Garamond" w:hAnsi="Garamond"/>
          <w:color w:val="auto"/>
          <w:sz w:val="24"/>
          <w:highlight w:val="none"/>
        </w:rPr>
      </w:pPr>
    </w:p>
    <w:p w14:paraId="4BE92DD4">
      <w:pPr>
        <w:ind w:firstLine="480"/>
        <w:jc w:val="right"/>
        <w:rPr>
          <w:rFonts w:ascii="Garamond" w:hAnsi="Garamond"/>
          <w:color w:val="auto"/>
          <w:sz w:val="24"/>
          <w:highlight w:val="none"/>
        </w:rPr>
      </w:pPr>
    </w:p>
    <w:p w14:paraId="447C7DE5">
      <w:pPr>
        <w:ind w:firstLine="480"/>
        <w:jc w:val="right"/>
        <w:rPr>
          <w:rFonts w:ascii="Garamond" w:hAnsi="Garamond"/>
          <w:color w:val="auto"/>
          <w:sz w:val="24"/>
          <w:highlight w:val="none"/>
        </w:rPr>
      </w:pPr>
    </w:p>
    <w:p w14:paraId="4E0EC6EB">
      <w:pPr>
        <w:ind w:firstLine="480"/>
        <w:jc w:val="right"/>
        <w:rPr>
          <w:rFonts w:ascii="Garamond" w:hAnsi="Garamond"/>
          <w:color w:val="auto"/>
          <w:sz w:val="24"/>
          <w:highlight w:val="none"/>
        </w:rPr>
      </w:pPr>
    </w:p>
    <w:p w14:paraId="27EFE00F">
      <w:pPr>
        <w:ind w:firstLine="480"/>
        <w:jc w:val="right"/>
        <w:rPr>
          <w:rFonts w:ascii="Garamond" w:hAnsi="Garamond"/>
          <w:color w:val="auto"/>
          <w:sz w:val="24"/>
          <w:highlight w:val="none"/>
        </w:rPr>
      </w:pPr>
    </w:p>
    <w:p w14:paraId="7077255E">
      <w:pPr>
        <w:ind w:firstLine="480"/>
        <w:jc w:val="right"/>
        <w:rPr>
          <w:rFonts w:ascii="Garamond" w:hAnsi="Garamond"/>
          <w:color w:val="auto"/>
          <w:sz w:val="24"/>
          <w:highlight w:val="none"/>
        </w:rPr>
      </w:pPr>
    </w:p>
    <w:p w14:paraId="69B97C13">
      <w:pPr>
        <w:ind w:firstLine="480"/>
        <w:jc w:val="right"/>
        <w:rPr>
          <w:rFonts w:ascii="Garamond" w:hAnsi="Garamond"/>
          <w:color w:val="auto"/>
          <w:sz w:val="24"/>
          <w:highlight w:val="none"/>
        </w:rPr>
      </w:pPr>
    </w:p>
    <w:p w14:paraId="3E326A1C">
      <w:pPr>
        <w:ind w:firstLine="480"/>
        <w:jc w:val="right"/>
        <w:rPr>
          <w:rFonts w:ascii="Garamond" w:hAnsi="Garamond"/>
          <w:color w:val="auto"/>
          <w:sz w:val="24"/>
          <w:highlight w:val="none"/>
        </w:rPr>
      </w:pPr>
    </w:p>
    <w:p w14:paraId="3D12E0AE">
      <w:pPr>
        <w:ind w:firstLine="480"/>
        <w:jc w:val="right"/>
        <w:rPr>
          <w:rFonts w:ascii="Garamond" w:hAnsi="Garamond"/>
          <w:color w:val="auto"/>
          <w:sz w:val="24"/>
          <w:highlight w:val="none"/>
        </w:rPr>
      </w:pPr>
    </w:p>
    <w:p w14:paraId="2887EB67">
      <w:pPr>
        <w:ind w:firstLine="480"/>
        <w:jc w:val="right"/>
        <w:rPr>
          <w:rFonts w:ascii="Garamond" w:hAnsi="Garamond"/>
          <w:color w:val="auto"/>
          <w:sz w:val="24"/>
          <w:highlight w:val="none"/>
        </w:rPr>
      </w:pPr>
    </w:p>
    <w:p w14:paraId="034F8C20">
      <w:pPr>
        <w:jc w:val="center"/>
        <w:rPr>
          <w:rFonts w:ascii="Garamond" w:hAnsi="Garamond"/>
          <w:b/>
          <w:color w:val="auto"/>
          <w:sz w:val="32"/>
          <w:szCs w:val="32"/>
          <w:highlight w:val="none"/>
        </w:rPr>
        <w:sectPr>
          <w:pgSz w:w="11906" w:h="16838"/>
          <w:pgMar w:top="1417" w:right="1247" w:bottom="1417" w:left="1417" w:header="851" w:footer="680" w:gutter="0"/>
          <w:pgNumType w:fmt="decimalFullWidth"/>
          <w:cols w:space="0" w:num="1"/>
          <w:docGrid w:linePitch="312" w:charSpace="0"/>
        </w:sectPr>
      </w:pPr>
    </w:p>
    <w:p w14:paraId="32851B80">
      <w:pPr>
        <w:jc w:val="center"/>
        <w:rPr>
          <w:rFonts w:ascii="Garamond" w:hAnsi="Garamond"/>
          <w:b/>
          <w:color w:val="auto"/>
          <w:sz w:val="32"/>
          <w:szCs w:val="32"/>
          <w:highlight w:val="none"/>
        </w:rPr>
      </w:pPr>
      <w:r>
        <w:rPr>
          <w:rFonts w:ascii="Garamond" w:hAnsi="Garamond"/>
          <w:b/>
          <w:color w:val="auto"/>
          <w:sz w:val="32"/>
          <w:szCs w:val="32"/>
          <w:highlight w:val="none"/>
        </w:rPr>
        <w:t>第三章  评标办法（综合评估法）</w:t>
      </w:r>
    </w:p>
    <w:p w14:paraId="25E60923">
      <w:pPr>
        <w:pStyle w:val="112"/>
        <w:spacing w:before="120" w:after="120" w:afterLines="50"/>
        <w:jc w:val="center"/>
        <w:rPr>
          <w:rFonts w:ascii="Garamond" w:hAnsi="Garamond" w:eastAsia="宋体" w:cs="Times New Roman"/>
          <w:b/>
          <w:color w:val="auto"/>
          <w:highlight w:val="none"/>
        </w:rPr>
      </w:pPr>
      <w:r>
        <w:rPr>
          <w:rFonts w:ascii="Garamond" w:hAnsi="Garamond" w:eastAsia="宋体" w:cs="Times New Roman"/>
          <w:b/>
          <w:color w:val="auto"/>
          <w:highlight w:val="none"/>
        </w:rPr>
        <w:t>评标办法前附表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11"/>
        <w:gridCol w:w="7157"/>
      </w:tblGrid>
      <w:tr w14:paraId="6E29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55" w:type="dxa"/>
            <w:gridSpan w:val="2"/>
            <w:vAlign w:val="center"/>
          </w:tcPr>
          <w:p w14:paraId="2660FADE">
            <w:pPr>
              <w:adjustRightInd w:val="0"/>
              <w:jc w:val="center"/>
              <w:textAlignment w:val="baseline"/>
              <w:rPr>
                <w:rFonts w:ascii="Garamond" w:hAnsi="Garamond"/>
                <w:b/>
                <w:color w:val="auto"/>
                <w:sz w:val="24"/>
                <w:highlight w:val="none"/>
              </w:rPr>
            </w:pPr>
            <w:r>
              <w:rPr>
                <w:rFonts w:ascii="Garamond" w:hAnsi="Garamond"/>
                <w:b/>
                <w:color w:val="auto"/>
                <w:sz w:val="24"/>
                <w:highlight w:val="none"/>
              </w:rPr>
              <w:t>条款号</w:t>
            </w:r>
          </w:p>
        </w:tc>
        <w:tc>
          <w:tcPr>
            <w:tcW w:w="7157" w:type="dxa"/>
            <w:vAlign w:val="center"/>
          </w:tcPr>
          <w:p w14:paraId="2639D37C">
            <w:pPr>
              <w:adjustRightInd w:val="0"/>
              <w:jc w:val="center"/>
              <w:textAlignment w:val="baseline"/>
              <w:rPr>
                <w:rFonts w:ascii="Garamond" w:hAnsi="Garamond"/>
                <w:b/>
                <w:color w:val="auto"/>
                <w:sz w:val="24"/>
                <w:highlight w:val="none"/>
              </w:rPr>
            </w:pPr>
            <w:r>
              <w:rPr>
                <w:rFonts w:ascii="Garamond" w:hAnsi="Garamond"/>
                <w:b/>
                <w:color w:val="auto"/>
                <w:sz w:val="24"/>
                <w:highlight w:val="none"/>
              </w:rPr>
              <w:t>评审因素与评审标准</w:t>
            </w:r>
          </w:p>
        </w:tc>
      </w:tr>
      <w:tr w14:paraId="0D15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4" w:type="dxa"/>
            <w:vAlign w:val="center"/>
          </w:tcPr>
          <w:p w14:paraId="6F3ADF97">
            <w:pPr>
              <w:jc w:val="center"/>
              <w:textAlignment w:val="baseline"/>
              <w:rPr>
                <w:rFonts w:ascii="Garamond" w:hAnsi="Garamond"/>
                <w:b/>
                <w:color w:val="auto"/>
                <w:szCs w:val="21"/>
                <w:highlight w:val="none"/>
              </w:rPr>
            </w:pPr>
            <w:r>
              <w:rPr>
                <w:rFonts w:hint="eastAsia" w:ascii="Garamond" w:hAnsi="Garamond"/>
                <w:b/>
                <w:color w:val="auto"/>
                <w:szCs w:val="21"/>
                <w:highlight w:val="none"/>
              </w:rPr>
              <w:t>1</w:t>
            </w:r>
          </w:p>
        </w:tc>
        <w:tc>
          <w:tcPr>
            <w:tcW w:w="1311" w:type="dxa"/>
            <w:vAlign w:val="center"/>
          </w:tcPr>
          <w:p w14:paraId="3BD13332">
            <w:pPr>
              <w:jc w:val="center"/>
              <w:textAlignment w:val="baseline"/>
              <w:rPr>
                <w:rFonts w:ascii="Garamond" w:hAnsi="Garamond"/>
                <w:b/>
                <w:color w:val="auto"/>
                <w:szCs w:val="21"/>
                <w:highlight w:val="none"/>
              </w:rPr>
            </w:pPr>
            <w:r>
              <w:rPr>
                <w:rFonts w:hint="eastAsia" w:ascii="Garamond" w:hAnsi="Garamond"/>
                <w:b/>
                <w:color w:val="auto"/>
                <w:szCs w:val="21"/>
                <w:highlight w:val="none"/>
              </w:rPr>
              <w:t>评标办法</w:t>
            </w:r>
          </w:p>
        </w:tc>
        <w:tc>
          <w:tcPr>
            <w:tcW w:w="7157" w:type="dxa"/>
          </w:tcPr>
          <w:p w14:paraId="494428EE">
            <w:pPr>
              <w:adjustRightInd w:val="0"/>
              <w:ind w:left="105" w:leftChars="50"/>
              <w:textAlignment w:val="baseline"/>
              <w:rPr>
                <w:rFonts w:ascii="宋体" w:hAnsi="宋体"/>
                <w:b/>
                <w:bCs/>
                <w:color w:val="auto"/>
                <w:szCs w:val="21"/>
                <w:highlight w:val="none"/>
              </w:rPr>
            </w:pPr>
            <w:r>
              <w:rPr>
                <w:rFonts w:hint="eastAsia" w:ascii="宋体" w:hAnsi="宋体"/>
                <w:b/>
                <w:bCs/>
                <w:color w:val="auto"/>
                <w:szCs w:val="21"/>
                <w:highlight w:val="none"/>
              </w:rPr>
              <w:t>本次评标采用综合评估法。根据本章“1.评标方法”的规定明确综合得分相等时，评标委员会依次按照以下优先顺序推荐中标候选人：</w:t>
            </w:r>
          </w:p>
          <w:p w14:paraId="4EC68516">
            <w:pPr>
              <w:adjustRightInd w:val="0"/>
              <w:textAlignment w:val="baseline"/>
              <w:rPr>
                <w:rFonts w:ascii="宋体" w:hAnsi="宋体"/>
                <w:b/>
                <w:bCs/>
                <w:color w:val="auto"/>
                <w:szCs w:val="21"/>
                <w:highlight w:val="none"/>
              </w:rPr>
            </w:pPr>
            <w:r>
              <w:rPr>
                <w:rFonts w:hint="eastAsia" w:ascii="宋体" w:hAnsi="宋体"/>
                <w:b/>
                <w:bCs/>
                <w:color w:val="auto"/>
                <w:szCs w:val="21"/>
                <w:highlight w:val="none"/>
              </w:rPr>
              <w:t>（1）评标价低的投标人优先；</w:t>
            </w:r>
          </w:p>
          <w:p w14:paraId="2B614960">
            <w:pPr>
              <w:adjustRightInd w:val="0"/>
              <w:textAlignment w:val="baseline"/>
              <w:rPr>
                <w:rFonts w:ascii="宋体" w:hAnsi="宋体"/>
                <w:b/>
                <w:bCs/>
                <w:color w:val="auto"/>
                <w:szCs w:val="21"/>
                <w:highlight w:val="none"/>
              </w:rPr>
            </w:pPr>
            <w:r>
              <w:rPr>
                <w:rFonts w:hint="eastAsia" w:ascii="宋体" w:hAnsi="宋体"/>
                <w:b/>
                <w:bCs/>
                <w:color w:val="auto"/>
                <w:szCs w:val="21"/>
                <w:highlight w:val="none"/>
              </w:rPr>
              <w:t>（2）最近一次被列入“江苏省交通运输守信联合激励对象名单”（红名单）的投标人优先；</w:t>
            </w:r>
          </w:p>
          <w:p w14:paraId="5031362B">
            <w:pPr>
              <w:adjustRightInd w:val="0"/>
              <w:textAlignment w:val="baseline"/>
              <w:rPr>
                <w:rFonts w:ascii="宋体" w:hAnsi="宋体"/>
                <w:b/>
                <w:bCs/>
                <w:color w:val="auto"/>
                <w:szCs w:val="21"/>
                <w:highlight w:val="none"/>
              </w:rPr>
            </w:pPr>
            <w:r>
              <w:rPr>
                <w:rFonts w:hint="eastAsia" w:ascii="宋体" w:hAnsi="宋体"/>
                <w:b/>
                <w:bCs/>
                <w:color w:val="auto"/>
                <w:szCs w:val="21"/>
                <w:highlight w:val="none"/>
              </w:rPr>
              <w:t>（3）最近一次被江苏省交通运输主管部门信用评价得分较高的优先；</w:t>
            </w:r>
          </w:p>
          <w:p w14:paraId="5C0B0F20">
            <w:pPr>
              <w:adjustRightInd w:val="0"/>
              <w:textAlignment w:val="baseline"/>
              <w:rPr>
                <w:rFonts w:ascii="宋体" w:hAnsi="宋体"/>
                <w:b/>
                <w:bCs/>
                <w:color w:val="auto"/>
                <w:szCs w:val="21"/>
                <w:highlight w:val="none"/>
              </w:rPr>
            </w:pPr>
            <w:r>
              <w:rPr>
                <w:rFonts w:hint="eastAsia" w:ascii="宋体" w:hAnsi="宋体"/>
                <w:b/>
                <w:bCs/>
                <w:color w:val="auto"/>
                <w:szCs w:val="21"/>
                <w:highlight w:val="none"/>
              </w:rPr>
              <w:t>（4）第一信封（商务及技术文件）得分较高的投标人优先；</w:t>
            </w:r>
          </w:p>
          <w:p w14:paraId="769A07D9">
            <w:pPr>
              <w:adjustRightInd w:val="0"/>
              <w:textAlignment w:val="baseline"/>
              <w:rPr>
                <w:rFonts w:ascii="宋体" w:hAnsi="宋体"/>
                <w:b/>
                <w:bCs/>
                <w:color w:val="auto"/>
                <w:szCs w:val="21"/>
                <w:highlight w:val="none"/>
              </w:rPr>
            </w:pPr>
            <w:r>
              <w:rPr>
                <w:rFonts w:hint="eastAsia" w:ascii="宋体" w:hAnsi="宋体"/>
                <w:b/>
                <w:bCs/>
                <w:color w:val="auto"/>
                <w:szCs w:val="21"/>
                <w:highlight w:val="none"/>
              </w:rPr>
              <w:t>（5）评标委员会全体成员记名票决确定中标候选人。</w:t>
            </w:r>
          </w:p>
          <w:p w14:paraId="268428F8">
            <w:pPr>
              <w:adjustRightInd w:val="0"/>
              <w:textAlignment w:val="baseline"/>
              <w:rPr>
                <w:rFonts w:ascii="宋体" w:hAnsi="宋体"/>
                <w:b/>
                <w:bCs/>
                <w:color w:val="auto"/>
                <w:szCs w:val="21"/>
                <w:highlight w:val="none"/>
              </w:rPr>
            </w:pPr>
            <w:r>
              <w:rPr>
                <w:rFonts w:hint="eastAsia" w:ascii="宋体" w:hAnsi="宋体"/>
                <w:b/>
                <w:bCs/>
                <w:color w:val="auto"/>
                <w:szCs w:val="21"/>
                <w:highlight w:val="none"/>
              </w:rPr>
              <w:t>红名单、江苏省交通运输主管部门信用评价分值均以投标文件递交截止日当天的查询结果为准。</w:t>
            </w:r>
          </w:p>
        </w:tc>
      </w:tr>
      <w:tr w14:paraId="2B56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4" w:type="dxa"/>
            <w:vMerge w:val="restart"/>
            <w:vAlign w:val="center"/>
          </w:tcPr>
          <w:p w14:paraId="6F58DE38">
            <w:pPr>
              <w:jc w:val="center"/>
              <w:textAlignment w:val="baseline"/>
              <w:rPr>
                <w:rFonts w:ascii="Garamond" w:hAnsi="Garamond"/>
                <w:b/>
                <w:color w:val="auto"/>
                <w:szCs w:val="21"/>
                <w:highlight w:val="none"/>
              </w:rPr>
            </w:pPr>
            <w:r>
              <w:rPr>
                <w:rFonts w:ascii="Garamond" w:hAnsi="Garamond"/>
                <w:b/>
                <w:color w:val="auto"/>
                <w:szCs w:val="21"/>
                <w:highlight w:val="none"/>
              </w:rPr>
              <w:t>2.1.1</w:t>
            </w:r>
          </w:p>
          <w:p w14:paraId="47DBE955">
            <w:pPr>
              <w:jc w:val="center"/>
              <w:textAlignment w:val="baseline"/>
              <w:rPr>
                <w:rFonts w:ascii="Garamond" w:hAnsi="Garamond"/>
                <w:b/>
                <w:color w:val="auto"/>
                <w:szCs w:val="21"/>
                <w:highlight w:val="none"/>
              </w:rPr>
            </w:pPr>
            <w:r>
              <w:rPr>
                <w:rFonts w:ascii="Garamond" w:hAnsi="Garamond"/>
                <w:b/>
                <w:color w:val="auto"/>
                <w:szCs w:val="21"/>
                <w:highlight w:val="none"/>
              </w:rPr>
              <w:t>2.1.3</w:t>
            </w:r>
          </w:p>
        </w:tc>
        <w:tc>
          <w:tcPr>
            <w:tcW w:w="1311" w:type="dxa"/>
            <w:vAlign w:val="center"/>
          </w:tcPr>
          <w:p w14:paraId="2C599081">
            <w:pPr>
              <w:jc w:val="center"/>
              <w:textAlignment w:val="baseline"/>
              <w:rPr>
                <w:rFonts w:ascii="Garamond" w:hAnsi="Garamond"/>
                <w:b/>
                <w:color w:val="auto"/>
                <w:szCs w:val="21"/>
                <w:highlight w:val="none"/>
              </w:rPr>
            </w:pPr>
            <w:r>
              <w:rPr>
                <w:rFonts w:ascii="Garamond" w:hAnsi="Garamond"/>
                <w:b/>
                <w:color w:val="auto"/>
                <w:szCs w:val="21"/>
                <w:highlight w:val="none"/>
              </w:rPr>
              <w:t>形式与响应性评审标准（第一个信封）</w:t>
            </w:r>
          </w:p>
        </w:tc>
        <w:tc>
          <w:tcPr>
            <w:tcW w:w="7157" w:type="dxa"/>
          </w:tcPr>
          <w:p w14:paraId="4915427E">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（1）投标文件按照招标文件规定的格式、内容填写，字迹清晰可辨：</w:t>
            </w:r>
          </w:p>
          <w:p w14:paraId="5C03C684">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a、投标函按招标文件规定填报了项目名称、标段号、补遗书编号（如有）；</w:t>
            </w:r>
          </w:p>
          <w:p w14:paraId="48D2507F">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b、投标函附录的所有数据均符合招标文件规定；</w:t>
            </w:r>
          </w:p>
          <w:p w14:paraId="074B6E7B">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c、投标文件组成齐全完整，内容均按规定填写。</w:t>
            </w:r>
          </w:p>
          <w:p w14:paraId="1340326D">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（2）投标文件上法定代表人或其委托代理人的签字、投标人的单位章盖章齐全，符合招标文件规定：</w:t>
            </w:r>
          </w:p>
          <w:p w14:paraId="0A7F0D7B">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投标函及投标函附录、承诺函的内容，应由投标人的法定代表人或其委托代理人逐页签署姓名（本页正文内容已由投标人的法定代表人或其委托代理人签署姓名的可不签署）并逐页加盖投标人单位章（本页正文内容已加盖单位章的除外）。</w:t>
            </w:r>
          </w:p>
          <w:p w14:paraId="2CF4D285">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（3）投标人法定代表人的授权代理人，需提交附有法定代表人身份证明的授权委托书，授权人和被授权人均在授权书上签名，未使用印章、签名章或其他电子制版签名。</w:t>
            </w:r>
          </w:p>
          <w:p w14:paraId="4D1F6011">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（4）投标人法定代表人若亲自签署投标文件的，提供了法定代表人身份证明，法定代表人在法定代表人身份证明上签名，未使用印章、签名章或其他电子制版签名。</w:t>
            </w:r>
          </w:p>
          <w:p w14:paraId="19A36F67">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（5）投标人未以联合体形式投标。</w:t>
            </w:r>
          </w:p>
          <w:p w14:paraId="6A6D982F">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（6）投标文件未附有招标文件规定范围内的招标人不能接受的条件。</w:t>
            </w:r>
          </w:p>
          <w:p w14:paraId="29E24180">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（7）投标人按照招标文件规定的金额、形式、时效和内容提供了投标保证金</w:t>
            </w:r>
            <w:r>
              <w:rPr>
                <w:rFonts w:hint="eastAsia" w:ascii="宋体" w:hAnsi="宋体"/>
                <w:b/>
                <w:bCs/>
                <w:color w:val="auto"/>
                <w:szCs w:val="21"/>
                <w:highlight w:val="none"/>
              </w:rPr>
              <w:t>。</w:t>
            </w:r>
          </w:p>
          <w:p w14:paraId="36D63578">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（8）投标文件第一个信封未出现有关投标报价的内容。</w:t>
            </w:r>
          </w:p>
          <w:p w14:paraId="7E6469E3">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（9）投标文件载明的招标项目完成期限未超过招标文件规定的时限。</w:t>
            </w:r>
          </w:p>
          <w:p w14:paraId="088F2D71">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（10）权利义务符合招标文件规定：</w:t>
            </w:r>
          </w:p>
          <w:p w14:paraId="5129D7B0">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a.投标人应接受招标文件规定的风险划分原则，未提出新的风险划分办法；</w:t>
            </w:r>
          </w:p>
          <w:p w14:paraId="611DE379">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b.投标人未增加发包人的责任范围，或减少投标人义务；</w:t>
            </w:r>
          </w:p>
          <w:p w14:paraId="143EAB9B">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c.投标人未提出不同的工程验收、计量、支付办法；</w:t>
            </w:r>
          </w:p>
          <w:p w14:paraId="7E0F2109">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d.投标人对合同纠纷、事故处理办法未提出异议；</w:t>
            </w:r>
          </w:p>
          <w:p w14:paraId="203F9448">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e.投标人在投标活动中无欺诈行为；</w:t>
            </w:r>
          </w:p>
          <w:p w14:paraId="065AECF0">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f.投标人未对合同条款有重要保留。</w:t>
            </w:r>
          </w:p>
          <w:p w14:paraId="7142F6C6">
            <w:pPr>
              <w:adjustRightInd w:val="0"/>
              <w:ind w:left="105" w:leftChars="50"/>
              <w:textAlignment w:val="baseline"/>
              <w:rPr>
                <w:rFonts w:ascii="宋体" w:hAnsi="宋体"/>
                <w:b/>
                <w:bCs/>
                <w:color w:val="auto"/>
                <w:szCs w:val="21"/>
                <w:highlight w:val="none"/>
              </w:rPr>
            </w:pPr>
            <w:r>
              <w:rPr>
                <w:rFonts w:ascii="宋体" w:hAnsi="宋体"/>
                <w:b/>
                <w:bCs/>
                <w:color w:val="auto"/>
                <w:szCs w:val="21"/>
                <w:highlight w:val="none"/>
              </w:rPr>
              <w:t>（11）投标文件正、副本份数符合招标文件第二章“投标人须知”第3.7.4项规定。</w:t>
            </w:r>
          </w:p>
        </w:tc>
      </w:tr>
      <w:tr w14:paraId="2C79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4" w:type="dxa"/>
            <w:vMerge w:val="continue"/>
            <w:vAlign w:val="center"/>
          </w:tcPr>
          <w:p w14:paraId="7D8D4098">
            <w:pPr>
              <w:jc w:val="center"/>
              <w:textAlignment w:val="baseline"/>
              <w:rPr>
                <w:rFonts w:ascii="Garamond" w:hAnsi="Garamond"/>
                <w:b/>
                <w:color w:val="auto"/>
                <w:szCs w:val="21"/>
                <w:highlight w:val="none"/>
              </w:rPr>
            </w:pPr>
          </w:p>
        </w:tc>
        <w:tc>
          <w:tcPr>
            <w:tcW w:w="1311" w:type="dxa"/>
            <w:vAlign w:val="center"/>
          </w:tcPr>
          <w:p w14:paraId="1B57C067">
            <w:pPr>
              <w:jc w:val="center"/>
              <w:textAlignment w:val="baseline"/>
              <w:rPr>
                <w:rFonts w:ascii="Garamond" w:hAnsi="Garamond"/>
                <w:b/>
                <w:color w:val="auto"/>
                <w:szCs w:val="21"/>
                <w:highlight w:val="none"/>
              </w:rPr>
            </w:pPr>
            <w:r>
              <w:rPr>
                <w:rFonts w:ascii="Garamond" w:hAnsi="Garamond"/>
                <w:b/>
                <w:color w:val="auto"/>
                <w:szCs w:val="21"/>
                <w:highlight w:val="none"/>
              </w:rPr>
              <w:t>形式与响应性评审标准（第二个信封）</w:t>
            </w:r>
          </w:p>
        </w:tc>
        <w:tc>
          <w:tcPr>
            <w:tcW w:w="7157" w:type="dxa"/>
          </w:tcPr>
          <w:p w14:paraId="39DEB032">
            <w:pPr>
              <w:ind w:left="105" w:leftChars="50"/>
              <w:rPr>
                <w:rFonts w:ascii="Garamond" w:hAnsi="Garamond"/>
                <w:b/>
                <w:color w:val="auto"/>
                <w:szCs w:val="21"/>
                <w:highlight w:val="none"/>
              </w:rPr>
            </w:pPr>
            <w:r>
              <w:rPr>
                <w:rFonts w:ascii="Garamond" w:hAnsi="Garamond"/>
                <w:b/>
                <w:color w:val="auto"/>
                <w:szCs w:val="21"/>
                <w:highlight w:val="none"/>
              </w:rPr>
              <w:t>（1）投标文件按照招标文件规定的格式、内容填写，字迹清晰可辨，内容齐全完整：</w:t>
            </w:r>
          </w:p>
          <w:p w14:paraId="5DB48027">
            <w:pPr>
              <w:ind w:left="105" w:leftChars="50"/>
              <w:rPr>
                <w:rFonts w:ascii="Garamond" w:hAnsi="Garamond"/>
                <w:b/>
                <w:color w:val="auto"/>
                <w:szCs w:val="21"/>
                <w:highlight w:val="none"/>
              </w:rPr>
            </w:pPr>
            <w:r>
              <w:rPr>
                <w:rFonts w:ascii="Garamond" w:hAnsi="Garamond"/>
                <w:b/>
                <w:color w:val="auto"/>
                <w:szCs w:val="21"/>
                <w:highlight w:val="none"/>
              </w:rPr>
              <w:t>a.投标函按招标文件规定填报了项目名称、标段号、补遗书编号（如有）、投标价（包括大写金额和小写金额）；</w:t>
            </w:r>
          </w:p>
          <w:p w14:paraId="252B04A3">
            <w:pPr>
              <w:ind w:left="105" w:leftChars="50"/>
              <w:rPr>
                <w:rFonts w:ascii="Garamond" w:hAnsi="Garamond"/>
                <w:b/>
                <w:color w:val="auto"/>
                <w:szCs w:val="21"/>
                <w:highlight w:val="none"/>
              </w:rPr>
            </w:pPr>
            <w:r>
              <w:rPr>
                <w:rFonts w:ascii="Garamond" w:hAnsi="Garamond"/>
                <w:b/>
                <w:color w:val="auto"/>
                <w:szCs w:val="21"/>
                <w:highlight w:val="none"/>
              </w:rPr>
              <w:t>b.已标价报价清单说明文字与招标文件规定一致，未进行实质性修改和删减；</w:t>
            </w:r>
          </w:p>
          <w:p w14:paraId="78C8E5F8">
            <w:pPr>
              <w:ind w:left="105" w:leftChars="50"/>
              <w:rPr>
                <w:rFonts w:ascii="Garamond" w:hAnsi="Garamond"/>
                <w:b/>
                <w:color w:val="auto"/>
                <w:szCs w:val="21"/>
                <w:highlight w:val="none"/>
              </w:rPr>
            </w:pPr>
            <w:r>
              <w:rPr>
                <w:rFonts w:ascii="Garamond" w:hAnsi="Garamond"/>
                <w:b/>
                <w:color w:val="auto"/>
                <w:szCs w:val="21"/>
                <w:highlight w:val="none"/>
              </w:rPr>
              <w:t>c.投标文件组成齐全完整，内容均按规定填写。</w:t>
            </w:r>
          </w:p>
          <w:p w14:paraId="78951A2D">
            <w:pPr>
              <w:ind w:left="105" w:leftChars="50"/>
              <w:jc w:val="left"/>
              <w:rPr>
                <w:rFonts w:ascii="Garamond" w:hAnsi="Garamond"/>
                <w:b/>
                <w:color w:val="auto"/>
                <w:szCs w:val="21"/>
                <w:highlight w:val="none"/>
              </w:rPr>
            </w:pPr>
            <w:r>
              <w:rPr>
                <w:rFonts w:ascii="Garamond" w:hAnsi="Garamond"/>
                <w:b/>
                <w:color w:val="auto"/>
                <w:szCs w:val="21"/>
                <w:highlight w:val="none"/>
              </w:rPr>
              <w:t>（2）投标文件上法定代表人或其委托代理人的签字、投标人的单位章盖章齐全，符合招标文件规定：</w:t>
            </w:r>
          </w:p>
          <w:p w14:paraId="32440E6B">
            <w:pPr>
              <w:ind w:left="105" w:leftChars="50"/>
              <w:jc w:val="left"/>
              <w:rPr>
                <w:rFonts w:ascii="Garamond" w:hAnsi="Garamond"/>
                <w:b/>
                <w:color w:val="auto"/>
                <w:szCs w:val="21"/>
                <w:highlight w:val="none"/>
              </w:rPr>
            </w:pPr>
            <w:r>
              <w:rPr>
                <w:rFonts w:ascii="Garamond" w:hAnsi="Garamond"/>
                <w:b/>
                <w:color w:val="auto"/>
                <w:szCs w:val="21"/>
                <w:highlight w:val="none"/>
              </w:rPr>
              <w:t>投标函的内容，应由投标人的法定代表人或其委托代理人逐页签署姓名（本页正文内容已由投标人的法定代表人或其委托代理人签署姓名的可不签署）并逐页加盖投标人单位章（本页正文内容已加盖单位章的除外）。</w:t>
            </w:r>
          </w:p>
          <w:p w14:paraId="7F6293ED">
            <w:pPr>
              <w:ind w:left="105" w:leftChars="50"/>
              <w:rPr>
                <w:rFonts w:ascii="Garamond" w:hAnsi="Garamond"/>
                <w:b/>
                <w:color w:val="auto"/>
                <w:szCs w:val="21"/>
                <w:highlight w:val="none"/>
              </w:rPr>
            </w:pPr>
            <w:r>
              <w:rPr>
                <w:rFonts w:ascii="Garamond" w:hAnsi="Garamond"/>
                <w:b/>
                <w:color w:val="auto"/>
                <w:szCs w:val="21"/>
                <w:highlight w:val="none"/>
              </w:rPr>
              <w:t>（3）投标报价未超过招标文件设定的最高投标限价（如有）。</w:t>
            </w:r>
          </w:p>
          <w:p w14:paraId="194AEDCD">
            <w:pPr>
              <w:ind w:left="105" w:leftChars="50"/>
              <w:rPr>
                <w:rFonts w:ascii="Garamond" w:hAnsi="Garamond"/>
                <w:b/>
                <w:color w:val="auto"/>
                <w:szCs w:val="21"/>
                <w:highlight w:val="none"/>
              </w:rPr>
            </w:pPr>
            <w:r>
              <w:rPr>
                <w:rFonts w:ascii="Garamond" w:hAnsi="Garamond"/>
                <w:b/>
                <w:color w:val="auto"/>
                <w:szCs w:val="21"/>
                <w:highlight w:val="none"/>
              </w:rPr>
              <w:t>（4）投标报价的大写金额能够确定具体数值。</w:t>
            </w:r>
          </w:p>
          <w:p w14:paraId="690118BA">
            <w:pPr>
              <w:ind w:left="105" w:leftChars="50"/>
              <w:jc w:val="left"/>
              <w:rPr>
                <w:rFonts w:ascii="Garamond" w:hAnsi="Garamond"/>
                <w:b/>
                <w:color w:val="auto"/>
                <w:szCs w:val="21"/>
                <w:highlight w:val="none"/>
              </w:rPr>
            </w:pPr>
            <w:r>
              <w:rPr>
                <w:rFonts w:ascii="Garamond" w:hAnsi="Garamond"/>
                <w:b/>
                <w:color w:val="auto"/>
                <w:szCs w:val="21"/>
                <w:highlight w:val="none"/>
              </w:rPr>
              <w:t>（5）同一投标人未提交两个以上不同的投标报价，但招标文件要求提交备选投标的除外。</w:t>
            </w:r>
          </w:p>
          <w:p w14:paraId="65FB3D48">
            <w:pPr>
              <w:ind w:left="105" w:leftChars="50"/>
              <w:jc w:val="left"/>
              <w:rPr>
                <w:rFonts w:ascii="Garamond" w:hAnsi="Garamond"/>
                <w:b/>
                <w:color w:val="auto"/>
                <w:szCs w:val="21"/>
                <w:highlight w:val="none"/>
              </w:rPr>
            </w:pPr>
            <w:r>
              <w:rPr>
                <w:rFonts w:ascii="Garamond" w:hAnsi="Garamond"/>
                <w:b/>
                <w:color w:val="auto"/>
                <w:szCs w:val="21"/>
                <w:highlight w:val="none"/>
              </w:rPr>
              <w:t>（</w:t>
            </w:r>
            <w:r>
              <w:rPr>
                <w:rFonts w:hint="eastAsia" w:ascii="Garamond" w:hAnsi="Garamond"/>
                <w:b/>
                <w:color w:val="auto"/>
                <w:szCs w:val="21"/>
                <w:highlight w:val="none"/>
              </w:rPr>
              <w:t>6</w:t>
            </w:r>
            <w:r>
              <w:rPr>
                <w:rFonts w:ascii="Garamond" w:hAnsi="Garamond"/>
                <w:b/>
                <w:color w:val="auto"/>
                <w:szCs w:val="21"/>
                <w:highlight w:val="none"/>
              </w:rPr>
              <w:t>）投标文件正、副本份数符合招标文件第二章“投标人须知”第3.7.4项规定。</w:t>
            </w:r>
          </w:p>
        </w:tc>
      </w:tr>
      <w:tr w14:paraId="7C48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4" w:type="dxa"/>
            <w:vAlign w:val="center"/>
          </w:tcPr>
          <w:p w14:paraId="313A1CF8">
            <w:pPr>
              <w:jc w:val="center"/>
              <w:textAlignment w:val="baseline"/>
              <w:rPr>
                <w:rFonts w:ascii="Garamond" w:hAnsi="Garamond"/>
                <w:b/>
                <w:color w:val="auto"/>
                <w:szCs w:val="21"/>
                <w:highlight w:val="none"/>
              </w:rPr>
            </w:pPr>
            <w:r>
              <w:rPr>
                <w:rFonts w:ascii="Garamond" w:hAnsi="Garamond"/>
                <w:b/>
                <w:color w:val="auto"/>
                <w:szCs w:val="21"/>
                <w:highlight w:val="none"/>
              </w:rPr>
              <w:t>2.1.2</w:t>
            </w:r>
          </w:p>
        </w:tc>
        <w:tc>
          <w:tcPr>
            <w:tcW w:w="1311" w:type="dxa"/>
            <w:vAlign w:val="center"/>
          </w:tcPr>
          <w:p w14:paraId="3C610BA3">
            <w:pPr>
              <w:jc w:val="center"/>
              <w:textAlignment w:val="baseline"/>
              <w:rPr>
                <w:rFonts w:ascii="Garamond" w:hAnsi="Garamond"/>
                <w:b/>
                <w:color w:val="auto"/>
                <w:highlight w:val="none"/>
              </w:rPr>
            </w:pPr>
            <w:r>
              <w:rPr>
                <w:rFonts w:ascii="Garamond" w:hAnsi="Garamond"/>
                <w:b/>
                <w:color w:val="auto"/>
                <w:highlight w:val="none"/>
              </w:rPr>
              <w:t>资格评</w:t>
            </w:r>
          </w:p>
          <w:p w14:paraId="0CE963EA">
            <w:pPr>
              <w:jc w:val="center"/>
              <w:textAlignment w:val="baseline"/>
              <w:rPr>
                <w:rFonts w:ascii="Garamond" w:hAnsi="Garamond"/>
                <w:b/>
                <w:color w:val="auto"/>
                <w:highlight w:val="none"/>
              </w:rPr>
            </w:pPr>
            <w:r>
              <w:rPr>
                <w:rFonts w:ascii="Garamond" w:hAnsi="Garamond"/>
                <w:b/>
                <w:color w:val="auto"/>
                <w:highlight w:val="none"/>
              </w:rPr>
              <w:t>审标准</w:t>
            </w:r>
          </w:p>
        </w:tc>
        <w:tc>
          <w:tcPr>
            <w:tcW w:w="7157" w:type="dxa"/>
          </w:tcPr>
          <w:p w14:paraId="533CAF0E">
            <w:pPr>
              <w:ind w:left="211" w:hanging="211" w:hangingChars="100"/>
              <w:jc w:val="left"/>
              <w:rPr>
                <w:rFonts w:ascii="Garamond" w:hAnsi="Garamond"/>
                <w:b/>
                <w:color w:val="auto"/>
                <w:szCs w:val="21"/>
                <w:highlight w:val="none"/>
              </w:rPr>
            </w:pPr>
            <w:r>
              <w:rPr>
                <w:rFonts w:ascii="Garamond" w:hAnsi="Garamond"/>
                <w:b/>
                <w:color w:val="auto"/>
                <w:szCs w:val="21"/>
                <w:highlight w:val="none"/>
              </w:rPr>
              <w:t>（1）投标人</w:t>
            </w:r>
            <w:r>
              <w:rPr>
                <w:rFonts w:hint="eastAsia" w:ascii="Garamond" w:hAnsi="Garamond"/>
                <w:b/>
                <w:color w:val="auto"/>
                <w:szCs w:val="21"/>
                <w:highlight w:val="none"/>
              </w:rPr>
              <w:t>为</w:t>
            </w:r>
            <w:r>
              <w:rPr>
                <w:rFonts w:ascii="Garamond" w:hAnsi="Garamond"/>
                <w:b/>
                <w:color w:val="auto"/>
                <w:szCs w:val="21"/>
                <w:highlight w:val="none"/>
              </w:rPr>
              <w:t>独立法人</w:t>
            </w:r>
            <w:r>
              <w:rPr>
                <w:rFonts w:hint="eastAsia" w:ascii="Garamond" w:hAnsi="Garamond"/>
                <w:b/>
                <w:color w:val="auto"/>
                <w:szCs w:val="21"/>
                <w:highlight w:val="none"/>
              </w:rPr>
              <w:t>单位</w:t>
            </w:r>
            <w:r>
              <w:rPr>
                <w:rFonts w:ascii="Garamond" w:hAnsi="Garamond"/>
                <w:b/>
                <w:color w:val="auto"/>
                <w:szCs w:val="21"/>
                <w:highlight w:val="none"/>
              </w:rPr>
              <w:t>，具有有效营业执照和有效的基本账户开户许可证（或基本存款账户信息）</w:t>
            </w:r>
            <w:r>
              <w:rPr>
                <w:rFonts w:hint="eastAsia" w:ascii="Garamond" w:hAnsi="Garamond"/>
                <w:b/>
                <w:color w:val="auto"/>
                <w:szCs w:val="21"/>
                <w:highlight w:val="none"/>
              </w:rPr>
              <w:t>。</w:t>
            </w:r>
            <w:r>
              <w:rPr>
                <w:rFonts w:ascii="Garamond" w:hAnsi="Garamond"/>
                <w:b/>
                <w:color w:val="auto"/>
                <w:szCs w:val="21"/>
                <w:highlight w:val="none"/>
              </w:rPr>
              <w:t xml:space="preserve"> </w:t>
            </w:r>
          </w:p>
          <w:p w14:paraId="6E20237F">
            <w:pPr>
              <w:ind w:left="211" w:hanging="211" w:hangingChars="100"/>
              <w:jc w:val="left"/>
              <w:rPr>
                <w:rFonts w:ascii="Garamond" w:hAnsi="Garamond"/>
                <w:b/>
                <w:color w:val="auto"/>
                <w:szCs w:val="21"/>
                <w:highlight w:val="none"/>
              </w:rPr>
            </w:pPr>
            <w:r>
              <w:rPr>
                <w:rFonts w:ascii="Garamond" w:hAnsi="Garamond"/>
                <w:b/>
                <w:color w:val="auto"/>
                <w:szCs w:val="21"/>
                <w:highlight w:val="none"/>
              </w:rPr>
              <w:t>（2）投标人的资质符合招标文件规定。</w:t>
            </w:r>
          </w:p>
          <w:p w14:paraId="5079A7AF">
            <w:pPr>
              <w:ind w:left="211" w:hanging="211" w:hangingChars="100"/>
              <w:jc w:val="left"/>
              <w:rPr>
                <w:rFonts w:ascii="Garamond" w:hAnsi="Garamond"/>
                <w:b/>
                <w:color w:val="auto"/>
                <w:szCs w:val="21"/>
                <w:highlight w:val="none"/>
              </w:rPr>
            </w:pPr>
            <w:r>
              <w:rPr>
                <w:rFonts w:ascii="Garamond" w:hAnsi="Garamond"/>
                <w:b/>
                <w:color w:val="auto"/>
                <w:szCs w:val="21"/>
                <w:highlight w:val="none"/>
              </w:rPr>
              <w:t>（3）投标人的类似项目业绩符合招标文件规定。</w:t>
            </w:r>
          </w:p>
          <w:p w14:paraId="336D86D9">
            <w:pPr>
              <w:ind w:left="211" w:hanging="211" w:hangingChars="100"/>
              <w:jc w:val="left"/>
              <w:rPr>
                <w:rFonts w:ascii="Garamond" w:hAnsi="Garamond"/>
                <w:b/>
                <w:color w:val="auto"/>
                <w:szCs w:val="21"/>
                <w:highlight w:val="none"/>
              </w:rPr>
            </w:pPr>
            <w:r>
              <w:rPr>
                <w:rFonts w:ascii="Garamond" w:hAnsi="Garamond"/>
                <w:b/>
                <w:color w:val="auto"/>
                <w:szCs w:val="21"/>
                <w:highlight w:val="none"/>
              </w:rPr>
              <w:t>（4）投标人的信誉符合招标文件规定。</w:t>
            </w:r>
          </w:p>
          <w:p w14:paraId="1DBCD6E4">
            <w:pPr>
              <w:ind w:left="211" w:hanging="211" w:hangingChars="100"/>
              <w:jc w:val="left"/>
              <w:rPr>
                <w:rFonts w:ascii="Garamond" w:hAnsi="Garamond"/>
                <w:b/>
                <w:color w:val="auto"/>
                <w:szCs w:val="21"/>
                <w:highlight w:val="none"/>
              </w:rPr>
            </w:pPr>
            <w:r>
              <w:rPr>
                <w:rFonts w:ascii="Garamond" w:hAnsi="Garamond"/>
                <w:b/>
                <w:color w:val="auto"/>
                <w:szCs w:val="21"/>
                <w:highlight w:val="none"/>
              </w:rPr>
              <w:t>（5）投标人的项目负责人资格、业绩符合招标文件规定。</w:t>
            </w:r>
          </w:p>
          <w:p w14:paraId="3935ABA6">
            <w:pPr>
              <w:ind w:left="211" w:hanging="211" w:hangingChars="100"/>
              <w:jc w:val="left"/>
              <w:rPr>
                <w:rFonts w:ascii="Garamond" w:hAnsi="Garamond"/>
                <w:b/>
                <w:color w:val="auto"/>
                <w:szCs w:val="21"/>
                <w:highlight w:val="none"/>
              </w:rPr>
            </w:pPr>
            <w:r>
              <w:rPr>
                <w:rFonts w:ascii="Garamond" w:hAnsi="Garamond"/>
                <w:b/>
                <w:color w:val="auto"/>
                <w:szCs w:val="21"/>
                <w:highlight w:val="none"/>
              </w:rPr>
              <w:t>（6）投标人的其他要求符合招标文件规定。</w:t>
            </w:r>
          </w:p>
          <w:p w14:paraId="1BAD75E4">
            <w:pPr>
              <w:ind w:left="211" w:hanging="211" w:hangingChars="100"/>
              <w:jc w:val="left"/>
              <w:rPr>
                <w:rFonts w:ascii="Garamond" w:hAnsi="Garamond"/>
                <w:b/>
                <w:color w:val="auto"/>
                <w:szCs w:val="21"/>
                <w:highlight w:val="none"/>
              </w:rPr>
            </w:pPr>
            <w:r>
              <w:rPr>
                <w:rFonts w:ascii="Garamond" w:hAnsi="Garamond"/>
                <w:b/>
                <w:color w:val="auto"/>
                <w:szCs w:val="21"/>
                <w:highlight w:val="none"/>
              </w:rPr>
              <w:t>（7）投标人不存在第二章“投标人须知”第 1.4.3 项或第 1.4.4 项规定的任何一种情形。</w:t>
            </w:r>
          </w:p>
        </w:tc>
      </w:tr>
    </w:tbl>
    <w:p w14:paraId="4F48E1C2">
      <w:pPr>
        <w:rPr>
          <w:rFonts w:ascii="Garamond" w:hAnsi="Garamond"/>
          <w:color w:val="auto"/>
          <w:sz w:val="18"/>
          <w:szCs w:val="18"/>
          <w:highlight w:val="none"/>
        </w:rPr>
      </w:pPr>
    </w:p>
    <w:p w14:paraId="79BFFDBF">
      <w:pPr>
        <w:rPr>
          <w:rFonts w:ascii="Garamond" w:hAnsi="Garamond"/>
          <w:color w:val="auto"/>
          <w:sz w:val="18"/>
          <w:szCs w:val="18"/>
          <w:highlight w:val="none"/>
        </w:rPr>
      </w:pPr>
    </w:p>
    <w:p w14:paraId="51954527">
      <w:pPr>
        <w:rPr>
          <w:rFonts w:ascii="Garamond" w:hAnsi="Garamond"/>
          <w:color w:val="auto"/>
          <w:sz w:val="18"/>
          <w:szCs w:val="18"/>
          <w:highlight w:val="none"/>
        </w:rPr>
      </w:pPr>
    </w:p>
    <w:p w14:paraId="5968F64D">
      <w:pPr>
        <w:rPr>
          <w:rFonts w:ascii="Garamond" w:hAnsi="Garamond"/>
          <w:color w:val="auto"/>
          <w:sz w:val="18"/>
          <w:szCs w:val="18"/>
          <w:highlight w:val="none"/>
        </w:rPr>
      </w:pPr>
    </w:p>
    <w:p w14:paraId="2736A646">
      <w:pPr>
        <w:rPr>
          <w:rFonts w:ascii="Garamond" w:hAnsi="Garamond"/>
          <w:color w:val="auto"/>
          <w:sz w:val="18"/>
          <w:szCs w:val="18"/>
          <w:highlight w:val="none"/>
        </w:rPr>
      </w:pPr>
    </w:p>
    <w:p w14:paraId="15E19768">
      <w:pPr>
        <w:rPr>
          <w:rFonts w:ascii="Garamond" w:hAnsi="Garamond"/>
          <w:color w:val="auto"/>
          <w:sz w:val="18"/>
          <w:szCs w:val="18"/>
          <w:highlight w:val="none"/>
        </w:rPr>
      </w:pPr>
    </w:p>
    <w:p w14:paraId="3AB3EA9F">
      <w:pPr>
        <w:rPr>
          <w:rFonts w:ascii="Garamond" w:hAnsi="Garamond"/>
          <w:color w:val="auto"/>
          <w:sz w:val="18"/>
          <w:szCs w:val="18"/>
          <w:highlight w:val="none"/>
        </w:rPr>
      </w:pPr>
    </w:p>
    <w:p w14:paraId="18405101">
      <w:pPr>
        <w:rPr>
          <w:rFonts w:ascii="Garamond" w:hAnsi="Garamond"/>
          <w:color w:val="auto"/>
          <w:sz w:val="18"/>
          <w:szCs w:val="18"/>
          <w:highlight w:val="none"/>
        </w:rPr>
      </w:pPr>
    </w:p>
    <w:p w14:paraId="752B68C2">
      <w:pPr>
        <w:rPr>
          <w:rFonts w:ascii="Garamond" w:hAnsi="Garamond"/>
          <w:color w:val="auto"/>
          <w:sz w:val="18"/>
          <w:szCs w:val="18"/>
          <w:highlight w:val="none"/>
        </w:rPr>
      </w:pPr>
    </w:p>
    <w:p w14:paraId="79301475">
      <w:pPr>
        <w:rPr>
          <w:rFonts w:ascii="Garamond" w:hAnsi="Garamond"/>
          <w:color w:val="auto"/>
          <w:sz w:val="18"/>
          <w:szCs w:val="18"/>
          <w:highlight w:val="none"/>
        </w:rPr>
      </w:pPr>
    </w:p>
    <w:p w14:paraId="3650AC68">
      <w:pPr>
        <w:rPr>
          <w:rFonts w:ascii="Garamond" w:hAnsi="Garamond"/>
          <w:color w:val="auto"/>
          <w:sz w:val="18"/>
          <w:szCs w:val="18"/>
          <w:highlight w:val="none"/>
        </w:rPr>
      </w:pPr>
    </w:p>
    <w:p w14:paraId="673E5597">
      <w:pPr>
        <w:rPr>
          <w:rFonts w:ascii="Garamond" w:hAnsi="Garamond"/>
          <w:color w:val="auto"/>
          <w:sz w:val="18"/>
          <w:szCs w:val="18"/>
          <w:highlight w:val="none"/>
        </w:rPr>
      </w:pPr>
    </w:p>
    <w:p w14:paraId="1BC24A4C">
      <w:pPr>
        <w:rPr>
          <w:rFonts w:ascii="Garamond" w:hAnsi="Garamond"/>
          <w:color w:val="auto"/>
          <w:sz w:val="18"/>
          <w:szCs w:val="18"/>
          <w:highlight w:val="none"/>
        </w:rPr>
      </w:pPr>
    </w:p>
    <w:p w14:paraId="45EB71FA">
      <w:pPr>
        <w:rPr>
          <w:rFonts w:ascii="Garamond" w:hAnsi="Garamond"/>
          <w:color w:val="auto"/>
          <w:sz w:val="18"/>
          <w:szCs w:val="18"/>
          <w:highlight w:val="none"/>
        </w:rPr>
      </w:pPr>
    </w:p>
    <w:p w14:paraId="5BDF1F05">
      <w:pPr>
        <w:rPr>
          <w:rFonts w:ascii="Garamond" w:hAnsi="Garamond"/>
          <w:color w:val="auto"/>
          <w:sz w:val="18"/>
          <w:szCs w:val="18"/>
          <w:highlight w:val="none"/>
        </w:rPr>
      </w:pPr>
      <w:r>
        <w:rPr>
          <w:rFonts w:ascii="Garamond" w:hAnsi="Garamond"/>
          <w:color w:val="auto"/>
          <w:sz w:val="18"/>
          <w:szCs w:val="18"/>
          <w:highlight w:val="none"/>
        </w:rPr>
        <w:br w:type="page"/>
      </w:r>
    </w:p>
    <w:p w14:paraId="1C0EDCCC">
      <w:pPr>
        <w:rPr>
          <w:rFonts w:ascii="Garamond" w:hAnsi="Garamond"/>
          <w:color w:val="auto"/>
          <w:sz w:val="18"/>
          <w:szCs w:val="18"/>
          <w:highlight w:val="none"/>
        </w:rPr>
      </w:pPr>
    </w:p>
    <w:p w14:paraId="103C1250">
      <w:pPr>
        <w:rPr>
          <w:rFonts w:ascii="Garamond" w:hAnsi="Garamond"/>
          <w:color w:val="auto"/>
          <w:sz w:val="18"/>
          <w:szCs w:val="18"/>
          <w:highlight w:val="none"/>
        </w:rPr>
      </w:pPr>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75"/>
        <w:gridCol w:w="7513"/>
      </w:tblGrid>
      <w:tr w14:paraId="3E9B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vAlign w:val="center"/>
          </w:tcPr>
          <w:p w14:paraId="41016D0E">
            <w:pPr>
              <w:jc w:val="center"/>
              <w:textAlignment w:val="baseline"/>
              <w:rPr>
                <w:rFonts w:ascii="Garamond" w:hAnsi="Garamond"/>
                <w:b/>
                <w:color w:val="auto"/>
                <w:szCs w:val="21"/>
                <w:highlight w:val="none"/>
              </w:rPr>
            </w:pPr>
            <w:r>
              <w:rPr>
                <w:rFonts w:ascii="Garamond" w:hAnsi="Garamond"/>
                <w:b/>
                <w:color w:val="auto"/>
                <w:szCs w:val="21"/>
                <w:highlight w:val="none"/>
              </w:rPr>
              <w:t>条款号</w:t>
            </w:r>
          </w:p>
        </w:tc>
        <w:tc>
          <w:tcPr>
            <w:tcW w:w="1075" w:type="dxa"/>
            <w:vAlign w:val="center"/>
          </w:tcPr>
          <w:p w14:paraId="2D348A88">
            <w:pPr>
              <w:jc w:val="center"/>
              <w:textAlignment w:val="baseline"/>
              <w:rPr>
                <w:rFonts w:ascii="Garamond" w:hAnsi="Garamond"/>
                <w:b/>
                <w:color w:val="auto"/>
                <w:szCs w:val="21"/>
                <w:highlight w:val="none"/>
              </w:rPr>
            </w:pPr>
            <w:r>
              <w:rPr>
                <w:rFonts w:ascii="Garamond" w:hAnsi="Garamond"/>
                <w:b/>
                <w:color w:val="auto"/>
                <w:szCs w:val="21"/>
                <w:highlight w:val="none"/>
              </w:rPr>
              <w:t>条款内容</w:t>
            </w:r>
          </w:p>
        </w:tc>
        <w:tc>
          <w:tcPr>
            <w:tcW w:w="7513" w:type="dxa"/>
            <w:vAlign w:val="center"/>
          </w:tcPr>
          <w:p w14:paraId="4CE15D8D">
            <w:pPr>
              <w:jc w:val="center"/>
              <w:textAlignment w:val="baseline"/>
              <w:rPr>
                <w:rFonts w:ascii="Garamond" w:hAnsi="Garamond"/>
                <w:b/>
                <w:color w:val="auto"/>
                <w:szCs w:val="21"/>
                <w:highlight w:val="none"/>
              </w:rPr>
            </w:pPr>
            <w:r>
              <w:rPr>
                <w:rFonts w:ascii="Garamond" w:hAnsi="Garamond"/>
                <w:b/>
                <w:color w:val="auto"/>
                <w:szCs w:val="21"/>
                <w:highlight w:val="none"/>
              </w:rPr>
              <w:t>编列内容</w:t>
            </w:r>
          </w:p>
        </w:tc>
      </w:tr>
      <w:tr w14:paraId="15D8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76" w:type="dxa"/>
            <w:vAlign w:val="center"/>
          </w:tcPr>
          <w:p w14:paraId="783AF648">
            <w:pPr>
              <w:jc w:val="center"/>
              <w:textAlignment w:val="baseline"/>
              <w:rPr>
                <w:rFonts w:ascii="Garamond" w:hAnsi="Garamond"/>
                <w:color w:val="auto"/>
                <w:szCs w:val="21"/>
                <w:highlight w:val="none"/>
              </w:rPr>
            </w:pPr>
            <w:r>
              <w:rPr>
                <w:rFonts w:ascii="Garamond" w:hAnsi="Garamond"/>
                <w:color w:val="auto"/>
                <w:szCs w:val="21"/>
                <w:highlight w:val="none"/>
              </w:rPr>
              <w:t>2.2.1</w:t>
            </w:r>
          </w:p>
        </w:tc>
        <w:tc>
          <w:tcPr>
            <w:tcW w:w="1075" w:type="dxa"/>
            <w:vAlign w:val="center"/>
          </w:tcPr>
          <w:p w14:paraId="6416C670">
            <w:pPr>
              <w:jc w:val="center"/>
              <w:textAlignment w:val="baseline"/>
              <w:rPr>
                <w:rFonts w:ascii="Garamond" w:hAnsi="Garamond"/>
                <w:color w:val="auto"/>
                <w:szCs w:val="21"/>
                <w:highlight w:val="none"/>
              </w:rPr>
            </w:pPr>
            <w:r>
              <w:rPr>
                <w:rFonts w:ascii="Garamond" w:hAnsi="Garamond"/>
                <w:color w:val="auto"/>
                <w:szCs w:val="21"/>
                <w:highlight w:val="none"/>
              </w:rPr>
              <w:t>分值构成</w:t>
            </w:r>
          </w:p>
          <w:p w14:paraId="02E6101D">
            <w:pPr>
              <w:jc w:val="center"/>
              <w:textAlignment w:val="baseline"/>
              <w:rPr>
                <w:rFonts w:ascii="Garamond" w:hAnsi="Garamond"/>
                <w:color w:val="auto"/>
                <w:szCs w:val="21"/>
                <w:highlight w:val="none"/>
              </w:rPr>
            </w:pPr>
            <w:r>
              <w:rPr>
                <w:rFonts w:ascii="Garamond" w:hAnsi="Garamond"/>
                <w:color w:val="auto"/>
                <w:szCs w:val="21"/>
                <w:highlight w:val="none"/>
              </w:rPr>
              <w:t>（总分100分）</w:t>
            </w:r>
          </w:p>
        </w:tc>
        <w:tc>
          <w:tcPr>
            <w:tcW w:w="7513" w:type="dxa"/>
            <w:vAlign w:val="center"/>
          </w:tcPr>
          <w:p w14:paraId="0831D3FA">
            <w:pPr>
              <w:spacing w:line="280" w:lineRule="exact"/>
              <w:rPr>
                <w:rFonts w:ascii="宋体" w:hAnsi="宋体" w:cs="宋体"/>
                <w:color w:val="auto"/>
                <w:szCs w:val="21"/>
                <w:highlight w:val="none"/>
              </w:rPr>
            </w:pPr>
            <w:r>
              <w:rPr>
                <w:rFonts w:hint="eastAsia" w:ascii="宋体" w:hAnsi="宋体" w:cs="宋体"/>
                <w:color w:val="auto"/>
                <w:szCs w:val="21"/>
                <w:highlight w:val="none"/>
              </w:rPr>
              <w:t>第一信封</w:t>
            </w:r>
            <w:r>
              <w:rPr>
                <w:rFonts w:hint="eastAsia" w:ascii="宋体" w:hAnsi="宋体"/>
                <w:bCs/>
                <w:color w:val="auto"/>
                <w:szCs w:val="21"/>
                <w:highlight w:val="none"/>
              </w:rPr>
              <w:t>（商务及技术文件）</w:t>
            </w:r>
            <w:r>
              <w:rPr>
                <w:rFonts w:hint="eastAsia" w:ascii="宋体" w:hAnsi="宋体" w:cs="宋体"/>
                <w:color w:val="auto"/>
                <w:szCs w:val="21"/>
                <w:highlight w:val="none"/>
              </w:rPr>
              <w:t>评分分值构成：</w:t>
            </w:r>
          </w:p>
          <w:p w14:paraId="3A680569">
            <w:pPr>
              <w:jc w:val="left"/>
              <w:textAlignment w:val="baseline"/>
              <w:rPr>
                <w:rFonts w:ascii="Garamond" w:hAnsi="Garamond"/>
                <w:color w:val="auto"/>
                <w:szCs w:val="21"/>
                <w:highlight w:val="none"/>
              </w:rPr>
            </w:pPr>
            <w:r>
              <w:rPr>
                <w:rFonts w:hint="eastAsia" w:ascii="Garamond" w:hAnsi="Garamond"/>
                <w:color w:val="auto"/>
                <w:szCs w:val="21"/>
                <w:highlight w:val="none"/>
              </w:rPr>
              <w:t>主要人员：项目负责人资格和业绩</w:t>
            </w:r>
            <w:r>
              <w:rPr>
                <w:rFonts w:hint="eastAsia" w:ascii="Garamond" w:hAnsi="Garamond"/>
                <w:color w:val="auto"/>
                <w:szCs w:val="21"/>
                <w:highlight w:val="none"/>
              </w:rPr>
              <w:tab/>
            </w:r>
            <w:r>
              <w:rPr>
                <w:rFonts w:hint="eastAsia" w:ascii="Garamond" w:hAnsi="Garamond"/>
                <w:color w:val="auto"/>
                <w:szCs w:val="21"/>
                <w:highlight w:val="none"/>
              </w:rPr>
              <w:t>：15分；其他人员资格和业绩：</w:t>
            </w:r>
            <w:r>
              <w:rPr>
                <w:rFonts w:hint="eastAsia" w:ascii="Garamond" w:hAnsi="Garamond"/>
                <w:color w:val="auto"/>
                <w:szCs w:val="21"/>
                <w:highlight w:val="none"/>
              </w:rPr>
              <w:tab/>
            </w:r>
            <w:r>
              <w:rPr>
                <w:rFonts w:hint="eastAsia" w:ascii="Garamond" w:hAnsi="Garamond"/>
                <w:color w:val="auto"/>
                <w:szCs w:val="21"/>
                <w:highlight w:val="none"/>
              </w:rPr>
              <w:t>15分</w:t>
            </w:r>
            <w:r>
              <w:rPr>
                <w:rFonts w:hint="eastAsia" w:ascii="Garamond" w:hAnsi="Garamond"/>
                <w:color w:val="auto"/>
                <w:szCs w:val="21"/>
                <w:highlight w:val="none"/>
              </w:rPr>
              <w:tab/>
            </w:r>
            <w:r>
              <w:rPr>
                <w:rFonts w:ascii="Garamond" w:hAnsi="Garamond"/>
                <w:color w:val="auto"/>
                <w:szCs w:val="21"/>
                <w:highlight w:val="none"/>
              </w:rPr>
              <w:t>；</w:t>
            </w:r>
          </w:p>
          <w:p w14:paraId="05FB33D6">
            <w:pPr>
              <w:spacing w:line="280" w:lineRule="exact"/>
              <w:rPr>
                <w:rFonts w:ascii="宋体" w:hAnsi="宋体"/>
                <w:bCs/>
                <w:color w:val="auto"/>
                <w:szCs w:val="21"/>
                <w:highlight w:val="none"/>
              </w:rPr>
            </w:pPr>
            <w:r>
              <w:rPr>
                <w:rFonts w:hint="eastAsia" w:ascii="宋体" w:hAnsi="宋体"/>
                <w:bCs/>
                <w:color w:val="auto"/>
                <w:szCs w:val="21"/>
                <w:highlight w:val="none"/>
              </w:rPr>
              <w:t>检测实施方案</w:t>
            </w:r>
            <w:r>
              <w:rPr>
                <w:rFonts w:hint="eastAsia" w:ascii="宋体" w:hAnsi="宋体"/>
                <w:bCs/>
                <w:color w:val="auto"/>
                <w:szCs w:val="21"/>
                <w:highlight w:val="none"/>
              </w:rPr>
              <w:tab/>
            </w:r>
            <w:r>
              <w:rPr>
                <w:rFonts w:hint="eastAsia" w:ascii="宋体" w:hAnsi="宋体"/>
                <w:bCs/>
                <w:color w:val="auto"/>
                <w:szCs w:val="21"/>
                <w:highlight w:val="none"/>
              </w:rPr>
              <w:t>：30分；</w:t>
            </w:r>
          </w:p>
          <w:p w14:paraId="4CA11F35">
            <w:pPr>
              <w:spacing w:line="280" w:lineRule="exact"/>
              <w:rPr>
                <w:rFonts w:ascii="宋体" w:hAnsi="宋体"/>
                <w:bCs/>
                <w:color w:val="auto"/>
                <w:szCs w:val="21"/>
                <w:highlight w:val="none"/>
              </w:rPr>
            </w:pPr>
            <w:r>
              <w:rPr>
                <w:rFonts w:hint="eastAsia" w:ascii="宋体" w:hAnsi="宋体"/>
                <w:bCs/>
                <w:color w:val="auto"/>
                <w:szCs w:val="21"/>
                <w:highlight w:val="none"/>
              </w:rPr>
              <w:t>业绩：</w:t>
            </w:r>
            <w:r>
              <w:rPr>
                <w:rFonts w:hint="eastAsia" w:ascii="宋体" w:hAnsi="宋体"/>
                <w:bCs/>
                <w:color w:val="auto"/>
                <w:szCs w:val="21"/>
                <w:highlight w:val="none"/>
              </w:rPr>
              <w:tab/>
            </w:r>
            <w:r>
              <w:rPr>
                <w:rFonts w:hint="eastAsia" w:ascii="宋体" w:hAnsi="宋体"/>
                <w:bCs/>
                <w:color w:val="auto"/>
                <w:szCs w:val="21"/>
                <w:highlight w:val="none"/>
              </w:rPr>
              <w:t>25分；</w:t>
            </w:r>
          </w:p>
          <w:p w14:paraId="0DF9E098">
            <w:pPr>
              <w:spacing w:line="280" w:lineRule="exact"/>
              <w:rPr>
                <w:rFonts w:ascii="宋体" w:hAnsi="宋体"/>
                <w:bCs/>
                <w:color w:val="auto"/>
                <w:szCs w:val="21"/>
                <w:highlight w:val="none"/>
              </w:rPr>
            </w:pPr>
            <w:r>
              <w:rPr>
                <w:rFonts w:hint="eastAsia" w:ascii="宋体" w:hAnsi="宋体"/>
                <w:bCs/>
                <w:color w:val="auto"/>
                <w:szCs w:val="21"/>
                <w:highlight w:val="none"/>
              </w:rPr>
              <w:t>履约信誉：</w:t>
            </w:r>
            <w:r>
              <w:rPr>
                <w:rFonts w:hint="eastAsia" w:ascii="宋体" w:hAnsi="宋体"/>
                <w:bCs/>
                <w:color w:val="auto"/>
                <w:szCs w:val="21"/>
                <w:highlight w:val="none"/>
              </w:rPr>
              <w:tab/>
            </w:r>
            <w:r>
              <w:rPr>
                <w:rFonts w:hint="eastAsia" w:ascii="宋体" w:hAnsi="宋体"/>
                <w:bCs/>
                <w:color w:val="auto"/>
                <w:szCs w:val="21"/>
                <w:highlight w:val="none"/>
              </w:rPr>
              <w:t>5分。</w:t>
            </w:r>
          </w:p>
          <w:p w14:paraId="35759065">
            <w:pPr>
              <w:spacing w:line="280" w:lineRule="exact"/>
              <w:rPr>
                <w:rFonts w:ascii="宋体" w:hAnsi="宋体"/>
                <w:bCs/>
                <w:color w:val="auto"/>
                <w:szCs w:val="21"/>
                <w:highlight w:val="none"/>
              </w:rPr>
            </w:pPr>
            <w:r>
              <w:rPr>
                <w:rFonts w:hint="eastAsia" w:ascii="宋体" w:hAnsi="宋体"/>
                <w:bCs/>
                <w:color w:val="auto"/>
                <w:szCs w:val="21"/>
                <w:highlight w:val="none"/>
              </w:rPr>
              <w:t>第二信封（报价文件）评分分值构成：</w:t>
            </w:r>
          </w:p>
          <w:p w14:paraId="5CA6CC24">
            <w:pPr>
              <w:spacing w:line="280" w:lineRule="exact"/>
              <w:rPr>
                <w:rFonts w:ascii="Garamond" w:hAnsi="Garamond"/>
                <w:color w:val="auto"/>
                <w:szCs w:val="21"/>
                <w:highlight w:val="none"/>
              </w:rPr>
            </w:pPr>
            <w:r>
              <w:rPr>
                <w:rFonts w:ascii="宋体" w:hAnsi="宋体"/>
                <w:bCs/>
                <w:color w:val="auto"/>
                <w:szCs w:val="21"/>
                <w:highlight w:val="none"/>
              </w:rPr>
              <w:t>投标报价：10分</w:t>
            </w:r>
            <w:r>
              <w:rPr>
                <w:rFonts w:hint="eastAsia" w:ascii="宋体" w:hAnsi="宋体"/>
                <w:bCs/>
                <w:color w:val="auto"/>
                <w:szCs w:val="21"/>
                <w:highlight w:val="none"/>
              </w:rPr>
              <w:t>。</w:t>
            </w:r>
          </w:p>
        </w:tc>
      </w:tr>
      <w:tr w14:paraId="0DB7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876" w:type="dxa"/>
            <w:vAlign w:val="center"/>
          </w:tcPr>
          <w:p w14:paraId="127C64D1">
            <w:pPr>
              <w:jc w:val="center"/>
              <w:textAlignment w:val="baseline"/>
              <w:rPr>
                <w:rFonts w:ascii="Garamond" w:hAnsi="Garamond"/>
                <w:color w:val="auto"/>
                <w:szCs w:val="21"/>
                <w:highlight w:val="none"/>
              </w:rPr>
            </w:pPr>
            <w:r>
              <w:rPr>
                <w:rFonts w:ascii="Garamond" w:hAnsi="Garamond"/>
                <w:color w:val="auto"/>
                <w:szCs w:val="21"/>
                <w:highlight w:val="none"/>
              </w:rPr>
              <w:t>2.2.2</w:t>
            </w:r>
          </w:p>
        </w:tc>
        <w:tc>
          <w:tcPr>
            <w:tcW w:w="1075" w:type="dxa"/>
            <w:vAlign w:val="center"/>
          </w:tcPr>
          <w:p w14:paraId="18B92731">
            <w:pPr>
              <w:jc w:val="center"/>
              <w:textAlignment w:val="baseline"/>
              <w:rPr>
                <w:rFonts w:ascii="Garamond" w:hAnsi="Garamond"/>
                <w:color w:val="auto"/>
                <w:szCs w:val="21"/>
                <w:highlight w:val="none"/>
              </w:rPr>
            </w:pPr>
            <w:r>
              <w:rPr>
                <w:rFonts w:ascii="Garamond" w:hAnsi="Garamond"/>
                <w:color w:val="auto"/>
                <w:szCs w:val="21"/>
                <w:highlight w:val="none"/>
              </w:rPr>
              <w:t>评标基准价计算方法</w:t>
            </w:r>
          </w:p>
        </w:tc>
        <w:tc>
          <w:tcPr>
            <w:tcW w:w="7513" w:type="dxa"/>
          </w:tcPr>
          <w:p w14:paraId="74708E84">
            <w:pPr>
              <w:spacing w:line="288" w:lineRule="auto"/>
              <w:ind w:left="105" w:leftChars="50"/>
              <w:rPr>
                <w:rFonts w:ascii="Garamond" w:hAnsi="Garamond"/>
                <w:color w:val="auto"/>
                <w:szCs w:val="21"/>
                <w:highlight w:val="none"/>
              </w:rPr>
            </w:pPr>
            <w:r>
              <w:rPr>
                <w:rFonts w:hint="eastAsia" w:ascii="Garamond" w:hAnsi="Garamond"/>
                <w:color w:val="auto"/>
                <w:szCs w:val="21"/>
                <w:highlight w:val="none"/>
              </w:rPr>
              <w:t>a.确定评标价</w:t>
            </w:r>
          </w:p>
          <w:p w14:paraId="2E115F1D">
            <w:pPr>
              <w:spacing w:line="288" w:lineRule="auto"/>
              <w:ind w:left="105" w:leftChars="50"/>
              <w:rPr>
                <w:rFonts w:ascii="Garamond" w:hAnsi="Garamond"/>
                <w:color w:val="auto"/>
                <w:szCs w:val="21"/>
                <w:highlight w:val="none"/>
              </w:rPr>
            </w:pPr>
            <w:r>
              <w:rPr>
                <w:rFonts w:hint="eastAsia" w:ascii="Garamond" w:hAnsi="Garamond"/>
                <w:color w:val="auto"/>
                <w:szCs w:val="21"/>
                <w:highlight w:val="none"/>
              </w:rPr>
              <w:t>评标价=投标函文字报价</w:t>
            </w:r>
          </w:p>
          <w:p w14:paraId="29B15F26">
            <w:pPr>
              <w:spacing w:line="288" w:lineRule="auto"/>
              <w:ind w:left="105" w:leftChars="50"/>
              <w:rPr>
                <w:rFonts w:ascii="Garamond" w:hAnsi="Garamond"/>
                <w:color w:val="auto"/>
                <w:szCs w:val="21"/>
                <w:highlight w:val="none"/>
              </w:rPr>
            </w:pPr>
            <w:r>
              <w:rPr>
                <w:rFonts w:hint="eastAsia" w:ascii="Garamond" w:hAnsi="Garamond"/>
                <w:color w:val="auto"/>
                <w:szCs w:val="21"/>
                <w:highlight w:val="none"/>
              </w:rPr>
              <w:t>b.评标价平均值的计算：</w:t>
            </w:r>
          </w:p>
          <w:p w14:paraId="23F00253">
            <w:pPr>
              <w:spacing w:line="288" w:lineRule="auto"/>
              <w:ind w:left="105" w:leftChars="50"/>
              <w:rPr>
                <w:rFonts w:ascii="Garamond" w:hAnsi="Garamond"/>
                <w:color w:val="auto"/>
                <w:szCs w:val="21"/>
                <w:highlight w:val="none"/>
              </w:rPr>
            </w:pPr>
            <w:r>
              <w:rPr>
                <w:rFonts w:hint="eastAsia" w:ascii="Garamond" w:hAnsi="Garamond"/>
                <w:color w:val="auto"/>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等于5家，则计算评标价平均值时不去最高值和最低值）。</w:t>
            </w:r>
          </w:p>
          <w:p w14:paraId="61856CEF">
            <w:pPr>
              <w:spacing w:line="288" w:lineRule="auto"/>
              <w:ind w:left="105" w:leftChars="50"/>
              <w:rPr>
                <w:rFonts w:ascii="Garamond" w:hAnsi="Garamond"/>
                <w:color w:val="auto"/>
                <w:szCs w:val="21"/>
                <w:highlight w:val="none"/>
              </w:rPr>
            </w:pPr>
            <w:r>
              <w:rPr>
                <w:rFonts w:hint="eastAsia" w:ascii="Garamond" w:hAnsi="Garamond"/>
                <w:color w:val="auto"/>
                <w:szCs w:val="21"/>
                <w:highlight w:val="none"/>
              </w:rPr>
              <w:t>c.评标基准价的确定：</w:t>
            </w:r>
          </w:p>
          <w:p w14:paraId="4B5BCB83">
            <w:pPr>
              <w:spacing w:line="288" w:lineRule="auto"/>
              <w:ind w:left="105" w:leftChars="50"/>
              <w:rPr>
                <w:rFonts w:hint="eastAsia" w:ascii="Garamond" w:hAnsi="Garamond"/>
                <w:color w:val="auto"/>
                <w:szCs w:val="21"/>
                <w:highlight w:val="none"/>
              </w:rPr>
            </w:pPr>
            <w:r>
              <w:rPr>
                <w:rFonts w:hint="eastAsia" w:ascii="Garamond" w:hAnsi="Garamond"/>
                <w:color w:val="auto"/>
                <w:szCs w:val="21"/>
                <w:highlight w:val="none"/>
              </w:rPr>
              <w:t>将评标价平均值直接作为评标基准价</w:t>
            </w:r>
          </w:p>
          <w:p w14:paraId="55FE1F01">
            <w:pPr>
              <w:spacing w:line="288" w:lineRule="auto"/>
              <w:ind w:left="105" w:leftChars="50"/>
              <w:rPr>
                <w:rFonts w:hint="eastAsia" w:ascii="Garamond" w:hAnsi="Garamond"/>
                <w:color w:val="auto"/>
                <w:szCs w:val="21"/>
                <w:highlight w:val="none"/>
              </w:rPr>
            </w:pPr>
            <w:r>
              <w:rPr>
                <w:rFonts w:hint="eastAsia" w:ascii="Garamond" w:hAnsi="Garamond"/>
                <w:color w:val="auto"/>
                <w:szCs w:val="21"/>
                <w:highlight w:val="none"/>
              </w:rPr>
              <w:t>在评标过程中，评标委员会应对招标人计算的评标基准价进行复核，存在计算错误的应予以修正并在评标报告中作出说明。除此之外，评标基准价在任何情况（包括因异议、投诉或其他原因导致的任何结果）下都保持不变。</w:t>
            </w:r>
          </w:p>
          <w:p w14:paraId="55BF82DC">
            <w:pPr>
              <w:spacing w:line="288" w:lineRule="auto"/>
              <w:ind w:left="105" w:leftChars="50"/>
              <w:rPr>
                <w:rFonts w:ascii="Garamond" w:hAnsi="Garamond"/>
                <w:color w:val="auto"/>
                <w:szCs w:val="21"/>
                <w:highlight w:val="none"/>
              </w:rPr>
            </w:pPr>
            <w:r>
              <w:rPr>
                <w:rFonts w:hint="eastAsia" w:ascii="Garamond" w:hAnsi="Garamond"/>
                <w:color w:val="auto"/>
                <w:szCs w:val="21"/>
                <w:highlight w:val="none"/>
              </w:rPr>
              <w:t>注：计算错误仅限于以下两种情况：①纯算术性四则运算差错；②未按招标文件规定的计算方法计算，或多计或少计或错计投标人评标价。</w:t>
            </w:r>
          </w:p>
        </w:tc>
      </w:tr>
      <w:tr w14:paraId="58A3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76" w:type="dxa"/>
            <w:vAlign w:val="center"/>
          </w:tcPr>
          <w:p w14:paraId="00662608">
            <w:pPr>
              <w:jc w:val="center"/>
              <w:rPr>
                <w:rFonts w:ascii="Garamond" w:hAnsi="Garamond"/>
                <w:color w:val="auto"/>
                <w:szCs w:val="21"/>
                <w:highlight w:val="none"/>
              </w:rPr>
            </w:pPr>
            <w:r>
              <w:rPr>
                <w:rFonts w:ascii="Garamond" w:hAnsi="Garamond"/>
                <w:color w:val="auto"/>
                <w:szCs w:val="21"/>
                <w:highlight w:val="none"/>
              </w:rPr>
              <w:t>2.2.3</w:t>
            </w:r>
          </w:p>
        </w:tc>
        <w:tc>
          <w:tcPr>
            <w:tcW w:w="1075" w:type="dxa"/>
            <w:vAlign w:val="center"/>
          </w:tcPr>
          <w:p w14:paraId="51E9705E">
            <w:pPr>
              <w:jc w:val="center"/>
              <w:rPr>
                <w:rFonts w:ascii="Garamond" w:hAnsi="Garamond"/>
                <w:color w:val="auto"/>
                <w:szCs w:val="21"/>
                <w:highlight w:val="none"/>
              </w:rPr>
            </w:pPr>
            <w:r>
              <w:rPr>
                <w:rFonts w:ascii="Garamond" w:hAnsi="Garamond"/>
                <w:color w:val="auto"/>
                <w:szCs w:val="21"/>
                <w:highlight w:val="none"/>
              </w:rPr>
              <w:t>评标价的偏差率</w:t>
            </w:r>
          </w:p>
          <w:p w14:paraId="4C2D4B62">
            <w:pPr>
              <w:jc w:val="center"/>
              <w:rPr>
                <w:rFonts w:ascii="Garamond" w:hAnsi="Garamond"/>
                <w:color w:val="auto"/>
                <w:szCs w:val="21"/>
                <w:highlight w:val="none"/>
              </w:rPr>
            </w:pPr>
            <w:r>
              <w:rPr>
                <w:rFonts w:ascii="Garamond" w:hAnsi="Garamond"/>
                <w:color w:val="auto"/>
                <w:szCs w:val="21"/>
                <w:highlight w:val="none"/>
              </w:rPr>
              <w:t>计算公式</w:t>
            </w:r>
          </w:p>
        </w:tc>
        <w:tc>
          <w:tcPr>
            <w:tcW w:w="7513" w:type="dxa"/>
            <w:vAlign w:val="center"/>
          </w:tcPr>
          <w:p w14:paraId="74AAA0D6">
            <w:pPr>
              <w:ind w:left="210" w:hanging="210" w:hangingChars="100"/>
              <w:rPr>
                <w:rFonts w:ascii="Garamond" w:hAnsi="Garamond"/>
                <w:color w:val="auto"/>
                <w:szCs w:val="21"/>
                <w:highlight w:val="none"/>
              </w:rPr>
            </w:pPr>
            <w:r>
              <w:rPr>
                <w:rFonts w:ascii="Garamond" w:hAnsi="Garamond"/>
                <w:color w:val="auto"/>
                <w:szCs w:val="21"/>
                <w:highlight w:val="none"/>
              </w:rPr>
              <w:t>偏差率=100%×(投标人评标价－评标基准价)</w:t>
            </w:r>
            <w:r>
              <w:rPr>
                <w:rFonts w:hint="eastAsia" w:ascii="Garamond" w:hAnsi="Garamond"/>
                <w:color w:val="auto"/>
                <w:szCs w:val="21"/>
                <w:highlight w:val="none"/>
              </w:rPr>
              <w:t>/</w:t>
            </w:r>
            <w:r>
              <w:rPr>
                <w:rFonts w:ascii="Garamond" w:hAnsi="Garamond"/>
                <w:color w:val="auto"/>
                <w:szCs w:val="21"/>
                <w:highlight w:val="none"/>
              </w:rPr>
              <w:t>评标基准价</w:t>
            </w:r>
          </w:p>
        </w:tc>
      </w:tr>
    </w:tbl>
    <w:p w14:paraId="3C5D9837">
      <w:pPr>
        <w:rPr>
          <w:rFonts w:ascii="Garamond" w:hAnsi="Garamond"/>
          <w:color w:val="auto"/>
          <w:sz w:val="18"/>
          <w:szCs w:val="18"/>
          <w:highlight w:val="none"/>
        </w:rPr>
      </w:pPr>
    </w:p>
    <w:tbl>
      <w:tblPr>
        <w:tblStyle w:val="44"/>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
        <w:gridCol w:w="1117"/>
        <w:gridCol w:w="1129"/>
        <w:gridCol w:w="1129"/>
        <w:gridCol w:w="692"/>
        <w:gridCol w:w="4532"/>
        <w:gridCol w:w="158"/>
      </w:tblGrid>
      <w:tr w14:paraId="344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trPr>
        <w:tc>
          <w:tcPr>
            <w:tcW w:w="2561" w:type="pct"/>
            <w:gridSpan w:val="6"/>
            <w:tcBorders>
              <w:top w:val="single" w:color="auto" w:sz="4" w:space="0"/>
              <w:left w:val="single" w:color="auto" w:sz="4" w:space="0"/>
              <w:bottom w:val="single" w:color="auto" w:sz="4" w:space="0"/>
              <w:right w:val="single" w:color="auto" w:sz="4" w:space="0"/>
            </w:tcBorders>
            <w:vAlign w:val="center"/>
          </w:tcPr>
          <w:p w14:paraId="789616C5">
            <w:pPr>
              <w:spacing w:line="520" w:lineRule="exact"/>
              <w:jc w:val="center"/>
              <w:rPr>
                <w:rFonts w:ascii="??_GB2312" w:hAnsi="Calibri" w:eastAsia="Times New Roman"/>
                <w:color w:val="auto"/>
                <w:kern w:val="0"/>
                <w:sz w:val="28"/>
                <w:szCs w:val="28"/>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.2.4</w:t>
            </w:r>
            <w:r>
              <w:rPr>
                <w:rFonts w:hint="eastAsia" w:ascii="宋体" w:hAnsi="宋体" w:cs="宋体"/>
                <w:b/>
                <w:bCs/>
                <w:color w:val="auto"/>
                <w:kern w:val="0"/>
                <w:szCs w:val="21"/>
                <w:highlight w:val="none"/>
              </w:rPr>
              <w:t>评审因素与权重分值</w:t>
            </w:r>
          </w:p>
        </w:tc>
        <w:tc>
          <w:tcPr>
            <w:tcW w:w="2356" w:type="pct"/>
            <w:vMerge w:val="restart"/>
            <w:tcBorders>
              <w:top w:val="single" w:color="auto" w:sz="4" w:space="0"/>
              <w:left w:val="single" w:color="auto" w:sz="4" w:space="0"/>
              <w:bottom w:val="single" w:color="auto" w:sz="4" w:space="0"/>
              <w:right w:val="single" w:color="auto" w:sz="4" w:space="0"/>
            </w:tcBorders>
            <w:vAlign w:val="center"/>
          </w:tcPr>
          <w:p w14:paraId="7196F6FA">
            <w:pPr>
              <w:spacing w:line="520" w:lineRule="exact"/>
              <w:jc w:val="center"/>
              <w:rPr>
                <w:rFonts w:ascii="??_GB2312" w:hAnsi="Calibri" w:eastAsia="Times New Roman"/>
                <w:color w:val="auto"/>
                <w:kern w:val="0"/>
                <w:sz w:val="28"/>
                <w:szCs w:val="28"/>
                <w:highlight w:val="none"/>
              </w:rPr>
            </w:pPr>
            <w:r>
              <w:rPr>
                <w:rFonts w:hint="eastAsia" w:ascii="宋体" w:hAnsi="宋体" w:cs="宋体"/>
                <w:b/>
                <w:bCs/>
                <w:color w:val="auto"/>
                <w:kern w:val="0"/>
                <w:szCs w:val="21"/>
                <w:highlight w:val="none"/>
              </w:rPr>
              <w:t>评分标准</w:t>
            </w:r>
          </w:p>
        </w:tc>
      </w:tr>
      <w:tr w14:paraId="65F5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trPr>
        <w:tc>
          <w:tcPr>
            <w:tcW w:w="440" w:type="pct"/>
            <w:tcBorders>
              <w:top w:val="single" w:color="auto" w:sz="4" w:space="0"/>
              <w:left w:val="single" w:color="auto" w:sz="4" w:space="0"/>
              <w:bottom w:val="single" w:color="auto" w:sz="4" w:space="0"/>
              <w:right w:val="single" w:color="auto" w:sz="4" w:space="0"/>
            </w:tcBorders>
            <w:vAlign w:val="center"/>
          </w:tcPr>
          <w:p w14:paraId="092B15C7">
            <w:pPr>
              <w:autoSpaceDE w:val="0"/>
              <w:autoSpaceDN w:val="0"/>
              <w:adjustRightInd w:val="0"/>
              <w:rPr>
                <w:rFonts w:ascii="宋体" w:hAnsi="Calibri"/>
                <w:b/>
                <w:bCs/>
                <w:color w:val="auto"/>
                <w:kern w:val="0"/>
                <w:szCs w:val="21"/>
                <w:highlight w:val="none"/>
              </w:rPr>
            </w:pPr>
            <w:r>
              <w:rPr>
                <w:rFonts w:hint="eastAsia" w:ascii="宋体" w:hAnsi="宋体" w:cs="宋体"/>
                <w:b/>
                <w:bCs/>
                <w:color w:val="auto"/>
                <w:kern w:val="0"/>
                <w:szCs w:val="21"/>
                <w:highlight w:val="none"/>
              </w:rPr>
              <w:t>条款号</w:t>
            </w:r>
          </w:p>
        </w:tc>
        <w:tc>
          <w:tcPr>
            <w:tcW w:w="587" w:type="pct"/>
            <w:gridSpan w:val="2"/>
            <w:tcBorders>
              <w:top w:val="single" w:color="auto" w:sz="4" w:space="0"/>
              <w:left w:val="single" w:color="auto" w:sz="4" w:space="0"/>
              <w:bottom w:val="single" w:color="auto" w:sz="4" w:space="0"/>
              <w:right w:val="single" w:color="auto" w:sz="4" w:space="0"/>
            </w:tcBorders>
            <w:vAlign w:val="center"/>
          </w:tcPr>
          <w:p w14:paraId="5C2B96D6">
            <w:pPr>
              <w:autoSpaceDE w:val="0"/>
              <w:autoSpaceDN w:val="0"/>
              <w:adjustRightInd w:val="0"/>
              <w:spacing w:before="32"/>
              <w:rPr>
                <w:rFonts w:ascii="宋体" w:hAnsi="Calibri"/>
                <w:b/>
                <w:bCs/>
                <w:color w:val="auto"/>
                <w:kern w:val="0"/>
                <w:szCs w:val="21"/>
                <w:highlight w:val="none"/>
              </w:rPr>
            </w:pPr>
            <w:r>
              <w:rPr>
                <w:rFonts w:hint="eastAsia" w:ascii="宋体" w:hAnsi="宋体" w:cs="宋体"/>
                <w:b/>
                <w:bCs/>
                <w:color w:val="auto"/>
                <w:kern w:val="0"/>
                <w:szCs w:val="21"/>
                <w:highlight w:val="none"/>
              </w:rPr>
              <w:t>评审因素</w:t>
            </w:r>
          </w:p>
        </w:tc>
        <w:tc>
          <w:tcPr>
            <w:tcW w:w="587" w:type="pct"/>
            <w:tcBorders>
              <w:top w:val="single" w:color="auto" w:sz="4" w:space="0"/>
              <w:left w:val="single" w:color="auto" w:sz="4" w:space="0"/>
              <w:bottom w:val="single" w:color="auto" w:sz="4" w:space="0"/>
              <w:right w:val="single" w:color="auto" w:sz="4" w:space="0"/>
            </w:tcBorders>
            <w:vAlign w:val="center"/>
          </w:tcPr>
          <w:p w14:paraId="215EEC39">
            <w:pPr>
              <w:autoSpaceDE w:val="0"/>
              <w:autoSpaceDN w:val="0"/>
              <w:adjustRightInd w:val="0"/>
              <w:spacing w:before="36"/>
              <w:rPr>
                <w:rFonts w:ascii="宋体" w:hAnsi="Calibri"/>
                <w:b/>
                <w:bCs/>
                <w:color w:val="auto"/>
                <w:kern w:val="0"/>
                <w:szCs w:val="21"/>
                <w:highlight w:val="none"/>
              </w:rPr>
            </w:pPr>
            <w:r>
              <w:rPr>
                <w:rFonts w:hint="eastAsia" w:ascii="宋体" w:hAnsi="宋体" w:cs="宋体"/>
                <w:b/>
                <w:bCs/>
                <w:color w:val="auto"/>
                <w:kern w:val="0"/>
                <w:szCs w:val="21"/>
                <w:highlight w:val="none"/>
              </w:rPr>
              <w:t>评审因素权重分值</w:t>
            </w:r>
          </w:p>
        </w:tc>
        <w:tc>
          <w:tcPr>
            <w:tcW w:w="587" w:type="pct"/>
            <w:tcBorders>
              <w:top w:val="single" w:color="auto" w:sz="4" w:space="0"/>
              <w:left w:val="single" w:color="auto" w:sz="4" w:space="0"/>
              <w:bottom w:val="single" w:color="auto" w:sz="4" w:space="0"/>
              <w:right w:val="single" w:color="auto" w:sz="4" w:space="0"/>
            </w:tcBorders>
            <w:vAlign w:val="center"/>
          </w:tcPr>
          <w:p w14:paraId="001D941B">
            <w:pPr>
              <w:autoSpaceDE w:val="0"/>
              <w:autoSpaceDN w:val="0"/>
              <w:adjustRightInd w:val="0"/>
              <w:spacing w:before="36"/>
              <w:rPr>
                <w:rFonts w:ascii="宋体" w:hAnsi="Calibri"/>
                <w:b/>
                <w:bCs/>
                <w:color w:val="auto"/>
                <w:kern w:val="0"/>
                <w:szCs w:val="21"/>
                <w:highlight w:val="none"/>
              </w:rPr>
            </w:pPr>
            <w:r>
              <w:rPr>
                <w:rFonts w:hint="eastAsia" w:ascii="宋体" w:hAnsi="宋体" w:cs="宋体"/>
                <w:b/>
                <w:bCs/>
                <w:color w:val="auto"/>
                <w:kern w:val="0"/>
                <w:szCs w:val="21"/>
                <w:highlight w:val="none"/>
              </w:rPr>
              <w:t>各评审因</w:t>
            </w:r>
          </w:p>
          <w:p w14:paraId="3202A6BD">
            <w:pPr>
              <w:autoSpaceDE w:val="0"/>
              <w:autoSpaceDN w:val="0"/>
              <w:adjustRightInd w:val="0"/>
              <w:spacing w:before="36"/>
              <w:rPr>
                <w:rFonts w:ascii="宋体" w:hAnsi="Calibri"/>
                <w:b/>
                <w:bCs/>
                <w:color w:val="auto"/>
                <w:kern w:val="0"/>
                <w:szCs w:val="21"/>
                <w:highlight w:val="none"/>
              </w:rPr>
            </w:pPr>
            <w:r>
              <w:rPr>
                <w:rFonts w:hint="eastAsia" w:ascii="宋体" w:hAnsi="宋体" w:cs="宋体"/>
                <w:b/>
                <w:bCs/>
                <w:color w:val="auto"/>
                <w:kern w:val="0"/>
                <w:szCs w:val="21"/>
                <w:highlight w:val="none"/>
              </w:rPr>
              <w:t>素细分项</w:t>
            </w:r>
          </w:p>
        </w:tc>
        <w:tc>
          <w:tcPr>
            <w:tcW w:w="359" w:type="pct"/>
            <w:tcBorders>
              <w:top w:val="single" w:color="auto" w:sz="4" w:space="0"/>
              <w:left w:val="single" w:color="auto" w:sz="4" w:space="0"/>
              <w:bottom w:val="single" w:color="auto" w:sz="4" w:space="0"/>
              <w:right w:val="single" w:color="auto" w:sz="4" w:space="0"/>
            </w:tcBorders>
            <w:vAlign w:val="center"/>
          </w:tcPr>
          <w:p w14:paraId="3248E803">
            <w:pPr>
              <w:autoSpaceDE w:val="0"/>
              <w:autoSpaceDN w:val="0"/>
              <w:adjustRightInd w:val="0"/>
              <w:spacing w:before="36"/>
              <w:jc w:val="center"/>
              <w:rPr>
                <w:rFonts w:ascii="宋体" w:hAnsi="Calibri"/>
                <w:b/>
                <w:bCs/>
                <w:color w:val="auto"/>
                <w:kern w:val="0"/>
                <w:szCs w:val="21"/>
                <w:highlight w:val="none"/>
              </w:rPr>
            </w:pPr>
            <w:r>
              <w:rPr>
                <w:rFonts w:hint="eastAsia" w:ascii="宋体" w:hAnsi="宋体" w:cs="宋体"/>
                <w:b/>
                <w:bCs/>
                <w:color w:val="auto"/>
                <w:kern w:val="0"/>
                <w:szCs w:val="21"/>
                <w:highlight w:val="none"/>
              </w:rPr>
              <w:t>分值</w:t>
            </w:r>
          </w:p>
        </w:tc>
        <w:tc>
          <w:tcPr>
            <w:tcW w:w="2356" w:type="pct"/>
            <w:vMerge w:val="continue"/>
            <w:tcBorders>
              <w:top w:val="single" w:color="auto" w:sz="4" w:space="0"/>
              <w:left w:val="single" w:color="auto" w:sz="4" w:space="0"/>
              <w:bottom w:val="single" w:color="auto" w:sz="4" w:space="0"/>
              <w:right w:val="single" w:color="auto" w:sz="4" w:space="0"/>
            </w:tcBorders>
          </w:tcPr>
          <w:p w14:paraId="23C0BA02">
            <w:pPr>
              <w:spacing w:line="520" w:lineRule="exact"/>
              <w:rPr>
                <w:rFonts w:ascii="??_GB2312" w:hAnsi="Calibri" w:eastAsia="Times New Roman"/>
                <w:color w:val="auto"/>
                <w:kern w:val="0"/>
                <w:sz w:val="28"/>
                <w:szCs w:val="28"/>
                <w:highlight w:val="none"/>
              </w:rPr>
            </w:pPr>
          </w:p>
        </w:tc>
      </w:tr>
      <w:tr w14:paraId="4090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trPr>
        <w:tc>
          <w:tcPr>
            <w:tcW w:w="440" w:type="pct"/>
            <w:vMerge w:val="restart"/>
            <w:tcBorders>
              <w:top w:val="single" w:color="auto" w:sz="4" w:space="0"/>
              <w:left w:val="single" w:color="auto" w:sz="4" w:space="0"/>
              <w:bottom w:val="single" w:color="auto" w:sz="4" w:space="0"/>
              <w:right w:val="single" w:color="auto" w:sz="4" w:space="0"/>
            </w:tcBorders>
            <w:vAlign w:val="center"/>
          </w:tcPr>
          <w:p w14:paraId="5782FED0">
            <w:pPr>
              <w:spacing w:line="520" w:lineRule="exact"/>
              <w:jc w:val="center"/>
              <w:rPr>
                <w:rFonts w:ascii="宋体" w:hAnsi="Calibri"/>
                <w:color w:val="auto"/>
                <w:kern w:val="0"/>
                <w:position w:val="-2"/>
                <w:szCs w:val="21"/>
                <w:highlight w:val="none"/>
              </w:rPr>
            </w:pPr>
            <w:r>
              <w:rPr>
                <w:rFonts w:ascii="宋体" w:hAnsi="宋体" w:cs="宋体"/>
                <w:color w:val="auto"/>
                <w:kern w:val="0"/>
                <w:position w:val="-2"/>
                <w:szCs w:val="21"/>
                <w:highlight w:val="none"/>
              </w:rPr>
              <w:t>1</w:t>
            </w:r>
          </w:p>
        </w:tc>
        <w:tc>
          <w:tcPr>
            <w:tcW w:w="587" w:type="pct"/>
            <w:gridSpan w:val="2"/>
            <w:vMerge w:val="restart"/>
            <w:tcBorders>
              <w:top w:val="single" w:color="auto" w:sz="4" w:space="0"/>
              <w:left w:val="single" w:color="auto" w:sz="4" w:space="0"/>
              <w:bottom w:val="single" w:color="auto" w:sz="4" w:space="0"/>
              <w:right w:val="single" w:color="auto" w:sz="4" w:space="0"/>
            </w:tcBorders>
            <w:vAlign w:val="center"/>
          </w:tcPr>
          <w:p w14:paraId="03886344">
            <w:pPr>
              <w:spacing w:line="520" w:lineRule="exact"/>
              <w:jc w:val="center"/>
              <w:rPr>
                <w:rFonts w:ascii="宋体" w:hAnsi="Calibri"/>
                <w:color w:val="auto"/>
                <w:kern w:val="0"/>
                <w:position w:val="-2"/>
                <w:szCs w:val="21"/>
                <w:highlight w:val="none"/>
              </w:rPr>
            </w:pPr>
            <w:r>
              <w:rPr>
                <w:rFonts w:hint="eastAsia" w:ascii="宋体" w:hAnsi="宋体" w:cs="宋体"/>
                <w:color w:val="auto"/>
                <w:kern w:val="0"/>
                <w:position w:val="-2"/>
                <w:szCs w:val="21"/>
                <w:highlight w:val="none"/>
              </w:rPr>
              <w:t>主要人员</w:t>
            </w:r>
          </w:p>
        </w:tc>
        <w:tc>
          <w:tcPr>
            <w:tcW w:w="587" w:type="pct"/>
            <w:vMerge w:val="restart"/>
            <w:tcBorders>
              <w:top w:val="single" w:color="auto" w:sz="4" w:space="0"/>
              <w:left w:val="single" w:color="auto" w:sz="4" w:space="0"/>
              <w:bottom w:val="single" w:color="auto" w:sz="4" w:space="0"/>
              <w:right w:val="single" w:color="auto" w:sz="4" w:space="0"/>
            </w:tcBorders>
            <w:vAlign w:val="center"/>
          </w:tcPr>
          <w:p w14:paraId="370363E4">
            <w:pPr>
              <w:spacing w:line="520" w:lineRule="exact"/>
              <w:jc w:val="center"/>
              <w:rPr>
                <w:rFonts w:ascii="宋体" w:hAnsi="Calibri"/>
                <w:color w:val="auto"/>
                <w:kern w:val="0"/>
                <w:position w:val="-2"/>
                <w:szCs w:val="21"/>
                <w:highlight w:val="none"/>
              </w:rPr>
            </w:pPr>
            <w:r>
              <w:rPr>
                <w:rFonts w:ascii="宋体" w:hAnsi="宋体" w:cs="宋体"/>
                <w:color w:val="auto"/>
                <w:kern w:val="0"/>
                <w:position w:val="-2"/>
                <w:szCs w:val="21"/>
                <w:highlight w:val="none"/>
              </w:rPr>
              <w:t>30</w:t>
            </w:r>
            <w:r>
              <w:rPr>
                <w:rFonts w:hint="eastAsia" w:ascii="宋体" w:hAnsi="宋体" w:cs="宋体"/>
                <w:color w:val="auto"/>
                <w:kern w:val="0"/>
                <w:position w:val="-2"/>
                <w:szCs w:val="21"/>
                <w:highlight w:val="none"/>
              </w:rPr>
              <w:t>分</w:t>
            </w:r>
          </w:p>
        </w:tc>
        <w:tc>
          <w:tcPr>
            <w:tcW w:w="587" w:type="pct"/>
            <w:tcBorders>
              <w:top w:val="single" w:color="auto" w:sz="4" w:space="0"/>
              <w:left w:val="single" w:color="auto" w:sz="4" w:space="0"/>
              <w:bottom w:val="single" w:color="auto" w:sz="4" w:space="0"/>
              <w:right w:val="single" w:color="auto" w:sz="4" w:space="0"/>
            </w:tcBorders>
            <w:vAlign w:val="center"/>
          </w:tcPr>
          <w:p w14:paraId="727105CB">
            <w:pPr>
              <w:autoSpaceDE w:val="0"/>
              <w:autoSpaceDN w:val="0"/>
              <w:adjustRightInd w:val="0"/>
              <w:spacing w:line="320" w:lineRule="exact"/>
              <w:jc w:val="center"/>
              <w:rPr>
                <w:rFonts w:ascii="宋体" w:hAnsi="Calibri"/>
                <w:color w:val="auto"/>
                <w:kern w:val="0"/>
                <w:position w:val="-2"/>
                <w:szCs w:val="21"/>
                <w:highlight w:val="none"/>
              </w:rPr>
            </w:pPr>
            <w:r>
              <w:rPr>
                <w:rFonts w:hint="eastAsia" w:ascii="宋体" w:hAnsi="宋体" w:cs="宋体"/>
                <w:color w:val="auto"/>
                <w:kern w:val="0"/>
                <w:position w:val="-2"/>
                <w:szCs w:val="21"/>
                <w:highlight w:val="none"/>
              </w:rPr>
              <w:t>项目负责人资格和业绩</w:t>
            </w:r>
          </w:p>
        </w:tc>
        <w:tc>
          <w:tcPr>
            <w:tcW w:w="359" w:type="pct"/>
            <w:tcBorders>
              <w:top w:val="single" w:color="auto" w:sz="4" w:space="0"/>
              <w:left w:val="single" w:color="auto" w:sz="4" w:space="0"/>
              <w:bottom w:val="single" w:color="auto" w:sz="4" w:space="0"/>
              <w:right w:val="single" w:color="auto" w:sz="4" w:space="0"/>
            </w:tcBorders>
            <w:vAlign w:val="center"/>
          </w:tcPr>
          <w:p w14:paraId="6F688C82">
            <w:pPr>
              <w:autoSpaceDE w:val="0"/>
              <w:autoSpaceDN w:val="0"/>
              <w:adjustRightInd w:val="0"/>
              <w:spacing w:line="320" w:lineRule="exact"/>
              <w:jc w:val="center"/>
              <w:rPr>
                <w:rFonts w:ascii="Calibri" w:hAnsi="Calibri"/>
                <w:snapToGrid w:val="0"/>
                <w:color w:val="auto"/>
                <w:kern w:val="0"/>
                <w:szCs w:val="21"/>
                <w:highlight w:val="none"/>
              </w:rPr>
            </w:pPr>
            <w:r>
              <w:rPr>
                <w:rFonts w:ascii="宋体" w:hAnsi="宋体" w:cs="宋体"/>
                <w:color w:val="auto"/>
                <w:kern w:val="0"/>
                <w:position w:val="-2"/>
                <w:szCs w:val="21"/>
                <w:highlight w:val="none"/>
              </w:rPr>
              <w:t>15</w:t>
            </w:r>
            <w:r>
              <w:rPr>
                <w:rFonts w:hint="eastAsia" w:ascii="宋体" w:hAnsi="宋体" w:cs="宋体"/>
                <w:color w:val="auto"/>
                <w:kern w:val="0"/>
                <w:position w:val="-2"/>
                <w:szCs w:val="21"/>
                <w:highlight w:val="none"/>
              </w:rPr>
              <w:t>分</w:t>
            </w:r>
          </w:p>
        </w:tc>
        <w:tc>
          <w:tcPr>
            <w:tcW w:w="2356" w:type="pct"/>
            <w:tcBorders>
              <w:top w:val="single" w:color="auto" w:sz="4" w:space="0"/>
              <w:left w:val="single" w:color="auto" w:sz="4" w:space="0"/>
              <w:bottom w:val="single" w:color="auto" w:sz="4" w:space="0"/>
              <w:right w:val="single" w:color="auto" w:sz="4" w:space="0"/>
            </w:tcBorders>
            <w:vAlign w:val="center"/>
          </w:tcPr>
          <w:p w14:paraId="2514B448">
            <w:pPr>
              <w:autoSpaceDE w:val="0"/>
              <w:autoSpaceDN w:val="0"/>
              <w:adjustRightInd w:val="0"/>
              <w:spacing w:line="320" w:lineRule="exact"/>
              <w:ind w:hanging="2"/>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投标人拟投入的项目负责人满足资格条件的得基本分10分；在此基础上，每增加一个满足资格条件要求业绩的加</w:t>
            </w:r>
            <w:r>
              <w:rPr>
                <w:rFonts w:ascii="宋体" w:hAnsi="宋体" w:cs="宋体"/>
                <w:color w:val="auto"/>
                <w:kern w:val="0"/>
                <w:position w:val="-2"/>
                <w:szCs w:val="21"/>
                <w:highlight w:val="none"/>
              </w:rPr>
              <w:t>2</w:t>
            </w:r>
            <w:r>
              <w:rPr>
                <w:rFonts w:hint="eastAsia" w:ascii="宋体" w:hAnsi="宋体" w:cs="宋体"/>
                <w:color w:val="auto"/>
                <w:kern w:val="0"/>
                <w:position w:val="-2"/>
                <w:szCs w:val="21"/>
                <w:highlight w:val="none"/>
                <w:lang w:val="en-US" w:eastAsia="zh-CN"/>
              </w:rPr>
              <w:t>.5</w:t>
            </w:r>
            <w:r>
              <w:rPr>
                <w:rFonts w:hint="eastAsia" w:ascii="宋体" w:hAnsi="宋体" w:cs="宋体"/>
                <w:color w:val="auto"/>
                <w:kern w:val="0"/>
                <w:position w:val="-2"/>
                <w:szCs w:val="21"/>
                <w:highlight w:val="none"/>
              </w:rPr>
              <w:t>分，最多加</w:t>
            </w:r>
            <w:r>
              <w:rPr>
                <w:rFonts w:hint="eastAsia" w:ascii="宋体" w:hAnsi="宋体" w:cs="宋体"/>
                <w:color w:val="auto"/>
                <w:kern w:val="0"/>
                <w:position w:val="-2"/>
                <w:szCs w:val="21"/>
                <w:highlight w:val="none"/>
                <w:lang w:val="en-US" w:eastAsia="zh-CN"/>
              </w:rPr>
              <w:t>5</w:t>
            </w:r>
            <w:r>
              <w:rPr>
                <w:rFonts w:hint="eastAsia" w:ascii="宋体" w:hAnsi="宋体" w:cs="宋体"/>
                <w:color w:val="auto"/>
                <w:kern w:val="0"/>
                <w:position w:val="-2"/>
                <w:szCs w:val="21"/>
                <w:highlight w:val="none"/>
              </w:rPr>
              <w:t>分。本项满分15分。</w:t>
            </w:r>
          </w:p>
        </w:tc>
      </w:tr>
      <w:tr w14:paraId="4969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trPr>
        <w:tc>
          <w:tcPr>
            <w:tcW w:w="440" w:type="pct"/>
            <w:vMerge w:val="continue"/>
            <w:tcBorders>
              <w:top w:val="single" w:color="auto" w:sz="4" w:space="0"/>
              <w:left w:val="single" w:color="auto" w:sz="4" w:space="0"/>
              <w:bottom w:val="single" w:color="auto" w:sz="4" w:space="0"/>
              <w:right w:val="single" w:color="auto" w:sz="4" w:space="0"/>
            </w:tcBorders>
          </w:tcPr>
          <w:p w14:paraId="4CFC3126">
            <w:pPr>
              <w:spacing w:line="520" w:lineRule="exact"/>
              <w:rPr>
                <w:rFonts w:ascii="??_GB2312" w:hAnsi="Calibri" w:eastAsia="Times New Roman"/>
                <w:color w:val="auto"/>
                <w:kern w:val="0"/>
                <w:sz w:val="28"/>
                <w:szCs w:val="28"/>
                <w:highlight w:val="none"/>
              </w:rPr>
            </w:pPr>
          </w:p>
        </w:tc>
        <w:tc>
          <w:tcPr>
            <w:tcW w:w="587" w:type="pct"/>
            <w:gridSpan w:val="2"/>
            <w:vMerge w:val="continue"/>
            <w:tcBorders>
              <w:top w:val="single" w:color="auto" w:sz="4" w:space="0"/>
              <w:left w:val="single" w:color="auto" w:sz="4" w:space="0"/>
              <w:bottom w:val="single" w:color="auto" w:sz="4" w:space="0"/>
              <w:right w:val="single" w:color="auto" w:sz="4" w:space="0"/>
            </w:tcBorders>
          </w:tcPr>
          <w:p w14:paraId="570AEA87">
            <w:pPr>
              <w:spacing w:line="520" w:lineRule="exact"/>
              <w:rPr>
                <w:rFonts w:ascii="??_GB2312" w:hAnsi="Calibri" w:eastAsia="Times New Roman"/>
                <w:color w:val="auto"/>
                <w:kern w:val="0"/>
                <w:sz w:val="28"/>
                <w:szCs w:val="28"/>
                <w:highlight w:val="none"/>
              </w:rPr>
            </w:pPr>
          </w:p>
        </w:tc>
        <w:tc>
          <w:tcPr>
            <w:tcW w:w="587" w:type="pct"/>
            <w:vMerge w:val="continue"/>
            <w:tcBorders>
              <w:top w:val="single" w:color="auto" w:sz="4" w:space="0"/>
              <w:left w:val="single" w:color="auto" w:sz="4" w:space="0"/>
              <w:bottom w:val="single" w:color="auto" w:sz="4" w:space="0"/>
              <w:right w:val="single" w:color="auto" w:sz="4" w:space="0"/>
            </w:tcBorders>
          </w:tcPr>
          <w:p w14:paraId="025529E0">
            <w:pPr>
              <w:spacing w:line="520" w:lineRule="exact"/>
              <w:rPr>
                <w:rFonts w:ascii="??_GB2312" w:hAnsi="Calibri" w:eastAsia="Times New Roman"/>
                <w:color w:val="auto"/>
                <w:kern w:val="0"/>
                <w:sz w:val="28"/>
                <w:szCs w:val="28"/>
                <w:highlight w:val="none"/>
              </w:rPr>
            </w:pPr>
          </w:p>
        </w:tc>
        <w:tc>
          <w:tcPr>
            <w:tcW w:w="587" w:type="pct"/>
            <w:tcBorders>
              <w:top w:val="single" w:color="auto" w:sz="4" w:space="0"/>
              <w:left w:val="single" w:color="auto" w:sz="4" w:space="0"/>
              <w:bottom w:val="single" w:color="auto" w:sz="4" w:space="0"/>
              <w:right w:val="single" w:color="auto" w:sz="4" w:space="0"/>
            </w:tcBorders>
          </w:tcPr>
          <w:p w14:paraId="63C7E03C">
            <w:pPr>
              <w:autoSpaceDE w:val="0"/>
              <w:autoSpaceDN w:val="0"/>
              <w:adjustRightInd w:val="0"/>
              <w:spacing w:line="320" w:lineRule="exact"/>
              <w:jc w:val="center"/>
              <w:rPr>
                <w:rFonts w:ascii="宋体" w:hAnsi="Calibri"/>
                <w:color w:val="auto"/>
                <w:kern w:val="0"/>
                <w:position w:val="-2"/>
                <w:szCs w:val="21"/>
                <w:highlight w:val="none"/>
              </w:rPr>
            </w:pPr>
            <w:r>
              <w:rPr>
                <w:rFonts w:hint="eastAsia" w:ascii="宋体" w:hAnsi="宋体" w:cs="宋体"/>
                <w:color w:val="auto"/>
                <w:kern w:val="0"/>
                <w:position w:val="-2"/>
                <w:szCs w:val="21"/>
                <w:highlight w:val="none"/>
              </w:rPr>
              <w:t>其他人员资格</w:t>
            </w:r>
          </w:p>
        </w:tc>
        <w:tc>
          <w:tcPr>
            <w:tcW w:w="359" w:type="pct"/>
            <w:tcBorders>
              <w:top w:val="single" w:color="auto" w:sz="4" w:space="0"/>
              <w:left w:val="single" w:color="auto" w:sz="4" w:space="0"/>
              <w:bottom w:val="single" w:color="auto" w:sz="4" w:space="0"/>
              <w:right w:val="single" w:color="auto" w:sz="4" w:space="0"/>
            </w:tcBorders>
            <w:vAlign w:val="center"/>
          </w:tcPr>
          <w:p w14:paraId="0BAF911C">
            <w:pPr>
              <w:autoSpaceDE w:val="0"/>
              <w:autoSpaceDN w:val="0"/>
              <w:adjustRightInd w:val="0"/>
              <w:spacing w:line="320" w:lineRule="exact"/>
              <w:jc w:val="center"/>
              <w:rPr>
                <w:rFonts w:ascii="Calibri" w:hAnsi="Calibri"/>
                <w:snapToGrid w:val="0"/>
                <w:color w:val="auto"/>
                <w:kern w:val="0"/>
                <w:szCs w:val="21"/>
                <w:highlight w:val="none"/>
              </w:rPr>
            </w:pPr>
            <w:r>
              <w:rPr>
                <w:rFonts w:ascii="宋体" w:hAnsi="宋体" w:cs="宋体"/>
                <w:color w:val="auto"/>
                <w:kern w:val="0"/>
                <w:position w:val="-2"/>
                <w:szCs w:val="21"/>
                <w:highlight w:val="none"/>
              </w:rPr>
              <w:t>15</w:t>
            </w:r>
            <w:r>
              <w:rPr>
                <w:rFonts w:hint="eastAsia" w:ascii="宋体" w:hAnsi="宋体" w:cs="宋体"/>
                <w:color w:val="auto"/>
                <w:kern w:val="0"/>
                <w:position w:val="-2"/>
                <w:szCs w:val="21"/>
                <w:highlight w:val="none"/>
              </w:rPr>
              <w:t>分</w:t>
            </w:r>
          </w:p>
        </w:tc>
        <w:tc>
          <w:tcPr>
            <w:tcW w:w="2356" w:type="pct"/>
            <w:tcBorders>
              <w:top w:val="single" w:color="auto" w:sz="4" w:space="0"/>
              <w:left w:val="single" w:color="auto" w:sz="4" w:space="0"/>
              <w:bottom w:val="single" w:color="auto" w:sz="4" w:space="0"/>
              <w:right w:val="single" w:color="auto" w:sz="4" w:space="0"/>
            </w:tcBorders>
            <w:vAlign w:val="center"/>
          </w:tcPr>
          <w:p w14:paraId="5EDBBE3B">
            <w:pPr>
              <w:autoSpaceDE w:val="0"/>
              <w:autoSpaceDN w:val="0"/>
              <w:adjustRightInd w:val="0"/>
              <w:spacing w:line="320" w:lineRule="exact"/>
              <w:rPr>
                <w:rFonts w:hint="eastAsia" w:ascii="宋体" w:hAnsi="宋体" w:cs="宋体"/>
                <w:color w:val="auto"/>
                <w:kern w:val="0"/>
                <w:position w:val="-2"/>
                <w:szCs w:val="21"/>
                <w:highlight w:val="none"/>
                <w:lang w:val="en-US" w:eastAsia="zh-CN"/>
              </w:rPr>
            </w:pPr>
            <w:r>
              <w:rPr>
                <w:rFonts w:hint="eastAsia" w:ascii="宋体" w:hAnsi="宋体" w:cs="宋体"/>
                <w:color w:val="auto"/>
                <w:kern w:val="0"/>
                <w:position w:val="-2"/>
                <w:szCs w:val="21"/>
                <w:highlight w:val="none"/>
                <w:lang w:val="en-US" w:eastAsia="zh-CN"/>
              </w:rPr>
              <w:t>①配备的其他人员满足资格条件的得4.5分；配备的其他人员若同时具有水运工程（材料专业和结构专业）试验检测工程师资格的加4.5分，本项满分9分（注：同一人具有多证书可同时加分）；</w:t>
            </w:r>
          </w:p>
          <w:p w14:paraId="4D246D92">
            <w:pPr>
              <w:autoSpaceDE w:val="0"/>
              <w:autoSpaceDN w:val="0"/>
              <w:adjustRightInd w:val="0"/>
              <w:spacing w:line="320" w:lineRule="exact"/>
              <w:rPr>
                <w:rFonts w:ascii="??_GB2312" w:hAnsi="Calibri" w:eastAsia="Times New Roman"/>
                <w:color w:val="auto"/>
                <w:kern w:val="0"/>
                <w:sz w:val="28"/>
                <w:szCs w:val="28"/>
                <w:highlight w:val="none"/>
              </w:rPr>
            </w:pPr>
            <w:r>
              <w:rPr>
                <w:rFonts w:hint="eastAsia" w:ascii="宋体" w:hAnsi="宋体" w:cs="宋体"/>
                <w:color w:val="auto"/>
                <w:kern w:val="0"/>
                <w:position w:val="-2"/>
                <w:szCs w:val="21"/>
                <w:highlight w:val="none"/>
                <w:lang w:val="en-US" w:eastAsia="zh-CN"/>
              </w:rPr>
              <w:t>②</w:t>
            </w:r>
            <w:r>
              <w:rPr>
                <w:rFonts w:hint="eastAsia" w:ascii="宋体" w:hAnsi="宋体" w:cs="宋体"/>
                <w:color w:val="auto"/>
                <w:kern w:val="0"/>
                <w:position w:val="-2"/>
                <w:szCs w:val="21"/>
                <w:highlight w:val="none"/>
              </w:rPr>
              <w:t>根据配备的人员数量、专业、业绩或工作经历等方面进行综合打分，得分低于</w:t>
            </w:r>
            <w:r>
              <w:rPr>
                <w:rFonts w:ascii="宋体" w:hAnsi="宋体" w:cs="宋体"/>
                <w:color w:val="auto"/>
                <w:kern w:val="0"/>
                <w:position w:val="-2"/>
                <w:szCs w:val="21"/>
                <w:highlight w:val="none"/>
              </w:rPr>
              <w:t>60%</w:t>
            </w:r>
            <w:r>
              <w:rPr>
                <w:rFonts w:hint="eastAsia" w:ascii="宋体" w:hAnsi="宋体" w:cs="宋体"/>
                <w:color w:val="auto"/>
                <w:kern w:val="0"/>
                <w:position w:val="-2"/>
                <w:szCs w:val="21"/>
                <w:highlight w:val="none"/>
              </w:rPr>
              <w:t>时说明理由</w:t>
            </w:r>
            <w:r>
              <w:rPr>
                <w:rFonts w:hint="eastAsia" w:ascii="宋体" w:hAnsi="宋体" w:cs="宋体"/>
                <w:color w:val="auto"/>
                <w:kern w:val="0"/>
                <w:position w:val="-2"/>
                <w:szCs w:val="21"/>
                <w:highlight w:val="none"/>
                <w:lang w:eastAsia="zh-CN"/>
              </w:rPr>
              <w:t>，</w:t>
            </w:r>
            <w:r>
              <w:rPr>
                <w:rFonts w:hint="eastAsia" w:ascii="宋体" w:hAnsi="宋体" w:cs="宋体"/>
                <w:color w:val="auto"/>
                <w:kern w:val="0"/>
                <w:position w:val="-2"/>
                <w:szCs w:val="21"/>
                <w:highlight w:val="none"/>
                <w:lang w:val="en-US" w:eastAsia="zh-CN"/>
              </w:rPr>
              <w:t>本项满分6分</w:t>
            </w:r>
            <w:r>
              <w:rPr>
                <w:rFonts w:hint="eastAsia" w:ascii="宋体" w:hAnsi="宋体" w:cs="宋体"/>
                <w:color w:val="auto"/>
                <w:kern w:val="0"/>
                <w:position w:val="-2"/>
                <w:szCs w:val="21"/>
                <w:highlight w:val="none"/>
              </w:rPr>
              <w:t>。</w:t>
            </w:r>
          </w:p>
        </w:tc>
      </w:tr>
      <w:tr w14:paraId="17A4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trHeight w:val="833" w:hRule="atLeast"/>
        </w:trPr>
        <w:tc>
          <w:tcPr>
            <w:tcW w:w="440" w:type="pct"/>
            <w:tcBorders>
              <w:top w:val="single" w:color="auto" w:sz="4" w:space="0"/>
              <w:left w:val="single" w:color="auto" w:sz="4" w:space="0"/>
              <w:bottom w:val="single" w:color="auto" w:sz="4" w:space="0"/>
              <w:right w:val="single" w:color="auto" w:sz="4" w:space="0"/>
            </w:tcBorders>
            <w:vAlign w:val="center"/>
          </w:tcPr>
          <w:p w14:paraId="25AB0670">
            <w:pPr>
              <w:jc w:val="center"/>
              <w:rPr>
                <w:rFonts w:ascii="宋体" w:hAnsi="Calibri"/>
                <w:color w:val="auto"/>
                <w:kern w:val="0"/>
                <w:position w:val="-2"/>
                <w:szCs w:val="21"/>
                <w:highlight w:val="none"/>
              </w:rPr>
            </w:pPr>
            <w:r>
              <w:rPr>
                <w:rFonts w:ascii="宋体" w:hAnsi="宋体" w:cs="宋体"/>
                <w:color w:val="auto"/>
                <w:kern w:val="0"/>
                <w:position w:val="-2"/>
                <w:szCs w:val="21"/>
                <w:highlight w:val="none"/>
              </w:rPr>
              <w:t>2</w:t>
            </w:r>
          </w:p>
        </w:tc>
        <w:tc>
          <w:tcPr>
            <w:tcW w:w="587" w:type="pct"/>
            <w:gridSpan w:val="2"/>
            <w:tcBorders>
              <w:top w:val="single" w:color="auto" w:sz="4" w:space="0"/>
              <w:left w:val="single" w:color="auto" w:sz="4" w:space="0"/>
              <w:bottom w:val="single" w:color="auto" w:sz="4" w:space="0"/>
              <w:right w:val="single" w:color="auto" w:sz="4" w:space="0"/>
            </w:tcBorders>
            <w:vAlign w:val="center"/>
          </w:tcPr>
          <w:p w14:paraId="0103C171">
            <w:pPr>
              <w:jc w:val="center"/>
              <w:rPr>
                <w:rFonts w:ascii="宋体" w:hAnsi="Calibri"/>
                <w:color w:val="auto"/>
                <w:kern w:val="0"/>
                <w:position w:val="-2"/>
                <w:szCs w:val="21"/>
                <w:highlight w:val="none"/>
              </w:rPr>
            </w:pPr>
            <w:r>
              <w:rPr>
                <w:rFonts w:hint="eastAsia" w:ascii="宋体" w:hAnsi="宋体" w:cs="宋体"/>
                <w:color w:val="auto"/>
                <w:kern w:val="0"/>
                <w:position w:val="-2"/>
                <w:szCs w:val="21"/>
                <w:highlight w:val="none"/>
              </w:rPr>
              <w:t>检测实施方案</w:t>
            </w:r>
          </w:p>
        </w:tc>
        <w:tc>
          <w:tcPr>
            <w:tcW w:w="587" w:type="pct"/>
            <w:tcBorders>
              <w:top w:val="single" w:color="auto" w:sz="4" w:space="0"/>
              <w:left w:val="single" w:color="auto" w:sz="4" w:space="0"/>
              <w:bottom w:val="single" w:color="auto" w:sz="4" w:space="0"/>
              <w:right w:val="single" w:color="auto" w:sz="4" w:space="0"/>
            </w:tcBorders>
            <w:vAlign w:val="center"/>
          </w:tcPr>
          <w:p w14:paraId="4D7092D4">
            <w:pPr>
              <w:jc w:val="center"/>
              <w:rPr>
                <w:rFonts w:ascii="宋体" w:hAnsi="Calibri"/>
                <w:color w:val="auto"/>
                <w:kern w:val="0"/>
                <w:position w:val="-2"/>
                <w:szCs w:val="21"/>
                <w:highlight w:val="none"/>
              </w:rPr>
            </w:pPr>
            <w:r>
              <w:rPr>
                <w:rFonts w:ascii="宋体" w:hAnsi="宋体" w:cs="宋体"/>
                <w:color w:val="auto"/>
                <w:kern w:val="0"/>
                <w:position w:val="-2"/>
                <w:szCs w:val="21"/>
                <w:highlight w:val="none"/>
              </w:rPr>
              <w:t>3</w:t>
            </w:r>
            <w:r>
              <w:rPr>
                <w:rFonts w:ascii="宋体" w:hAnsi="Calibri" w:cs="宋体"/>
                <w:color w:val="auto"/>
                <w:kern w:val="0"/>
                <w:position w:val="-2"/>
                <w:szCs w:val="21"/>
                <w:highlight w:val="none"/>
              </w:rPr>
              <w:t>0</w:t>
            </w:r>
            <w:r>
              <w:rPr>
                <w:rFonts w:hint="eastAsia" w:ascii="宋体" w:hAnsi="宋体" w:cs="宋体"/>
                <w:color w:val="auto"/>
                <w:kern w:val="0"/>
                <w:position w:val="-2"/>
                <w:szCs w:val="21"/>
                <w:highlight w:val="none"/>
              </w:rPr>
              <w:t>分</w:t>
            </w:r>
          </w:p>
        </w:tc>
        <w:tc>
          <w:tcPr>
            <w:tcW w:w="3303" w:type="pct"/>
            <w:gridSpan w:val="3"/>
            <w:tcBorders>
              <w:top w:val="single" w:color="auto" w:sz="4" w:space="0"/>
              <w:left w:val="single" w:color="auto" w:sz="4" w:space="0"/>
              <w:bottom w:val="single" w:color="auto" w:sz="4" w:space="0"/>
              <w:right w:val="single" w:color="auto" w:sz="4" w:space="0"/>
            </w:tcBorders>
            <w:vAlign w:val="center"/>
          </w:tcPr>
          <w:p w14:paraId="29C53BE6">
            <w:pPr>
              <w:rPr>
                <w:rFonts w:ascii="宋体" w:hAnsi="Calibri"/>
                <w:color w:val="auto"/>
                <w:kern w:val="0"/>
                <w:position w:val="-2"/>
                <w:szCs w:val="21"/>
                <w:highlight w:val="none"/>
              </w:rPr>
            </w:pPr>
            <w:r>
              <w:rPr>
                <w:rFonts w:hint="eastAsia" w:ascii="宋体" w:hAnsi="宋体" w:cs="宋体"/>
                <w:color w:val="auto"/>
                <w:kern w:val="0"/>
                <w:position w:val="-2"/>
                <w:szCs w:val="21"/>
                <w:highlight w:val="none"/>
              </w:rPr>
              <w:t>根据工作的程序与方法、工作服务的目标及保证措施、本项目的重点和难点分析及对策措施进行评分。得分低于</w:t>
            </w:r>
            <w:r>
              <w:rPr>
                <w:rFonts w:ascii="宋体" w:hAnsi="宋体" w:cs="宋体"/>
                <w:color w:val="auto"/>
                <w:kern w:val="0"/>
                <w:position w:val="-2"/>
                <w:szCs w:val="21"/>
                <w:highlight w:val="none"/>
              </w:rPr>
              <w:t>60%</w:t>
            </w:r>
            <w:r>
              <w:rPr>
                <w:rFonts w:hint="eastAsia" w:ascii="宋体" w:hAnsi="宋体" w:cs="宋体"/>
                <w:color w:val="auto"/>
                <w:kern w:val="0"/>
                <w:position w:val="-2"/>
                <w:szCs w:val="21"/>
                <w:highlight w:val="none"/>
              </w:rPr>
              <w:t>时说明理由。</w:t>
            </w:r>
          </w:p>
        </w:tc>
      </w:tr>
      <w:tr w14:paraId="4890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trPr>
        <w:tc>
          <w:tcPr>
            <w:tcW w:w="440" w:type="pct"/>
            <w:tcBorders>
              <w:top w:val="single" w:color="auto" w:sz="4" w:space="0"/>
              <w:left w:val="single" w:color="auto" w:sz="4" w:space="0"/>
              <w:bottom w:val="single" w:color="auto" w:sz="4" w:space="0"/>
              <w:right w:val="single" w:color="auto" w:sz="4" w:space="0"/>
            </w:tcBorders>
            <w:vAlign w:val="center"/>
          </w:tcPr>
          <w:p w14:paraId="55E8E8CA">
            <w:pPr>
              <w:spacing w:line="520" w:lineRule="exact"/>
              <w:jc w:val="center"/>
              <w:rPr>
                <w:rFonts w:ascii="宋体" w:hAnsi="Calibri"/>
                <w:color w:val="auto"/>
                <w:kern w:val="0"/>
                <w:position w:val="-2"/>
                <w:szCs w:val="21"/>
                <w:highlight w:val="none"/>
              </w:rPr>
            </w:pPr>
            <w:r>
              <w:rPr>
                <w:rFonts w:ascii="宋体" w:hAnsi="宋体" w:cs="宋体"/>
                <w:color w:val="auto"/>
                <w:kern w:val="0"/>
                <w:position w:val="-2"/>
                <w:szCs w:val="21"/>
                <w:highlight w:val="none"/>
              </w:rPr>
              <w:t>3</w:t>
            </w:r>
          </w:p>
        </w:tc>
        <w:tc>
          <w:tcPr>
            <w:tcW w:w="587" w:type="pct"/>
            <w:gridSpan w:val="2"/>
            <w:tcBorders>
              <w:top w:val="single" w:color="auto" w:sz="4" w:space="0"/>
              <w:left w:val="single" w:color="auto" w:sz="4" w:space="0"/>
              <w:bottom w:val="single" w:color="auto" w:sz="4" w:space="0"/>
              <w:right w:val="single" w:color="auto" w:sz="4" w:space="0"/>
            </w:tcBorders>
            <w:vAlign w:val="center"/>
          </w:tcPr>
          <w:p w14:paraId="03D6257D">
            <w:pPr>
              <w:spacing w:line="520" w:lineRule="exact"/>
              <w:jc w:val="center"/>
              <w:rPr>
                <w:rFonts w:ascii="宋体" w:hAnsi="Calibri"/>
                <w:color w:val="auto"/>
                <w:kern w:val="0"/>
                <w:position w:val="-2"/>
                <w:szCs w:val="21"/>
                <w:highlight w:val="none"/>
              </w:rPr>
            </w:pPr>
            <w:r>
              <w:rPr>
                <w:rFonts w:hint="eastAsia" w:ascii="宋体" w:hAnsi="宋体" w:cs="宋体"/>
                <w:color w:val="auto"/>
                <w:kern w:val="0"/>
                <w:position w:val="-2"/>
                <w:szCs w:val="21"/>
                <w:highlight w:val="none"/>
              </w:rPr>
              <w:t>业绩</w:t>
            </w:r>
          </w:p>
        </w:tc>
        <w:tc>
          <w:tcPr>
            <w:tcW w:w="587" w:type="pct"/>
            <w:tcBorders>
              <w:top w:val="single" w:color="auto" w:sz="4" w:space="0"/>
              <w:left w:val="single" w:color="auto" w:sz="4" w:space="0"/>
              <w:bottom w:val="single" w:color="auto" w:sz="4" w:space="0"/>
              <w:right w:val="single" w:color="auto" w:sz="4" w:space="0"/>
            </w:tcBorders>
            <w:vAlign w:val="center"/>
          </w:tcPr>
          <w:p w14:paraId="56EFAAB2">
            <w:pPr>
              <w:spacing w:line="520" w:lineRule="exact"/>
              <w:jc w:val="center"/>
              <w:rPr>
                <w:rFonts w:ascii="宋体" w:hAnsi="Calibri"/>
                <w:color w:val="auto"/>
                <w:kern w:val="0"/>
                <w:position w:val="-2"/>
                <w:szCs w:val="21"/>
                <w:highlight w:val="none"/>
              </w:rPr>
            </w:pPr>
            <w:r>
              <w:rPr>
                <w:rFonts w:ascii="宋体" w:hAnsi="宋体" w:cs="宋体"/>
                <w:color w:val="auto"/>
                <w:kern w:val="0"/>
                <w:position w:val="-2"/>
                <w:szCs w:val="21"/>
                <w:highlight w:val="none"/>
              </w:rPr>
              <w:t>25</w:t>
            </w:r>
            <w:r>
              <w:rPr>
                <w:rFonts w:hint="eastAsia" w:ascii="宋体" w:hAnsi="宋体" w:cs="宋体"/>
                <w:color w:val="auto"/>
                <w:kern w:val="0"/>
                <w:position w:val="-2"/>
                <w:szCs w:val="21"/>
                <w:highlight w:val="none"/>
              </w:rPr>
              <w:t>分</w:t>
            </w:r>
          </w:p>
        </w:tc>
        <w:tc>
          <w:tcPr>
            <w:tcW w:w="3303" w:type="pct"/>
            <w:gridSpan w:val="3"/>
            <w:tcBorders>
              <w:top w:val="single" w:color="auto" w:sz="4" w:space="0"/>
              <w:left w:val="single" w:color="auto" w:sz="4" w:space="0"/>
              <w:bottom w:val="single" w:color="auto" w:sz="4" w:space="0"/>
              <w:right w:val="single" w:color="auto" w:sz="4" w:space="0"/>
            </w:tcBorders>
          </w:tcPr>
          <w:p w14:paraId="03BF5EA3">
            <w:pPr>
              <w:rPr>
                <w:rFonts w:ascii="宋体" w:hAnsi="Calibri"/>
                <w:color w:val="auto"/>
                <w:szCs w:val="21"/>
                <w:highlight w:val="none"/>
              </w:rPr>
            </w:pPr>
            <w:r>
              <w:rPr>
                <w:rFonts w:hint="eastAsia" w:ascii="宋体" w:hAnsi="宋体" w:cs="宋体"/>
                <w:color w:val="auto"/>
                <w:kern w:val="0"/>
                <w:position w:val="-2"/>
                <w:szCs w:val="21"/>
                <w:highlight w:val="none"/>
              </w:rPr>
              <w:t>投标人满足资格条件要求的得基本分</w:t>
            </w:r>
            <w:r>
              <w:rPr>
                <w:rFonts w:ascii="宋体" w:hAnsi="宋体" w:cs="宋体"/>
                <w:color w:val="auto"/>
                <w:kern w:val="0"/>
                <w:position w:val="-2"/>
                <w:szCs w:val="21"/>
                <w:highlight w:val="none"/>
              </w:rPr>
              <w:t>15</w:t>
            </w:r>
            <w:r>
              <w:rPr>
                <w:rFonts w:hint="eastAsia" w:ascii="宋体" w:hAnsi="宋体" w:cs="宋体"/>
                <w:color w:val="auto"/>
                <w:kern w:val="0"/>
                <w:position w:val="-2"/>
                <w:szCs w:val="21"/>
                <w:highlight w:val="none"/>
              </w:rPr>
              <w:t>分；在此基础上每增加一个满足资格条件要求业绩的加</w:t>
            </w:r>
            <w:r>
              <w:rPr>
                <w:rFonts w:ascii="宋体" w:hAnsi="宋体" w:cs="宋体"/>
                <w:color w:val="auto"/>
                <w:kern w:val="0"/>
                <w:position w:val="-2"/>
                <w:szCs w:val="21"/>
                <w:highlight w:val="none"/>
              </w:rPr>
              <w:t>2</w:t>
            </w:r>
            <w:r>
              <w:rPr>
                <w:rFonts w:hint="eastAsia" w:ascii="宋体" w:hAnsi="宋体" w:cs="宋体"/>
                <w:color w:val="auto"/>
                <w:kern w:val="0"/>
                <w:position w:val="-2"/>
                <w:szCs w:val="21"/>
                <w:highlight w:val="none"/>
                <w:lang w:val="en-US" w:eastAsia="zh-CN"/>
              </w:rPr>
              <w:t>.5</w:t>
            </w:r>
            <w:r>
              <w:rPr>
                <w:rFonts w:hint="eastAsia" w:ascii="宋体" w:hAnsi="宋体" w:cs="宋体"/>
                <w:color w:val="auto"/>
                <w:kern w:val="0"/>
                <w:position w:val="-2"/>
                <w:szCs w:val="21"/>
                <w:highlight w:val="none"/>
              </w:rPr>
              <w:t>分，最多加</w:t>
            </w:r>
            <w:r>
              <w:rPr>
                <w:rFonts w:hint="eastAsia" w:ascii="宋体" w:hAnsi="宋体" w:cs="宋体"/>
                <w:color w:val="auto"/>
                <w:kern w:val="0"/>
                <w:position w:val="-2"/>
                <w:szCs w:val="21"/>
                <w:highlight w:val="none"/>
                <w:lang w:val="en-US" w:eastAsia="zh-CN"/>
              </w:rPr>
              <w:t>10</w:t>
            </w:r>
            <w:r>
              <w:rPr>
                <w:rFonts w:hint="eastAsia" w:ascii="宋体" w:hAnsi="宋体" w:cs="宋体"/>
                <w:color w:val="auto"/>
                <w:kern w:val="0"/>
                <w:position w:val="-2"/>
                <w:szCs w:val="21"/>
                <w:highlight w:val="none"/>
              </w:rPr>
              <w:t>分。（须提供合同和经委托人盖章确认的已完工证明材料）</w:t>
            </w:r>
          </w:p>
        </w:tc>
      </w:tr>
      <w:tr w14:paraId="2381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trPr>
        <w:tc>
          <w:tcPr>
            <w:tcW w:w="440" w:type="pct"/>
            <w:tcBorders>
              <w:top w:val="single" w:color="auto" w:sz="4" w:space="0"/>
              <w:left w:val="single" w:color="auto" w:sz="4" w:space="0"/>
              <w:bottom w:val="single" w:color="auto" w:sz="4" w:space="0"/>
              <w:right w:val="single" w:color="auto" w:sz="4" w:space="0"/>
            </w:tcBorders>
            <w:vAlign w:val="center"/>
          </w:tcPr>
          <w:p w14:paraId="4F1FC907">
            <w:pPr>
              <w:spacing w:line="520" w:lineRule="exact"/>
              <w:jc w:val="center"/>
              <w:rPr>
                <w:rFonts w:ascii="宋体" w:hAnsi="Calibri"/>
                <w:color w:val="auto"/>
                <w:kern w:val="0"/>
                <w:position w:val="-2"/>
                <w:szCs w:val="21"/>
                <w:highlight w:val="none"/>
              </w:rPr>
            </w:pPr>
            <w:r>
              <w:rPr>
                <w:rFonts w:ascii="宋体" w:hAnsi="宋体" w:cs="宋体"/>
                <w:color w:val="auto"/>
                <w:kern w:val="0"/>
                <w:position w:val="-2"/>
                <w:szCs w:val="21"/>
                <w:highlight w:val="none"/>
              </w:rPr>
              <w:t>4</w:t>
            </w:r>
          </w:p>
        </w:tc>
        <w:tc>
          <w:tcPr>
            <w:tcW w:w="587" w:type="pct"/>
            <w:gridSpan w:val="2"/>
            <w:tcBorders>
              <w:top w:val="single" w:color="auto" w:sz="4" w:space="0"/>
              <w:left w:val="single" w:color="auto" w:sz="4" w:space="0"/>
              <w:bottom w:val="single" w:color="auto" w:sz="4" w:space="0"/>
              <w:right w:val="single" w:color="auto" w:sz="4" w:space="0"/>
            </w:tcBorders>
            <w:vAlign w:val="center"/>
          </w:tcPr>
          <w:p w14:paraId="58E862E3">
            <w:pPr>
              <w:autoSpaceDE w:val="0"/>
              <w:autoSpaceDN w:val="0"/>
              <w:adjustRightInd w:val="0"/>
              <w:spacing w:line="320" w:lineRule="exact"/>
              <w:jc w:val="center"/>
              <w:rPr>
                <w:rFonts w:ascii="宋体" w:hAnsi="Calibri"/>
                <w:color w:val="auto"/>
                <w:kern w:val="0"/>
                <w:position w:val="-2"/>
                <w:szCs w:val="21"/>
                <w:highlight w:val="none"/>
              </w:rPr>
            </w:pPr>
            <w:r>
              <w:rPr>
                <w:rFonts w:hint="eastAsia" w:ascii="宋体" w:hAnsi="宋体" w:cs="宋体"/>
                <w:color w:val="auto"/>
                <w:kern w:val="0"/>
                <w:position w:val="-2"/>
                <w:szCs w:val="21"/>
                <w:highlight w:val="none"/>
              </w:rPr>
              <w:t>履约信誉</w:t>
            </w:r>
          </w:p>
        </w:tc>
        <w:tc>
          <w:tcPr>
            <w:tcW w:w="587" w:type="pct"/>
            <w:tcBorders>
              <w:top w:val="single" w:color="auto" w:sz="4" w:space="0"/>
              <w:left w:val="single" w:color="auto" w:sz="4" w:space="0"/>
              <w:bottom w:val="single" w:color="auto" w:sz="4" w:space="0"/>
              <w:right w:val="single" w:color="auto" w:sz="4" w:space="0"/>
            </w:tcBorders>
            <w:vAlign w:val="center"/>
          </w:tcPr>
          <w:p w14:paraId="3BB96FEC">
            <w:pPr>
              <w:autoSpaceDE w:val="0"/>
              <w:autoSpaceDN w:val="0"/>
              <w:adjustRightInd w:val="0"/>
              <w:spacing w:line="320" w:lineRule="exact"/>
              <w:jc w:val="center"/>
              <w:rPr>
                <w:rFonts w:ascii="宋体" w:hAnsi="Calibri"/>
                <w:color w:val="auto"/>
                <w:kern w:val="0"/>
                <w:position w:val="-2"/>
                <w:szCs w:val="21"/>
                <w:highlight w:val="none"/>
              </w:rPr>
            </w:pPr>
            <w:r>
              <w:rPr>
                <w:rFonts w:ascii="宋体" w:hAnsi="宋体" w:cs="宋体"/>
                <w:color w:val="auto"/>
                <w:kern w:val="0"/>
                <w:position w:val="-2"/>
                <w:szCs w:val="21"/>
                <w:highlight w:val="none"/>
              </w:rPr>
              <w:t>5</w:t>
            </w:r>
            <w:r>
              <w:rPr>
                <w:rFonts w:hint="eastAsia" w:ascii="宋体" w:hAnsi="宋体" w:cs="宋体"/>
                <w:color w:val="auto"/>
                <w:kern w:val="0"/>
                <w:position w:val="-2"/>
                <w:szCs w:val="21"/>
                <w:highlight w:val="none"/>
              </w:rPr>
              <w:t>分</w:t>
            </w:r>
          </w:p>
        </w:tc>
        <w:tc>
          <w:tcPr>
            <w:tcW w:w="3303" w:type="pct"/>
            <w:gridSpan w:val="3"/>
            <w:tcBorders>
              <w:top w:val="single" w:color="auto" w:sz="4" w:space="0"/>
              <w:left w:val="single" w:color="auto" w:sz="4" w:space="0"/>
              <w:bottom w:val="single" w:color="auto" w:sz="4" w:space="0"/>
              <w:right w:val="single" w:color="auto" w:sz="4" w:space="0"/>
            </w:tcBorders>
          </w:tcPr>
          <w:p w14:paraId="2D83793B">
            <w:pPr>
              <w:rPr>
                <w:rFonts w:ascii="宋体" w:hAnsi="Calibri"/>
                <w:snapToGrid w:val="0"/>
                <w:color w:val="auto"/>
                <w:kern w:val="0"/>
                <w:szCs w:val="21"/>
                <w:highlight w:val="none"/>
              </w:rPr>
            </w:pPr>
            <w:r>
              <w:rPr>
                <w:rFonts w:hint="eastAsia" w:ascii="宋体" w:hAnsi="宋体" w:cs="宋体"/>
                <w:snapToGrid w:val="0"/>
                <w:color w:val="auto"/>
                <w:kern w:val="0"/>
                <w:szCs w:val="21"/>
                <w:highlight w:val="none"/>
              </w:rPr>
              <w:t>根据《江苏省公路水运服务类单位信用评价实施细则》等的规定对投标人信誉进行评分，投标人信用等级及评定分值、红名单情况以投标文件递交截止日当天江苏省交通运输厅门户网站最新公布的为准，在江苏省无信用评价记录且上年度无失信行为记录的，其信用等级按照暂定</w:t>
            </w:r>
            <w:r>
              <w:rPr>
                <w:rFonts w:ascii="宋体" w:hAnsi="宋体" w:cs="宋体"/>
                <w:snapToGrid w:val="0"/>
                <w:color w:val="auto"/>
                <w:kern w:val="0"/>
                <w:szCs w:val="21"/>
                <w:highlight w:val="none"/>
              </w:rPr>
              <w:t xml:space="preserve"> A </w:t>
            </w:r>
            <w:r>
              <w:rPr>
                <w:rFonts w:hint="eastAsia" w:ascii="宋体" w:hAnsi="宋体" w:cs="宋体"/>
                <w:snapToGrid w:val="0"/>
                <w:color w:val="auto"/>
                <w:kern w:val="0"/>
                <w:szCs w:val="21"/>
                <w:highlight w:val="none"/>
              </w:rPr>
              <w:t>级确定。</w:t>
            </w:r>
          </w:p>
          <w:p w14:paraId="0D21B984">
            <w:pPr>
              <w:rPr>
                <w:rFonts w:ascii="宋体" w:hAnsi="Calibri"/>
                <w:snapToGrid w:val="0"/>
                <w:color w:val="auto"/>
                <w:kern w:val="0"/>
                <w:szCs w:val="21"/>
                <w:highlight w:val="none"/>
              </w:rPr>
            </w:pPr>
            <w:r>
              <w:rPr>
                <w:rFonts w:hint="eastAsia" w:ascii="宋体" w:hAnsi="宋体" w:cs="宋体"/>
                <w:snapToGrid w:val="0"/>
                <w:color w:val="auto"/>
                <w:kern w:val="0"/>
                <w:szCs w:val="21"/>
                <w:highlight w:val="none"/>
              </w:rPr>
              <w:t>信用等级评为</w:t>
            </w:r>
            <w:r>
              <w:rPr>
                <w:rFonts w:ascii="宋体" w:hAnsi="宋体" w:cs="宋体"/>
                <w:snapToGrid w:val="0"/>
                <w:color w:val="auto"/>
                <w:kern w:val="0"/>
                <w:szCs w:val="21"/>
                <w:highlight w:val="none"/>
              </w:rPr>
              <w:t>AA</w:t>
            </w:r>
            <w:r>
              <w:rPr>
                <w:rFonts w:hint="eastAsia" w:ascii="宋体" w:hAnsi="宋体" w:cs="宋体"/>
                <w:snapToGrid w:val="0"/>
                <w:color w:val="auto"/>
                <w:kern w:val="0"/>
                <w:szCs w:val="21"/>
                <w:highlight w:val="none"/>
              </w:rPr>
              <w:t>级或红名单的，信用得分为</w:t>
            </w:r>
            <w:r>
              <w:rPr>
                <w:rFonts w:ascii="宋体" w:hAnsi="宋体" w:cs="宋体"/>
                <w:snapToGrid w:val="0"/>
                <w:color w:val="auto"/>
                <w:kern w:val="0"/>
                <w:szCs w:val="21"/>
                <w:highlight w:val="none"/>
              </w:rPr>
              <w:t>X</w:t>
            </w:r>
          </w:p>
          <w:p w14:paraId="43F6156C">
            <w:pPr>
              <w:rPr>
                <w:rFonts w:ascii="宋体" w:hAnsi="Calibri"/>
                <w:snapToGrid w:val="0"/>
                <w:color w:val="auto"/>
                <w:kern w:val="0"/>
                <w:szCs w:val="21"/>
                <w:highlight w:val="none"/>
              </w:rPr>
            </w:pPr>
            <w:r>
              <w:rPr>
                <w:rFonts w:hint="eastAsia" w:ascii="宋体" w:hAnsi="宋体" w:cs="宋体"/>
                <w:snapToGrid w:val="0"/>
                <w:color w:val="auto"/>
                <w:kern w:val="0"/>
                <w:szCs w:val="21"/>
                <w:highlight w:val="none"/>
              </w:rPr>
              <w:t>信用等级评为</w:t>
            </w:r>
            <w:r>
              <w:rPr>
                <w:rFonts w:ascii="宋体" w:hAnsi="宋体" w:cs="宋体"/>
                <w:snapToGrid w:val="0"/>
                <w:color w:val="auto"/>
                <w:kern w:val="0"/>
                <w:szCs w:val="21"/>
                <w:highlight w:val="none"/>
              </w:rPr>
              <w:t>A</w:t>
            </w:r>
            <w:r>
              <w:rPr>
                <w:rFonts w:hint="eastAsia" w:ascii="宋体" w:hAnsi="宋体" w:cs="宋体"/>
                <w:snapToGrid w:val="0"/>
                <w:color w:val="auto"/>
                <w:kern w:val="0"/>
                <w:szCs w:val="21"/>
                <w:highlight w:val="none"/>
              </w:rPr>
              <w:t>级（含暂定</w:t>
            </w:r>
            <w:r>
              <w:rPr>
                <w:rFonts w:ascii="宋体" w:hAnsi="宋体" w:cs="宋体"/>
                <w:snapToGrid w:val="0"/>
                <w:color w:val="auto"/>
                <w:kern w:val="0"/>
                <w:szCs w:val="21"/>
                <w:highlight w:val="none"/>
              </w:rPr>
              <w:t>A</w:t>
            </w:r>
            <w:r>
              <w:rPr>
                <w:rFonts w:hint="eastAsia" w:ascii="宋体" w:hAnsi="宋体" w:cs="宋体"/>
                <w:snapToGrid w:val="0"/>
                <w:color w:val="auto"/>
                <w:kern w:val="0"/>
                <w:szCs w:val="21"/>
                <w:highlight w:val="none"/>
              </w:rPr>
              <w:t>级）的，信用得分按下列公式计算</w:t>
            </w:r>
          </w:p>
          <w:p w14:paraId="4F2F79B0">
            <w:pPr>
              <w:ind w:firstLine="525"/>
              <w:rPr>
                <w:rFonts w:ascii="宋体" w:hAnsi="Calibri"/>
                <w:snapToGrid w:val="0"/>
                <w:color w:val="auto"/>
                <w:kern w:val="0"/>
                <w:szCs w:val="21"/>
                <w:highlight w:val="none"/>
              </w:rPr>
            </w:pPr>
            <w:r>
              <w:rPr>
                <w:rFonts w:ascii="宋体" w:hAnsi="宋体" w:cs="宋体"/>
                <w:snapToGrid w:val="0"/>
                <w:color w:val="auto"/>
                <w:kern w:val="0"/>
                <w:szCs w:val="21"/>
                <w:highlight w:val="none"/>
              </w:rPr>
              <w:t>Y=0.15</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X</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(Z-85)</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10+0.85</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 xml:space="preserve">X </w:t>
            </w:r>
          </w:p>
          <w:p w14:paraId="7F215561">
            <w:pPr>
              <w:rPr>
                <w:rFonts w:ascii="宋体" w:hAnsi="Calibri"/>
                <w:snapToGrid w:val="0"/>
                <w:color w:val="auto"/>
                <w:kern w:val="0"/>
                <w:szCs w:val="21"/>
                <w:highlight w:val="none"/>
              </w:rPr>
            </w:pPr>
            <w:r>
              <w:rPr>
                <w:rFonts w:hint="eastAsia" w:ascii="宋体" w:hAnsi="宋体" w:cs="宋体"/>
                <w:snapToGrid w:val="0"/>
                <w:color w:val="auto"/>
                <w:kern w:val="0"/>
                <w:szCs w:val="21"/>
                <w:highlight w:val="none"/>
              </w:rPr>
              <w:t>信用等级评为</w:t>
            </w:r>
            <w:r>
              <w:rPr>
                <w:rFonts w:ascii="宋体" w:hAnsi="宋体" w:cs="宋体"/>
                <w:snapToGrid w:val="0"/>
                <w:color w:val="auto"/>
                <w:kern w:val="0"/>
                <w:szCs w:val="21"/>
                <w:highlight w:val="none"/>
              </w:rPr>
              <w:t>B</w:t>
            </w:r>
            <w:r>
              <w:rPr>
                <w:rFonts w:hint="eastAsia" w:ascii="宋体" w:hAnsi="宋体" w:cs="宋体"/>
                <w:snapToGrid w:val="0"/>
                <w:color w:val="auto"/>
                <w:kern w:val="0"/>
                <w:szCs w:val="21"/>
                <w:highlight w:val="none"/>
              </w:rPr>
              <w:t>级的，信用得分按下列公式计算</w:t>
            </w:r>
          </w:p>
          <w:p w14:paraId="7BD67590">
            <w:pPr>
              <w:ind w:firstLine="525"/>
              <w:rPr>
                <w:rFonts w:ascii="宋体" w:hAnsi="Calibri"/>
                <w:snapToGrid w:val="0"/>
                <w:color w:val="auto"/>
                <w:kern w:val="0"/>
                <w:szCs w:val="21"/>
                <w:highlight w:val="none"/>
              </w:rPr>
            </w:pPr>
            <w:r>
              <w:rPr>
                <w:rFonts w:ascii="宋体" w:hAnsi="宋体" w:cs="宋体"/>
                <w:snapToGrid w:val="0"/>
                <w:color w:val="auto"/>
                <w:kern w:val="0"/>
                <w:szCs w:val="21"/>
                <w:highlight w:val="none"/>
              </w:rPr>
              <w:t>Y=0.15</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X</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(Z-75)</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10+0.65</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 xml:space="preserve">X </w:t>
            </w:r>
          </w:p>
          <w:p w14:paraId="22CBBB1A">
            <w:pPr>
              <w:rPr>
                <w:rFonts w:ascii="宋体" w:hAnsi="Calibri"/>
                <w:snapToGrid w:val="0"/>
                <w:color w:val="auto"/>
                <w:kern w:val="0"/>
                <w:szCs w:val="21"/>
                <w:highlight w:val="none"/>
              </w:rPr>
            </w:pPr>
            <w:r>
              <w:rPr>
                <w:rFonts w:hint="eastAsia" w:ascii="宋体" w:hAnsi="宋体" w:cs="宋体"/>
                <w:snapToGrid w:val="0"/>
                <w:color w:val="auto"/>
                <w:kern w:val="0"/>
                <w:szCs w:val="21"/>
                <w:highlight w:val="none"/>
              </w:rPr>
              <w:t>注：</w:t>
            </w:r>
            <w:r>
              <w:rPr>
                <w:rFonts w:ascii="宋体" w:hAnsi="宋体" w:cs="宋体"/>
                <w:snapToGrid w:val="0"/>
                <w:color w:val="auto"/>
                <w:kern w:val="0"/>
                <w:szCs w:val="21"/>
                <w:highlight w:val="none"/>
              </w:rPr>
              <w:t>X</w:t>
            </w:r>
            <w:r>
              <w:rPr>
                <w:rFonts w:hint="eastAsia" w:ascii="宋体" w:hAnsi="宋体" w:cs="宋体"/>
                <w:snapToGrid w:val="0"/>
                <w:color w:val="auto"/>
                <w:kern w:val="0"/>
                <w:szCs w:val="21"/>
                <w:highlight w:val="none"/>
              </w:rPr>
              <w:t>为信用分满分值（</w:t>
            </w:r>
            <w:r>
              <w:rPr>
                <w:rFonts w:ascii="宋体" w:hAnsi="宋体" w:cs="宋体"/>
                <w:snapToGrid w:val="0"/>
                <w:color w:val="auto"/>
                <w:kern w:val="0"/>
                <w:szCs w:val="21"/>
                <w:highlight w:val="none"/>
              </w:rPr>
              <w:t>5</w:t>
            </w:r>
            <w:r>
              <w:rPr>
                <w:rFonts w:hint="eastAsia" w:ascii="宋体" w:hAnsi="宋体" w:cs="宋体"/>
                <w:snapToGrid w:val="0"/>
                <w:color w:val="auto"/>
                <w:kern w:val="0"/>
                <w:szCs w:val="21"/>
                <w:highlight w:val="none"/>
              </w:rPr>
              <w:t>分），</w:t>
            </w:r>
            <w:r>
              <w:rPr>
                <w:rFonts w:ascii="宋体" w:hAnsi="宋体" w:cs="宋体"/>
                <w:snapToGrid w:val="0"/>
                <w:color w:val="auto"/>
                <w:kern w:val="0"/>
                <w:szCs w:val="21"/>
                <w:highlight w:val="none"/>
              </w:rPr>
              <w:t>Y</w:t>
            </w:r>
            <w:r>
              <w:rPr>
                <w:rFonts w:hint="eastAsia" w:ascii="宋体" w:hAnsi="宋体" w:cs="宋体"/>
                <w:snapToGrid w:val="0"/>
                <w:color w:val="auto"/>
                <w:kern w:val="0"/>
                <w:szCs w:val="21"/>
                <w:highlight w:val="none"/>
              </w:rPr>
              <w:t>为企业在本次投标活动中的信用分值，</w:t>
            </w:r>
            <w:r>
              <w:rPr>
                <w:rFonts w:ascii="宋体" w:hAnsi="宋体" w:cs="宋体"/>
                <w:snapToGrid w:val="0"/>
                <w:color w:val="auto"/>
                <w:kern w:val="0"/>
                <w:szCs w:val="21"/>
                <w:highlight w:val="none"/>
              </w:rPr>
              <w:t>Z</w:t>
            </w:r>
            <w:r>
              <w:rPr>
                <w:rFonts w:hint="eastAsia" w:ascii="宋体" w:hAnsi="宋体" w:cs="宋体"/>
                <w:snapToGrid w:val="0"/>
                <w:color w:val="auto"/>
                <w:kern w:val="0"/>
                <w:szCs w:val="21"/>
                <w:highlight w:val="none"/>
              </w:rPr>
              <w:t>为企业最近一次信用等级评定分值。无评定分值的</w:t>
            </w:r>
            <w:r>
              <w:rPr>
                <w:rFonts w:ascii="宋体" w:hAnsi="宋体" w:cs="宋体"/>
                <w:snapToGrid w:val="0"/>
                <w:color w:val="auto"/>
                <w:kern w:val="0"/>
                <w:szCs w:val="21"/>
                <w:highlight w:val="none"/>
              </w:rPr>
              <w:t>A</w:t>
            </w:r>
            <w:r>
              <w:rPr>
                <w:rFonts w:hint="eastAsia" w:ascii="宋体" w:hAnsi="宋体" w:cs="宋体"/>
                <w:snapToGrid w:val="0"/>
                <w:color w:val="auto"/>
                <w:kern w:val="0"/>
                <w:szCs w:val="21"/>
                <w:highlight w:val="none"/>
              </w:rPr>
              <w:t>级企业，</w:t>
            </w:r>
            <w:r>
              <w:rPr>
                <w:rFonts w:ascii="宋体" w:hAnsi="宋体" w:cs="宋体"/>
                <w:snapToGrid w:val="0"/>
                <w:color w:val="auto"/>
                <w:kern w:val="0"/>
                <w:szCs w:val="21"/>
                <w:highlight w:val="none"/>
              </w:rPr>
              <w:t>Z</w:t>
            </w:r>
            <w:r>
              <w:rPr>
                <w:rFonts w:hint="eastAsia" w:ascii="宋体" w:hAnsi="宋体" w:cs="宋体"/>
                <w:snapToGrid w:val="0"/>
                <w:color w:val="auto"/>
                <w:kern w:val="0"/>
                <w:szCs w:val="21"/>
                <w:highlight w:val="none"/>
              </w:rPr>
              <w:t>按</w:t>
            </w:r>
            <w:r>
              <w:rPr>
                <w:rFonts w:ascii="宋体" w:hAnsi="宋体" w:cs="宋体"/>
                <w:snapToGrid w:val="0"/>
                <w:color w:val="auto"/>
                <w:kern w:val="0"/>
                <w:szCs w:val="21"/>
                <w:highlight w:val="none"/>
              </w:rPr>
              <w:t>85</w:t>
            </w:r>
            <w:r>
              <w:rPr>
                <w:rFonts w:hint="eastAsia" w:ascii="宋体" w:hAnsi="宋体" w:cs="宋体"/>
                <w:snapToGrid w:val="0"/>
                <w:color w:val="auto"/>
                <w:kern w:val="0"/>
                <w:szCs w:val="21"/>
                <w:highlight w:val="none"/>
              </w:rPr>
              <w:t>计算；暂定</w:t>
            </w:r>
            <w:r>
              <w:rPr>
                <w:rFonts w:ascii="宋体" w:hAnsi="宋体" w:cs="宋体"/>
                <w:snapToGrid w:val="0"/>
                <w:color w:val="auto"/>
                <w:kern w:val="0"/>
                <w:szCs w:val="21"/>
                <w:highlight w:val="none"/>
              </w:rPr>
              <w:t>A</w:t>
            </w:r>
            <w:r>
              <w:rPr>
                <w:rFonts w:hint="eastAsia" w:ascii="宋体" w:hAnsi="宋体" w:cs="宋体"/>
                <w:snapToGrid w:val="0"/>
                <w:color w:val="auto"/>
                <w:kern w:val="0"/>
                <w:szCs w:val="21"/>
                <w:highlight w:val="none"/>
              </w:rPr>
              <w:t>企业，</w:t>
            </w:r>
            <w:r>
              <w:rPr>
                <w:rFonts w:ascii="宋体" w:hAnsi="宋体" w:cs="宋体"/>
                <w:snapToGrid w:val="0"/>
                <w:color w:val="auto"/>
                <w:kern w:val="0"/>
                <w:szCs w:val="21"/>
                <w:highlight w:val="none"/>
              </w:rPr>
              <w:t>Z</w:t>
            </w:r>
            <w:r>
              <w:rPr>
                <w:rFonts w:hint="eastAsia" w:ascii="宋体" w:hAnsi="宋体" w:cs="宋体"/>
                <w:snapToGrid w:val="0"/>
                <w:color w:val="auto"/>
                <w:kern w:val="0"/>
                <w:szCs w:val="21"/>
                <w:highlight w:val="none"/>
              </w:rPr>
              <w:t>按</w:t>
            </w:r>
            <w:r>
              <w:rPr>
                <w:rFonts w:ascii="宋体" w:hAnsi="宋体" w:cs="宋体"/>
                <w:snapToGrid w:val="0"/>
                <w:color w:val="auto"/>
                <w:kern w:val="0"/>
                <w:szCs w:val="21"/>
                <w:highlight w:val="none"/>
              </w:rPr>
              <w:t>85</w:t>
            </w:r>
            <w:r>
              <w:rPr>
                <w:rFonts w:hint="eastAsia" w:ascii="宋体" w:hAnsi="宋体" w:cs="宋体"/>
                <w:snapToGrid w:val="0"/>
                <w:color w:val="auto"/>
                <w:kern w:val="0"/>
                <w:szCs w:val="21"/>
                <w:highlight w:val="none"/>
              </w:rPr>
              <w:t>计算。</w:t>
            </w:r>
          </w:p>
          <w:p w14:paraId="1CFC9D6F">
            <w:pPr>
              <w:ind w:firstLine="630"/>
              <w:rPr>
                <w:rFonts w:ascii="宋体" w:hAnsi="Calibri"/>
                <w:snapToGrid w:val="0"/>
                <w:color w:val="auto"/>
                <w:kern w:val="0"/>
                <w:szCs w:val="21"/>
                <w:highlight w:val="none"/>
              </w:rPr>
            </w:pPr>
            <w:r>
              <w:rPr>
                <w:rFonts w:ascii="宋体" w:hAnsi="宋体" w:cs="宋体"/>
                <w:snapToGrid w:val="0"/>
                <w:color w:val="auto"/>
                <w:kern w:val="0"/>
                <w:szCs w:val="21"/>
                <w:highlight w:val="none"/>
              </w:rPr>
              <w:t>Y</w:t>
            </w:r>
            <w:r>
              <w:rPr>
                <w:rFonts w:hint="eastAsia" w:ascii="宋体" w:hAnsi="宋体" w:cs="宋体"/>
                <w:snapToGrid w:val="0"/>
                <w:color w:val="auto"/>
                <w:kern w:val="0"/>
                <w:szCs w:val="21"/>
                <w:highlight w:val="none"/>
              </w:rPr>
              <w:t>值结果保留</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位小数，第</w:t>
            </w: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位四舍五入。</w:t>
            </w:r>
          </w:p>
        </w:tc>
      </w:tr>
      <w:tr w14:paraId="2B66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trPr>
        <w:tc>
          <w:tcPr>
            <w:tcW w:w="440" w:type="pct"/>
            <w:tcBorders>
              <w:top w:val="single" w:color="auto" w:sz="4" w:space="0"/>
              <w:left w:val="single" w:color="auto" w:sz="4" w:space="0"/>
              <w:bottom w:val="single" w:color="auto" w:sz="4" w:space="0"/>
              <w:right w:val="single" w:color="auto" w:sz="4" w:space="0"/>
            </w:tcBorders>
            <w:vAlign w:val="center"/>
          </w:tcPr>
          <w:p w14:paraId="2281AC42">
            <w:pPr>
              <w:spacing w:line="520" w:lineRule="exact"/>
              <w:jc w:val="center"/>
              <w:rPr>
                <w:rFonts w:ascii="宋体" w:hAnsi="Calibri"/>
                <w:color w:val="auto"/>
                <w:kern w:val="0"/>
                <w:position w:val="-2"/>
                <w:szCs w:val="21"/>
                <w:highlight w:val="none"/>
              </w:rPr>
            </w:pPr>
            <w:r>
              <w:rPr>
                <w:rFonts w:ascii="宋体" w:hAnsi="宋体" w:cs="宋体"/>
                <w:color w:val="auto"/>
                <w:kern w:val="0"/>
                <w:position w:val="-2"/>
                <w:szCs w:val="21"/>
                <w:highlight w:val="none"/>
              </w:rPr>
              <w:t>5</w:t>
            </w:r>
          </w:p>
        </w:tc>
        <w:tc>
          <w:tcPr>
            <w:tcW w:w="587" w:type="pct"/>
            <w:gridSpan w:val="2"/>
            <w:tcBorders>
              <w:top w:val="single" w:color="auto" w:sz="4" w:space="0"/>
              <w:left w:val="single" w:color="auto" w:sz="4" w:space="0"/>
              <w:bottom w:val="single" w:color="auto" w:sz="4" w:space="0"/>
              <w:right w:val="single" w:color="auto" w:sz="4" w:space="0"/>
            </w:tcBorders>
            <w:vAlign w:val="center"/>
          </w:tcPr>
          <w:p w14:paraId="4D7DBBD3">
            <w:pPr>
              <w:spacing w:line="520" w:lineRule="exact"/>
              <w:jc w:val="center"/>
              <w:rPr>
                <w:rFonts w:ascii="宋体" w:hAnsi="Calibri"/>
                <w:color w:val="auto"/>
                <w:kern w:val="0"/>
                <w:position w:val="-2"/>
                <w:szCs w:val="21"/>
                <w:highlight w:val="none"/>
              </w:rPr>
            </w:pPr>
            <w:r>
              <w:rPr>
                <w:rFonts w:hint="eastAsia" w:ascii="宋体" w:hAnsi="宋体" w:cs="宋体"/>
                <w:color w:val="auto"/>
                <w:kern w:val="0"/>
                <w:position w:val="-2"/>
                <w:szCs w:val="21"/>
                <w:highlight w:val="none"/>
              </w:rPr>
              <w:t>评标价</w:t>
            </w:r>
          </w:p>
        </w:tc>
        <w:tc>
          <w:tcPr>
            <w:tcW w:w="587" w:type="pct"/>
            <w:tcBorders>
              <w:top w:val="single" w:color="auto" w:sz="4" w:space="0"/>
              <w:left w:val="single" w:color="auto" w:sz="4" w:space="0"/>
              <w:bottom w:val="single" w:color="auto" w:sz="4" w:space="0"/>
              <w:right w:val="single" w:color="auto" w:sz="4" w:space="0"/>
            </w:tcBorders>
            <w:vAlign w:val="center"/>
          </w:tcPr>
          <w:p w14:paraId="65548612">
            <w:pPr>
              <w:spacing w:line="520" w:lineRule="exact"/>
              <w:jc w:val="center"/>
              <w:rPr>
                <w:rFonts w:ascii="宋体" w:hAnsi="Calibri"/>
                <w:color w:val="auto"/>
                <w:kern w:val="0"/>
                <w:position w:val="-2"/>
                <w:szCs w:val="21"/>
                <w:highlight w:val="none"/>
              </w:rPr>
            </w:pPr>
            <w:r>
              <w:rPr>
                <w:rFonts w:ascii="宋体" w:hAnsi="宋体" w:cs="宋体"/>
                <w:color w:val="auto"/>
                <w:kern w:val="0"/>
                <w:position w:val="-2"/>
                <w:szCs w:val="21"/>
                <w:highlight w:val="none"/>
              </w:rPr>
              <w:t>10</w:t>
            </w:r>
            <w:r>
              <w:rPr>
                <w:rFonts w:hint="eastAsia" w:ascii="宋体" w:hAnsi="宋体" w:cs="宋体"/>
                <w:color w:val="auto"/>
                <w:kern w:val="0"/>
                <w:position w:val="-2"/>
                <w:szCs w:val="21"/>
                <w:highlight w:val="none"/>
              </w:rPr>
              <w:t>分</w:t>
            </w:r>
          </w:p>
        </w:tc>
        <w:tc>
          <w:tcPr>
            <w:tcW w:w="3303" w:type="pct"/>
            <w:gridSpan w:val="3"/>
            <w:tcBorders>
              <w:top w:val="single" w:color="auto" w:sz="4" w:space="0"/>
              <w:left w:val="single" w:color="auto" w:sz="4" w:space="0"/>
              <w:bottom w:val="single" w:color="auto" w:sz="4" w:space="0"/>
              <w:right w:val="single" w:color="auto" w:sz="4" w:space="0"/>
            </w:tcBorders>
          </w:tcPr>
          <w:p w14:paraId="5D64122C">
            <w:pPr>
              <w:autoSpaceDE w:val="0"/>
              <w:autoSpaceDN w:val="0"/>
              <w:adjustRightInd w:val="0"/>
              <w:spacing w:line="320" w:lineRule="exact"/>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）如果投标人的评标价＞评标基准价，则评标价得分</w:t>
            </w:r>
            <w:r>
              <w:rPr>
                <w:rFonts w:ascii="宋体" w:hAnsi="宋体" w:cs="宋体"/>
                <w:color w:val="auto"/>
                <w:szCs w:val="21"/>
                <w:highlight w:val="none"/>
              </w:rPr>
              <w:t>=10-</w:t>
            </w:r>
            <w:r>
              <w:rPr>
                <w:rFonts w:hint="eastAsia" w:ascii="宋体" w:hAnsi="宋体" w:cs="宋体"/>
                <w:color w:val="auto"/>
                <w:szCs w:val="21"/>
                <w:highlight w:val="none"/>
              </w:rPr>
              <w:t>偏差率×</w:t>
            </w: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E1</w:t>
            </w:r>
            <w:r>
              <w:rPr>
                <w:rFonts w:hint="eastAsia" w:ascii="宋体" w:hAnsi="宋体" w:cs="宋体"/>
                <w:color w:val="auto"/>
                <w:szCs w:val="21"/>
                <w:highlight w:val="none"/>
              </w:rPr>
              <w:t>；</w:t>
            </w:r>
          </w:p>
          <w:p w14:paraId="62B8BA23">
            <w:pPr>
              <w:autoSpaceDE w:val="0"/>
              <w:autoSpaceDN w:val="0"/>
              <w:adjustRightInd w:val="0"/>
              <w:spacing w:line="320" w:lineRule="exact"/>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）如果投标人的评标价≤评标基准价，则评标价得分</w:t>
            </w:r>
            <w:r>
              <w:rPr>
                <w:rFonts w:ascii="宋体" w:hAnsi="宋体" w:cs="宋体"/>
                <w:color w:val="auto"/>
                <w:szCs w:val="21"/>
                <w:highlight w:val="none"/>
              </w:rPr>
              <w:t>=10+</w:t>
            </w:r>
            <w:r>
              <w:rPr>
                <w:rFonts w:hint="eastAsia" w:ascii="宋体" w:hAnsi="宋体" w:cs="宋体"/>
                <w:color w:val="auto"/>
                <w:szCs w:val="21"/>
                <w:highlight w:val="none"/>
              </w:rPr>
              <w:t>偏差率×</w:t>
            </w: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 xml:space="preserve">E2 </w:t>
            </w:r>
            <w:r>
              <w:rPr>
                <w:rFonts w:hint="eastAsia" w:ascii="宋体" w:hAnsi="宋体" w:cs="宋体"/>
                <w:color w:val="auto"/>
                <w:szCs w:val="21"/>
                <w:highlight w:val="none"/>
              </w:rPr>
              <w:t>。</w:t>
            </w:r>
          </w:p>
          <w:p w14:paraId="5C3E0EE3">
            <w:pPr>
              <w:autoSpaceDE w:val="0"/>
              <w:autoSpaceDN w:val="0"/>
              <w:adjustRightInd w:val="0"/>
              <w:spacing w:line="320" w:lineRule="exact"/>
              <w:rPr>
                <w:rFonts w:ascii="宋体" w:hAnsi="Calibri"/>
                <w:color w:val="auto"/>
                <w:szCs w:val="21"/>
                <w:highlight w:val="none"/>
              </w:rPr>
            </w:pPr>
            <w:r>
              <w:rPr>
                <w:rFonts w:hint="eastAsia" w:ascii="宋体" w:hAnsi="宋体" w:cs="宋体"/>
                <w:color w:val="auto"/>
                <w:szCs w:val="21"/>
                <w:highlight w:val="none"/>
              </w:rPr>
              <w:t>其中：</w:t>
            </w:r>
            <w:r>
              <w:rPr>
                <w:rFonts w:ascii="宋体" w:hAnsi="宋体" w:cs="宋体"/>
                <w:color w:val="auto"/>
                <w:szCs w:val="21"/>
                <w:highlight w:val="none"/>
              </w:rPr>
              <w:t>E1</w:t>
            </w:r>
            <w:r>
              <w:rPr>
                <w:rFonts w:hint="eastAsia" w:ascii="宋体" w:hAnsi="宋体" w:cs="宋体"/>
                <w:color w:val="auto"/>
                <w:szCs w:val="21"/>
                <w:highlight w:val="none"/>
              </w:rPr>
              <w:t>是评标价每高于评标基准价一个百分点的扣分值，</w:t>
            </w:r>
            <w:r>
              <w:rPr>
                <w:rFonts w:ascii="宋体" w:hAnsi="宋体" w:cs="宋体"/>
                <w:color w:val="auto"/>
                <w:szCs w:val="21"/>
                <w:highlight w:val="none"/>
              </w:rPr>
              <w:t>E2</w:t>
            </w:r>
            <w:r>
              <w:rPr>
                <w:rFonts w:hint="eastAsia" w:ascii="宋体" w:hAnsi="宋体" w:cs="宋体"/>
                <w:color w:val="auto"/>
                <w:szCs w:val="21"/>
                <w:highlight w:val="none"/>
              </w:rPr>
              <w:t>是评标价每低于评标基准价一个百分点的扣分值。</w:t>
            </w:r>
          </w:p>
          <w:p w14:paraId="1405A3DD">
            <w:pPr>
              <w:autoSpaceDE w:val="0"/>
              <w:autoSpaceDN w:val="0"/>
              <w:adjustRightInd w:val="0"/>
              <w:spacing w:line="320" w:lineRule="exact"/>
              <w:rPr>
                <w:rFonts w:ascii="??_GB2312" w:hAnsi="Calibri" w:eastAsia="Times New Roman"/>
                <w:color w:val="auto"/>
                <w:kern w:val="0"/>
                <w:sz w:val="28"/>
                <w:szCs w:val="28"/>
                <w:highlight w:val="none"/>
              </w:rPr>
            </w:pPr>
            <w:r>
              <w:rPr>
                <w:rFonts w:hint="eastAsia" w:ascii="宋体" w:hAnsi="宋体" w:cs="宋体"/>
                <w:color w:val="auto"/>
                <w:szCs w:val="21"/>
                <w:highlight w:val="none"/>
              </w:rPr>
              <w:t>本项目</w:t>
            </w:r>
            <w:r>
              <w:rPr>
                <w:rFonts w:ascii="宋体" w:hAnsi="宋体" w:cs="宋体"/>
                <w:color w:val="auto"/>
                <w:szCs w:val="21"/>
                <w:highlight w:val="none"/>
              </w:rPr>
              <w:t>E1=0.2</w:t>
            </w:r>
            <w:r>
              <w:rPr>
                <w:rFonts w:hint="eastAsia" w:ascii="宋体" w:hAnsi="宋体" w:cs="宋体"/>
                <w:color w:val="auto"/>
                <w:szCs w:val="21"/>
                <w:highlight w:val="none"/>
              </w:rPr>
              <w:t>，</w:t>
            </w:r>
            <w:r>
              <w:rPr>
                <w:rFonts w:ascii="宋体" w:hAnsi="宋体" w:cs="宋体"/>
                <w:color w:val="auto"/>
                <w:szCs w:val="21"/>
                <w:highlight w:val="none"/>
              </w:rPr>
              <w:t>E2=0.1</w:t>
            </w:r>
            <w:r>
              <w:rPr>
                <w:rFonts w:hint="eastAsia" w:ascii="宋体" w:hAnsi="宋体" w:cs="宋体"/>
                <w:color w:val="auto"/>
                <w:szCs w:val="21"/>
                <w:highlight w:val="none"/>
              </w:rPr>
              <w:t>。</w:t>
            </w:r>
          </w:p>
        </w:tc>
      </w:tr>
      <w:tr w14:paraId="26FC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pct"/>
          <w:cantSplit/>
          <w:trHeight w:val="550" w:hRule="atLeast"/>
        </w:trPr>
        <w:tc>
          <w:tcPr>
            <w:tcW w:w="4917" w:type="pct"/>
            <w:gridSpan w:val="7"/>
            <w:vAlign w:val="center"/>
          </w:tcPr>
          <w:p w14:paraId="6C86E250">
            <w:pPr>
              <w:rPr>
                <w:rFonts w:ascii="Garamond" w:hAnsi="Garamond"/>
                <w:snapToGrid w:val="0"/>
                <w:color w:val="auto"/>
                <w:kern w:val="0"/>
                <w:szCs w:val="21"/>
                <w:highlight w:val="none"/>
              </w:rPr>
            </w:pPr>
            <w:r>
              <w:rPr>
                <w:rFonts w:ascii="Garamond" w:hAnsi="Garamond"/>
                <w:color w:val="auto"/>
                <w:szCs w:val="21"/>
                <w:highlight w:val="none"/>
              </w:rPr>
              <w:t>需要补充懂得其他内容：</w:t>
            </w:r>
          </w:p>
        </w:tc>
      </w:tr>
      <w:tr w14:paraId="7AD6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4" w:hRule="atLeast"/>
        </w:trPr>
        <w:tc>
          <w:tcPr>
            <w:tcW w:w="446" w:type="pct"/>
            <w:gridSpan w:val="2"/>
            <w:vAlign w:val="center"/>
          </w:tcPr>
          <w:p w14:paraId="14876F93">
            <w:pPr>
              <w:spacing w:line="320" w:lineRule="exact"/>
              <w:rPr>
                <w:rFonts w:ascii="Garamond" w:hAnsi="Garamond"/>
                <w:color w:val="auto"/>
                <w:szCs w:val="21"/>
                <w:highlight w:val="none"/>
              </w:rPr>
            </w:pPr>
            <w:r>
              <w:rPr>
                <w:rFonts w:ascii="Garamond" w:hAnsi="Garamond"/>
                <w:color w:val="auto"/>
                <w:szCs w:val="21"/>
                <w:highlight w:val="none"/>
              </w:rPr>
              <w:t>3.2.1</w:t>
            </w:r>
          </w:p>
        </w:tc>
        <w:tc>
          <w:tcPr>
            <w:tcW w:w="4553" w:type="pct"/>
            <w:gridSpan w:val="6"/>
            <w:vAlign w:val="center"/>
          </w:tcPr>
          <w:p w14:paraId="1057FBF4">
            <w:pPr>
              <w:autoSpaceDE w:val="0"/>
              <w:autoSpaceDN w:val="0"/>
              <w:adjustRightInd w:val="0"/>
              <w:jc w:val="left"/>
              <w:rPr>
                <w:rFonts w:ascii="Garamond" w:hAnsi="Garamond" w:cs="T3Font_33"/>
                <w:color w:val="auto"/>
                <w:kern w:val="0"/>
                <w:szCs w:val="21"/>
                <w:highlight w:val="none"/>
              </w:rPr>
            </w:pPr>
            <w:r>
              <w:rPr>
                <w:rFonts w:ascii="Garamond" w:hAnsi="Garamond" w:cs="T3Font_33"/>
                <w:color w:val="auto"/>
                <w:kern w:val="0"/>
                <w:szCs w:val="21"/>
                <w:highlight w:val="none"/>
              </w:rPr>
              <w:t>本项</w:t>
            </w:r>
            <w:r>
              <w:rPr>
                <w:rFonts w:ascii="Garamond" w:hAnsi="Garamond" w:cs="T3Font_35"/>
                <w:color w:val="auto"/>
                <w:kern w:val="0"/>
                <w:szCs w:val="21"/>
                <w:highlight w:val="none"/>
              </w:rPr>
              <w:t>补充</w:t>
            </w:r>
            <w:r>
              <w:rPr>
                <w:rFonts w:ascii="Garamond" w:hAnsi="Garamond" w:cs="T3Font_33"/>
                <w:color w:val="auto"/>
                <w:kern w:val="0"/>
                <w:szCs w:val="21"/>
                <w:highlight w:val="none"/>
              </w:rPr>
              <w:t>：</w:t>
            </w:r>
          </w:p>
          <w:p w14:paraId="206DEC77">
            <w:pPr>
              <w:spacing w:line="320" w:lineRule="exact"/>
              <w:rPr>
                <w:rFonts w:ascii="Garamond" w:hAnsi="Garamond"/>
                <w:color w:val="auto"/>
                <w:szCs w:val="21"/>
                <w:highlight w:val="none"/>
              </w:rPr>
            </w:pPr>
            <w:r>
              <w:rPr>
                <w:rFonts w:ascii="Garamond" w:hAnsi="Garamond" w:cs="T3Font_34"/>
                <w:color w:val="auto"/>
                <w:kern w:val="0"/>
                <w:szCs w:val="21"/>
                <w:highlight w:val="none"/>
              </w:rPr>
              <w:t>评</w:t>
            </w:r>
            <w:r>
              <w:rPr>
                <w:rFonts w:ascii="Garamond" w:hAnsi="Garamond" w:cs="T3Font_33"/>
                <w:color w:val="auto"/>
                <w:kern w:val="0"/>
                <w:szCs w:val="21"/>
                <w:highlight w:val="none"/>
              </w:rPr>
              <w:t>标委员会</w:t>
            </w:r>
            <w:r>
              <w:rPr>
                <w:rFonts w:ascii="Garamond" w:hAnsi="Garamond"/>
                <w:color w:val="auto"/>
                <w:szCs w:val="21"/>
                <w:highlight w:val="none"/>
              </w:rPr>
              <w:t>依据“评标办法”第2.2.4（1）、（2）、（4）、（5）</w:t>
            </w:r>
            <w:r>
              <w:rPr>
                <w:rFonts w:hint="eastAsia" w:ascii="Garamond" w:hAnsi="Garamond"/>
                <w:color w:val="auto"/>
                <w:szCs w:val="21"/>
                <w:highlight w:val="none"/>
              </w:rPr>
              <w:t>、</w:t>
            </w:r>
            <w:r>
              <w:rPr>
                <w:rFonts w:ascii="Garamond" w:hAnsi="Garamond"/>
                <w:color w:val="auto"/>
                <w:szCs w:val="21"/>
                <w:highlight w:val="none"/>
              </w:rPr>
              <w:t>（</w:t>
            </w:r>
            <w:r>
              <w:rPr>
                <w:rFonts w:hint="eastAsia" w:ascii="Garamond" w:hAnsi="Garamond"/>
                <w:color w:val="auto"/>
                <w:szCs w:val="21"/>
                <w:highlight w:val="none"/>
              </w:rPr>
              <w:t>6</w:t>
            </w:r>
            <w:r>
              <w:rPr>
                <w:rFonts w:ascii="Garamond" w:hAnsi="Garamond"/>
                <w:color w:val="auto"/>
                <w:szCs w:val="21"/>
                <w:highlight w:val="none"/>
              </w:rPr>
              <w:t>）款规定的评分因素和分值</w:t>
            </w:r>
            <w:r>
              <w:rPr>
                <w:rFonts w:ascii="Garamond" w:hAnsi="Garamond" w:cs="T3Font_33"/>
                <w:color w:val="auto"/>
                <w:kern w:val="0"/>
                <w:szCs w:val="21"/>
                <w:highlight w:val="none"/>
              </w:rPr>
              <w:t>进行</w:t>
            </w:r>
            <w:r>
              <w:rPr>
                <w:rFonts w:ascii="Garamond" w:hAnsi="Garamond" w:cs="T3Font_35"/>
                <w:color w:val="auto"/>
                <w:kern w:val="0"/>
                <w:szCs w:val="21"/>
                <w:highlight w:val="none"/>
              </w:rPr>
              <w:t>打</w:t>
            </w:r>
            <w:r>
              <w:rPr>
                <w:rFonts w:ascii="Garamond" w:hAnsi="Garamond" w:cs="T3Font_33"/>
                <w:color w:val="auto"/>
                <w:kern w:val="0"/>
                <w:szCs w:val="21"/>
                <w:highlight w:val="none"/>
              </w:rPr>
              <w:t>分，</w:t>
            </w:r>
            <w:r>
              <w:rPr>
                <w:rFonts w:ascii="Garamond" w:hAnsi="Garamond"/>
                <w:color w:val="auto"/>
                <w:highlight w:val="none"/>
              </w:rPr>
              <w:t>各评分均保留至小数点后一位</w:t>
            </w:r>
            <w:r>
              <w:rPr>
                <w:rFonts w:ascii="Garamond" w:hAnsi="Garamond" w:cs="T3Font_33"/>
                <w:color w:val="auto"/>
                <w:kern w:val="0"/>
                <w:szCs w:val="21"/>
                <w:highlight w:val="none"/>
              </w:rPr>
              <w:t>，且各</w:t>
            </w:r>
            <w:r>
              <w:rPr>
                <w:rFonts w:ascii="Garamond" w:hAnsi="Garamond" w:cs="T3Font_34"/>
                <w:color w:val="auto"/>
                <w:kern w:val="0"/>
                <w:szCs w:val="21"/>
                <w:highlight w:val="none"/>
              </w:rPr>
              <w:t>评</w:t>
            </w:r>
            <w:r>
              <w:rPr>
                <w:rFonts w:ascii="Garamond" w:hAnsi="Garamond" w:cs="T3Font_33"/>
                <w:color w:val="auto"/>
                <w:kern w:val="0"/>
                <w:szCs w:val="21"/>
                <w:highlight w:val="none"/>
              </w:rPr>
              <w:t>分</w:t>
            </w:r>
            <w:r>
              <w:rPr>
                <w:rFonts w:ascii="Garamond" w:hAnsi="Garamond" w:cs="T3Font_35"/>
                <w:color w:val="auto"/>
                <w:kern w:val="0"/>
                <w:szCs w:val="21"/>
                <w:highlight w:val="none"/>
              </w:rPr>
              <w:t>因素</w:t>
            </w:r>
            <w:r>
              <w:rPr>
                <w:rFonts w:ascii="Garamond" w:hAnsi="Garamond" w:cs="T3Font_33"/>
                <w:color w:val="auto"/>
                <w:kern w:val="0"/>
                <w:szCs w:val="21"/>
                <w:highlight w:val="none"/>
              </w:rPr>
              <w:t>、</w:t>
            </w:r>
            <w:r>
              <w:rPr>
                <w:rFonts w:ascii="Garamond" w:hAnsi="Garamond" w:cs="T3Font_34"/>
                <w:color w:val="auto"/>
                <w:kern w:val="0"/>
                <w:szCs w:val="21"/>
                <w:highlight w:val="none"/>
              </w:rPr>
              <w:t>评</w:t>
            </w:r>
            <w:r>
              <w:rPr>
                <w:rFonts w:ascii="Garamond" w:hAnsi="Garamond" w:cs="T3Font_33"/>
                <w:color w:val="auto"/>
                <w:kern w:val="0"/>
                <w:szCs w:val="21"/>
                <w:highlight w:val="none"/>
              </w:rPr>
              <w:t>分</w:t>
            </w:r>
            <w:r>
              <w:rPr>
                <w:rFonts w:ascii="Garamond" w:hAnsi="Garamond" w:cs="T3Font_35"/>
                <w:color w:val="auto"/>
                <w:kern w:val="0"/>
                <w:szCs w:val="21"/>
                <w:highlight w:val="none"/>
              </w:rPr>
              <w:t>因素细</w:t>
            </w:r>
            <w:r>
              <w:rPr>
                <w:rFonts w:ascii="Garamond" w:hAnsi="Garamond" w:cs="T3Font_33"/>
                <w:color w:val="auto"/>
                <w:kern w:val="0"/>
                <w:szCs w:val="21"/>
                <w:highlight w:val="none"/>
              </w:rPr>
              <w:t>分项（</w:t>
            </w:r>
            <w:r>
              <w:rPr>
                <w:rFonts w:ascii="Garamond" w:hAnsi="Garamond" w:cs="T3Font_34"/>
                <w:color w:val="auto"/>
                <w:kern w:val="0"/>
                <w:szCs w:val="21"/>
                <w:highlight w:val="none"/>
              </w:rPr>
              <w:t>履约信誉评</w:t>
            </w:r>
            <w:r>
              <w:rPr>
                <w:rFonts w:ascii="Garamond" w:hAnsi="Garamond" w:cs="T3Font_33"/>
                <w:color w:val="auto"/>
                <w:kern w:val="0"/>
                <w:szCs w:val="21"/>
                <w:highlight w:val="none"/>
              </w:rPr>
              <w:t>分项除</w:t>
            </w:r>
            <w:r>
              <w:rPr>
                <w:rFonts w:ascii="Garamond" w:hAnsi="Garamond" w:cs="T3Font_35"/>
                <w:color w:val="auto"/>
                <w:kern w:val="0"/>
                <w:szCs w:val="21"/>
                <w:highlight w:val="none"/>
              </w:rPr>
              <w:t>外</w:t>
            </w:r>
            <w:r>
              <w:rPr>
                <w:rFonts w:ascii="Garamond" w:hAnsi="Garamond" w:cs="T3Font_33"/>
                <w:color w:val="auto"/>
                <w:kern w:val="0"/>
                <w:szCs w:val="21"/>
                <w:highlight w:val="none"/>
              </w:rPr>
              <w:t>）</w:t>
            </w:r>
            <w:r>
              <w:rPr>
                <w:rFonts w:ascii="Garamond" w:hAnsi="Garamond" w:cs="T3Font_34"/>
                <w:color w:val="auto"/>
                <w:kern w:val="0"/>
                <w:szCs w:val="21"/>
                <w:highlight w:val="none"/>
              </w:rPr>
              <w:t>得</w:t>
            </w:r>
            <w:r>
              <w:rPr>
                <w:rFonts w:ascii="Garamond" w:hAnsi="Garamond" w:cs="T3Font_33"/>
                <w:color w:val="auto"/>
                <w:kern w:val="0"/>
                <w:szCs w:val="21"/>
                <w:highlight w:val="none"/>
              </w:rPr>
              <w:t>分一</w:t>
            </w:r>
            <w:r>
              <w:rPr>
                <w:rFonts w:ascii="Garamond" w:hAnsi="Garamond" w:cs="T3Font_34"/>
                <w:color w:val="auto"/>
                <w:kern w:val="0"/>
                <w:szCs w:val="21"/>
                <w:highlight w:val="none"/>
              </w:rPr>
              <w:t>般</w:t>
            </w:r>
            <w:r>
              <w:rPr>
                <w:rFonts w:ascii="Garamond" w:hAnsi="Garamond" w:cs="T3Font_33"/>
                <w:color w:val="auto"/>
                <w:kern w:val="0"/>
                <w:szCs w:val="21"/>
                <w:highlight w:val="none"/>
              </w:rPr>
              <w:t>不</w:t>
            </w:r>
            <w:r>
              <w:rPr>
                <w:rFonts w:ascii="Garamond" w:hAnsi="Garamond" w:cs="T3Font_34"/>
                <w:color w:val="auto"/>
                <w:kern w:val="0"/>
                <w:szCs w:val="21"/>
                <w:highlight w:val="none"/>
              </w:rPr>
              <w:t>得低</w:t>
            </w:r>
            <w:r>
              <w:rPr>
                <w:rFonts w:ascii="Garamond" w:hAnsi="Garamond" w:cs="T3Font_33"/>
                <w:color w:val="auto"/>
                <w:kern w:val="0"/>
                <w:szCs w:val="21"/>
                <w:highlight w:val="none"/>
              </w:rPr>
              <w:t>于其</w:t>
            </w:r>
            <w:r>
              <w:rPr>
                <w:rFonts w:ascii="Garamond" w:hAnsi="Garamond" w:cs="T3Font_35"/>
                <w:color w:val="auto"/>
                <w:kern w:val="0"/>
                <w:szCs w:val="21"/>
                <w:highlight w:val="none"/>
              </w:rPr>
              <w:t>权</w:t>
            </w:r>
            <w:r>
              <w:rPr>
                <w:rFonts w:ascii="Garamond" w:hAnsi="Garamond" w:cs="T3Font_33"/>
                <w:color w:val="auto"/>
                <w:kern w:val="0"/>
                <w:szCs w:val="21"/>
                <w:highlight w:val="none"/>
              </w:rPr>
              <w:t>重分</w:t>
            </w:r>
            <w:r>
              <w:rPr>
                <w:rFonts w:ascii="Garamond" w:hAnsi="Garamond" w:cs="T3Font_35"/>
                <w:color w:val="auto"/>
                <w:kern w:val="0"/>
                <w:szCs w:val="21"/>
                <w:highlight w:val="none"/>
              </w:rPr>
              <w:t>值</w:t>
            </w:r>
            <w:r>
              <w:rPr>
                <w:rFonts w:ascii="Garamond" w:hAnsi="Garamond" w:cs="T3Font_33"/>
                <w:color w:val="auto"/>
                <w:kern w:val="0"/>
                <w:szCs w:val="21"/>
                <w:highlight w:val="none"/>
              </w:rPr>
              <w:t>的</w:t>
            </w:r>
            <w:r>
              <w:rPr>
                <w:rFonts w:ascii="Garamond" w:hAnsi="Garamond" w:cs="TimesNewRoman"/>
                <w:color w:val="auto"/>
                <w:kern w:val="0"/>
                <w:szCs w:val="21"/>
                <w:highlight w:val="none"/>
              </w:rPr>
              <w:t>60%</w:t>
            </w:r>
            <w:r>
              <w:rPr>
                <w:rFonts w:ascii="Garamond" w:hAnsi="Garamond" w:cs="T3Font_33"/>
                <w:color w:val="auto"/>
                <w:kern w:val="0"/>
                <w:szCs w:val="21"/>
                <w:highlight w:val="none"/>
              </w:rPr>
              <w:t>。各</w:t>
            </w:r>
            <w:r>
              <w:rPr>
                <w:rFonts w:ascii="Garamond" w:hAnsi="Garamond" w:cs="T3Font_34"/>
                <w:color w:val="auto"/>
                <w:kern w:val="0"/>
                <w:szCs w:val="21"/>
                <w:highlight w:val="none"/>
              </w:rPr>
              <w:t>评</w:t>
            </w:r>
            <w:r>
              <w:rPr>
                <w:rFonts w:ascii="Garamond" w:hAnsi="Garamond" w:cs="T3Font_33"/>
                <w:color w:val="auto"/>
                <w:kern w:val="0"/>
                <w:szCs w:val="21"/>
                <w:highlight w:val="none"/>
              </w:rPr>
              <w:t>分</w:t>
            </w:r>
            <w:r>
              <w:rPr>
                <w:rFonts w:ascii="Garamond" w:hAnsi="Garamond" w:cs="T3Font_35"/>
                <w:color w:val="auto"/>
                <w:kern w:val="0"/>
                <w:szCs w:val="21"/>
                <w:highlight w:val="none"/>
              </w:rPr>
              <w:t>因素</w:t>
            </w:r>
            <w:r>
              <w:rPr>
                <w:rFonts w:ascii="Garamond" w:hAnsi="Garamond" w:cs="T3Font_34"/>
                <w:color w:val="auto"/>
                <w:kern w:val="0"/>
                <w:szCs w:val="21"/>
                <w:highlight w:val="none"/>
              </w:rPr>
              <w:t>得</w:t>
            </w:r>
            <w:r>
              <w:rPr>
                <w:rFonts w:ascii="Garamond" w:hAnsi="Garamond" w:cs="T3Font_33"/>
                <w:color w:val="auto"/>
                <w:kern w:val="0"/>
                <w:szCs w:val="21"/>
                <w:highlight w:val="none"/>
              </w:rPr>
              <w:t>分</w:t>
            </w:r>
            <w:r>
              <w:rPr>
                <w:rFonts w:ascii="Garamond" w:hAnsi="Garamond" w:cs="T3Font_34"/>
                <w:color w:val="auto"/>
                <w:kern w:val="0"/>
                <w:szCs w:val="21"/>
                <w:highlight w:val="none"/>
              </w:rPr>
              <w:t>为评</w:t>
            </w:r>
            <w:r>
              <w:rPr>
                <w:rFonts w:ascii="Garamond" w:hAnsi="Garamond" w:cs="T3Font_33"/>
                <w:color w:val="auto"/>
                <w:kern w:val="0"/>
                <w:szCs w:val="21"/>
                <w:highlight w:val="none"/>
              </w:rPr>
              <w:t>标委员会各成员的</w:t>
            </w:r>
            <w:r>
              <w:rPr>
                <w:rFonts w:ascii="Garamond" w:hAnsi="Garamond" w:cs="T3Font_35"/>
                <w:color w:val="auto"/>
                <w:kern w:val="0"/>
                <w:szCs w:val="21"/>
                <w:highlight w:val="none"/>
              </w:rPr>
              <w:t>打</w:t>
            </w:r>
            <w:r>
              <w:rPr>
                <w:rFonts w:ascii="Garamond" w:hAnsi="Garamond" w:cs="T3Font_33"/>
                <w:color w:val="auto"/>
                <w:kern w:val="0"/>
                <w:szCs w:val="21"/>
                <w:highlight w:val="none"/>
              </w:rPr>
              <w:t>分</w:t>
            </w:r>
            <w:r>
              <w:rPr>
                <w:rFonts w:ascii="Garamond" w:hAnsi="Garamond" w:cs="T3Font_35"/>
                <w:color w:val="auto"/>
                <w:kern w:val="0"/>
                <w:szCs w:val="21"/>
                <w:highlight w:val="none"/>
              </w:rPr>
              <w:t>平</w:t>
            </w:r>
            <w:r>
              <w:rPr>
                <w:rFonts w:ascii="Garamond" w:hAnsi="Garamond" w:cs="T3Font_34"/>
                <w:color w:val="auto"/>
                <w:kern w:val="0"/>
                <w:szCs w:val="21"/>
                <w:highlight w:val="none"/>
              </w:rPr>
              <w:t>均</w:t>
            </w:r>
            <w:r>
              <w:rPr>
                <w:rFonts w:ascii="Garamond" w:hAnsi="Garamond" w:cs="T3Font_35"/>
                <w:color w:val="auto"/>
                <w:kern w:val="0"/>
                <w:szCs w:val="21"/>
                <w:highlight w:val="none"/>
              </w:rPr>
              <w:t>值</w:t>
            </w:r>
            <w:r>
              <w:rPr>
                <w:rFonts w:ascii="Garamond" w:hAnsi="Garamond" w:cs="T3Font_33"/>
                <w:color w:val="auto"/>
                <w:kern w:val="0"/>
                <w:szCs w:val="21"/>
                <w:highlight w:val="none"/>
              </w:rPr>
              <w:t>（</w:t>
            </w:r>
            <w:r>
              <w:rPr>
                <w:rFonts w:ascii="Garamond" w:hAnsi="Garamond" w:cs="T3Font_34"/>
                <w:color w:val="auto"/>
                <w:kern w:val="0"/>
                <w:szCs w:val="21"/>
                <w:highlight w:val="none"/>
              </w:rPr>
              <w:t>若该评</w:t>
            </w:r>
            <w:r>
              <w:rPr>
                <w:rFonts w:ascii="Garamond" w:hAnsi="Garamond" w:cs="T3Font_33"/>
                <w:color w:val="auto"/>
                <w:kern w:val="0"/>
                <w:szCs w:val="21"/>
                <w:highlight w:val="none"/>
              </w:rPr>
              <w:t>分</w:t>
            </w:r>
            <w:r>
              <w:rPr>
                <w:rFonts w:ascii="Garamond" w:hAnsi="Garamond" w:cs="T3Font_35"/>
                <w:color w:val="auto"/>
                <w:kern w:val="0"/>
                <w:szCs w:val="21"/>
                <w:highlight w:val="none"/>
              </w:rPr>
              <w:t>因素</w:t>
            </w:r>
            <w:r>
              <w:rPr>
                <w:rFonts w:ascii="Garamond" w:hAnsi="Garamond" w:cs="T3Font_34"/>
                <w:color w:val="auto"/>
                <w:kern w:val="0"/>
                <w:szCs w:val="21"/>
                <w:highlight w:val="none"/>
              </w:rPr>
              <w:t>含</w:t>
            </w:r>
            <w:r>
              <w:rPr>
                <w:rFonts w:ascii="Garamond" w:hAnsi="Garamond" w:cs="T3Font_35"/>
                <w:color w:val="auto"/>
                <w:kern w:val="0"/>
                <w:szCs w:val="21"/>
                <w:highlight w:val="none"/>
              </w:rPr>
              <w:t>细</w:t>
            </w:r>
            <w:r>
              <w:rPr>
                <w:rFonts w:ascii="Garamond" w:hAnsi="Garamond" w:cs="T3Font_33"/>
                <w:color w:val="auto"/>
                <w:kern w:val="0"/>
                <w:szCs w:val="21"/>
                <w:highlight w:val="none"/>
              </w:rPr>
              <w:t>分项，按</w:t>
            </w:r>
            <w:r>
              <w:rPr>
                <w:rFonts w:ascii="Garamond" w:hAnsi="Garamond" w:cs="T3Font_34"/>
                <w:color w:val="auto"/>
                <w:kern w:val="0"/>
                <w:szCs w:val="21"/>
                <w:highlight w:val="none"/>
              </w:rPr>
              <w:t>评</w:t>
            </w:r>
            <w:r>
              <w:rPr>
                <w:rFonts w:ascii="Garamond" w:hAnsi="Garamond" w:cs="T3Font_33"/>
                <w:color w:val="auto"/>
                <w:kern w:val="0"/>
                <w:szCs w:val="21"/>
                <w:highlight w:val="none"/>
              </w:rPr>
              <w:t>分</w:t>
            </w:r>
            <w:r>
              <w:rPr>
                <w:rFonts w:ascii="Garamond" w:hAnsi="Garamond" w:cs="T3Font_35"/>
                <w:color w:val="auto"/>
                <w:kern w:val="0"/>
                <w:szCs w:val="21"/>
                <w:highlight w:val="none"/>
              </w:rPr>
              <w:t>因素细</w:t>
            </w:r>
            <w:r>
              <w:rPr>
                <w:rFonts w:ascii="Garamond" w:hAnsi="Garamond" w:cs="T3Font_33"/>
                <w:color w:val="auto"/>
                <w:kern w:val="0"/>
                <w:szCs w:val="21"/>
                <w:highlight w:val="none"/>
              </w:rPr>
              <w:t>分项分</w:t>
            </w:r>
            <w:r>
              <w:rPr>
                <w:rFonts w:ascii="Garamond" w:hAnsi="Garamond" w:cs="T3Font_35"/>
                <w:color w:val="auto"/>
                <w:kern w:val="0"/>
                <w:szCs w:val="21"/>
                <w:highlight w:val="none"/>
              </w:rPr>
              <w:t>别</w:t>
            </w:r>
            <w:r>
              <w:rPr>
                <w:rFonts w:ascii="Garamond" w:hAnsi="Garamond" w:cs="T3Font_33"/>
                <w:color w:val="auto"/>
                <w:kern w:val="0"/>
                <w:szCs w:val="21"/>
                <w:highlight w:val="none"/>
              </w:rPr>
              <w:t>计</w:t>
            </w:r>
            <w:r>
              <w:rPr>
                <w:rFonts w:ascii="Garamond" w:hAnsi="Garamond" w:cs="T3Font_35"/>
                <w:color w:val="auto"/>
                <w:kern w:val="0"/>
                <w:szCs w:val="21"/>
                <w:highlight w:val="none"/>
              </w:rPr>
              <w:t>算</w:t>
            </w:r>
            <w:r>
              <w:rPr>
                <w:rFonts w:ascii="Garamond" w:hAnsi="Garamond" w:cs="T3Font_34"/>
                <w:color w:val="auto"/>
                <w:kern w:val="0"/>
                <w:szCs w:val="21"/>
                <w:highlight w:val="none"/>
              </w:rPr>
              <w:t>得</w:t>
            </w:r>
            <w:r>
              <w:rPr>
                <w:rFonts w:ascii="Garamond" w:hAnsi="Garamond" w:cs="T3Font_33"/>
                <w:color w:val="auto"/>
                <w:kern w:val="0"/>
                <w:szCs w:val="21"/>
                <w:highlight w:val="none"/>
              </w:rPr>
              <w:t>分），</w:t>
            </w:r>
            <w:r>
              <w:rPr>
                <w:rFonts w:ascii="Garamond" w:hAnsi="Garamond" w:cs="T3Font_34"/>
                <w:color w:val="auto"/>
                <w:kern w:val="0"/>
                <w:szCs w:val="21"/>
                <w:highlight w:val="none"/>
              </w:rPr>
              <w:t>评</w:t>
            </w:r>
            <w:r>
              <w:rPr>
                <w:rFonts w:ascii="Garamond" w:hAnsi="Garamond" w:cs="T3Font_33"/>
                <w:color w:val="auto"/>
                <w:kern w:val="0"/>
                <w:szCs w:val="21"/>
                <w:highlight w:val="none"/>
              </w:rPr>
              <w:t>标委员会成员总</w:t>
            </w:r>
            <w:r>
              <w:rPr>
                <w:rFonts w:ascii="Garamond" w:hAnsi="Garamond" w:cs="T3Font_34"/>
                <w:color w:val="auto"/>
                <w:kern w:val="0"/>
                <w:szCs w:val="21"/>
                <w:highlight w:val="none"/>
              </w:rPr>
              <w:t>数</w:t>
            </w:r>
            <w:r>
              <w:rPr>
                <w:rFonts w:ascii="Garamond" w:hAnsi="Garamond" w:cs="T3Font_33"/>
                <w:color w:val="auto"/>
                <w:kern w:val="0"/>
                <w:szCs w:val="21"/>
                <w:highlight w:val="none"/>
              </w:rPr>
              <w:t>为</w:t>
            </w:r>
            <w:r>
              <w:rPr>
                <w:rFonts w:ascii="Garamond" w:hAnsi="Garamond" w:cs="TimesNewRoman"/>
                <w:color w:val="auto"/>
                <w:kern w:val="0"/>
                <w:szCs w:val="21"/>
                <w:highlight w:val="none"/>
              </w:rPr>
              <w:t>7</w:t>
            </w:r>
            <w:r>
              <w:rPr>
                <w:rFonts w:ascii="Garamond" w:hAnsi="Garamond" w:cs="T3Font_33"/>
                <w:color w:val="auto"/>
                <w:kern w:val="0"/>
                <w:szCs w:val="21"/>
                <w:highlight w:val="none"/>
              </w:rPr>
              <w:t>人</w:t>
            </w:r>
            <w:r>
              <w:rPr>
                <w:rFonts w:ascii="Garamond" w:hAnsi="Garamond" w:cs="T3Font_34"/>
                <w:color w:val="auto"/>
                <w:kern w:val="0"/>
                <w:szCs w:val="21"/>
                <w:highlight w:val="none"/>
              </w:rPr>
              <w:t>或</w:t>
            </w:r>
            <w:r>
              <w:rPr>
                <w:rFonts w:ascii="Garamond" w:hAnsi="Garamond" w:cs="TimesNewRoman"/>
                <w:color w:val="auto"/>
                <w:kern w:val="0"/>
                <w:szCs w:val="21"/>
                <w:highlight w:val="none"/>
              </w:rPr>
              <w:t>7</w:t>
            </w:r>
            <w:r>
              <w:rPr>
                <w:rFonts w:ascii="Garamond" w:hAnsi="Garamond" w:cs="T3Font_33"/>
                <w:color w:val="auto"/>
                <w:kern w:val="0"/>
                <w:szCs w:val="21"/>
                <w:highlight w:val="none"/>
              </w:rPr>
              <w:t>人以上时，</w:t>
            </w:r>
            <w:r>
              <w:rPr>
                <w:rFonts w:ascii="Garamond" w:hAnsi="Garamond" w:cs="T3Font_34"/>
                <w:color w:val="auto"/>
                <w:kern w:val="0"/>
                <w:szCs w:val="21"/>
                <w:highlight w:val="none"/>
              </w:rPr>
              <w:t>该</w:t>
            </w:r>
            <w:r>
              <w:rPr>
                <w:rFonts w:ascii="Garamond" w:hAnsi="Garamond" w:cs="T3Font_35"/>
                <w:color w:val="auto"/>
                <w:kern w:val="0"/>
                <w:szCs w:val="21"/>
                <w:highlight w:val="none"/>
              </w:rPr>
              <w:t>平</w:t>
            </w:r>
            <w:r>
              <w:rPr>
                <w:rFonts w:ascii="Garamond" w:hAnsi="Garamond" w:cs="T3Font_34"/>
                <w:color w:val="auto"/>
                <w:kern w:val="0"/>
                <w:szCs w:val="21"/>
                <w:highlight w:val="none"/>
              </w:rPr>
              <w:t>均</w:t>
            </w:r>
            <w:r>
              <w:rPr>
                <w:rFonts w:ascii="Garamond" w:hAnsi="Garamond" w:cs="T3Font_35"/>
                <w:color w:val="auto"/>
                <w:kern w:val="0"/>
                <w:szCs w:val="21"/>
                <w:highlight w:val="none"/>
              </w:rPr>
              <w:t>值</w:t>
            </w:r>
            <w:r>
              <w:rPr>
                <w:rFonts w:ascii="Garamond" w:hAnsi="Garamond" w:cs="T3Font_33"/>
                <w:color w:val="auto"/>
                <w:kern w:val="0"/>
                <w:szCs w:val="21"/>
                <w:highlight w:val="none"/>
              </w:rPr>
              <w:t>以</w:t>
            </w:r>
            <w:r>
              <w:rPr>
                <w:rFonts w:ascii="Garamond" w:hAnsi="Garamond" w:cs="T3Font_39"/>
                <w:color w:val="auto"/>
                <w:kern w:val="0"/>
                <w:szCs w:val="21"/>
                <w:highlight w:val="none"/>
              </w:rPr>
              <w:t>去掉</w:t>
            </w:r>
            <w:r>
              <w:rPr>
                <w:rFonts w:ascii="Garamond" w:hAnsi="Garamond" w:cs="T3Font_33"/>
                <w:color w:val="auto"/>
                <w:kern w:val="0"/>
                <w:szCs w:val="21"/>
                <w:highlight w:val="none"/>
              </w:rPr>
              <w:t>一</w:t>
            </w:r>
            <w:r>
              <w:rPr>
                <w:rFonts w:ascii="Garamond" w:hAnsi="Garamond" w:cs="T3Font_34"/>
                <w:color w:val="auto"/>
                <w:kern w:val="0"/>
                <w:szCs w:val="21"/>
                <w:highlight w:val="none"/>
              </w:rPr>
              <w:t>个最</w:t>
            </w:r>
            <w:r>
              <w:rPr>
                <w:rFonts w:ascii="Garamond" w:hAnsi="Garamond" w:cs="T3Font_33"/>
                <w:color w:val="auto"/>
                <w:kern w:val="0"/>
                <w:szCs w:val="21"/>
                <w:highlight w:val="none"/>
              </w:rPr>
              <w:t>高分和一</w:t>
            </w:r>
            <w:r>
              <w:rPr>
                <w:rFonts w:ascii="Garamond" w:hAnsi="Garamond" w:cs="T3Font_34"/>
                <w:color w:val="auto"/>
                <w:kern w:val="0"/>
                <w:szCs w:val="21"/>
                <w:highlight w:val="none"/>
              </w:rPr>
              <w:t>个最低</w:t>
            </w:r>
            <w:r>
              <w:rPr>
                <w:rFonts w:ascii="Garamond" w:hAnsi="Garamond" w:cs="T3Font_33"/>
                <w:color w:val="auto"/>
                <w:kern w:val="0"/>
                <w:szCs w:val="21"/>
                <w:highlight w:val="none"/>
              </w:rPr>
              <w:t>分后计</w:t>
            </w:r>
            <w:r>
              <w:rPr>
                <w:rFonts w:ascii="Garamond" w:hAnsi="Garamond" w:cs="T3Font_35"/>
                <w:color w:val="auto"/>
                <w:kern w:val="0"/>
                <w:szCs w:val="21"/>
                <w:highlight w:val="none"/>
              </w:rPr>
              <w:t>算</w:t>
            </w:r>
            <w:r>
              <w:rPr>
                <w:rFonts w:ascii="Garamond" w:hAnsi="Garamond" w:cs="T3Font_33"/>
                <w:color w:val="auto"/>
                <w:kern w:val="0"/>
                <w:szCs w:val="21"/>
                <w:highlight w:val="none"/>
              </w:rPr>
              <w:t>，计</w:t>
            </w:r>
            <w:r>
              <w:rPr>
                <w:rFonts w:ascii="Garamond" w:hAnsi="Garamond" w:cs="T3Font_35"/>
                <w:color w:val="auto"/>
                <w:kern w:val="0"/>
                <w:szCs w:val="21"/>
                <w:highlight w:val="none"/>
              </w:rPr>
              <w:t>算</w:t>
            </w:r>
            <w:r>
              <w:rPr>
                <w:rFonts w:ascii="Garamond" w:hAnsi="Garamond" w:cs="T3Font_33"/>
                <w:color w:val="auto"/>
                <w:kern w:val="0"/>
                <w:szCs w:val="21"/>
                <w:highlight w:val="none"/>
              </w:rPr>
              <w:t>保</w:t>
            </w:r>
            <w:r>
              <w:rPr>
                <w:rFonts w:ascii="Garamond" w:hAnsi="Garamond" w:cs="T3Font_34"/>
                <w:color w:val="auto"/>
                <w:kern w:val="0"/>
                <w:szCs w:val="21"/>
                <w:highlight w:val="none"/>
              </w:rPr>
              <w:t>留</w:t>
            </w:r>
            <w:r>
              <w:rPr>
                <w:rFonts w:ascii="Garamond" w:hAnsi="Garamond" w:cs="T3Font_33"/>
                <w:color w:val="auto"/>
                <w:kern w:val="0"/>
                <w:szCs w:val="21"/>
                <w:highlight w:val="none"/>
              </w:rPr>
              <w:t>小</w:t>
            </w:r>
            <w:r>
              <w:rPr>
                <w:rFonts w:ascii="Garamond" w:hAnsi="Garamond" w:cs="T3Font_34"/>
                <w:color w:val="auto"/>
                <w:kern w:val="0"/>
                <w:szCs w:val="21"/>
                <w:highlight w:val="none"/>
              </w:rPr>
              <w:t>数点</w:t>
            </w:r>
            <w:r>
              <w:rPr>
                <w:rFonts w:ascii="Garamond" w:hAnsi="Garamond" w:cs="T3Font_33"/>
                <w:color w:val="auto"/>
                <w:kern w:val="0"/>
                <w:szCs w:val="21"/>
                <w:highlight w:val="none"/>
              </w:rPr>
              <w:t>后两位，小</w:t>
            </w:r>
            <w:r>
              <w:rPr>
                <w:rFonts w:ascii="Garamond" w:hAnsi="Garamond" w:cs="T3Font_34"/>
                <w:color w:val="auto"/>
                <w:kern w:val="0"/>
                <w:szCs w:val="21"/>
                <w:highlight w:val="none"/>
              </w:rPr>
              <w:t>数点</w:t>
            </w:r>
            <w:r>
              <w:rPr>
                <w:rFonts w:ascii="Garamond" w:hAnsi="Garamond" w:cs="T3Font_33"/>
                <w:color w:val="auto"/>
                <w:kern w:val="0"/>
                <w:szCs w:val="21"/>
                <w:highlight w:val="none"/>
              </w:rPr>
              <w:t>后</w:t>
            </w:r>
            <w:r>
              <w:rPr>
                <w:rFonts w:ascii="Garamond" w:hAnsi="Garamond" w:cs="T3Font_35"/>
                <w:color w:val="auto"/>
                <w:kern w:val="0"/>
                <w:szCs w:val="21"/>
                <w:highlight w:val="none"/>
              </w:rPr>
              <w:t>第</w:t>
            </w:r>
            <w:r>
              <w:rPr>
                <w:rFonts w:ascii="Garamond" w:hAnsi="Garamond" w:cs="T3Font_33"/>
                <w:color w:val="auto"/>
                <w:kern w:val="0"/>
                <w:szCs w:val="21"/>
                <w:highlight w:val="none"/>
              </w:rPr>
              <w:t>三位“四</w:t>
            </w:r>
            <w:r>
              <w:rPr>
                <w:rFonts w:ascii="Garamond" w:hAnsi="Garamond" w:cs="T3Font_35"/>
                <w:color w:val="auto"/>
                <w:kern w:val="0"/>
                <w:szCs w:val="21"/>
                <w:highlight w:val="none"/>
              </w:rPr>
              <w:t>舍</w:t>
            </w:r>
            <w:r>
              <w:rPr>
                <w:rFonts w:ascii="Garamond" w:hAnsi="Garamond" w:cs="T3Font_33"/>
                <w:color w:val="auto"/>
                <w:kern w:val="0"/>
                <w:szCs w:val="21"/>
                <w:highlight w:val="none"/>
              </w:rPr>
              <w:t>五</w:t>
            </w:r>
            <w:r>
              <w:rPr>
                <w:rFonts w:ascii="Garamond" w:hAnsi="Garamond" w:cs="T3Font_34"/>
                <w:color w:val="auto"/>
                <w:kern w:val="0"/>
                <w:szCs w:val="21"/>
                <w:highlight w:val="none"/>
              </w:rPr>
              <w:t>入</w:t>
            </w:r>
            <w:r>
              <w:rPr>
                <w:rFonts w:ascii="Garamond" w:hAnsi="Garamond" w:cs="T3Font_33"/>
                <w:color w:val="auto"/>
                <w:kern w:val="0"/>
                <w:szCs w:val="21"/>
                <w:highlight w:val="none"/>
              </w:rPr>
              <w:t>”。</w:t>
            </w:r>
            <w:r>
              <w:rPr>
                <w:rFonts w:ascii="Garamond" w:hAnsi="Garamond" w:cs="T3Font_34"/>
                <w:color w:val="auto"/>
                <w:kern w:val="0"/>
                <w:szCs w:val="21"/>
                <w:highlight w:val="none"/>
              </w:rPr>
              <w:t>评</w:t>
            </w:r>
            <w:r>
              <w:rPr>
                <w:rFonts w:ascii="Garamond" w:hAnsi="Garamond" w:cs="T3Font_33"/>
                <w:color w:val="auto"/>
                <w:kern w:val="0"/>
                <w:szCs w:val="21"/>
                <w:highlight w:val="none"/>
              </w:rPr>
              <w:t>标委员会成员对</w:t>
            </w:r>
            <w:r>
              <w:rPr>
                <w:rFonts w:ascii="Garamond" w:hAnsi="Garamond" w:cs="T3Font_39"/>
                <w:color w:val="auto"/>
                <w:kern w:val="0"/>
                <w:szCs w:val="21"/>
                <w:highlight w:val="none"/>
              </w:rPr>
              <w:t>某</w:t>
            </w:r>
            <w:r>
              <w:rPr>
                <w:rFonts w:ascii="Garamond" w:hAnsi="Garamond" w:cs="T3Font_33"/>
                <w:color w:val="auto"/>
                <w:kern w:val="0"/>
                <w:szCs w:val="21"/>
                <w:highlight w:val="none"/>
              </w:rPr>
              <w:t>一项</w:t>
            </w:r>
            <w:r>
              <w:rPr>
                <w:rFonts w:ascii="Garamond" w:hAnsi="Garamond" w:cs="T3Font_34"/>
                <w:color w:val="auto"/>
                <w:kern w:val="0"/>
                <w:szCs w:val="21"/>
                <w:highlight w:val="none"/>
              </w:rPr>
              <w:t>评</w:t>
            </w:r>
            <w:r>
              <w:rPr>
                <w:rFonts w:ascii="Garamond" w:hAnsi="Garamond" w:cs="T3Font_33"/>
                <w:color w:val="auto"/>
                <w:kern w:val="0"/>
                <w:szCs w:val="21"/>
                <w:highlight w:val="none"/>
              </w:rPr>
              <w:t>分</w:t>
            </w:r>
            <w:r>
              <w:rPr>
                <w:rFonts w:ascii="Garamond" w:hAnsi="Garamond" w:cs="T3Font_35"/>
                <w:color w:val="auto"/>
                <w:kern w:val="0"/>
                <w:szCs w:val="21"/>
                <w:highlight w:val="none"/>
              </w:rPr>
              <w:t>因素细</w:t>
            </w:r>
            <w:r>
              <w:rPr>
                <w:rFonts w:ascii="Garamond" w:hAnsi="Garamond" w:cs="T3Font_33"/>
                <w:color w:val="auto"/>
                <w:kern w:val="0"/>
                <w:szCs w:val="21"/>
                <w:highlight w:val="none"/>
              </w:rPr>
              <w:t>分</w:t>
            </w:r>
            <w:r>
              <w:rPr>
                <w:rFonts w:ascii="Garamond" w:hAnsi="Garamond" w:cs="T3Font_35"/>
                <w:color w:val="auto"/>
                <w:kern w:val="0"/>
                <w:szCs w:val="21"/>
                <w:highlight w:val="none"/>
              </w:rPr>
              <w:t>值</w:t>
            </w:r>
            <w:r>
              <w:rPr>
                <w:rFonts w:ascii="Garamond" w:hAnsi="Garamond" w:cs="T3Font_33"/>
                <w:color w:val="auto"/>
                <w:kern w:val="0"/>
                <w:szCs w:val="21"/>
                <w:highlight w:val="none"/>
              </w:rPr>
              <w:t>的</w:t>
            </w:r>
            <w:r>
              <w:rPr>
                <w:rFonts w:ascii="Garamond" w:hAnsi="Garamond" w:cs="T3Font_34"/>
                <w:color w:val="auto"/>
                <w:kern w:val="0"/>
                <w:szCs w:val="21"/>
                <w:highlight w:val="none"/>
              </w:rPr>
              <w:t>评</w:t>
            </w:r>
            <w:r>
              <w:rPr>
                <w:rFonts w:ascii="Garamond" w:hAnsi="Garamond" w:cs="T3Font_33"/>
                <w:color w:val="auto"/>
                <w:kern w:val="0"/>
                <w:szCs w:val="21"/>
                <w:highlight w:val="none"/>
              </w:rPr>
              <w:t>分</w:t>
            </w:r>
            <w:r>
              <w:rPr>
                <w:rFonts w:ascii="Garamond" w:hAnsi="Garamond" w:cs="T3Font_34"/>
                <w:color w:val="auto"/>
                <w:kern w:val="0"/>
                <w:szCs w:val="21"/>
                <w:highlight w:val="none"/>
              </w:rPr>
              <w:t>低</w:t>
            </w:r>
            <w:r>
              <w:rPr>
                <w:rFonts w:ascii="Garamond" w:hAnsi="Garamond" w:cs="T3Font_33"/>
                <w:color w:val="auto"/>
                <w:kern w:val="0"/>
                <w:szCs w:val="21"/>
                <w:highlight w:val="none"/>
              </w:rPr>
              <w:t>于</w:t>
            </w:r>
            <w:r>
              <w:rPr>
                <w:rFonts w:ascii="Garamond" w:hAnsi="Garamond" w:cs="T3Font_35"/>
                <w:color w:val="auto"/>
                <w:kern w:val="0"/>
                <w:szCs w:val="21"/>
                <w:highlight w:val="none"/>
              </w:rPr>
              <w:t>权</w:t>
            </w:r>
            <w:r>
              <w:rPr>
                <w:rFonts w:ascii="Garamond" w:hAnsi="Garamond" w:cs="T3Font_33"/>
                <w:color w:val="auto"/>
                <w:kern w:val="0"/>
                <w:szCs w:val="21"/>
                <w:highlight w:val="none"/>
              </w:rPr>
              <w:t>重分</w:t>
            </w:r>
            <w:r>
              <w:rPr>
                <w:rFonts w:ascii="Garamond" w:hAnsi="Garamond" w:cs="T3Font_35"/>
                <w:color w:val="auto"/>
                <w:kern w:val="0"/>
                <w:szCs w:val="21"/>
                <w:highlight w:val="none"/>
              </w:rPr>
              <w:t>值</w:t>
            </w:r>
            <w:r>
              <w:rPr>
                <w:rFonts w:ascii="Garamond" w:hAnsi="Garamond" w:cs="TimesNewRoman"/>
                <w:color w:val="auto"/>
                <w:kern w:val="0"/>
                <w:szCs w:val="21"/>
                <w:highlight w:val="none"/>
              </w:rPr>
              <w:t>60%</w:t>
            </w:r>
            <w:r>
              <w:rPr>
                <w:rFonts w:ascii="Garamond" w:hAnsi="Garamond" w:cs="T3Font_33"/>
                <w:color w:val="auto"/>
                <w:kern w:val="0"/>
                <w:szCs w:val="21"/>
                <w:highlight w:val="none"/>
              </w:rPr>
              <w:t>的，</w:t>
            </w:r>
            <w:r>
              <w:rPr>
                <w:rFonts w:ascii="Garamond" w:hAnsi="Garamond" w:cs="T3Font_34"/>
                <w:color w:val="auto"/>
                <w:kern w:val="0"/>
                <w:szCs w:val="21"/>
                <w:highlight w:val="none"/>
              </w:rPr>
              <w:t>应</w:t>
            </w:r>
            <w:r>
              <w:rPr>
                <w:rFonts w:ascii="Garamond" w:hAnsi="Garamond" w:cs="T3Font_33"/>
                <w:color w:val="auto"/>
                <w:kern w:val="0"/>
                <w:szCs w:val="21"/>
                <w:highlight w:val="none"/>
              </w:rPr>
              <w:t>在</w:t>
            </w:r>
            <w:r>
              <w:rPr>
                <w:rFonts w:ascii="Garamond" w:hAnsi="Garamond" w:cs="T3Font_34"/>
                <w:color w:val="auto"/>
                <w:kern w:val="0"/>
                <w:szCs w:val="21"/>
                <w:highlight w:val="none"/>
              </w:rPr>
              <w:t>评</w:t>
            </w:r>
            <w:r>
              <w:rPr>
                <w:rFonts w:ascii="Garamond" w:hAnsi="Garamond" w:cs="T3Font_33"/>
                <w:color w:val="auto"/>
                <w:kern w:val="0"/>
                <w:szCs w:val="21"/>
                <w:highlight w:val="none"/>
              </w:rPr>
              <w:t>标</w:t>
            </w:r>
            <w:r>
              <w:rPr>
                <w:rFonts w:ascii="Garamond" w:hAnsi="Garamond" w:cs="T3Font_34"/>
                <w:color w:val="auto"/>
                <w:kern w:val="0"/>
                <w:szCs w:val="21"/>
                <w:highlight w:val="none"/>
              </w:rPr>
              <w:t>报</w:t>
            </w:r>
            <w:r>
              <w:rPr>
                <w:rFonts w:ascii="Garamond" w:hAnsi="Garamond" w:cs="T3Font_35"/>
                <w:color w:val="auto"/>
                <w:kern w:val="0"/>
                <w:szCs w:val="21"/>
                <w:highlight w:val="none"/>
              </w:rPr>
              <w:t>告</w:t>
            </w:r>
            <w:r>
              <w:rPr>
                <w:rFonts w:ascii="Garamond" w:hAnsi="Garamond" w:cs="T3Font_33"/>
                <w:color w:val="auto"/>
                <w:kern w:val="0"/>
                <w:szCs w:val="21"/>
                <w:highlight w:val="none"/>
              </w:rPr>
              <w:t>中</w:t>
            </w:r>
            <w:r>
              <w:rPr>
                <w:rFonts w:ascii="Garamond" w:hAnsi="Garamond" w:cs="T3Font_34"/>
                <w:color w:val="auto"/>
                <w:kern w:val="0"/>
                <w:szCs w:val="21"/>
                <w:highlight w:val="none"/>
              </w:rPr>
              <w:t>作出</w:t>
            </w:r>
            <w:r>
              <w:rPr>
                <w:rFonts w:ascii="Garamond" w:hAnsi="Garamond" w:cs="T3Font_35"/>
                <w:color w:val="auto"/>
                <w:kern w:val="0"/>
                <w:szCs w:val="21"/>
                <w:highlight w:val="none"/>
              </w:rPr>
              <w:t>说</w:t>
            </w:r>
            <w:r>
              <w:rPr>
                <w:rFonts w:ascii="Garamond" w:hAnsi="Garamond" w:cs="T3Font_34"/>
                <w:color w:val="auto"/>
                <w:kern w:val="0"/>
                <w:szCs w:val="21"/>
                <w:highlight w:val="none"/>
              </w:rPr>
              <w:t>明。</w:t>
            </w:r>
          </w:p>
        </w:tc>
      </w:tr>
      <w:tr w14:paraId="0AFE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trPr>
        <w:tc>
          <w:tcPr>
            <w:tcW w:w="446" w:type="pct"/>
            <w:gridSpan w:val="2"/>
            <w:vAlign w:val="center"/>
          </w:tcPr>
          <w:p w14:paraId="770EACB4">
            <w:pPr>
              <w:spacing w:line="320" w:lineRule="exact"/>
              <w:rPr>
                <w:rFonts w:ascii="Garamond" w:hAnsi="Garamond"/>
                <w:color w:val="auto"/>
                <w:szCs w:val="21"/>
                <w:highlight w:val="none"/>
              </w:rPr>
            </w:pPr>
            <w:r>
              <w:rPr>
                <w:rFonts w:ascii="Garamond" w:hAnsi="Garamond"/>
                <w:color w:val="auto"/>
                <w:szCs w:val="21"/>
                <w:highlight w:val="none"/>
              </w:rPr>
              <w:t>3.2.4</w:t>
            </w:r>
          </w:p>
        </w:tc>
        <w:tc>
          <w:tcPr>
            <w:tcW w:w="4553" w:type="pct"/>
            <w:gridSpan w:val="6"/>
            <w:vAlign w:val="center"/>
          </w:tcPr>
          <w:p w14:paraId="4445EEF0">
            <w:pPr>
              <w:spacing w:line="320" w:lineRule="exact"/>
              <w:rPr>
                <w:rFonts w:ascii="Garamond" w:hAnsi="Garamond" w:cs="T3Font_35"/>
                <w:color w:val="auto"/>
                <w:kern w:val="0"/>
                <w:szCs w:val="21"/>
                <w:highlight w:val="none"/>
              </w:rPr>
            </w:pPr>
            <w:r>
              <w:rPr>
                <w:rFonts w:ascii="Garamond" w:hAnsi="Garamond" w:cs="T3Font_35"/>
                <w:color w:val="auto"/>
                <w:kern w:val="0"/>
                <w:szCs w:val="21"/>
                <w:highlight w:val="none"/>
              </w:rPr>
              <w:t>增加补充本条款：</w:t>
            </w:r>
          </w:p>
          <w:p w14:paraId="6B02861F">
            <w:pPr>
              <w:spacing w:line="320" w:lineRule="exact"/>
              <w:rPr>
                <w:rFonts w:ascii="Garamond" w:hAnsi="Garamond"/>
                <w:color w:val="auto"/>
                <w:highlight w:val="none"/>
              </w:rPr>
            </w:pPr>
            <w:r>
              <w:rPr>
                <w:rFonts w:ascii="Garamond" w:hAnsi="Garamond"/>
                <w:color w:val="auto"/>
                <w:highlight w:val="none"/>
              </w:rPr>
              <w:t>评标委员会按照投标人的商务和技术得分由高到低排序。第一信封</w:t>
            </w:r>
            <w:r>
              <w:rPr>
                <w:rFonts w:ascii="Garamond" w:hAnsi="Garamond"/>
                <w:color w:val="auto"/>
                <w:szCs w:val="21"/>
                <w:highlight w:val="none"/>
              </w:rPr>
              <w:t>（商务及技术文件）</w:t>
            </w:r>
            <w:r>
              <w:rPr>
                <w:rFonts w:ascii="Garamond" w:hAnsi="Garamond"/>
                <w:color w:val="auto"/>
                <w:highlight w:val="none"/>
              </w:rPr>
              <w:t>评审得分中出现2份或2份以上得分相同时，则</w:t>
            </w:r>
            <w:r>
              <w:rPr>
                <w:rFonts w:hint="eastAsia" w:ascii="宋体" w:hAnsi="宋体"/>
                <w:color w:val="auto"/>
                <w:highlight w:val="none"/>
              </w:rPr>
              <w:t>被列入</w:t>
            </w:r>
            <w:r>
              <w:rPr>
                <w:rFonts w:ascii="宋体" w:hAnsi="宋体"/>
                <w:color w:val="auto"/>
                <w:highlight w:val="none"/>
              </w:rPr>
              <w:t>“</w:t>
            </w:r>
            <w:r>
              <w:rPr>
                <w:rFonts w:hint="eastAsia" w:ascii="宋体" w:hAnsi="宋体"/>
                <w:color w:val="auto"/>
                <w:highlight w:val="none"/>
              </w:rPr>
              <w:t>江苏省交通运输守信联合激励对象名单</w:t>
            </w:r>
            <w:r>
              <w:rPr>
                <w:rFonts w:ascii="宋体" w:hAnsi="宋体"/>
                <w:color w:val="auto"/>
                <w:highlight w:val="none"/>
              </w:rPr>
              <w:t>”</w:t>
            </w:r>
            <w:r>
              <w:rPr>
                <w:rFonts w:hint="eastAsia" w:ascii="宋体" w:hAnsi="宋体"/>
                <w:color w:val="auto"/>
                <w:highlight w:val="none"/>
              </w:rPr>
              <w:t>（红名单）的投标人排名在前；若相同则</w:t>
            </w:r>
            <w:r>
              <w:rPr>
                <w:rFonts w:ascii="Garamond" w:hAnsi="Garamond"/>
                <w:color w:val="auto"/>
                <w:highlight w:val="none"/>
              </w:rPr>
              <w:t>“主要人员”得分高的投标人排名在前；若“主要人员”得分相同，则“</w:t>
            </w:r>
            <w:r>
              <w:rPr>
                <w:rFonts w:ascii="Garamond" w:hAnsi="Garamond" w:cs="宋体"/>
                <w:color w:val="auto"/>
                <w:kern w:val="0"/>
                <w:szCs w:val="21"/>
                <w:highlight w:val="none"/>
              </w:rPr>
              <w:t>工作大纲”</w:t>
            </w:r>
            <w:r>
              <w:rPr>
                <w:rFonts w:ascii="Garamond" w:hAnsi="Garamond"/>
                <w:color w:val="auto"/>
                <w:highlight w:val="none"/>
              </w:rPr>
              <w:t>得分高的投标人排名在前；若“</w:t>
            </w:r>
            <w:r>
              <w:rPr>
                <w:rFonts w:ascii="Garamond" w:hAnsi="Garamond" w:cs="宋体"/>
                <w:color w:val="auto"/>
                <w:kern w:val="0"/>
                <w:szCs w:val="21"/>
                <w:highlight w:val="none"/>
              </w:rPr>
              <w:t>工作大纲”</w:t>
            </w:r>
            <w:r>
              <w:rPr>
                <w:rFonts w:ascii="Garamond" w:hAnsi="Garamond"/>
                <w:color w:val="auto"/>
                <w:highlight w:val="none"/>
              </w:rPr>
              <w:t>得分仍相同，则“投标人业绩”得分高的投标人排名在前；若仍不能确定的，则由评标委员会全体成员投票表决。</w:t>
            </w:r>
          </w:p>
          <w:p w14:paraId="58800425">
            <w:pPr>
              <w:spacing w:line="320" w:lineRule="exact"/>
              <w:rPr>
                <w:rFonts w:hint="eastAsia" w:ascii="宋体" w:hAnsi="宋体" w:cs="T3Font_2"/>
                <w:b/>
                <w:color w:val="auto"/>
                <w:kern w:val="0"/>
                <w:highlight w:val="none"/>
              </w:rPr>
            </w:pPr>
            <w:r>
              <w:rPr>
                <w:rFonts w:hint="eastAsia" w:ascii="宋体" w:hAnsi="宋体" w:cs="T3Font_2"/>
                <w:b/>
                <w:color w:val="auto"/>
                <w:kern w:val="0"/>
                <w:highlight w:val="none"/>
              </w:rPr>
              <w:t>在评标过程中，评标委员会应对招标人计算的评标基准价进行复核，存在计算错误的应予以修正并在评标报告中作出说明。除此之外，评标基准价在任何情况（包括因异议、投诉或其他原因导致的任何结果）下都保持不变。</w:t>
            </w:r>
          </w:p>
          <w:p w14:paraId="00F90855">
            <w:pPr>
              <w:spacing w:line="320" w:lineRule="exact"/>
              <w:rPr>
                <w:rFonts w:ascii="Garamond" w:hAnsi="Garamond" w:cs="T3Font_34"/>
                <w:color w:val="auto"/>
                <w:kern w:val="0"/>
                <w:szCs w:val="21"/>
                <w:highlight w:val="none"/>
              </w:rPr>
            </w:pPr>
            <w:r>
              <w:rPr>
                <w:rFonts w:hint="eastAsia" w:ascii="宋体" w:hAnsi="宋体" w:cs="T3Font_2"/>
                <w:b/>
                <w:color w:val="auto"/>
                <w:kern w:val="0"/>
                <w:highlight w:val="none"/>
              </w:rPr>
              <w:t>注：计算错误仅限于以下两种情况：①纯算术性四则运算差错；②未按招标文件规定的计算方法计算，或多计或少计或错计投标人评标价。</w:t>
            </w:r>
          </w:p>
        </w:tc>
      </w:tr>
      <w:tr w14:paraId="0805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trPr>
        <w:tc>
          <w:tcPr>
            <w:tcW w:w="446" w:type="pct"/>
            <w:gridSpan w:val="2"/>
            <w:vAlign w:val="center"/>
          </w:tcPr>
          <w:p w14:paraId="0BCED255">
            <w:pPr>
              <w:spacing w:line="320" w:lineRule="exact"/>
              <w:rPr>
                <w:rFonts w:ascii="Garamond" w:hAnsi="Garamond"/>
                <w:color w:val="auto"/>
                <w:szCs w:val="21"/>
                <w:highlight w:val="none"/>
              </w:rPr>
            </w:pPr>
            <w:r>
              <w:rPr>
                <w:rFonts w:ascii="Garamond" w:hAnsi="Garamond"/>
                <w:color w:val="auto"/>
                <w:szCs w:val="21"/>
                <w:highlight w:val="none"/>
              </w:rPr>
              <w:t>3.2.5</w:t>
            </w:r>
          </w:p>
        </w:tc>
        <w:tc>
          <w:tcPr>
            <w:tcW w:w="4553" w:type="pct"/>
            <w:gridSpan w:val="6"/>
            <w:vAlign w:val="center"/>
          </w:tcPr>
          <w:p w14:paraId="26B90DE8">
            <w:pPr>
              <w:spacing w:line="320" w:lineRule="exact"/>
              <w:rPr>
                <w:rFonts w:ascii="Garamond" w:hAnsi="Garamond" w:cs="T3Font_35"/>
                <w:color w:val="auto"/>
                <w:kern w:val="0"/>
                <w:szCs w:val="21"/>
                <w:highlight w:val="none"/>
              </w:rPr>
            </w:pPr>
            <w:r>
              <w:rPr>
                <w:rFonts w:ascii="Garamond" w:hAnsi="Garamond" w:cs="T3Font_35"/>
                <w:color w:val="auto"/>
                <w:kern w:val="0"/>
                <w:szCs w:val="21"/>
                <w:highlight w:val="none"/>
              </w:rPr>
              <w:t>增加补充本条款：</w:t>
            </w:r>
          </w:p>
          <w:p w14:paraId="24BE37D2">
            <w:pPr>
              <w:spacing w:line="320" w:lineRule="exact"/>
              <w:rPr>
                <w:rFonts w:ascii="Garamond" w:hAnsi="Garamond" w:cs="T3Font_35"/>
                <w:color w:val="auto"/>
                <w:kern w:val="0"/>
                <w:szCs w:val="21"/>
                <w:highlight w:val="none"/>
              </w:rPr>
            </w:pPr>
            <w:r>
              <w:rPr>
                <w:rFonts w:ascii="Garamond" w:hAnsi="Garamond" w:cs="T3Font_35"/>
                <w:color w:val="auto"/>
                <w:kern w:val="0"/>
                <w:szCs w:val="21"/>
                <w:highlight w:val="none"/>
              </w:rPr>
              <w:t>通过投标文件第一信封（商务及技术文件）评审的投标人不足3家的，评标委员会可以否决全部投标；未否决全部投标的，评标委员会应当在评标报告中阐明理由，招标人可按照第二章“投标人须知”第5.1款规定的时间和地点对投标文件第二信封（报价文件）进行开标，但评标委员会在进行报价文件评审时仍有权否决全部投标；评标委员会未在报价文件评审时否决全部投标的，应当在评标报告中阐明理由。</w:t>
            </w:r>
          </w:p>
        </w:tc>
      </w:tr>
    </w:tbl>
    <w:p w14:paraId="1BD370BD">
      <w:pPr>
        <w:rPr>
          <w:rFonts w:ascii="Garamond" w:hAnsi="Garamond"/>
          <w:color w:val="auto"/>
          <w:highlight w:val="none"/>
        </w:rPr>
      </w:pPr>
      <w:r>
        <w:rPr>
          <w:rFonts w:ascii="Garamond" w:hAnsi="Garamond"/>
          <w:color w:val="auto"/>
          <w:highlight w:val="none"/>
        </w:rPr>
        <w:br w:type="page"/>
      </w:r>
    </w:p>
    <w:p w14:paraId="42028D9F">
      <w:pPr>
        <w:spacing w:line="400" w:lineRule="exact"/>
        <w:ind w:firstLine="412" w:firstLineChars="200"/>
        <w:rPr>
          <w:rFonts w:ascii="宋体" w:hAnsi="宋体" w:cs="宋体"/>
          <w:color w:val="auto"/>
          <w:szCs w:val="21"/>
          <w:highlight w:val="none"/>
        </w:rPr>
      </w:pPr>
      <w:r>
        <w:rPr>
          <w:rFonts w:ascii="宋体" w:hAnsi="宋体" w:cs="宋体"/>
          <w:color w:val="auto"/>
          <w:spacing w:val="-2"/>
          <w:szCs w:val="21"/>
          <w:highlight w:val="none"/>
        </w:rPr>
        <w:t>1.</w:t>
      </w:r>
      <w:r>
        <w:rPr>
          <w:rFonts w:ascii="宋体" w:hAnsi="宋体" w:cs="宋体"/>
          <w:color w:val="auto"/>
          <w:spacing w:val="-1"/>
          <w:szCs w:val="21"/>
          <w:highlight w:val="none"/>
        </w:rPr>
        <w:t>评标方法</w:t>
      </w:r>
    </w:p>
    <w:p w14:paraId="5BF3F657">
      <w:pPr>
        <w:pStyle w:val="161"/>
        <w:spacing w:line="400" w:lineRule="exact"/>
        <w:ind w:firstLine="420"/>
        <w:rPr>
          <w:rFonts w:cs="宋体"/>
          <w:color w:val="auto"/>
          <w:sz w:val="21"/>
          <w:szCs w:val="21"/>
          <w:highlight w:val="none"/>
        </w:rPr>
      </w:pPr>
      <w:r>
        <w:rPr>
          <w:rFonts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14:paraId="6CD765F3">
      <w:pPr>
        <w:spacing w:line="400" w:lineRule="exact"/>
        <w:ind w:firstLine="416" w:firstLineChars="200"/>
        <w:rPr>
          <w:rFonts w:ascii="宋体" w:hAnsi="宋体" w:cs="宋体"/>
          <w:color w:val="auto"/>
          <w:szCs w:val="21"/>
          <w:highlight w:val="none"/>
        </w:rPr>
      </w:pPr>
      <w:r>
        <w:rPr>
          <w:rFonts w:ascii="宋体" w:hAnsi="宋体" w:cs="宋体"/>
          <w:color w:val="auto"/>
          <w:spacing w:val="-1"/>
          <w:szCs w:val="21"/>
          <w:highlight w:val="none"/>
        </w:rPr>
        <w:t>2.评审</w:t>
      </w:r>
      <w:r>
        <w:rPr>
          <w:rFonts w:ascii="宋体" w:hAnsi="宋体" w:cs="宋体"/>
          <w:color w:val="auto"/>
          <w:szCs w:val="21"/>
          <w:highlight w:val="none"/>
        </w:rPr>
        <w:t>标准</w:t>
      </w:r>
    </w:p>
    <w:p w14:paraId="03EDE858">
      <w:pPr>
        <w:spacing w:line="400" w:lineRule="exact"/>
        <w:ind w:firstLine="416" w:firstLineChars="200"/>
        <w:rPr>
          <w:rFonts w:ascii="宋体" w:hAnsi="宋体" w:cs="宋体"/>
          <w:color w:val="auto"/>
          <w:szCs w:val="21"/>
          <w:highlight w:val="none"/>
        </w:rPr>
      </w:pPr>
      <w:r>
        <w:rPr>
          <w:rFonts w:ascii="宋体" w:hAnsi="宋体" w:cs="宋体"/>
          <w:color w:val="auto"/>
          <w:spacing w:val="-1"/>
          <w:szCs w:val="21"/>
          <w:highlight w:val="none"/>
        </w:rPr>
        <w:t>2.1</w:t>
      </w:r>
      <w:r>
        <w:rPr>
          <w:rFonts w:hint="eastAsia" w:ascii="宋体" w:hAnsi="宋体" w:cs="宋体"/>
          <w:color w:val="auto"/>
          <w:spacing w:val="-1"/>
          <w:szCs w:val="21"/>
          <w:highlight w:val="none"/>
        </w:rPr>
        <w:t xml:space="preserve"> </w:t>
      </w:r>
      <w:r>
        <w:rPr>
          <w:rFonts w:ascii="宋体" w:hAnsi="宋体" w:cs="宋体"/>
          <w:color w:val="auto"/>
          <w:szCs w:val="21"/>
          <w:highlight w:val="none"/>
        </w:rPr>
        <w:t>初步评审标准</w:t>
      </w:r>
    </w:p>
    <w:p w14:paraId="2C53DE0B">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 xml:space="preserve"> </w:t>
      </w:r>
      <w:r>
        <w:rPr>
          <w:rFonts w:ascii="宋体" w:hAnsi="宋体" w:cs="宋体"/>
          <w:color w:val="auto"/>
          <w:szCs w:val="21"/>
          <w:highlight w:val="none"/>
        </w:rPr>
        <w:t>形式评审标准</w:t>
      </w:r>
      <w:r>
        <w:rPr>
          <w:rFonts w:ascii="宋体" w:hAnsi="宋体" w:cs="宋体"/>
          <w:color w:val="auto"/>
          <w:spacing w:val="-50"/>
          <w:szCs w:val="21"/>
          <w:highlight w:val="none"/>
        </w:rPr>
        <w:t>：</w:t>
      </w:r>
      <w:r>
        <w:rPr>
          <w:rFonts w:ascii="宋体" w:hAnsi="宋体" w:cs="宋体"/>
          <w:color w:val="auto"/>
          <w:szCs w:val="21"/>
          <w:highlight w:val="none"/>
        </w:rPr>
        <w:t>见评标办法前附表。</w:t>
      </w:r>
    </w:p>
    <w:p w14:paraId="36E58700">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 xml:space="preserve"> </w:t>
      </w:r>
      <w:r>
        <w:rPr>
          <w:rFonts w:ascii="宋体" w:hAnsi="宋体" w:cs="宋体"/>
          <w:color w:val="auto"/>
          <w:szCs w:val="21"/>
          <w:highlight w:val="none"/>
        </w:rPr>
        <w:t>资格评审标准</w:t>
      </w:r>
      <w:r>
        <w:rPr>
          <w:rFonts w:ascii="宋体" w:hAnsi="宋体" w:cs="宋体"/>
          <w:color w:val="auto"/>
          <w:spacing w:val="-49"/>
          <w:szCs w:val="21"/>
          <w:highlight w:val="none"/>
        </w:rPr>
        <w:t>：</w:t>
      </w:r>
      <w:r>
        <w:rPr>
          <w:rFonts w:ascii="宋体" w:hAnsi="宋体" w:cs="宋体"/>
          <w:color w:val="auto"/>
          <w:szCs w:val="21"/>
          <w:highlight w:val="none"/>
        </w:rPr>
        <w:t>见评标办法前附表。</w:t>
      </w:r>
    </w:p>
    <w:p w14:paraId="05194F3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2.1.3</w:t>
      </w:r>
      <w:r>
        <w:rPr>
          <w:rFonts w:hint="eastAsia" w:ascii="宋体" w:hAnsi="宋体" w:cs="宋体"/>
          <w:color w:val="auto"/>
          <w:szCs w:val="21"/>
          <w:highlight w:val="none"/>
        </w:rPr>
        <w:t xml:space="preserve"> </w:t>
      </w:r>
      <w:r>
        <w:rPr>
          <w:rFonts w:ascii="宋体" w:hAnsi="宋体" w:cs="宋体"/>
          <w:color w:val="auto"/>
          <w:szCs w:val="21"/>
          <w:highlight w:val="none"/>
        </w:rPr>
        <w:t>响应性评审标准</w:t>
      </w:r>
      <w:r>
        <w:rPr>
          <w:rFonts w:ascii="宋体" w:hAnsi="宋体" w:cs="宋体"/>
          <w:color w:val="auto"/>
          <w:spacing w:val="-50"/>
          <w:szCs w:val="21"/>
          <w:highlight w:val="none"/>
        </w:rPr>
        <w:t>：</w:t>
      </w:r>
      <w:r>
        <w:rPr>
          <w:rFonts w:ascii="宋体" w:hAnsi="宋体" w:cs="宋体"/>
          <w:color w:val="auto"/>
          <w:szCs w:val="21"/>
          <w:highlight w:val="none"/>
        </w:rPr>
        <w:t>见评标办法前附表。</w:t>
      </w:r>
    </w:p>
    <w:p w14:paraId="550B2218">
      <w:pPr>
        <w:spacing w:line="400" w:lineRule="exact"/>
        <w:ind w:firstLine="416" w:firstLineChars="200"/>
        <w:rPr>
          <w:rFonts w:ascii="宋体" w:hAnsi="宋体" w:cs="宋体"/>
          <w:color w:val="auto"/>
          <w:szCs w:val="21"/>
          <w:highlight w:val="none"/>
        </w:rPr>
      </w:pPr>
      <w:r>
        <w:rPr>
          <w:rFonts w:ascii="宋体" w:hAnsi="宋体" w:cs="宋体"/>
          <w:color w:val="auto"/>
          <w:spacing w:val="-1"/>
          <w:szCs w:val="21"/>
          <w:highlight w:val="none"/>
        </w:rPr>
        <w:t>2.2</w:t>
      </w:r>
      <w:r>
        <w:rPr>
          <w:rFonts w:hint="eastAsia" w:ascii="宋体" w:hAnsi="宋体" w:cs="宋体"/>
          <w:color w:val="auto"/>
          <w:spacing w:val="-1"/>
          <w:szCs w:val="21"/>
          <w:highlight w:val="none"/>
        </w:rPr>
        <w:t xml:space="preserve"> </w:t>
      </w:r>
      <w:r>
        <w:rPr>
          <w:rFonts w:ascii="宋体" w:hAnsi="宋体" w:cs="宋体"/>
          <w:color w:val="auto"/>
          <w:szCs w:val="21"/>
          <w:highlight w:val="none"/>
        </w:rPr>
        <w:t>分值构成与评分标准</w:t>
      </w:r>
    </w:p>
    <w:p w14:paraId="29C5D1E2">
      <w:pPr>
        <w:spacing w:line="400" w:lineRule="exact"/>
        <w:ind w:firstLine="416" w:firstLineChars="200"/>
        <w:rPr>
          <w:rFonts w:ascii="宋体" w:hAnsi="宋体" w:cs="宋体"/>
          <w:color w:val="auto"/>
          <w:szCs w:val="21"/>
          <w:highlight w:val="none"/>
        </w:rPr>
      </w:pPr>
      <w:r>
        <w:rPr>
          <w:rFonts w:ascii="宋体" w:hAnsi="宋体" w:cs="宋体"/>
          <w:color w:val="auto"/>
          <w:spacing w:val="-1"/>
          <w:szCs w:val="21"/>
          <w:highlight w:val="none"/>
        </w:rPr>
        <w:t>2.2</w:t>
      </w:r>
      <w:r>
        <w:rPr>
          <w:rFonts w:ascii="宋体" w:hAnsi="宋体" w:cs="宋体"/>
          <w:color w:val="auto"/>
          <w:szCs w:val="21"/>
          <w:highlight w:val="none"/>
        </w:rPr>
        <w:t>.1</w:t>
      </w:r>
      <w:r>
        <w:rPr>
          <w:rFonts w:hint="eastAsia" w:ascii="宋体" w:hAnsi="宋体" w:cs="宋体"/>
          <w:color w:val="auto"/>
          <w:szCs w:val="21"/>
          <w:highlight w:val="none"/>
        </w:rPr>
        <w:t xml:space="preserve"> </w:t>
      </w:r>
      <w:r>
        <w:rPr>
          <w:rFonts w:ascii="宋体" w:hAnsi="宋体" w:cs="宋体"/>
          <w:color w:val="auto"/>
          <w:szCs w:val="21"/>
          <w:highlight w:val="none"/>
        </w:rPr>
        <w:t>分值构成</w:t>
      </w:r>
    </w:p>
    <w:p w14:paraId="6E99D4D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pacing w:val="-46"/>
          <w:szCs w:val="21"/>
          <w:highlight w:val="none"/>
        </w:rPr>
        <w:t>）</w:t>
      </w:r>
      <w:r>
        <w:rPr>
          <w:rFonts w:ascii="宋体" w:hAnsi="宋体" w:cs="宋体"/>
          <w:color w:val="auto"/>
          <w:szCs w:val="21"/>
          <w:highlight w:val="none"/>
        </w:rPr>
        <w:t>A</w:t>
      </w:r>
      <w:r>
        <w:rPr>
          <w:rFonts w:hint="eastAsia" w:ascii="宋体" w:hAnsi="宋体" w:cs="宋体"/>
          <w:color w:val="auto"/>
          <w:szCs w:val="21"/>
          <w:highlight w:val="none"/>
        </w:rPr>
        <w:t>主要人员：项目负责人资格和业绩</w:t>
      </w:r>
      <w:r>
        <w:rPr>
          <w:rFonts w:hint="eastAsia" w:ascii="宋体" w:hAnsi="宋体" w:cs="宋体"/>
          <w:color w:val="auto"/>
          <w:szCs w:val="21"/>
          <w:highlight w:val="none"/>
        </w:rPr>
        <w:tab/>
      </w:r>
      <w:r>
        <w:rPr>
          <w:rFonts w:hint="eastAsia" w:ascii="宋体" w:hAnsi="宋体" w:cs="宋体"/>
          <w:color w:val="auto"/>
          <w:szCs w:val="21"/>
          <w:highlight w:val="none"/>
        </w:rPr>
        <w:t>：15分；其他人员资格和业绩：</w:t>
      </w:r>
      <w:r>
        <w:rPr>
          <w:rFonts w:hint="eastAsia" w:ascii="宋体" w:hAnsi="宋体" w:cs="宋体"/>
          <w:color w:val="auto"/>
          <w:szCs w:val="21"/>
          <w:highlight w:val="none"/>
        </w:rPr>
        <w:tab/>
      </w:r>
      <w:r>
        <w:rPr>
          <w:rFonts w:hint="eastAsia" w:ascii="宋体" w:hAnsi="宋体" w:cs="宋体"/>
          <w:color w:val="auto"/>
          <w:szCs w:val="21"/>
          <w:highlight w:val="none"/>
        </w:rPr>
        <w:t>15分</w:t>
      </w:r>
      <w:r>
        <w:rPr>
          <w:rFonts w:hint="eastAsia" w:ascii="宋体" w:hAnsi="宋体" w:cs="宋体"/>
          <w:color w:val="auto"/>
          <w:szCs w:val="21"/>
          <w:highlight w:val="none"/>
        </w:rPr>
        <w:tab/>
      </w:r>
      <w:r>
        <w:rPr>
          <w:rFonts w:hint="eastAsia" w:ascii="宋体" w:hAnsi="宋体" w:cs="宋体"/>
          <w:color w:val="auto"/>
          <w:szCs w:val="21"/>
          <w:highlight w:val="none"/>
        </w:rPr>
        <w:t>；</w:t>
      </w:r>
    </w:p>
    <w:p w14:paraId="00E4459A">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ascii="宋体" w:hAnsi="宋体" w:cs="宋体"/>
          <w:color w:val="auto"/>
          <w:spacing w:val="-46"/>
          <w:szCs w:val="21"/>
          <w:highlight w:val="none"/>
        </w:rPr>
        <w:t>）</w:t>
      </w:r>
      <w:r>
        <w:rPr>
          <w:rFonts w:ascii="宋体" w:hAnsi="宋体" w:cs="宋体"/>
          <w:color w:val="auto"/>
          <w:szCs w:val="21"/>
          <w:highlight w:val="none"/>
        </w:rPr>
        <w:t>B</w:t>
      </w:r>
      <w:r>
        <w:rPr>
          <w:rFonts w:hint="eastAsia" w:ascii="宋体" w:hAnsi="宋体" w:cs="宋体"/>
          <w:color w:val="auto"/>
          <w:szCs w:val="21"/>
          <w:highlight w:val="none"/>
        </w:rPr>
        <w:t>检测实施方案</w:t>
      </w:r>
      <w:r>
        <w:rPr>
          <w:rFonts w:hint="eastAsia" w:ascii="宋体" w:hAnsi="宋体" w:cs="宋体"/>
          <w:color w:val="auto"/>
          <w:szCs w:val="21"/>
          <w:highlight w:val="none"/>
        </w:rPr>
        <w:tab/>
      </w:r>
      <w:r>
        <w:rPr>
          <w:rFonts w:hint="eastAsia" w:ascii="宋体" w:hAnsi="宋体" w:cs="宋体"/>
          <w:color w:val="auto"/>
          <w:szCs w:val="21"/>
          <w:highlight w:val="none"/>
        </w:rPr>
        <w:t>：30分；</w:t>
      </w:r>
    </w:p>
    <w:p w14:paraId="2E6865F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ascii="宋体" w:hAnsi="宋体" w:cs="宋体"/>
          <w:color w:val="auto"/>
          <w:spacing w:val="-46"/>
          <w:szCs w:val="21"/>
          <w:highlight w:val="none"/>
        </w:rPr>
        <w:t>）</w:t>
      </w:r>
      <w:r>
        <w:rPr>
          <w:rFonts w:ascii="宋体" w:hAnsi="宋体" w:cs="宋体"/>
          <w:color w:val="auto"/>
          <w:szCs w:val="21"/>
          <w:highlight w:val="none"/>
        </w:rPr>
        <w:t>C</w:t>
      </w:r>
      <w:r>
        <w:rPr>
          <w:rFonts w:hint="eastAsia" w:ascii="宋体" w:hAnsi="宋体" w:cs="宋体"/>
          <w:color w:val="auto"/>
          <w:szCs w:val="21"/>
          <w:highlight w:val="none"/>
        </w:rPr>
        <w:t>业绩：</w:t>
      </w:r>
      <w:r>
        <w:rPr>
          <w:rFonts w:hint="eastAsia" w:ascii="宋体" w:hAnsi="宋体" w:cs="宋体"/>
          <w:color w:val="auto"/>
          <w:szCs w:val="21"/>
          <w:highlight w:val="none"/>
        </w:rPr>
        <w:tab/>
      </w:r>
      <w:r>
        <w:rPr>
          <w:rFonts w:hint="eastAsia" w:ascii="宋体" w:hAnsi="宋体" w:cs="宋体"/>
          <w:color w:val="auto"/>
          <w:szCs w:val="21"/>
          <w:highlight w:val="none"/>
        </w:rPr>
        <w:t>25分；</w:t>
      </w:r>
    </w:p>
    <w:p w14:paraId="36034119">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4)D</w:t>
      </w:r>
      <w:r>
        <w:rPr>
          <w:rFonts w:hint="eastAsia" w:ascii="宋体" w:hAnsi="宋体" w:cs="宋体"/>
          <w:color w:val="auto"/>
          <w:szCs w:val="21"/>
          <w:highlight w:val="none"/>
        </w:rPr>
        <w:t>履约信誉：</w:t>
      </w:r>
      <w:r>
        <w:rPr>
          <w:rFonts w:hint="eastAsia" w:ascii="宋体" w:hAnsi="宋体" w:cs="宋体"/>
          <w:color w:val="auto"/>
          <w:szCs w:val="21"/>
          <w:highlight w:val="none"/>
        </w:rPr>
        <w:tab/>
      </w:r>
      <w:r>
        <w:rPr>
          <w:rFonts w:hint="eastAsia" w:ascii="宋体" w:hAnsi="宋体" w:cs="宋体"/>
          <w:color w:val="auto"/>
          <w:szCs w:val="21"/>
          <w:highlight w:val="none"/>
        </w:rPr>
        <w:t>5分；</w:t>
      </w:r>
    </w:p>
    <w:p w14:paraId="2E6BE1CA">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F投标报价：10分。</w:t>
      </w:r>
    </w:p>
    <w:p w14:paraId="387477A8">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2.2.2</w:t>
      </w:r>
      <w:r>
        <w:rPr>
          <w:rFonts w:hint="eastAsia" w:ascii="宋体" w:hAnsi="宋体" w:cs="宋体"/>
          <w:color w:val="auto"/>
          <w:szCs w:val="21"/>
          <w:highlight w:val="none"/>
        </w:rPr>
        <w:t xml:space="preserve"> </w:t>
      </w:r>
      <w:r>
        <w:rPr>
          <w:rFonts w:ascii="宋体" w:hAnsi="宋体" w:cs="宋体"/>
          <w:color w:val="auto"/>
          <w:szCs w:val="21"/>
          <w:highlight w:val="none"/>
        </w:rPr>
        <w:t>评标基准价计算</w:t>
      </w:r>
    </w:p>
    <w:p w14:paraId="29595D17">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评标基准价计算方法：见评标办法前附表。</w:t>
      </w:r>
    </w:p>
    <w:p w14:paraId="063A5F1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2.2.3</w:t>
      </w:r>
      <w:r>
        <w:rPr>
          <w:rFonts w:hint="eastAsia" w:ascii="宋体" w:hAnsi="宋体" w:cs="宋体"/>
          <w:color w:val="auto"/>
          <w:szCs w:val="21"/>
          <w:highlight w:val="none"/>
        </w:rPr>
        <w:t xml:space="preserve"> </w:t>
      </w:r>
      <w:r>
        <w:rPr>
          <w:rFonts w:ascii="宋体" w:hAnsi="宋体" w:cs="宋体"/>
          <w:color w:val="auto"/>
          <w:szCs w:val="21"/>
          <w:highlight w:val="none"/>
        </w:rPr>
        <w:t>投标报价的偏差率计算</w:t>
      </w:r>
    </w:p>
    <w:p w14:paraId="20F5161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投标报价的偏差率计算公式：见评标办法前附表。</w:t>
      </w:r>
    </w:p>
    <w:p w14:paraId="16801B18">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2.2.4</w:t>
      </w:r>
      <w:r>
        <w:rPr>
          <w:rFonts w:hint="eastAsia" w:ascii="宋体" w:hAnsi="宋体" w:cs="宋体"/>
          <w:color w:val="auto"/>
          <w:szCs w:val="21"/>
          <w:highlight w:val="none"/>
        </w:rPr>
        <w:t xml:space="preserve"> </w:t>
      </w:r>
      <w:r>
        <w:rPr>
          <w:rFonts w:ascii="宋体" w:hAnsi="宋体" w:cs="宋体"/>
          <w:color w:val="auto"/>
          <w:szCs w:val="21"/>
          <w:highlight w:val="none"/>
        </w:rPr>
        <w:t>评分标准</w:t>
      </w:r>
      <w:r>
        <w:rPr>
          <w:rFonts w:hint="eastAsia" w:ascii="宋体" w:hAnsi="宋体" w:cs="宋体"/>
          <w:color w:val="auto"/>
          <w:szCs w:val="21"/>
          <w:highlight w:val="none"/>
        </w:rPr>
        <w:t>；</w:t>
      </w:r>
      <w:r>
        <w:rPr>
          <w:rFonts w:ascii="宋体" w:hAnsi="宋体" w:cs="宋体"/>
          <w:color w:val="auto"/>
          <w:szCs w:val="21"/>
          <w:highlight w:val="none"/>
        </w:rPr>
        <w:t>见评标办法前附表。</w:t>
      </w:r>
    </w:p>
    <w:p w14:paraId="23184895">
      <w:pPr>
        <w:spacing w:line="400" w:lineRule="exact"/>
        <w:ind w:firstLine="416" w:firstLineChars="200"/>
        <w:rPr>
          <w:rFonts w:ascii="宋体" w:hAnsi="宋体" w:cs="宋体"/>
          <w:color w:val="auto"/>
          <w:szCs w:val="21"/>
          <w:highlight w:val="none"/>
        </w:rPr>
      </w:pPr>
      <w:r>
        <w:rPr>
          <w:rFonts w:ascii="宋体" w:hAnsi="宋体" w:cs="宋体"/>
          <w:color w:val="auto"/>
          <w:spacing w:val="-1"/>
          <w:szCs w:val="21"/>
          <w:highlight w:val="none"/>
        </w:rPr>
        <w:t>3.</w:t>
      </w:r>
      <w:r>
        <w:rPr>
          <w:rFonts w:hint="eastAsia" w:ascii="宋体" w:hAnsi="宋体" w:cs="宋体"/>
          <w:color w:val="auto"/>
          <w:spacing w:val="-1"/>
          <w:szCs w:val="21"/>
          <w:highlight w:val="none"/>
        </w:rPr>
        <w:t xml:space="preserve"> </w:t>
      </w:r>
      <w:r>
        <w:rPr>
          <w:rFonts w:ascii="宋体" w:hAnsi="宋体" w:cs="宋体"/>
          <w:color w:val="auto"/>
          <w:spacing w:val="-1"/>
          <w:szCs w:val="21"/>
          <w:highlight w:val="none"/>
        </w:rPr>
        <w:t>评标</w:t>
      </w:r>
      <w:r>
        <w:rPr>
          <w:rFonts w:ascii="宋体" w:hAnsi="宋体" w:cs="宋体"/>
          <w:color w:val="auto"/>
          <w:szCs w:val="21"/>
          <w:highlight w:val="none"/>
        </w:rPr>
        <w:t>程序</w:t>
      </w:r>
    </w:p>
    <w:p w14:paraId="22BDBA44">
      <w:pPr>
        <w:spacing w:line="400" w:lineRule="exact"/>
        <w:ind w:firstLine="416" w:firstLineChars="200"/>
        <w:rPr>
          <w:rFonts w:ascii="宋体" w:hAnsi="宋体" w:cs="宋体"/>
          <w:color w:val="auto"/>
          <w:szCs w:val="21"/>
          <w:highlight w:val="none"/>
        </w:rPr>
      </w:pPr>
      <w:r>
        <w:rPr>
          <w:rFonts w:ascii="宋体" w:hAnsi="宋体" w:cs="宋体"/>
          <w:color w:val="auto"/>
          <w:spacing w:val="-1"/>
          <w:szCs w:val="21"/>
          <w:highlight w:val="none"/>
        </w:rPr>
        <w:t>3.1</w:t>
      </w:r>
      <w:r>
        <w:rPr>
          <w:rFonts w:hint="eastAsia" w:ascii="宋体" w:hAnsi="宋体" w:cs="宋体"/>
          <w:color w:val="auto"/>
          <w:spacing w:val="-1"/>
          <w:szCs w:val="21"/>
          <w:highlight w:val="none"/>
        </w:rPr>
        <w:t xml:space="preserve"> </w:t>
      </w:r>
      <w:r>
        <w:rPr>
          <w:rFonts w:ascii="宋体" w:hAnsi="宋体" w:cs="宋体"/>
          <w:color w:val="auto"/>
          <w:spacing w:val="-1"/>
          <w:szCs w:val="21"/>
          <w:highlight w:val="none"/>
        </w:rPr>
        <w:t>初</w:t>
      </w:r>
      <w:r>
        <w:rPr>
          <w:rFonts w:ascii="宋体" w:hAnsi="宋体" w:cs="宋体"/>
          <w:color w:val="auto"/>
          <w:szCs w:val="21"/>
          <w:highlight w:val="none"/>
        </w:rPr>
        <w:t>步评审</w:t>
      </w:r>
    </w:p>
    <w:p w14:paraId="1B6B5526">
      <w:pPr>
        <w:spacing w:line="400" w:lineRule="exact"/>
        <w:ind w:firstLine="412" w:firstLineChars="200"/>
        <w:rPr>
          <w:rFonts w:ascii="宋体" w:hAnsi="宋体" w:cs="宋体"/>
          <w:color w:val="auto"/>
          <w:szCs w:val="21"/>
          <w:highlight w:val="none"/>
        </w:rPr>
      </w:pPr>
      <w:r>
        <w:rPr>
          <w:rFonts w:ascii="宋体" w:hAnsi="宋体" w:cs="宋体"/>
          <w:color w:val="auto"/>
          <w:spacing w:val="-2"/>
          <w:szCs w:val="21"/>
          <w:highlight w:val="none"/>
        </w:rPr>
        <w:t>3.1.1</w:t>
      </w:r>
      <w:r>
        <w:rPr>
          <w:rFonts w:hint="eastAsia" w:ascii="宋体" w:hAnsi="宋体" w:cs="宋体"/>
          <w:color w:val="auto"/>
          <w:spacing w:val="-2"/>
          <w:szCs w:val="21"/>
          <w:highlight w:val="none"/>
        </w:rPr>
        <w:t xml:space="preserve"> </w:t>
      </w:r>
      <w:r>
        <w:rPr>
          <w:rFonts w:ascii="宋体" w:hAnsi="宋体" w:cs="宋体"/>
          <w:color w:val="auto"/>
          <w:szCs w:val="21"/>
          <w:highlight w:val="none"/>
        </w:rPr>
        <w:t>评标委员会依据本章第2.1款规定的标准对投标文件进行初步评审</w:t>
      </w:r>
      <w:r>
        <w:rPr>
          <w:rFonts w:ascii="宋体" w:hAnsi="宋体" w:cs="宋体"/>
          <w:color w:val="auto"/>
          <w:spacing w:val="-13"/>
          <w:szCs w:val="21"/>
          <w:highlight w:val="none"/>
        </w:rPr>
        <w:t>。</w:t>
      </w:r>
      <w:r>
        <w:rPr>
          <w:rFonts w:ascii="宋体" w:hAnsi="宋体" w:cs="宋体"/>
          <w:color w:val="auto"/>
          <w:szCs w:val="21"/>
          <w:highlight w:val="none"/>
        </w:rPr>
        <w:t>有一项不符合评审标准的</w:t>
      </w:r>
      <w:r>
        <w:rPr>
          <w:rFonts w:ascii="宋体" w:hAnsi="宋体" w:cs="宋体"/>
          <w:color w:val="auto"/>
          <w:spacing w:val="-13"/>
          <w:szCs w:val="21"/>
          <w:highlight w:val="none"/>
        </w:rPr>
        <w:t>，</w:t>
      </w:r>
      <w:r>
        <w:rPr>
          <w:rFonts w:ascii="宋体" w:hAnsi="宋体" w:cs="宋体"/>
          <w:color w:val="auto"/>
          <w:szCs w:val="21"/>
          <w:highlight w:val="none"/>
        </w:rPr>
        <w:t>作否决其投标处理</w:t>
      </w:r>
      <w:r>
        <w:rPr>
          <w:rFonts w:ascii="宋体" w:hAnsi="宋体" w:cs="宋体"/>
          <w:color w:val="auto"/>
          <w:spacing w:val="-13"/>
          <w:szCs w:val="21"/>
          <w:highlight w:val="none"/>
        </w:rPr>
        <w:t>。</w:t>
      </w:r>
    </w:p>
    <w:p w14:paraId="6A1ED03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3.1.2</w:t>
      </w:r>
      <w:r>
        <w:rPr>
          <w:rFonts w:hint="eastAsia" w:ascii="宋体" w:hAnsi="宋体" w:cs="宋体"/>
          <w:color w:val="auto"/>
          <w:szCs w:val="21"/>
          <w:highlight w:val="none"/>
        </w:rPr>
        <w:t xml:space="preserve"> </w:t>
      </w:r>
      <w:r>
        <w:rPr>
          <w:rFonts w:ascii="宋体" w:hAnsi="宋体" w:cs="宋体"/>
          <w:color w:val="auto"/>
          <w:szCs w:val="21"/>
          <w:highlight w:val="none"/>
        </w:rPr>
        <w:t>投标人有以下情形之一的</w:t>
      </w:r>
      <w:r>
        <w:rPr>
          <w:rFonts w:ascii="宋体" w:hAnsi="宋体" w:cs="宋体"/>
          <w:color w:val="auto"/>
          <w:spacing w:val="-29"/>
          <w:szCs w:val="21"/>
          <w:highlight w:val="none"/>
        </w:rPr>
        <w:t>，</w:t>
      </w:r>
      <w:r>
        <w:rPr>
          <w:rFonts w:ascii="宋体" w:hAnsi="宋体" w:cs="宋体"/>
          <w:color w:val="auto"/>
          <w:szCs w:val="21"/>
          <w:highlight w:val="none"/>
        </w:rPr>
        <w:t>其投标作否决其投标处理</w:t>
      </w:r>
      <w:r>
        <w:rPr>
          <w:rFonts w:ascii="宋体" w:hAnsi="宋体" w:cs="宋体"/>
          <w:color w:val="auto"/>
          <w:spacing w:val="-29"/>
          <w:szCs w:val="21"/>
          <w:highlight w:val="none"/>
        </w:rPr>
        <w:t>：</w:t>
      </w:r>
    </w:p>
    <w:p w14:paraId="1C30C762">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1</w:t>
      </w:r>
      <w:r>
        <w:rPr>
          <w:rFonts w:ascii="宋体" w:hAnsi="宋体" w:cs="宋体"/>
          <w:color w:val="auto"/>
          <w:spacing w:val="-31"/>
          <w:szCs w:val="21"/>
          <w:highlight w:val="none"/>
        </w:rPr>
        <w:t>）</w:t>
      </w:r>
      <w:r>
        <w:rPr>
          <w:rFonts w:ascii="宋体" w:hAnsi="宋体" w:cs="宋体"/>
          <w:color w:val="auto"/>
          <w:szCs w:val="21"/>
          <w:highlight w:val="none"/>
        </w:rPr>
        <w:t>第二章“投标人须知”第1.4.3项规定的任何一种情形的</w:t>
      </w:r>
      <w:r>
        <w:rPr>
          <w:rFonts w:ascii="宋体" w:hAnsi="宋体" w:cs="宋体"/>
          <w:color w:val="auto"/>
          <w:spacing w:val="-81"/>
          <w:szCs w:val="21"/>
          <w:highlight w:val="none"/>
        </w:rPr>
        <w:t>；</w:t>
      </w:r>
    </w:p>
    <w:p w14:paraId="1ADFAE5A">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ascii="宋体" w:hAnsi="宋体" w:cs="宋体"/>
          <w:color w:val="auto"/>
          <w:spacing w:val="-31"/>
          <w:szCs w:val="21"/>
          <w:highlight w:val="none"/>
        </w:rPr>
        <w:t>）</w:t>
      </w:r>
      <w:r>
        <w:rPr>
          <w:rFonts w:ascii="宋体" w:hAnsi="宋体" w:cs="宋体"/>
          <w:color w:val="auto"/>
          <w:szCs w:val="21"/>
          <w:highlight w:val="none"/>
        </w:rPr>
        <w:t>串通投标或弄虚作假或有其他违法行为的</w:t>
      </w:r>
      <w:r>
        <w:rPr>
          <w:rFonts w:ascii="宋体" w:hAnsi="宋体" w:cs="宋体"/>
          <w:color w:val="auto"/>
          <w:spacing w:val="-30"/>
          <w:szCs w:val="21"/>
          <w:highlight w:val="none"/>
        </w:rPr>
        <w:t>；</w:t>
      </w:r>
    </w:p>
    <w:p w14:paraId="31E9F7B0">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ascii="宋体" w:hAnsi="宋体" w:cs="宋体"/>
          <w:color w:val="auto"/>
          <w:spacing w:val="-15"/>
          <w:szCs w:val="21"/>
          <w:highlight w:val="none"/>
        </w:rPr>
        <w:t>）</w:t>
      </w:r>
      <w:r>
        <w:rPr>
          <w:rFonts w:ascii="宋体" w:hAnsi="宋体" w:cs="宋体"/>
          <w:color w:val="auto"/>
          <w:szCs w:val="21"/>
          <w:highlight w:val="none"/>
        </w:rPr>
        <w:t>不按评标委员会要求澄清</w:t>
      </w:r>
      <w:r>
        <w:rPr>
          <w:rFonts w:ascii="宋体" w:hAnsi="宋体" w:cs="宋体"/>
          <w:color w:val="auto"/>
          <w:spacing w:val="-14"/>
          <w:szCs w:val="21"/>
          <w:highlight w:val="none"/>
        </w:rPr>
        <w:t>、</w:t>
      </w:r>
      <w:r>
        <w:rPr>
          <w:rFonts w:ascii="宋体" w:hAnsi="宋体" w:cs="宋体"/>
          <w:color w:val="auto"/>
          <w:szCs w:val="21"/>
          <w:highlight w:val="none"/>
        </w:rPr>
        <w:t>说明或补正的</w:t>
      </w:r>
      <w:r>
        <w:rPr>
          <w:rFonts w:ascii="宋体" w:hAnsi="宋体" w:cs="宋体"/>
          <w:color w:val="auto"/>
          <w:spacing w:val="-14"/>
          <w:szCs w:val="21"/>
          <w:highlight w:val="none"/>
        </w:rPr>
        <w:t>。</w:t>
      </w:r>
    </w:p>
    <w:p w14:paraId="2D2E9A4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3.1.3投标报价有算术错误的</w:t>
      </w:r>
      <w:r>
        <w:rPr>
          <w:rFonts w:ascii="宋体" w:hAnsi="宋体" w:cs="宋体"/>
          <w:color w:val="auto"/>
          <w:spacing w:val="-7"/>
          <w:szCs w:val="21"/>
          <w:highlight w:val="none"/>
        </w:rPr>
        <w:t>，</w:t>
      </w:r>
      <w:r>
        <w:rPr>
          <w:rFonts w:ascii="宋体" w:hAnsi="宋体" w:cs="宋体"/>
          <w:color w:val="auto"/>
          <w:szCs w:val="21"/>
          <w:highlight w:val="none"/>
        </w:rPr>
        <w:t>评标委员会按以下原则对投标报价进行修正</w:t>
      </w:r>
      <w:r>
        <w:rPr>
          <w:rFonts w:ascii="宋体" w:hAnsi="宋体" w:cs="宋体"/>
          <w:color w:val="auto"/>
          <w:spacing w:val="-6"/>
          <w:szCs w:val="21"/>
          <w:highlight w:val="none"/>
        </w:rPr>
        <w:t>，</w:t>
      </w:r>
      <w:r>
        <w:rPr>
          <w:rFonts w:ascii="宋体" w:hAnsi="宋体" w:cs="宋体"/>
          <w:color w:val="auto"/>
          <w:szCs w:val="21"/>
          <w:highlight w:val="none"/>
        </w:rPr>
        <w:t>修正的价格经投标人书面确认后具有约束力</w:t>
      </w:r>
      <w:r>
        <w:rPr>
          <w:rFonts w:ascii="宋体" w:hAnsi="宋体" w:cs="宋体"/>
          <w:color w:val="auto"/>
          <w:spacing w:val="-5"/>
          <w:szCs w:val="21"/>
          <w:highlight w:val="none"/>
        </w:rPr>
        <w:t>。</w:t>
      </w:r>
      <w:r>
        <w:rPr>
          <w:rFonts w:ascii="宋体" w:hAnsi="宋体" w:cs="宋体"/>
          <w:color w:val="auto"/>
          <w:szCs w:val="21"/>
          <w:highlight w:val="none"/>
        </w:rPr>
        <w:t>投标人不接受修正价格的</w:t>
      </w:r>
      <w:r>
        <w:rPr>
          <w:rFonts w:ascii="宋体" w:hAnsi="宋体" w:cs="宋体"/>
          <w:color w:val="auto"/>
          <w:spacing w:val="-5"/>
          <w:szCs w:val="21"/>
          <w:highlight w:val="none"/>
        </w:rPr>
        <w:t>，</w:t>
      </w:r>
      <w:r>
        <w:rPr>
          <w:rFonts w:ascii="宋体" w:hAnsi="宋体" w:cs="宋体"/>
          <w:color w:val="auto"/>
          <w:szCs w:val="21"/>
          <w:highlight w:val="none"/>
        </w:rPr>
        <w:t>其投标作否决其投标处理</w:t>
      </w:r>
      <w:r>
        <w:rPr>
          <w:rFonts w:ascii="宋体" w:hAnsi="宋体" w:cs="宋体"/>
          <w:color w:val="auto"/>
          <w:spacing w:val="-20"/>
          <w:szCs w:val="21"/>
          <w:highlight w:val="none"/>
        </w:rPr>
        <w:t>。</w:t>
      </w:r>
    </w:p>
    <w:p w14:paraId="3F808DD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①如本项目招标采用第二章“投标人须知”第3.2.1项（2）目规定的由投标人按照招标人提供的工程量清单填写本合同各工程子目的单价、合价和总额价方式，则评标委员会按照本章第3.1.3 项和第 3.1.4 项的规定对投标人的投标报价进行修正。如本项目招标采用第二章“投标人须知”第3.2.1 项（1）目规定的投标人按照 招标人提供的工程量固化清单电子文件填写工程量清单的，无须按照本章第 3.1.3 项和 第3.1.4项的规定对投标报价进行修正，第3.1.3项～第3.1.6项内容不适用。</w:t>
      </w:r>
    </w:p>
    <w:p w14:paraId="5D95F4CE">
      <w:pPr>
        <w:ind w:firstLine="420" w:firstLineChars="200"/>
        <w:rPr>
          <w:rFonts w:ascii="宋体" w:hAnsi="宋体" w:cs="宋体"/>
          <w:color w:val="auto"/>
          <w:szCs w:val="21"/>
          <w:highlight w:val="none"/>
        </w:rPr>
      </w:pPr>
    </w:p>
    <w:p w14:paraId="7B86B8C0">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（1）投标文件中的大写金额与小写金额不一致的，以大写金额为准；</w:t>
      </w:r>
    </w:p>
    <w:p w14:paraId="3418CD2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（2）总价金额与依据单价计算出的结果不一致的，以单价金额为准修正总价，但单价金额小数点有明显错误的除外；</w:t>
      </w:r>
    </w:p>
    <w:p w14:paraId="2BE45447">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（3）当单价与数量相乘不等于合价时，以单价计算为准，如果单价有明显的小数点位置差错，应以标出的合价为准，同时对单价予以修正；</w:t>
      </w:r>
    </w:p>
    <w:p w14:paraId="33C57764">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（4）当各子目的合价累计不等于总价时，应以各子目合价累计数为准，修正总价。</w:t>
      </w:r>
    </w:p>
    <w:p w14:paraId="785FEB4E">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3.1.4 工程量清单中的投标报价有其他错误的，评标委员会按以下原则对投标报价进行修正，修正的价格经投标人书面确认后具有约束力。投标人不接受修正价格的，其投标将被否决。</w:t>
      </w:r>
    </w:p>
    <w:p w14:paraId="69DE0423">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（1）在招标人给定的工程量清单中漏报了某个工程子目的单价、合价或总额价，或所报单价、合价或总额价减少了报价范围，则漏报的工程子目单价、合价和总额价或单价、 合价和总额价中减少的报价内容视为已含入其他工程子目的单价、合价和总额价之中。</w:t>
      </w:r>
    </w:p>
    <w:p w14:paraId="420BF456">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42F89E1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（3）当单价与数量的乘积与合价（金额）虽然一致，但投标人修改了该子目的工程数量，则其合价按招标人给定的工程数量乘以投标人所报单价予以修正。</w:t>
      </w:r>
    </w:p>
    <w:p w14:paraId="4709C43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3.1.5</w:t>
      </w:r>
      <w:r>
        <w:rPr>
          <w:rFonts w:hint="eastAsia" w:ascii="宋体" w:hAnsi="宋体" w:cs="宋体"/>
          <w:color w:val="auto"/>
          <w:szCs w:val="21"/>
          <w:highlight w:val="none"/>
        </w:rPr>
        <w:t xml:space="preserve"> </w:t>
      </w:r>
      <w:r>
        <w:rPr>
          <w:rFonts w:ascii="宋体" w:hAnsi="宋体" w:cs="宋体"/>
          <w:color w:val="auto"/>
          <w:szCs w:val="21"/>
          <w:highlight w:val="none"/>
        </w:rPr>
        <w:t>修正后的最终投标报价若超过最高投标限价（如有），投标人的投标文件作否决其投标处理。</w:t>
      </w:r>
    </w:p>
    <w:p w14:paraId="2B625DC8">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3.1.6</w:t>
      </w:r>
      <w:r>
        <w:rPr>
          <w:rFonts w:hint="eastAsia" w:ascii="宋体" w:hAnsi="宋体" w:cs="宋体"/>
          <w:color w:val="auto"/>
          <w:szCs w:val="21"/>
          <w:highlight w:val="none"/>
        </w:rPr>
        <w:t xml:space="preserve"> </w:t>
      </w:r>
      <w:r>
        <w:rPr>
          <w:rFonts w:ascii="宋体" w:hAnsi="宋体" w:cs="宋体"/>
          <w:color w:val="auto"/>
          <w:szCs w:val="21"/>
          <w:highlight w:val="none"/>
        </w:rPr>
        <w:t>修正后的最终投标报价仅作为签订合同的一个依据，不参与评标价得分的计算。</w:t>
      </w:r>
    </w:p>
    <w:p w14:paraId="725BB53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 xml:space="preserve"> </w:t>
      </w:r>
      <w:r>
        <w:rPr>
          <w:rFonts w:ascii="宋体" w:hAnsi="宋体" w:cs="宋体"/>
          <w:color w:val="auto"/>
          <w:szCs w:val="21"/>
          <w:highlight w:val="none"/>
        </w:rPr>
        <w:t>详细评审</w:t>
      </w:r>
    </w:p>
    <w:p w14:paraId="7FA318E3">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rPr>
        <w:t xml:space="preserve"> </w:t>
      </w:r>
      <w:r>
        <w:rPr>
          <w:rFonts w:ascii="宋体" w:hAnsi="宋体" w:cs="宋体"/>
          <w:color w:val="auto"/>
          <w:szCs w:val="21"/>
          <w:highlight w:val="none"/>
        </w:rPr>
        <w:t>评标委员会按本章第2.2款规定的量化因素和分值进行打分，并计算出综合评估得分。</w:t>
      </w:r>
    </w:p>
    <w:p w14:paraId="1D0FCBCD">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（1）按本章第2.2.4（1）目规定的评审因素和分值对</w:t>
      </w:r>
      <w:r>
        <w:rPr>
          <w:rFonts w:hint="eastAsia" w:ascii="宋体" w:hAnsi="宋体" w:cs="宋体"/>
          <w:color w:val="auto"/>
          <w:szCs w:val="21"/>
          <w:highlight w:val="none"/>
        </w:rPr>
        <w:t>主要人员</w:t>
      </w:r>
      <w:r>
        <w:rPr>
          <w:rFonts w:ascii="宋体" w:hAnsi="宋体" w:cs="宋体"/>
          <w:color w:val="auto"/>
          <w:szCs w:val="21"/>
          <w:highlight w:val="none"/>
        </w:rPr>
        <w:t>计算出得分A；</w:t>
      </w:r>
    </w:p>
    <w:p w14:paraId="652CAADB">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（2）按本章第2.2.4（2）目规定的评审因素和分值对</w:t>
      </w:r>
      <w:r>
        <w:rPr>
          <w:rFonts w:hint="eastAsia" w:ascii="宋体" w:hAnsi="宋体" w:cs="宋体"/>
          <w:color w:val="auto"/>
          <w:szCs w:val="21"/>
          <w:highlight w:val="none"/>
        </w:rPr>
        <w:t>检测实施方案</w:t>
      </w:r>
      <w:r>
        <w:rPr>
          <w:rFonts w:ascii="宋体" w:hAnsi="宋体" w:cs="宋体"/>
          <w:color w:val="auto"/>
          <w:szCs w:val="21"/>
          <w:highlight w:val="none"/>
        </w:rPr>
        <w:t>计算出得分B；</w:t>
      </w:r>
    </w:p>
    <w:p w14:paraId="38FDB1A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（3）按本章第2.2.4（3）目规定的评审因素和分值对</w:t>
      </w:r>
      <w:r>
        <w:rPr>
          <w:rFonts w:hint="eastAsia" w:ascii="宋体" w:hAnsi="宋体" w:cs="宋体"/>
          <w:color w:val="auto"/>
          <w:szCs w:val="21"/>
          <w:highlight w:val="none"/>
        </w:rPr>
        <w:t>业绩</w:t>
      </w:r>
      <w:r>
        <w:rPr>
          <w:rFonts w:ascii="宋体" w:hAnsi="宋体" w:cs="宋体"/>
          <w:color w:val="auto"/>
          <w:szCs w:val="21"/>
          <w:highlight w:val="none"/>
        </w:rPr>
        <w:t>计算出得分C；</w:t>
      </w:r>
    </w:p>
    <w:p w14:paraId="72040285">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（4）按本章第2.2.4（4）目规定的评审因素和分值对</w:t>
      </w:r>
      <w:r>
        <w:rPr>
          <w:rFonts w:hint="eastAsia" w:ascii="宋体" w:hAnsi="宋体" w:cs="宋体"/>
          <w:color w:val="auto"/>
          <w:szCs w:val="21"/>
          <w:highlight w:val="none"/>
        </w:rPr>
        <w:t>履约信誉</w:t>
      </w:r>
      <w:r>
        <w:rPr>
          <w:rFonts w:ascii="宋体" w:hAnsi="宋体" w:cs="宋体"/>
          <w:color w:val="auto"/>
          <w:szCs w:val="21"/>
          <w:highlight w:val="none"/>
        </w:rPr>
        <w:t>计算出得分D</w:t>
      </w:r>
      <w:r>
        <w:rPr>
          <w:rFonts w:hint="eastAsia" w:ascii="宋体" w:hAnsi="宋体" w:cs="宋体"/>
          <w:color w:val="auto"/>
          <w:szCs w:val="21"/>
          <w:highlight w:val="none"/>
        </w:rPr>
        <w:t>；</w:t>
      </w:r>
    </w:p>
    <w:p w14:paraId="4FBAB41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按本章第2.2.4（5）目规定的评审因素和分值对</w:t>
      </w:r>
      <w:r>
        <w:rPr>
          <w:rFonts w:hint="eastAsia" w:ascii="宋体" w:hAnsi="宋体" w:cs="宋体"/>
          <w:color w:val="auto"/>
          <w:szCs w:val="21"/>
          <w:highlight w:val="none"/>
        </w:rPr>
        <w:t>投标报价</w:t>
      </w:r>
      <w:r>
        <w:rPr>
          <w:rFonts w:ascii="宋体" w:hAnsi="宋体" w:cs="宋体"/>
          <w:color w:val="auto"/>
          <w:szCs w:val="21"/>
          <w:highlight w:val="none"/>
        </w:rPr>
        <w:t>计算出得分F</w:t>
      </w:r>
      <w:r>
        <w:rPr>
          <w:rFonts w:hint="eastAsia" w:ascii="宋体" w:hAnsi="宋体" w:cs="宋体"/>
          <w:color w:val="auto"/>
          <w:szCs w:val="21"/>
          <w:highlight w:val="none"/>
        </w:rPr>
        <w:t>。</w:t>
      </w:r>
    </w:p>
    <w:p w14:paraId="3330925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 xml:space="preserve"> </w:t>
      </w:r>
      <w:r>
        <w:rPr>
          <w:rFonts w:ascii="宋体" w:hAnsi="宋体" w:cs="宋体"/>
          <w:color w:val="auto"/>
          <w:szCs w:val="21"/>
          <w:highlight w:val="none"/>
        </w:rPr>
        <w:t>评分分值计算保留小数点后两位，小数点后第三位“四舍五入”。</w:t>
      </w:r>
    </w:p>
    <w:p w14:paraId="2428F4EB">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3.2.3</w:t>
      </w:r>
      <w:r>
        <w:rPr>
          <w:rFonts w:hint="eastAsia" w:ascii="宋体" w:hAnsi="宋体" w:cs="宋体"/>
          <w:color w:val="auto"/>
          <w:szCs w:val="21"/>
          <w:highlight w:val="none"/>
        </w:rPr>
        <w:t xml:space="preserve"> </w:t>
      </w:r>
      <w:r>
        <w:rPr>
          <w:rFonts w:ascii="宋体" w:hAnsi="宋体" w:cs="宋体"/>
          <w:color w:val="auto"/>
          <w:szCs w:val="21"/>
          <w:highlight w:val="none"/>
        </w:rPr>
        <w:t>投标人得分=A+B+C+D</w:t>
      </w:r>
      <w:r>
        <w:rPr>
          <w:rFonts w:hint="eastAsia" w:ascii="宋体" w:hAnsi="宋体" w:cs="宋体"/>
          <w:color w:val="auto"/>
          <w:szCs w:val="21"/>
          <w:highlight w:val="none"/>
        </w:rPr>
        <w:t>+F</w:t>
      </w:r>
      <w:r>
        <w:rPr>
          <w:rFonts w:ascii="宋体" w:hAnsi="宋体" w:cs="宋体"/>
          <w:color w:val="auto"/>
          <w:szCs w:val="21"/>
          <w:highlight w:val="none"/>
        </w:rPr>
        <w:t>。</w:t>
      </w:r>
    </w:p>
    <w:p w14:paraId="42EFDDEE">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3.2.4</w:t>
      </w:r>
      <w:r>
        <w:rPr>
          <w:rFonts w:hint="eastAsia" w:ascii="宋体" w:hAnsi="宋体" w:cs="宋体"/>
          <w:color w:val="auto"/>
          <w:szCs w:val="21"/>
          <w:highlight w:val="none"/>
        </w:rPr>
        <w:t xml:space="preserve"> </w:t>
      </w:r>
      <w:r>
        <w:rPr>
          <w:rFonts w:ascii="宋体" w:hAnsi="宋体" w:cs="宋体"/>
          <w:color w:val="auto"/>
          <w:szCs w:val="21"/>
          <w:highlight w:val="none"/>
        </w:rPr>
        <w:t>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其投标作否决其投标处理。</w:t>
      </w:r>
    </w:p>
    <w:p w14:paraId="403355C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3.2.5 评标委员会在详细评审过程中，如发现投标人的投标文件有以下情况之一的， 评标委员会应对其作否决其投标处理：</w:t>
      </w:r>
    </w:p>
    <w:p w14:paraId="3692B16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（1）承诺的质量标准低于招标文件的规定或国家强制性标准要求；</w:t>
      </w:r>
    </w:p>
    <w:p w14:paraId="00C7722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（2）经评标委员会认定关键检测技术方案不可行；</w:t>
      </w:r>
    </w:p>
    <w:p w14:paraId="5CF5B42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（3）投标文件提供的业绩及履约信誉证明材料虚假。</w:t>
      </w:r>
    </w:p>
    <w:p w14:paraId="4747D85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 xml:space="preserve"> </w:t>
      </w:r>
      <w:r>
        <w:rPr>
          <w:rFonts w:ascii="宋体" w:hAnsi="宋体" w:cs="宋体"/>
          <w:color w:val="auto"/>
          <w:szCs w:val="21"/>
          <w:highlight w:val="none"/>
        </w:rPr>
        <w:t>投标文件的澄清和补正</w:t>
      </w:r>
    </w:p>
    <w:p w14:paraId="54ACC166">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3.3.1 在评标过程中，评标委员会可以书面形式要求投标人对所提交投标文件中不明确 的内容进行书面澄清或说明，或者对细微偏差进行补正。评标委员会不接受投标人主动提 出的澄清、说明或补正。</w:t>
      </w:r>
    </w:p>
    <w:p w14:paraId="05243715">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3.3.2</w:t>
      </w:r>
      <w:r>
        <w:rPr>
          <w:rFonts w:hint="eastAsia" w:ascii="宋体" w:hAnsi="宋体" w:cs="宋体"/>
          <w:color w:val="auto"/>
          <w:szCs w:val="21"/>
          <w:highlight w:val="none"/>
        </w:rPr>
        <w:t xml:space="preserve"> </w:t>
      </w:r>
      <w:r>
        <w:rPr>
          <w:rFonts w:ascii="宋体" w:hAnsi="宋体" w:cs="宋体"/>
          <w:color w:val="auto"/>
          <w:szCs w:val="21"/>
          <w:highlight w:val="none"/>
        </w:rPr>
        <w:t>澄清、说明和补正不得改变投标文件的实质性内容（算术性错误修正的除外）。 投标人的书面澄清、说明和补正属于投标文件的组成部分。</w:t>
      </w:r>
    </w:p>
    <w:p w14:paraId="7BF43A3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3.3.3 评标委员会对投标人提交的澄清、说明或补正有疑问的，可以要求投标人进一步 澄清、说明或补正，直至满足评标委员会的要求。</w:t>
      </w:r>
    </w:p>
    <w:p w14:paraId="442370F2">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3.3.4 凡超出招标文件规定的或给委托人带来未曾要求的利益的变化、偏差或其他因素在评标时不予考虑。</w:t>
      </w:r>
    </w:p>
    <w:p w14:paraId="10BADE68">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 xml:space="preserve"> </w:t>
      </w:r>
      <w:r>
        <w:rPr>
          <w:rFonts w:ascii="宋体" w:hAnsi="宋体" w:cs="宋体"/>
          <w:color w:val="auto"/>
          <w:szCs w:val="21"/>
          <w:highlight w:val="none"/>
        </w:rPr>
        <w:t>评标结果</w:t>
      </w:r>
    </w:p>
    <w:p w14:paraId="4567D6BD">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3.4.1 除第二章“投标人须知”前附表授权直接确定中标人外，评标委员会按照得分由高到低的顺序推荐中标候选人。</w:t>
      </w:r>
    </w:p>
    <w:p w14:paraId="5A14BE9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3.4.2</w:t>
      </w:r>
      <w:r>
        <w:rPr>
          <w:rFonts w:hint="eastAsia" w:ascii="宋体" w:hAnsi="宋体" w:cs="宋体"/>
          <w:color w:val="auto"/>
          <w:szCs w:val="21"/>
          <w:highlight w:val="none"/>
        </w:rPr>
        <w:t xml:space="preserve"> </w:t>
      </w:r>
      <w:r>
        <w:rPr>
          <w:rFonts w:ascii="宋体" w:hAnsi="宋体" w:cs="宋体"/>
          <w:color w:val="auto"/>
          <w:szCs w:val="21"/>
          <w:highlight w:val="none"/>
        </w:rPr>
        <w:t>评标委员会完成评标后，应当向招标人提交书面评标报告。</w:t>
      </w:r>
    </w:p>
    <w:p w14:paraId="4CC6678B">
      <w:pPr>
        <w:spacing w:line="280" w:lineRule="exact"/>
        <w:ind w:firstLine="598" w:firstLineChars="285"/>
        <w:rPr>
          <w:rFonts w:ascii="Garamond" w:hAnsi="Garamond"/>
          <w:color w:val="auto"/>
          <w:highlight w:val="none"/>
        </w:rPr>
      </w:pPr>
    </w:p>
    <w:p w14:paraId="60FA1796">
      <w:pPr>
        <w:spacing w:line="280" w:lineRule="exact"/>
        <w:ind w:firstLine="598" w:firstLineChars="285"/>
        <w:rPr>
          <w:rFonts w:ascii="Garamond" w:hAnsi="Garamond"/>
          <w:color w:val="auto"/>
          <w:highlight w:val="none"/>
        </w:rPr>
      </w:pPr>
    </w:p>
    <w:p w14:paraId="2ED4B069">
      <w:pPr>
        <w:spacing w:line="280" w:lineRule="exact"/>
        <w:ind w:firstLine="598" w:firstLineChars="285"/>
        <w:rPr>
          <w:rFonts w:ascii="Garamond" w:hAnsi="Garamond"/>
          <w:color w:val="auto"/>
          <w:highlight w:val="none"/>
        </w:rPr>
      </w:pPr>
    </w:p>
    <w:p w14:paraId="4803BB6F">
      <w:pPr>
        <w:spacing w:line="280" w:lineRule="exact"/>
        <w:ind w:firstLine="598" w:firstLineChars="285"/>
        <w:rPr>
          <w:rFonts w:ascii="Garamond" w:hAnsi="Garamond"/>
          <w:color w:val="auto"/>
          <w:highlight w:val="none"/>
        </w:rPr>
      </w:pPr>
    </w:p>
    <w:p w14:paraId="38106F1A">
      <w:pPr>
        <w:spacing w:line="280" w:lineRule="exact"/>
        <w:ind w:firstLine="598" w:firstLineChars="285"/>
        <w:rPr>
          <w:rFonts w:ascii="Garamond" w:hAnsi="Garamond"/>
          <w:color w:val="auto"/>
          <w:highlight w:val="none"/>
        </w:rPr>
      </w:pPr>
    </w:p>
    <w:p w14:paraId="64BF8475">
      <w:pPr>
        <w:spacing w:line="280" w:lineRule="exact"/>
        <w:ind w:firstLine="598" w:firstLineChars="285"/>
        <w:rPr>
          <w:rFonts w:ascii="Garamond" w:hAnsi="Garamond"/>
          <w:color w:val="auto"/>
          <w:highlight w:val="none"/>
        </w:rPr>
      </w:pPr>
    </w:p>
    <w:p w14:paraId="21B48FE5">
      <w:pPr>
        <w:spacing w:line="280" w:lineRule="exact"/>
        <w:ind w:firstLine="598" w:firstLineChars="285"/>
        <w:rPr>
          <w:rFonts w:ascii="Garamond" w:hAnsi="Garamond"/>
          <w:color w:val="auto"/>
          <w:highlight w:val="none"/>
        </w:rPr>
      </w:pPr>
    </w:p>
    <w:p w14:paraId="4ACB502B">
      <w:pPr>
        <w:spacing w:line="280" w:lineRule="exact"/>
        <w:ind w:firstLine="598" w:firstLineChars="285"/>
        <w:rPr>
          <w:rFonts w:ascii="Garamond" w:hAnsi="Garamond"/>
          <w:color w:val="auto"/>
          <w:highlight w:val="none"/>
        </w:rPr>
      </w:pPr>
    </w:p>
    <w:p w14:paraId="5885EB64">
      <w:pPr>
        <w:spacing w:line="280" w:lineRule="exact"/>
        <w:ind w:firstLine="598" w:firstLineChars="285"/>
        <w:rPr>
          <w:rFonts w:ascii="Garamond" w:hAnsi="Garamond"/>
          <w:color w:val="auto"/>
          <w:highlight w:val="none"/>
        </w:rPr>
      </w:pPr>
    </w:p>
    <w:p w14:paraId="296F1CB2">
      <w:pPr>
        <w:spacing w:line="280" w:lineRule="exact"/>
        <w:ind w:firstLine="598" w:firstLineChars="285"/>
        <w:rPr>
          <w:rFonts w:ascii="Garamond" w:hAnsi="Garamond"/>
          <w:color w:val="auto"/>
          <w:highlight w:val="none"/>
        </w:rPr>
      </w:pPr>
    </w:p>
    <w:p w14:paraId="43C56CBB">
      <w:pPr>
        <w:spacing w:line="280" w:lineRule="exact"/>
        <w:ind w:firstLine="598" w:firstLineChars="285"/>
        <w:rPr>
          <w:rFonts w:ascii="Garamond" w:hAnsi="Garamond"/>
          <w:color w:val="auto"/>
          <w:highlight w:val="none"/>
        </w:rPr>
      </w:pPr>
    </w:p>
    <w:p w14:paraId="6F8A0AE7">
      <w:pPr>
        <w:spacing w:line="280" w:lineRule="exact"/>
        <w:ind w:firstLine="598" w:firstLineChars="285"/>
        <w:rPr>
          <w:rFonts w:ascii="Garamond" w:hAnsi="Garamond"/>
          <w:color w:val="auto"/>
          <w:highlight w:val="none"/>
        </w:rPr>
      </w:pPr>
    </w:p>
    <w:p w14:paraId="35513A3E">
      <w:pPr>
        <w:spacing w:line="280" w:lineRule="exact"/>
        <w:ind w:firstLine="916" w:firstLineChars="285"/>
        <w:rPr>
          <w:rFonts w:ascii="Garamond" w:hAnsi="Garamond"/>
          <w:b/>
          <w:color w:val="auto"/>
          <w:sz w:val="32"/>
          <w:szCs w:val="32"/>
          <w:highlight w:val="none"/>
        </w:rPr>
      </w:pPr>
    </w:p>
    <w:p w14:paraId="7483915B">
      <w:pPr>
        <w:spacing w:line="280" w:lineRule="exact"/>
        <w:ind w:firstLine="916" w:firstLineChars="285"/>
        <w:rPr>
          <w:rFonts w:ascii="Garamond" w:hAnsi="Garamond"/>
          <w:b/>
          <w:color w:val="auto"/>
          <w:sz w:val="32"/>
          <w:szCs w:val="32"/>
          <w:highlight w:val="none"/>
        </w:rPr>
      </w:pPr>
    </w:p>
    <w:p w14:paraId="469BED44">
      <w:pPr>
        <w:spacing w:line="280" w:lineRule="exact"/>
        <w:ind w:firstLine="916" w:firstLineChars="285"/>
        <w:rPr>
          <w:rFonts w:ascii="Garamond" w:hAnsi="Garamond"/>
          <w:b/>
          <w:color w:val="auto"/>
          <w:sz w:val="32"/>
          <w:szCs w:val="32"/>
          <w:highlight w:val="none"/>
        </w:rPr>
      </w:pPr>
      <w:r>
        <w:rPr>
          <w:rFonts w:ascii="Garamond" w:hAnsi="Garamond"/>
          <w:b/>
          <w:color w:val="auto"/>
          <w:sz w:val="32"/>
          <w:szCs w:val="32"/>
          <w:highlight w:val="none"/>
        </w:rPr>
        <w:br w:type="page"/>
      </w:r>
    </w:p>
    <w:p w14:paraId="4C06E41C">
      <w:pPr>
        <w:spacing w:line="280" w:lineRule="exact"/>
        <w:ind w:firstLine="916" w:firstLineChars="285"/>
        <w:rPr>
          <w:rFonts w:ascii="Garamond" w:hAnsi="Garamond"/>
          <w:b/>
          <w:color w:val="auto"/>
          <w:sz w:val="32"/>
          <w:szCs w:val="32"/>
          <w:highlight w:val="none"/>
        </w:rPr>
      </w:pPr>
    </w:p>
    <w:p w14:paraId="0F83F383">
      <w:pPr>
        <w:spacing w:line="280" w:lineRule="exact"/>
        <w:ind w:firstLine="916" w:firstLineChars="285"/>
        <w:rPr>
          <w:rFonts w:ascii="Garamond" w:hAnsi="Garamond"/>
          <w:b/>
          <w:color w:val="auto"/>
          <w:sz w:val="32"/>
          <w:szCs w:val="32"/>
          <w:highlight w:val="none"/>
        </w:rPr>
      </w:pPr>
    </w:p>
    <w:p w14:paraId="67AFC9B5">
      <w:pPr>
        <w:spacing w:line="280" w:lineRule="exact"/>
        <w:ind w:firstLine="916" w:firstLineChars="285"/>
        <w:rPr>
          <w:rFonts w:ascii="Garamond" w:hAnsi="Garamond"/>
          <w:b/>
          <w:color w:val="auto"/>
          <w:sz w:val="32"/>
          <w:szCs w:val="32"/>
          <w:highlight w:val="none"/>
        </w:rPr>
      </w:pPr>
    </w:p>
    <w:p w14:paraId="747FBF05">
      <w:pPr>
        <w:spacing w:line="280" w:lineRule="exact"/>
        <w:ind w:firstLine="916" w:firstLineChars="285"/>
        <w:rPr>
          <w:rFonts w:ascii="Garamond" w:hAnsi="Garamond"/>
          <w:b/>
          <w:color w:val="auto"/>
          <w:sz w:val="32"/>
          <w:szCs w:val="32"/>
          <w:highlight w:val="none"/>
        </w:rPr>
      </w:pPr>
    </w:p>
    <w:p w14:paraId="65E57D39">
      <w:pPr>
        <w:spacing w:line="280" w:lineRule="exact"/>
        <w:ind w:firstLine="916" w:firstLineChars="285"/>
        <w:rPr>
          <w:rFonts w:ascii="Garamond" w:hAnsi="Garamond"/>
          <w:b/>
          <w:color w:val="auto"/>
          <w:sz w:val="32"/>
          <w:szCs w:val="32"/>
          <w:highlight w:val="none"/>
        </w:rPr>
      </w:pPr>
    </w:p>
    <w:p w14:paraId="0E1FBE52">
      <w:pPr>
        <w:spacing w:line="280" w:lineRule="exact"/>
        <w:ind w:firstLine="916" w:firstLineChars="285"/>
        <w:rPr>
          <w:rFonts w:ascii="Garamond" w:hAnsi="Garamond"/>
          <w:b/>
          <w:color w:val="auto"/>
          <w:sz w:val="32"/>
          <w:szCs w:val="32"/>
          <w:highlight w:val="none"/>
        </w:rPr>
      </w:pPr>
    </w:p>
    <w:p w14:paraId="058AE262">
      <w:pPr>
        <w:spacing w:line="280" w:lineRule="exact"/>
        <w:ind w:firstLine="916" w:firstLineChars="285"/>
        <w:rPr>
          <w:rFonts w:ascii="Garamond" w:hAnsi="Garamond"/>
          <w:b/>
          <w:color w:val="auto"/>
          <w:sz w:val="32"/>
          <w:szCs w:val="32"/>
          <w:highlight w:val="none"/>
        </w:rPr>
      </w:pPr>
    </w:p>
    <w:p w14:paraId="39F0CB9E">
      <w:pPr>
        <w:spacing w:line="280" w:lineRule="exact"/>
        <w:ind w:firstLine="916" w:firstLineChars="285"/>
        <w:rPr>
          <w:rFonts w:ascii="Garamond" w:hAnsi="Garamond"/>
          <w:b/>
          <w:color w:val="auto"/>
          <w:sz w:val="32"/>
          <w:szCs w:val="32"/>
          <w:highlight w:val="none"/>
        </w:rPr>
      </w:pPr>
    </w:p>
    <w:p w14:paraId="70F5D4A2">
      <w:pPr>
        <w:spacing w:line="280" w:lineRule="exact"/>
        <w:ind w:firstLine="916" w:firstLineChars="285"/>
        <w:rPr>
          <w:rFonts w:ascii="Garamond" w:hAnsi="Garamond"/>
          <w:b/>
          <w:color w:val="auto"/>
          <w:sz w:val="32"/>
          <w:szCs w:val="32"/>
          <w:highlight w:val="none"/>
        </w:rPr>
      </w:pPr>
    </w:p>
    <w:p w14:paraId="719099EA">
      <w:pPr>
        <w:spacing w:line="280" w:lineRule="exact"/>
        <w:ind w:firstLine="916" w:firstLineChars="285"/>
        <w:rPr>
          <w:rFonts w:ascii="Garamond" w:hAnsi="Garamond"/>
          <w:b/>
          <w:color w:val="auto"/>
          <w:sz w:val="32"/>
          <w:szCs w:val="32"/>
          <w:highlight w:val="none"/>
        </w:rPr>
      </w:pPr>
    </w:p>
    <w:p w14:paraId="70144F61">
      <w:pPr>
        <w:pStyle w:val="2"/>
        <w:spacing w:after="120" w:line="338" w:lineRule="auto"/>
        <w:jc w:val="center"/>
        <w:rPr>
          <w:rFonts w:ascii="Garamond" w:hAnsi="Garamond"/>
          <w:color w:val="auto"/>
          <w:sz w:val="48"/>
          <w:szCs w:val="48"/>
          <w:highlight w:val="none"/>
        </w:rPr>
      </w:pPr>
      <w:bookmarkStart w:id="67" w:name="_Toc353197096"/>
      <w:r>
        <w:rPr>
          <w:rFonts w:ascii="Garamond" w:hAnsi="Garamond"/>
          <w:color w:val="auto"/>
          <w:sz w:val="48"/>
          <w:szCs w:val="48"/>
          <w:highlight w:val="none"/>
        </w:rPr>
        <w:t>第四章  合同条款及格式</w:t>
      </w:r>
      <w:bookmarkEnd w:id="67"/>
    </w:p>
    <w:p w14:paraId="5F66FE97">
      <w:pPr>
        <w:spacing w:line="360" w:lineRule="exact"/>
        <w:ind w:firstLine="912" w:firstLineChars="285"/>
        <w:jc w:val="center"/>
        <w:rPr>
          <w:rFonts w:ascii="Garamond" w:hAnsi="Garamond"/>
          <w:color w:val="auto"/>
          <w:sz w:val="32"/>
          <w:szCs w:val="32"/>
          <w:highlight w:val="none"/>
        </w:rPr>
      </w:pPr>
    </w:p>
    <w:p w14:paraId="3F105823">
      <w:pPr>
        <w:spacing w:line="280" w:lineRule="exact"/>
        <w:ind w:firstLine="912" w:firstLineChars="285"/>
        <w:jc w:val="center"/>
        <w:rPr>
          <w:rFonts w:ascii="Garamond" w:hAnsi="Garamond"/>
          <w:color w:val="auto"/>
          <w:sz w:val="32"/>
          <w:szCs w:val="32"/>
          <w:highlight w:val="none"/>
        </w:rPr>
      </w:pPr>
    </w:p>
    <w:p w14:paraId="1F121966">
      <w:pPr>
        <w:spacing w:line="280" w:lineRule="exact"/>
        <w:ind w:firstLine="912" w:firstLineChars="285"/>
        <w:jc w:val="center"/>
        <w:rPr>
          <w:rFonts w:ascii="Garamond" w:hAnsi="Garamond"/>
          <w:color w:val="auto"/>
          <w:sz w:val="32"/>
          <w:szCs w:val="32"/>
          <w:highlight w:val="none"/>
        </w:rPr>
      </w:pPr>
    </w:p>
    <w:p w14:paraId="16760E75">
      <w:pPr>
        <w:spacing w:line="280" w:lineRule="exact"/>
        <w:ind w:firstLine="912" w:firstLineChars="285"/>
        <w:jc w:val="center"/>
        <w:rPr>
          <w:rFonts w:ascii="Garamond" w:hAnsi="Garamond"/>
          <w:color w:val="auto"/>
          <w:sz w:val="32"/>
          <w:szCs w:val="32"/>
          <w:highlight w:val="none"/>
        </w:rPr>
      </w:pPr>
    </w:p>
    <w:p w14:paraId="10BC70A0">
      <w:pPr>
        <w:spacing w:line="280" w:lineRule="exact"/>
        <w:ind w:firstLine="912" w:firstLineChars="285"/>
        <w:jc w:val="center"/>
        <w:rPr>
          <w:rFonts w:ascii="Garamond" w:hAnsi="Garamond"/>
          <w:color w:val="auto"/>
          <w:sz w:val="32"/>
          <w:szCs w:val="32"/>
          <w:highlight w:val="none"/>
        </w:rPr>
      </w:pPr>
    </w:p>
    <w:p w14:paraId="41EE3397">
      <w:pPr>
        <w:spacing w:line="280" w:lineRule="exact"/>
        <w:ind w:firstLine="912" w:firstLineChars="285"/>
        <w:jc w:val="center"/>
        <w:rPr>
          <w:rFonts w:ascii="Garamond" w:hAnsi="Garamond"/>
          <w:color w:val="auto"/>
          <w:sz w:val="32"/>
          <w:szCs w:val="32"/>
          <w:highlight w:val="none"/>
        </w:rPr>
      </w:pPr>
    </w:p>
    <w:p w14:paraId="501A48F7">
      <w:pPr>
        <w:spacing w:line="280" w:lineRule="exact"/>
        <w:ind w:firstLine="912" w:firstLineChars="285"/>
        <w:jc w:val="center"/>
        <w:rPr>
          <w:rFonts w:ascii="Garamond" w:hAnsi="Garamond"/>
          <w:color w:val="auto"/>
          <w:sz w:val="32"/>
          <w:szCs w:val="32"/>
          <w:highlight w:val="none"/>
        </w:rPr>
      </w:pPr>
    </w:p>
    <w:p w14:paraId="727AA219">
      <w:pPr>
        <w:spacing w:line="280" w:lineRule="exact"/>
        <w:ind w:firstLine="912" w:firstLineChars="285"/>
        <w:jc w:val="center"/>
        <w:rPr>
          <w:rFonts w:ascii="Garamond" w:hAnsi="Garamond"/>
          <w:color w:val="auto"/>
          <w:sz w:val="32"/>
          <w:szCs w:val="32"/>
          <w:highlight w:val="none"/>
        </w:rPr>
      </w:pPr>
    </w:p>
    <w:p w14:paraId="706C4BE5">
      <w:pPr>
        <w:spacing w:line="280" w:lineRule="exact"/>
        <w:ind w:firstLine="912" w:firstLineChars="285"/>
        <w:jc w:val="center"/>
        <w:rPr>
          <w:rFonts w:ascii="Garamond" w:hAnsi="Garamond"/>
          <w:color w:val="auto"/>
          <w:sz w:val="32"/>
          <w:szCs w:val="32"/>
          <w:highlight w:val="none"/>
        </w:rPr>
      </w:pPr>
    </w:p>
    <w:p w14:paraId="7970B789">
      <w:pPr>
        <w:spacing w:line="280" w:lineRule="exact"/>
        <w:ind w:firstLine="912" w:firstLineChars="285"/>
        <w:jc w:val="center"/>
        <w:rPr>
          <w:rFonts w:ascii="Garamond" w:hAnsi="Garamond"/>
          <w:color w:val="auto"/>
          <w:sz w:val="32"/>
          <w:szCs w:val="32"/>
          <w:highlight w:val="none"/>
        </w:rPr>
      </w:pPr>
    </w:p>
    <w:p w14:paraId="621FEB4F">
      <w:pPr>
        <w:spacing w:line="280" w:lineRule="exact"/>
        <w:ind w:firstLine="912" w:firstLineChars="285"/>
        <w:jc w:val="center"/>
        <w:rPr>
          <w:rFonts w:ascii="Garamond" w:hAnsi="Garamond"/>
          <w:color w:val="auto"/>
          <w:sz w:val="32"/>
          <w:szCs w:val="32"/>
          <w:highlight w:val="none"/>
        </w:rPr>
      </w:pPr>
    </w:p>
    <w:p w14:paraId="57B4E636">
      <w:pPr>
        <w:spacing w:line="280" w:lineRule="exact"/>
        <w:ind w:firstLine="912" w:firstLineChars="285"/>
        <w:jc w:val="center"/>
        <w:rPr>
          <w:rFonts w:ascii="Garamond" w:hAnsi="Garamond"/>
          <w:color w:val="auto"/>
          <w:sz w:val="32"/>
          <w:szCs w:val="32"/>
          <w:highlight w:val="none"/>
        </w:rPr>
      </w:pPr>
    </w:p>
    <w:p w14:paraId="4BAB7CDC">
      <w:pPr>
        <w:spacing w:line="280" w:lineRule="exact"/>
        <w:ind w:firstLine="912" w:firstLineChars="285"/>
        <w:jc w:val="center"/>
        <w:rPr>
          <w:rFonts w:ascii="Garamond" w:hAnsi="Garamond"/>
          <w:color w:val="auto"/>
          <w:sz w:val="32"/>
          <w:szCs w:val="32"/>
          <w:highlight w:val="none"/>
        </w:rPr>
      </w:pPr>
    </w:p>
    <w:p w14:paraId="0B2A1B2F">
      <w:pPr>
        <w:spacing w:line="280" w:lineRule="exact"/>
        <w:ind w:firstLine="912" w:firstLineChars="285"/>
        <w:jc w:val="center"/>
        <w:rPr>
          <w:rFonts w:ascii="Garamond" w:hAnsi="Garamond"/>
          <w:color w:val="auto"/>
          <w:sz w:val="32"/>
          <w:szCs w:val="32"/>
          <w:highlight w:val="none"/>
        </w:rPr>
      </w:pPr>
    </w:p>
    <w:p w14:paraId="23FD76CB">
      <w:pPr>
        <w:spacing w:line="280" w:lineRule="exact"/>
        <w:ind w:firstLine="912" w:firstLineChars="285"/>
        <w:jc w:val="center"/>
        <w:rPr>
          <w:rFonts w:ascii="Garamond" w:hAnsi="Garamond"/>
          <w:color w:val="auto"/>
          <w:sz w:val="32"/>
          <w:szCs w:val="32"/>
          <w:highlight w:val="none"/>
        </w:rPr>
      </w:pPr>
    </w:p>
    <w:p w14:paraId="0356FBEE">
      <w:pPr>
        <w:spacing w:line="280" w:lineRule="exact"/>
        <w:ind w:firstLine="912" w:firstLineChars="285"/>
        <w:jc w:val="center"/>
        <w:rPr>
          <w:rFonts w:ascii="Garamond" w:hAnsi="Garamond"/>
          <w:color w:val="auto"/>
          <w:sz w:val="32"/>
          <w:szCs w:val="32"/>
          <w:highlight w:val="none"/>
        </w:rPr>
      </w:pPr>
    </w:p>
    <w:p w14:paraId="262D5851">
      <w:pPr>
        <w:spacing w:line="280" w:lineRule="exact"/>
        <w:ind w:firstLine="912" w:firstLineChars="285"/>
        <w:jc w:val="center"/>
        <w:rPr>
          <w:rFonts w:ascii="Garamond" w:hAnsi="Garamond"/>
          <w:color w:val="auto"/>
          <w:sz w:val="32"/>
          <w:szCs w:val="32"/>
          <w:highlight w:val="none"/>
        </w:rPr>
      </w:pPr>
    </w:p>
    <w:p w14:paraId="234C1AA0">
      <w:pPr>
        <w:spacing w:line="280" w:lineRule="exact"/>
        <w:ind w:firstLine="912" w:firstLineChars="285"/>
        <w:jc w:val="center"/>
        <w:rPr>
          <w:rFonts w:ascii="Garamond" w:hAnsi="Garamond"/>
          <w:color w:val="auto"/>
          <w:sz w:val="32"/>
          <w:szCs w:val="32"/>
          <w:highlight w:val="none"/>
        </w:rPr>
      </w:pPr>
    </w:p>
    <w:p w14:paraId="34CE293F">
      <w:pPr>
        <w:spacing w:line="280" w:lineRule="exact"/>
        <w:ind w:firstLine="912" w:firstLineChars="285"/>
        <w:jc w:val="center"/>
        <w:rPr>
          <w:rFonts w:ascii="Garamond" w:hAnsi="Garamond"/>
          <w:color w:val="auto"/>
          <w:sz w:val="32"/>
          <w:szCs w:val="32"/>
          <w:highlight w:val="none"/>
        </w:rPr>
      </w:pPr>
    </w:p>
    <w:p w14:paraId="66B8CDFC">
      <w:pPr>
        <w:spacing w:line="280" w:lineRule="exact"/>
        <w:ind w:firstLine="912" w:firstLineChars="285"/>
        <w:jc w:val="center"/>
        <w:rPr>
          <w:rFonts w:ascii="Garamond" w:hAnsi="Garamond"/>
          <w:color w:val="auto"/>
          <w:sz w:val="32"/>
          <w:szCs w:val="32"/>
          <w:highlight w:val="none"/>
        </w:rPr>
      </w:pPr>
    </w:p>
    <w:p w14:paraId="760F4D62">
      <w:pPr>
        <w:spacing w:line="280" w:lineRule="exact"/>
        <w:ind w:firstLine="912" w:firstLineChars="285"/>
        <w:jc w:val="center"/>
        <w:rPr>
          <w:rFonts w:ascii="Garamond" w:hAnsi="Garamond"/>
          <w:color w:val="auto"/>
          <w:sz w:val="32"/>
          <w:szCs w:val="32"/>
          <w:highlight w:val="none"/>
        </w:rPr>
      </w:pPr>
    </w:p>
    <w:p w14:paraId="3A5C9E23">
      <w:pPr>
        <w:spacing w:line="280" w:lineRule="exact"/>
        <w:ind w:firstLine="912" w:firstLineChars="285"/>
        <w:jc w:val="center"/>
        <w:rPr>
          <w:rFonts w:ascii="Garamond" w:hAnsi="Garamond"/>
          <w:color w:val="auto"/>
          <w:sz w:val="32"/>
          <w:szCs w:val="32"/>
          <w:highlight w:val="none"/>
        </w:rPr>
      </w:pPr>
    </w:p>
    <w:p w14:paraId="0D54CB55">
      <w:pPr>
        <w:spacing w:line="280" w:lineRule="exact"/>
        <w:ind w:firstLine="912" w:firstLineChars="285"/>
        <w:jc w:val="center"/>
        <w:rPr>
          <w:rFonts w:ascii="Garamond" w:hAnsi="Garamond"/>
          <w:color w:val="auto"/>
          <w:sz w:val="32"/>
          <w:szCs w:val="32"/>
          <w:highlight w:val="none"/>
        </w:rPr>
      </w:pPr>
    </w:p>
    <w:p w14:paraId="46B57FC2">
      <w:pPr>
        <w:spacing w:line="280" w:lineRule="exact"/>
        <w:ind w:firstLine="912" w:firstLineChars="285"/>
        <w:jc w:val="center"/>
        <w:rPr>
          <w:rFonts w:ascii="Garamond" w:hAnsi="Garamond"/>
          <w:color w:val="auto"/>
          <w:sz w:val="32"/>
          <w:szCs w:val="32"/>
          <w:highlight w:val="none"/>
        </w:rPr>
      </w:pPr>
    </w:p>
    <w:p w14:paraId="69A9AC2A">
      <w:pPr>
        <w:spacing w:line="280" w:lineRule="exact"/>
        <w:ind w:firstLine="912" w:firstLineChars="285"/>
        <w:jc w:val="center"/>
        <w:rPr>
          <w:rFonts w:ascii="Garamond" w:hAnsi="Garamond"/>
          <w:color w:val="auto"/>
          <w:sz w:val="32"/>
          <w:szCs w:val="32"/>
          <w:highlight w:val="none"/>
        </w:rPr>
      </w:pPr>
    </w:p>
    <w:p w14:paraId="32915132">
      <w:pPr>
        <w:spacing w:line="280" w:lineRule="exact"/>
        <w:ind w:firstLine="912" w:firstLineChars="285"/>
        <w:jc w:val="center"/>
        <w:rPr>
          <w:rFonts w:ascii="Garamond" w:hAnsi="Garamond"/>
          <w:color w:val="auto"/>
          <w:sz w:val="32"/>
          <w:szCs w:val="32"/>
          <w:highlight w:val="none"/>
        </w:rPr>
      </w:pPr>
    </w:p>
    <w:p w14:paraId="18B78B52">
      <w:pPr>
        <w:spacing w:line="280" w:lineRule="exact"/>
        <w:ind w:firstLine="912" w:firstLineChars="285"/>
        <w:jc w:val="center"/>
        <w:rPr>
          <w:rFonts w:ascii="Garamond" w:hAnsi="Garamond"/>
          <w:color w:val="auto"/>
          <w:sz w:val="32"/>
          <w:szCs w:val="32"/>
          <w:highlight w:val="none"/>
        </w:rPr>
      </w:pPr>
    </w:p>
    <w:p w14:paraId="76226793">
      <w:pPr>
        <w:spacing w:line="280" w:lineRule="exact"/>
        <w:ind w:firstLine="912" w:firstLineChars="285"/>
        <w:jc w:val="center"/>
        <w:rPr>
          <w:rFonts w:ascii="Garamond" w:hAnsi="Garamond"/>
          <w:color w:val="auto"/>
          <w:sz w:val="32"/>
          <w:szCs w:val="32"/>
          <w:highlight w:val="none"/>
        </w:rPr>
      </w:pPr>
    </w:p>
    <w:p w14:paraId="6D0CA4A4">
      <w:pPr>
        <w:spacing w:line="280" w:lineRule="exact"/>
        <w:ind w:firstLine="912" w:firstLineChars="285"/>
        <w:jc w:val="center"/>
        <w:rPr>
          <w:rFonts w:ascii="Garamond" w:hAnsi="Garamond"/>
          <w:color w:val="auto"/>
          <w:sz w:val="32"/>
          <w:szCs w:val="32"/>
          <w:highlight w:val="none"/>
        </w:rPr>
      </w:pPr>
    </w:p>
    <w:p w14:paraId="3A7C3F49">
      <w:pPr>
        <w:spacing w:line="280" w:lineRule="exact"/>
        <w:ind w:firstLine="912" w:firstLineChars="285"/>
        <w:jc w:val="center"/>
        <w:rPr>
          <w:rFonts w:ascii="Garamond" w:hAnsi="Garamond"/>
          <w:color w:val="auto"/>
          <w:sz w:val="32"/>
          <w:szCs w:val="32"/>
          <w:highlight w:val="none"/>
        </w:rPr>
      </w:pPr>
    </w:p>
    <w:p w14:paraId="42C203E1">
      <w:pPr>
        <w:spacing w:line="280" w:lineRule="exact"/>
        <w:ind w:firstLine="912" w:firstLineChars="285"/>
        <w:jc w:val="center"/>
        <w:rPr>
          <w:rFonts w:ascii="Garamond" w:hAnsi="Garamond"/>
          <w:color w:val="auto"/>
          <w:sz w:val="32"/>
          <w:szCs w:val="32"/>
          <w:highlight w:val="none"/>
        </w:rPr>
      </w:pPr>
    </w:p>
    <w:p w14:paraId="26720A11">
      <w:pPr>
        <w:spacing w:line="280" w:lineRule="exact"/>
        <w:ind w:firstLine="912" w:firstLineChars="285"/>
        <w:jc w:val="center"/>
        <w:rPr>
          <w:rFonts w:ascii="Garamond" w:hAnsi="Garamond"/>
          <w:color w:val="auto"/>
          <w:sz w:val="32"/>
          <w:szCs w:val="32"/>
          <w:highlight w:val="none"/>
        </w:rPr>
      </w:pPr>
    </w:p>
    <w:p w14:paraId="6263A6BF">
      <w:pPr>
        <w:spacing w:line="280" w:lineRule="exact"/>
        <w:ind w:firstLine="912" w:firstLineChars="285"/>
        <w:jc w:val="center"/>
        <w:rPr>
          <w:rFonts w:ascii="Garamond" w:hAnsi="Garamond"/>
          <w:color w:val="auto"/>
          <w:sz w:val="32"/>
          <w:szCs w:val="32"/>
          <w:highlight w:val="none"/>
        </w:rPr>
      </w:pPr>
    </w:p>
    <w:p w14:paraId="59651899">
      <w:pPr>
        <w:pStyle w:val="3"/>
        <w:jc w:val="center"/>
        <w:rPr>
          <w:rFonts w:ascii="Garamond" w:hAnsi="Garamond"/>
          <w:color w:val="auto"/>
          <w:highlight w:val="none"/>
        </w:rPr>
      </w:pPr>
      <w:r>
        <w:rPr>
          <w:rFonts w:ascii="Garamond" w:hAnsi="Garamond"/>
          <w:color w:val="auto"/>
          <w:highlight w:val="none"/>
        </w:rPr>
        <w:t>第一节  通用合同条款</w:t>
      </w:r>
    </w:p>
    <w:p w14:paraId="692F922D">
      <w:pPr>
        <w:spacing w:line="360" w:lineRule="auto"/>
        <w:ind w:firstLine="420" w:firstLineChars="200"/>
        <w:rPr>
          <w:color w:val="auto"/>
          <w:szCs w:val="21"/>
          <w:highlight w:val="none"/>
        </w:rPr>
      </w:pPr>
      <w:r>
        <w:rPr>
          <w:rFonts w:hint="eastAsia"/>
          <w:color w:val="auto"/>
          <w:szCs w:val="21"/>
          <w:highlight w:val="none"/>
        </w:rPr>
        <w:t>采用江苏省交通运输厅颁发的《江苏省公路水运工程试验检测标准招标文件》2014年版中的“通用合同条款”。</w:t>
      </w:r>
    </w:p>
    <w:p w14:paraId="61230291">
      <w:pPr>
        <w:spacing w:line="360" w:lineRule="auto"/>
        <w:ind w:firstLine="420" w:firstLineChars="200"/>
        <w:rPr>
          <w:color w:val="auto"/>
          <w:szCs w:val="21"/>
          <w:highlight w:val="none"/>
        </w:rPr>
      </w:pPr>
    </w:p>
    <w:p w14:paraId="3754171B">
      <w:pPr>
        <w:spacing w:line="360" w:lineRule="auto"/>
        <w:ind w:firstLine="420" w:firstLineChars="200"/>
        <w:rPr>
          <w:color w:val="auto"/>
          <w:szCs w:val="21"/>
          <w:highlight w:val="none"/>
        </w:rPr>
      </w:pPr>
    </w:p>
    <w:p w14:paraId="6E55C5A1">
      <w:pPr>
        <w:spacing w:line="360" w:lineRule="auto"/>
        <w:ind w:firstLine="420" w:firstLineChars="200"/>
        <w:rPr>
          <w:color w:val="auto"/>
          <w:szCs w:val="21"/>
          <w:highlight w:val="none"/>
        </w:rPr>
      </w:pPr>
    </w:p>
    <w:p w14:paraId="561ABAAC">
      <w:pPr>
        <w:spacing w:line="360" w:lineRule="auto"/>
        <w:ind w:firstLine="420" w:firstLineChars="200"/>
        <w:rPr>
          <w:color w:val="auto"/>
          <w:szCs w:val="21"/>
          <w:highlight w:val="none"/>
        </w:rPr>
      </w:pPr>
    </w:p>
    <w:p w14:paraId="6B38DF3E">
      <w:pPr>
        <w:spacing w:line="360" w:lineRule="auto"/>
        <w:ind w:firstLine="420" w:firstLineChars="200"/>
        <w:rPr>
          <w:color w:val="auto"/>
          <w:szCs w:val="21"/>
          <w:highlight w:val="none"/>
        </w:rPr>
      </w:pPr>
    </w:p>
    <w:p w14:paraId="0CE8B401">
      <w:pPr>
        <w:spacing w:line="360" w:lineRule="auto"/>
        <w:ind w:firstLine="420" w:firstLineChars="200"/>
        <w:rPr>
          <w:color w:val="auto"/>
          <w:szCs w:val="21"/>
          <w:highlight w:val="none"/>
        </w:rPr>
      </w:pPr>
    </w:p>
    <w:p w14:paraId="770ECB9B">
      <w:pPr>
        <w:spacing w:line="360" w:lineRule="auto"/>
        <w:ind w:firstLine="420" w:firstLineChars="200"/>
        <w:rPr>
          <w:color w:val="auto"/>
          <w:szCs w:val="21"/>
          <w:highlight w:val="none"/>
        </w:rPr>
      </w:pPr>
    </w:p>
    <w:p w14:paraId="38F454A6">
      <w:pPr>
        <w:spacing w:line="360" w:lineRule="auto"/>
        <w:ind w:firstLine="420" w:firstLineChars="200"/>
        <w:rPr>
          <w:color w:val="auto"/>
          <w:szCs w:val="21"/>
          <w:highlight w:val="none"/>
        </w:rPr>
      </w:pPr>
    </w:p>
    <w:p w14:paraId="52107608">
      <w:pPr>
        <w:spacing w:line="360" w:lineRule="auto"/>
        <w:ind w:firstLine="420" w:firstLineChars="200"/>
        <w:rPr>
          <w:color w:val="auto"/>
          <w:szCs w:val="21"/>
          <w:highlight w:val="none"/>
        </w:rPr>
      </w:pPr>
    </w:p>
    <w:p w14:paraId="6194A4DC">
      <w:pPr>
        <w:spacing w:line="360" w:lineRule="auto"/>
        <w:ind w:firstLine="420" w:firstLineChars="200"/>
        <w:rPr>
          <w:color w:val="auto"/>
          <w:szCs w:val="21"/>
          <w:highlight w:val="none"/>
        </w:rPr>
      </w:pPr>
    </w:p>
    <w:p w14:paraId="35DC3860">
      <w:pPr>
        <w:spacing w:line="360" w:lineRule="auto"/>
        <w:ind w:firstLine="420" w:firstLineChars="200"/>
        <w:rPr>
          <w:color w:val="auto"/>
          <w:szCs w:val="21"/>
          <w:highlight w:val="none"/>
        </w:rPr>
      </w:pPr>
    </w:p>
    <w:p w14:paraId="563EF333">
      <w:pPr>
        <w:spacing w:line="360" w:lineRule="auto"/>
        <w:ind w:firstLine="420" w:firstLineChars="200"/>
        <w:rPr>
          <w:color w:val="auto"/>
          <w:szCs w:val="21"/>
          <w:highlight w:val="none"/>
        </w:rPr>
      </w:pPr>
    </w:p>
    <w:p w14:paraId="3F51F90E">
      <w:pPr>
        <w:spacing w:line="360" w:lineRule="auto"/>
        <w:ind w:firstLine="420" w:firstLineChars="200"/>
        <w:rPr>
          <w:color w:val="auto"/>
          <w:szCs w:val="21"/>
          <w:highlight w:val="none"/>
        </w:rPr>
      </w:pPr>
    </w:p>
    <w:p w14:paraId="5138AB04">
      <w:pPr>
        <w:spacing w:line="360" w:lineRule="auto"/>
        <w:ind w:firstLine="420" w:firstLineChars="200"/>
        <w:rPr>
          <w:color w:val="auto"/>
          <w:szCs w:val="21"/>
          <w:highlight w:val="none"/>
        </w:rPr>
      </w:pPr>
    </w:p>
    <w:p w14:paraId="175E4B09">
      <w:pPr>
        <w:spacing w:line="360" w:lineRule="auto"/>
        <w:ind w:firstLine="420" w:firstLineChars="200"/>
        <w:rPr>
          <w:color w:val="auto"/>
          <w:szCs w:val="21"/>
          <w:highlight w:val="none"/>
        </w:rPr>
      </w:pPr>
    </w:p>
    <w:p w14:paraId="14FACB2C">
      <w:pPr>
        <w:spacing w:line="360" w:lineRule="auto"/>
        <w:ind w:firstLine="420" w:firstLineChars="200"/>
        <w:rPr>
          <w:color w:val="auto"/>
          <w:szCs w:val="21"/>
          <w:highlight w:val="none"/>
        </w:rPr>
      </w:pPr>
    </w:p>
    <w:p w14:paraId="06135ACD">
      <w:pPr>
        <w:spacing w:line="360" w:lineRule="auto"/>
        <w:ind w:firstLine="420" w:firstLineChars="200"/>
        <w:rPr>
          <w:color w:val="auto"/>
          <w:szCs w:val="21"/>
          <w:highlight w:val="none"/>
        </w:rPr>
      </w:pPr>
    </w:p>
    <w:p w14:paraId="3BD43ED1">
      <w:pPr>
        <w:spacing w:line="360" w:lineRule="auto"/>
        <w:ind w:firstLine="420" w:firstLineChars="200"/>
        <w:rPr>
          <w:color w:val="auto"/>
          <w:szCs w:val="21"/>
          <w:highlight w:val="none"/>
        </w:rPr>
      </w:pPr>
    </w:p>
    <w:p w14:paraId="7F251973">
      <w:pPr>
        <w:spacing w:line="360" w:lineRule="auto"/>
        <w:ind w:firstLine="420" w:firstLineChars="200"/>
        <w:rPr>
          <w:color w:val="auto"/>
          <w:szCs w:val="21"/>
          <w:highlight w:val="none"/>
        </w:rPr>
      </w:pPr>
    </w:p>
    <w:p w14:paraId="45DD3E0C">
      <w:pPr>
        <w:spacing w:line="360" w:lineRule="auto"/>
        <w:ind w:firstLine="420" w:firstLineChars="200"/>
        <w:rPr>
          <w:color w:val="auto"/>
          <w:szCs w:val="21"/>
          <w:highlight w:val="none"/>
        </w:rPr>
      </w:pPr>
    </w:p>
    <w:p w14:paraId="7B03732A">
      <w:pPr>
        <w:spacing w:line="360" w:lineRule="auto"/>
        <w:ind w:firstLine="420" w:firstLineChars="200"/>
        <w:rPr>
          <w:color w:val="auto"/>
          <w:szCs w:val="21"/>
          <w:highlight w:val="none"/>
        </w:rPr>
      </w:pPr>
    </w:p>
    <w:p w14:paraId="5723234B">
      <w:pPr>
        <w:spacing w:line="360" w:lineRule="auto"/>
        <w:ind w:firstLine="420" w:firstLineChars="200"/>
        <w:rPr>
          <w:color w:val="auto"/>
          <w:szCs w:val="21"/>
          <w:highlight w:val="none"/>
        </w:rPr>
      </w:pPr>
    </w:p>
    <w:p w14:paraId="733AEE91">
      <w:pPr>
        <w:spacing w:line="360" w:lineRule="auto"/>
        <w:ind w:firstLine="420" w:firstLineChars="200"/>
        <w:rPr>
          <w:color w:val="auto"/>
          <w:szCs w:val="21"/>
          <w:highlight w:val="none"/>
        </w:rPr>
      </w:pPr>
    </w:p>
    <w:p w14:paraId="7AD8B38B">
      <w:pPr>
        <w:spacing w:line="360" w:lineRule="auto"/>
        <w:ind w:firstLine="420" w:firstLineChars="200"/>
        <w:rPr>
          <w:color w:val="auto"/>
          <w:szCs w:val="21"/>
          <w:highlight w:val="none"/>
        </w:rPr>
      </w:pPr>
    </w:p>
    <w:p w14:paraId="5C615537">
      <w:pPr>
        <w:spacing w:line="360" w:lineRule="auto"/>
        <w:ind w:firstLine="420" w:firstLineChars="200"/>
        <w:rPr>
          <w:color w:val="auto"/>
          <w:szCs w:val="21"/>
          <w:highlight w:val="none"/>
        </w:rPr>
      </w:pPr>
    </w:p>
    <w:p w14:paraId="19BB5152">
      <w:pPr>
        <w:spacing w:line="360" w:lineRule="auto"/>
        <w:ind w:firstLine="420" w:firstLineChars="200"/>
        <w:rPr>
          <w:color w:val="auto"/>
          <w:szCs w:val="21"/>
          <w:highlight w:val="none"/>
        </w:rPr>
      </w:pPr>
    </w:p>
    <w:p w14:paraId="6F511A25">
      <w:pPr>
        <w:spacing w:line="360" w:lineRule="auto"/>
        <w:ind w:firstLine="420" w:firstLineChars="200"/>
        <w:rPr>
          <w:color w:val="auto"/>
          <w:szCs w:val="21"/>
          <w:highlight w:val="none"/>
        </w:rPr>
      </w:pPr>
    </w:p>
    <w:p w14:paraId="51ABF171">
      <w:pPr>
        <w:spacing w:line="360" w:lineRule="auto"/>
        <w:ind w:firstLine="420" w:firstLineChars="200"/>
        <w:rPr>
          <w:color w:val="auto"/>
          <w:szCs w:val="21"/>
          <w:highlight w:val="none"/>
        </w:rPr>
      </w:pPr>
    </w:p>
    <w:p w14:paraId="4F0DC46F">
      <w:pPr>
        <w:spacing w:line="360" w:lineRule="auto"/>
        <w:ind w:firstLine="420" w:firstLineChars="200"/>
        <w:rPr>
          <w:color w:val="auto"/>
          <w:szCs w:val="21"/>
          <w:highlight w:val="none"/>
        </w:rPr>
      </w:pPr>
    </w:p>
    <w:p w14:paraId="2138C239">
      <w:pPr>
        <w:widowControl/>
        <w:jc w:val="left"/>
        <w:rPr>
          <w:rFonts w:ascii="Garamond" w:hAnsi="Garamond" w:eastAsia="黑体"/>
          <w:b/>
          <w:bCs/>
          <w:color w:val="auto"/>
          <w:sz w:val="32"/>
          <w:szCs w:val="32"/>
          <w:highlight w:val="none"/>
        </w:rPr>
      </w:pPr>
      <w:r>
        <w:rPr>
          <w:rFonts w:ascii="Garamond" w:hAnsi="Garamond"/>
          <w:color w:val="auto"/>
          <w:highlight w:val="none"/>
        </w:rPr>
        <w:br w:type="page"/>
      </w:r>
    </w:p>
    <w:p w14:paraId="06D55182">
      <w:pPr>
        <w:pStyle w:val="3"/>
        <w:jc w:val="center"/>
        <w:rPr>
          <w:rFonts w:ascii="Garamond" w:hAnsi="Garamond"/>
          <w:color w:val="auto"/>
          <w:highlight w:val="none"/>
        </w:rPr>
      </w:pPr>
      <w:r>
        <w:rPr>
          <w:rFonts w:ascii="Garamond" w:hAnsi="Garamond"/>
          <w:color w:val="auto"/>
          <w:highlight w:val="none"/>
        </w:rPr>
        <w:t>第二节  专用合同条款</w:t>
      </w:r>
    </w:p>
    <w:p w14:paraId="2D101971">
      <w:pPr>
        <w:spacing w:line="360" w:lineRule="auto"/>
        <w:ind w:left="435" w:firstLine="435"/>
        <w:rPr>
          <w:rFonts w:ascii="Garamond" w:hAnsi="Garamond"/>
          <w:color w:val="auto"/>
          <w:highlight w:val="none"/>
        </w:rPr>
      </w:pPr>
      <w:r>
        <w:rPr>
          <w:rFonts w:ascii="Garamond" w:hAnsi="Garamond"/>
          <w:color w:val="auto"/>
          <w:highlight w:val="none"/>
        </w:rPr>
        <w:t>说明：</w:t>
      </w:r>
    </w:p>
    <w:p w14:paraId="0670B275">
      <w:pPr>
        <w:spacing w:line="360" w:lineRule="auto"/>
        <w:ind w:left="435" w:firstLine="435"/>
        <w:rPr>
          <w:rFonts w:ascii="Garamond" w:hAnsi="Garamond"/>
          <w:color w:val="auto"/>
          <w:highlight w:val="none"/>
        </w:rPr>
      </w:pPr>
      <w:r>
        <w:rPr>
          <w:rFonts w:ascii="Garamond" w:hAnsi="Garamond"/>
          <w:color w:val="auto"/>
          <w:highlight w:val="none"/>
        </w:rPr>
        <w:t>1.专用合同条款是对通用合同条款有关条款的补充、修改或具体化，应对照通用合同条款中同一编号的条款一起阅读和理解。如果专用合同条款与通用合同条款之间有不符之处，以专用合同条款为准。</w:t>
      </w:r>
    </w:p>
    <w:p w14:paraId="1CDE35C8">
      <w:pPr>
        <w:spacing w:line="360" w:lineRule="auto"/>
        <w:ind w:left="435" w:firstLine="435"/>
        <w:rPr>
          <w:rFonts w:ascii="Garamond" w:hAnsi="Garamond"/>
          <w:color w:val="auto"/>
          <w:highlight w:val="none"/>
        </w:rPr>
      </w:pPr>
      <w:r>
        <w:rPr>
          <w:rFonts w:ascii="Garamond" w:hAnsi="Garamond"/>
          <w:color w:val="auto"/>
          <w:highlight w:val="none"/>
        </w:rPr>
        <w:t>2.招标人认为需要进一步具体化的条款，或根据本地区特点或惯例需增列或删除的条款，也在本篇列出。</w:t>
      </w:r>
    </w:p>
    <w:p w14:paraId="0B11F1F8">
      <w:pPr>
        <w:spacing w:line="360" w:lineRule="auto"/>
        <w:ind w:left="435" w:firstLine="435"/>
        <w:rPr>
          <w:rFonts w:ascii="Garamond" w:hAnsi="Garamond"/>
          <w:color w:val="auto"/>
          <w:highlight w:val="none"/>
        </w:rPr>
      </w:pPr>
      <w:r>
        <w:rPr>
          <w:rFonts w:ascii="Garamond" w:hAnsi="Garamond"/>
          <w:color w:val="auto"/>
          <w:highlight w:val="none"/>
        </w:rPr>
        <w:t>3.专用合同条款的编号应与通用条款一致。</w:t>
      </w:r>
    </w:p>
    <w:p w14:paraId="13AD1FB2">
      <w:pPr>
        <w:spacing w:line="360" w:lineRule="auto"/>
        <w:jc w:val="center"/>
        <w:rPr>
          <w:rFonts w:ascii="Garamond" w:hAnsi="Garamond"/>
          <w:b/>
          <w:color w:val="auto"/>
          <w:sz w:val="32"/>
          <w:szCs w:val="32"/>
          <w:highlight w:val="none"/>
        </w:rPr>
      </w:pPr>
    </w:p>
    <w:p w14:paraId="340F0414">
      <w:pPr>
        <w:spacing w:line="360" w:lineRule="auto"/>
        <w:jc w:val="center"/>
        <w:rPr>
          <w:rFonts w:ascii="Garamond" w:hAnsi="Garamond"/>
          <w:b/>
          <w:color w:val="auto"/>
          <w:sz w:val="32"/>
          <w:szCs w:val="32"/>
          <w:highlight w:val="none"/>
        </w:rPr>
      </w:pPr>
    </w:p>
    <w:p w14:paraId="40976E93">
      <w:pPr>
        <w:spacing w:line="360" w:lineRule="auto"/>
        <w:jc w:val="center"/>
        <w:rPr>
          <w:rFonts w:ascii="Garamond" w:hAnsi="Garamond"/>
          <w:b/>
          <w:color w:val="auto"/>
          <w:sz w:val="32"/>
          <w:szCs w:val="32"/>
          <w:highlight w:val="none"/>
        </w:rPr>
      </w:pPr>
    </w:p>
    <w:p w14:paraId="3461592E">
      <w:pPr>
        <w:spacing w:line="360" w:lineRule="auto"/>
        <w:jc w:val="center"/>
        <w:rPr>
          <w:rFonts w:ascii="Garamond" w:hAnsi="Garamond"/>
          <w:b/>
          <w:color w:val="auto"/>
          <w:sz w:val="32"/>
          <w:szCs w:val="32"/>
          <w:highlight w:val="none"/>
        </w:rPr>
      </w:pPr>
    </w:p>
    <w:p w14:paraId="70E32C09">
      <w:pPr>
        <w:spacing w:line="360" w:lineRule="auto"/>
        <w:jc w:val="center"/>
        <w:rPr>
          <w:rFonts w:ascii="Garamond" w:hAnsi="Garamond"/>
          <w:b/>
          <w:color w:val="auto"/>
          <w:sz w:val="32"/>
          <w:szCs w:val="32"/>
          <w:highlight w:val="none"/>
        </w:rPr>
      </w:pPr>
    </w:p>
    <w:p w14:paraId="28467BAC">
      <w:pPr>
        <w:spacing w:line="360" w:lineRule="auto"/>
        <w:jc w:val="center"/>
        <w:rPr>
          <w:rFonts w:ascii="Garamond" w:hAnsi="Garamond"/>
          <w:b/>
          <w:color w:val="auto"/>
          <w:sz w:val="32"/>
          <w:szCs w:val="32"/>
          <w:highlight w:val="none"/>
        </w:rPr>
      </w:pPr>
    </w:p>
    <w:p w14:paraId="00EF9E70">
      <w:pPr>
        <w:spacing w:line="360" w:lineRule="auto"/>
        <w:jc w:val="center"/>
        <w:rPr>
          <w:rFonts w:ascii="Garamond" w:hAnsi="Garamond"/>
          <w:b/>
          <w:color w:val="auto"/>
          <w:sz w:val="32"/>
          <w:szCs w:val="32"/>
          <w:highlight w:val="none"/>
        </w:rPr>
      </w:pPr>
    </w:p>
    <w:p w14:paraId="117C8F04">
      <w:pPr>
        <w:spacing w:line="360" w:lineRule="auto"/>
        <w:jc w:val="center"/>
        <w:rPr>
          <w:rFonts w:ascii="Garamond" w:hAnsi="Garamond"/>
          <w:b/>
          <w:color w:val="auto"/>
          <w:sz w:val="32"/>
          <w:szCs w:val="32"/>
          <w:highlight w:val="none"/>
        </w:rPr>
      </w:pPr>
    </w:p>
    <w:p w14:paraId="6B297299">
      <w:pPr>
        <w:spacing w:line="360" w:lineRule="auto"/>
        <w:jc w:val="center"/>
        <w:rPr>
          <w:rFonts w:ascii="Garamond" w:hAnsi="Garamond"/>
          <w:b/>
          <w:color w:val="auto"/>
          <w:sz w:val="32"/>
          <w:szCs w:val="32"/>
          <w:highlight w:val="none"/>
        </w:rPr>
      </w:pPr>
    </w:p>
    <w:p w14:paraId="79CD9ACB">
      <w:pPr>
        <w:spacing w:line="360" w:lineRule="auto"/>
        <w:jc w:val="center"/>
        <w:rPr>
          <w:rFonts w:ascii="Garamond" w:hAnsi="Garamond"/>
          <w:b/>
          <w:color w:val="auto"/>
          <w:sz w:val="32"/>
          <w:szCs w:val="32"/>
          <w:highlight w:val="none"/>
        </w:rPr>
      </w:pPr>
    </w:p>
    <w:p w14:paraId="3024BE76">
      <w:pPr>
        <w:spacing w:line="360" w:lineRule="auto"/>
        <w:jc w:val="center"/>
        <w:rPr>
          <w:rFonts w:ascii="Garamond" w:hAnsi="Garamond"/>
          <w:b/>
          <w:color w:val="auto"/>
          <w:sz w:val="32"/>
          <w:szCs w:val="32"/>
          <w:highlight w:val="none"/>
        </w:rPr>
      </w:pPr>
    </w:p>
    <w:p w14:paraId="2F5B7289">
      <w:pPr>
        <w:spacing w:line="360" w:lineRule="auto"/>
        <w:jc w:val="center"/>
        <w:rPr>
          <w:rFonts w:ascii="Garamond" w:hAnsi="Garamond"/>
          <w:b/>
          <w:color w:val="auto"/>
          <w:sz w:val="32"/>
          <w:szCs w:val="32"/>
          <w:highlight w:val="none"/>
        </w:rPr>
      </w:pPr>
    </w:p>
    <w:p w14:paraId="7DD9554E">
      <w:pPr>
        <w:spacing w:line="360" w:lineRule="auto"/>
        <w:jc w:val="center"/>
        <w:rPr>
          <w:rFonts w:ascii="Garamond" w:hAnsi="Garamond"/>
          <w:b/>
          <w:color w:val="auto"/>
          <w:sz w:val="32"/>
          <w:szCs w:val="32"/>
          <w:highlight w:val="none"/>
        </w:rPr>
      </w:pPr>
    </w:p>
    <w:p w14:paraId="3A1C2266">
      <w:pPr>
        <w:spacing w:line="360" w:lineRule="auto"/>
        <w:jc w:val="center"/>
        <w:rPr>
          <w:rFonts w:ascii="Garamond" w:hAnsi="Garamond"/>
          <w:b/>
          <w:color w:val="auto"/>
          <w:sz w:val="32"/>
          <w:szCs w:val="32"/>
          <w:highlight w:val="none"/>
        </w:rPr>
      </w:pPr>
    </w:p>
    <w:p w14:paraId="07231D72">
      <w:pPr>
        <w:spacing w:line="360" w:lineRule="auto"/>
        <w:jc w:val="center"/>
        <w:rPr>
          <w:rFonts w:ascii="Garamond" w:hAnsi="Garamond"/>
          <w:b/>
          <w:color w:val="auto"/>
          <w:sz w:val="32"/>
          <w:szCs w:val="32"/>
          <w:highlight w:val="none"/>
        </w:rPr>
      </w:pPr>
    </w:p>
    <w:p w14:paraId="3307614E">
      <w:pPr>
        <w:spacing w:line="360" w:lineRule="auto"/>
        <w:jc w:val="center"/>
        <w:rPr>
          <w:rFonts w:ascii="Garamond" w:hAnsi="Garamond"/>
          <w:b/>
          <w:color w:val="auto"/>
          <w:sz w:val="32"/>
          <w:szCs w:val="32"/>
          <w:highlight w:val="none"/>
        </w:rPr>
      </w:pPr>
    </w:p>
    <w:p w14:paraId="549861B6">
      <w:pPr>
        <w:widowControl/>
        <w:jc w:val="left"/>
        <w:rPr>
          <w:rFonts w:ascii="Garamond" w:hAnsi="Garamond"/>
          <w:b/>
          <w:color w:val="auto"/>
          <w:sz w:val="32"/>
          <w:szCs w:val="32"/>
          <w:highlight w:val="none"/>
        </w:rPr>
      </w:pPr>
      <w:r>
        <w:rPr>
          <w:rFonts w:ascii="Garamond" w:hAnsi="Garamond"/>
          <w:b/>
          <w:color w:val="auto"/>
          <w:sz w:val="32"/>
          <w:szCs w:val="32"/>
          <w:highlight w:val="none"/>
        </w:rPr>
        <w:br w:type="page"/>
      </w:r>
    </w:p>
    <w:p w14:paraId="72CCD09A">
      <w:pPr>
        <w:spacing w:line="360" w:lineRule="auto"/>
        <w:jc w:val="center"/>
        <w:rPr>
          <w:rFonts w:ascii="Garamond" w:hAnsi="Garamond"/>
          <w:b/>
          <w:color w:val="auto"/>
          <w:sz w:val="32"/>
          <w:szCs w:val="32"/>
          <w:highlight w:val="none"/>
        </w:rPr>
      </w:pPr>
      <w:r>
        <w:rPr>
          <w:rFonts w:ascii="Garamond" w:hAnsi="Garamond"/>
          <w:b/>
          <w:color w:val="auto"/>
          <w:sz w:val="32"/>
          <w:szCs w:val="32"/>
          <w:highlight w:val="none"/>
        </w:rPr>
        <w:t>专用合同条款数据表</w:t>
      </w:r>
    </w:p>
    <w:p w14:paraId="6FEE11BD">
      <w:pPr>
        <w:spacing w:line="360" w:lineRule="auto"/>
        <w:ind w:left="435" w:leftChars="207" w:firstLine="210" w:firstLineChars="100"/>
        <w:rPr>
          <w:rFonts w:hint="eastAsia" w:ascii="宋体" w:hAnsi="宋体" w:eastAsia="宋体" w:cs="宋体"/>
          <w:highlight w:val="none"/>
        </w:rPr>
      </w:pPr>
      <w:r>
        <w:rPr>
          <w:rFonts w:ascii="Garamond" w:hAnsi="Garamond"/>
          <w:color w:val="auto"/>
          <w:highlight w:val="none"/>
        </w:rPr>
        <w:t xml:space="preserve"> </w:t>
      </w:r>
      <w:r>
        <w:rPr>
          <w:rFonts w:hint="eastAsia" w:ascii="宋体" w:hAnsi="宋体" w:eastAsia="宋体" w:cs="宋体"/>
          <w:highlight w:val="none"/>
        </w:rPr>
        <w:t>说明：本数据表是合同条款中适用于本项目的信息和数据的归纳与提示，是专用合同条款的组成部分。</w:t>
      </w:r>
    </w:p>
    <w:tbl>
      <w:tblPr>
        <w:tblStyle w:val="44"/>
        <w:tblpPr w:leftFromText="180" w:rightFromText="180" w:vertAnchor="text" w:horzAnchor="page" w:tblpX="1981"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6836"/>
      </w:tblGrid>
      <w:tr w14:paraId="4491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5FDDB42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276" w:type="dxa"/>
            <w:noWrap w:val="0"/>
            <w:vAlign w:val="center"/>
          </w:tcPr>
          <w:p w14:paraId="7CA9974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条款号</w:t>
            </w:r>
          </w:p>
        </w:tc>
        <w:tc>
          <w:tcPr>
            <w:tcW w:w="6836" w:type="dxa"/>
            <w:noWrap w:val="0"/>
            <w:vAlign w:val="center"/>
          </w:tcPr>
          <w:p w14:paraId="67B6005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信息或数据</w:t>
            </w:r>
          </w:p>
        </w:tc>
      </w:tr>
      <w:tr w14:paraId="4798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17" w:type="dxa"/>
            <w:noWrap w:val="0"/>
            <w:vAlign w:val="center"/>
          </w:tcPr>
          <w:p w14:paraId="7D27D07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276" w:type="dxa"/>
            <w:noWrap w:val="0"/>
            <w:vAlign w:val="center"/>
          </w:tcPr>
          <w:p w14:paraId="53CF5D8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1.1.1</w:t>
            </w:r>
          </w:p>
        </w:tc>
        <w:tc>
          <w:tcPr>
            <w:tcW w:w="6836" w:type="dxa"/>
            <w:noWrap w:val="0"/>
            <w:vAlign w:val="center"/>
          </w:tcPr>
          <w:p w14:paraId="1A7D2052">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南通沿江港口公用锚地调整项目配套系船浮工程</w:t>
            </w:r>
            <w:r>
              <w:rPr>
                <w:rFonts w:hint="eastAsia" w:ascii="宋体" w:hAnsi="宋体" w:eastAsia="宋体" w:cs="宋体"/>
                <w:szCs w:val="21"/>
                <w:highlight w:val="none"/>
                <w:lang w:eastAsia="zh-CN"/>
              </w:rPr>
              <w:t>试验检测项目</w:t>
            </w:r>
          </w:p>
          <w:p w14:paraId="5432B8A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标段名称：</w:t>
            </w:r>
            <w:r>
              <w:rPr>
                <w:rFonts w:hint="eastAsia" w:ascii="宋体" w:hAnsi="宋体" w:eastAsia="宋体" w:cs="宋体"/>
                <w:szCs w:val="21"/>
                <w:highlight w:val="none"/>
                <w:lang w:eastAsia="zh-CN"/>
              </w:rPr>
              <w:t>XCF-JC</w:t>
            </w:r>
            <w:r>
              <w:rPr>
                <w:rFonts w:hint="eastAsia" w:ascii="宋体" w:hAnsi="宋体" w:eastAsia="宋体" w:cs="宋体"/>
                <w:szCs w:val="21"/>
                <w:highlight w:val="none"/>
              </w:rPr>
              <w:t>标段</w:t>
            </w:r>
          </w:p>
        </w:tc>
      </w:tr>
      <w:tr w14:paraId="286E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BF4E9B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276" w:type="dxa"/>
            <w:noWrap w:val="0"/>
            <w:vAlign w:val="center"/>
          </w:tcPr>
          <w:p w14:paraId="43890E7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1.1.4</w:t>
            </w:r>
          </w:p>
        </w:tc>
        <w:tc>
          <w:tcPr>
            <w:tcW w:w="6836" w:type="dxa"/>
            <w:noWrap w:val="0"/>
            <w:vAlign w:val="center"/>
          </w:tcPr>
          <w:p w14:paraId="5E32C29F">
            <w:pPr>
              <w:spacing w:line="360" w:lineRule="auto"/>
              <w:rPr>
                <w:rFonts w:hint="eastAsia" w:ascii="宋体" w:hAnsi="宋体" w:eastAsia="宋体" w:cs="宋体"/>
                <w:snapToGrid w:val="0"/>
                <w:kern w:val="0"/>
                <w:szCs w:val="21"/>
                <w:highlight w:val="none"/>
                <w:lang w:eastAsia="zh-CN"/>
              </w:rPr>
            </w:pPr>
            <w:r>
              <w:rPr>
                <w:rFonts w:hint="eastAsia" w:ascii="宋体" w:hAnsi="宋体" w:eastAsia="宋体" w:cs="宋体"/>
                <w:szCs w:val="21"/>
                <w:highlight w:val="none"/>
              </w:rPr>
              <w:t>委托人：</w:t>
            </w:r>
            <w:r>
              <w:rPr>
                <w:rFonts w:hint="eastAsia" w:ascii="宋体" w:hAnsi="宋体" w:eastAsia="宋体" w:cs="宋体"/>
                <w:snapToGrid w:val="0"/>
                <w:kern w:val="0"/>
                <w:szCs w:val="21"/>
                <w:highlight w:val="none"/>
                <w:lang w:eastAsia="zh-CN"/>
              </w:rPr>
              <w:t xml:space="preserve">南通市交通公共事业发展中心  </w:t>
            </w:r>
          </w:p>
          <w:p w14:paraId="3B14CE09">
            <w:pPr>
              <w:spacing w:line="360" w:lineRule="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lang w:eastAsia="zh-CN"/>
              </w:rPr>
              <w:t>地    址：江苏省南通市崇川区通京大道5号</w:t>
            </w:r>
          </w:p>
        </w:tc>
      </w:tr>
      <w:tr w14:paraId="1A78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87FBBA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276" w:type="dxa"/>
            <w:noWrap w:val="0"/>
            <w:vAlign w:val="center"/>
          </w:tcPr>
          <w:p w14:paraId="7B56233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2.1.2</w:t>
            </w:r>
          </w:p>
        </w:tc>
        <w:tc>
          <w:tcPr>
            <w:tcW w:w="6836" w:type="dxa"/>
            <w:noWrap w:val="0"/>
            <w:vAlign w:val="center"/>
          </w:tcPr>
          <w:p w14:paraId="5E4A27E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服务范围：</w:t>
            </w:r>
            <w:r>
              <w:rPr>
                <w:rFonts w:hint="eastAsia" w:cs="宋体"/>
                <w:color w:val="auto"/>
                <w:sz w:val="21"/>
                <w:szCs w:val="21"/>
                <w:highlight w:val="none"/>
                <w:lang w:eastAsia="zh-CN"/>
              </w:rPr>
              <w:t>南通沿江港口公用锚地调整项目配套系船浮工程</w:t>
            </w:r>
            <w:r>
              <w:rPr>
                <w:rFonts w:hint="eastAsia" w:ascii="宋体" w:hAnsi="宋体" w:eastAsia="宋体" w:cs="宋体"/>
                <w:color w:val="auto"/>
                <w:sz w:val="21"/>
                <w:szCs w:val="21"/>
                <w:highlight w:val="none"/>
              </w:rPr>
              <w:t>施工图设计文件中</w:t>
            </w:r>
            <w:r>
              <w:rPr>
                <w:rFonts w:hint="eastAsia" w:ascii="宋体" w:hAnsi="宋体" w:eastAsia="宋体" w:cs="宋体"/>
                <w:color w:val="auto"/>
                <w:sz w:val="21"/>
                <w:szCs w:val="21"/>
                <w:highlight w:val="none"/>
                <w:lang w:val="en-US" w:eastAsia="zh-CN"/>
              </w:rPr>
              <w:t>施工过程中</w:t>
            </w:r>
            <w:r>
              <w:rPr>
                <w:rFonts w:hint="eastAsia" w:ascii="宋体" w:hAnsi="宋体" w:eastAsia="宋体" w:cs="宋体"/>
                <w:color w:val="auto"/>
                <w:sz w:val="21"/>
                <w:szCs w:val="21"/>
                <w:highlight w:val="none"/>
              </w:rPr>
              <w:t>的验证性检测服务，以及根据招标人要求的施工过程中的检测工作、交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验收检测等工作。本工程项目的检测内容、频率和要求应满足本项目设计文件要求、《水运工程质量检验标准》（JTS257- 2008）、《江苏省水运工程交（竣）工质量核验（鉴定）工作程序及标准》（苏交规〔2020〕3 号）等相关规范文件要求。</w:t>
            </w:r>
          </w:p>
        </w:tc>
      </w:tr>
      <w:tr w14:paraId="1687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6F67B35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276" w:type="dxa"/>
            <w:noWrap w:val="0"/>
            <w:vAlign w:val="center"/>
          </w:tcPr>
          <w:p w14:paraId="71C9D69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5.2</w:t>
            </w:r>
          </w:p>
        </w:tc>
        <w:tc>
          <w:tcPr>
            <w:tcW w:w="6836" w:type="dxa"/>
            <w:noWrap w:val="0"/>
            <w:vAlign w:val="center"/>
          </w:tcPr>
          <w:p w14:paraId="64597B7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检测服务的时间和期限：</w:t>
            </w:r>
          </w:p>
          <w:p w14:paraId="697ACE75">
            <w:pPr>
              <w:spacing w:line="360" w:lineRule="auto"/>
              <w:rPr>
                <w:rFonts w:hint="eastAsia" w:ascii="宋体" w:hAnsi="宋体" w:eastAsia="宋体" w:cs="宋体"/>
                <w:szCs w:val="21"/>
                <w:highlight w:val="none"/>
              </w:rPr>
            </w:pPr>
            <w:r>
              <w:rPr>
                <w:rFonts w:hint="eastAsia" w:ascii="宋体" w:hAnsi="宋体" w:eastAsia="宋体" w:cs="宋体"/>
                <w:highlight w:val="none"/>
              </w:rPr>
              <w:t>自项目开工至项目</w:t>
            </w:r>
            <w:r>
              <w:rPr>
                <w:rFonts w:hint="eastAsia" w:ascii="宋体" w:hAnsi="宋体" w:eastAsia="宋体" w:cs="宋体"/>
                <w:highlight w:val="none"/>
                <w:lang w:eastAsia="zh-CN"/>
              </w:rPr>
              <w:t>竣工验收</w:t>
            </w:r>
            <w:r>
              <w:rPr>
                <w:rFonts w:hint="eastAsia" w:ascii="宋体" w:hAnsi="宋体" w:eastAsia="宋体" w:cs="宋体"/>
                <w:highlight w:val="none"/>
              </w:rPr>
              <w:t>，在此期间应根据项目完成进度和委托人需要，及时完成相关质量检测工作。</w:t>
            </w:r>
          </w:p>
        </w:tc>
      </w:tr>
      <w:tr w14:paraId="33FF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251474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276" w:type="dxa"/>
            <w:noWrap w:val="0"/>
            <w:vAlign w:val="center"/>
          </w:tcPr>
          <w:p w14:paraId="147FB29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6.2.1</w:t>
            </w:r>
          </w:p>
        </w:tc>
        <w:tc>
          <w:tcPr>
            <w:tcW w:w="6836" w:type="dxa"/>
            <w:noWrap w:val="0"/>
            <w:vAlign w:val="center"/>
          </w:tcPr>
          <w:p w14:paraId="252DEAF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动员预付费：/</w:t>
            </w:r>
          </w:p>
        </w:tc>
      </w:tr>
      <w:tr w14:paraId="70D5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65665E5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276" w:type="dxa"/>
            <w:noWrap w:val="0"/>
            <w:vAlign w:val="center"/>
          </w:tcPr>
          <w:p w14:paraId="722BFA7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6.2.6</w:t>
            </w:r>
          </w:p>
        </w:tc>
        <w:tc>
          <w:tcPr>
            <w:tcW w:w="6836" w:type="dxa"/>
            <w:noWrap w:val="0"/>
            <w:vAlign w:val="center"/>
          </w:tcPr>
          <w:p w14:paraId="1AA5C4F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最低支付限额：/</w:t>
            </w:r>
          </w:p>
        </w:tc>
      </w:tr>
      <w:tr w14:paraId="71F8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CD901B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1276" w:type="dxa"/>
            <w:noWrap w:val="0"/>
            <w:vAlign w:val="center"/>
          </w:tcPr>
          <w:p w14:paraId="1D61C3F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6.2.8</w:t>
            </w:r>
          </w:p>
        </w:tc>
        <w:tc>
          <w:tcPr>
            <w:tcW w:w="6836" w:type="dxa"/>
            <w:noWrap w:val="0"/>
            <w:vAlign w:val="center"/>
          </w:tcPr>
          <w:p w14:paraId="57256EC4">
            <w:pPr>
              <w:spacing w:line="360" w:lineRule="auto"/>
              <w:rPr>
                <w:rFonts w:hint="eastAsia" w:ascii="宋体" w:hAnsi="宋体" w:eastAsia="宋体" w:cs="宋体"/>
                <w:szCs w:val="21"/>
                <w:highlight w:val="none"/>
              </w:rPr>
            </w:pPr>
            <w:r>
              <w:rPr>
                <w:rFonts w:hint="eastAsia" w:ascii="宋体" w:hAnsi="宋体" w:eastAsia="宋体" w:cs="宋体"/>
                <w:bCs/>
                <w:highlight w:val="none"/>
              </w:rPr>
              <w:t>委托</w:t>
            </w:r>
            <w:r>
              <w:rPr>
                <w:rFonts w:hint="eastAsia" w:ascii="宋体" w:hAnsi="宋体" w:eastAsia="宋体" w:cs="宋体"/>
                <w:szCs w:val="21"/>
                <w:highlight w:val="none"/>
              </w:rPr>
              <w:t>人收到试验检测人计量结算报表、进度款申请材料及符合</w:t>
            </w:r>
            <w:r>
              <w:rPr>
                <w:rFonts w:hint="eastAsia" w:ascii="宋体" w:hAnsi="宋体" w:eastAsia="宋体" w:cs="宋体"/>
                <w:bCs/>
                <w:highlight w:val="none"/>
              </w:rPr>
              <w:t>委托</w:t>
            </w:r>
            <w:r>
              <w:rPr>
                <w:rFonts w:hint="eastAsia" w:ascii="宋体" w:hAnsi="宋体" w:eastAsia="宋体" w:cs="宋体"/>
                <w:szCs w:val="21"/>
                <w:highlight w:val="none"/>
              </w:rPr>
              <w:t>人要求的发票后，按以下方式支付：</w:t>
            </w:r>
          </w:p>
          <w:p w14:paraId="2B12D47D">
            <w:pPr>
              <w:spacing w:line="360" w:lineRule="auto"/>
              <w:rPr>
                <w:rFonts w:hint="eastAsia" w:ascii="宋体" w:hAnsi="宋体" w:eastAsia="宋体" w:cs="宋体"/>
                <w:b/>
                <w:szCs w:val="21"/>
                <w:highlight w:val="none"/>
              </w:rPr>
            </w:pPr>
            <w:r>
              <w:rPr>
                <w:rFonts w:hint="eastAsia" w:ascii="宋体" w:hAnsi="宋体" w:eastAsia="宋体" w:cs="宋体"/>
                <w:b/>
                <w:bCs/>
                <w:szCs w:val="21"/>
                <w:highlight w:val="none"/>
              </w:rPr>
              <w:t>交工验收合格后支付至合同价款的85%，工程结算审计完成后支付至合同价款的97%（扣除相应款项），合同价款的3%作为预留缺陷责任期服务费，缺陷责任期满双方无争议且工程审计结算完成后扣除应赔偿款项（若有）后付清。</w:t>
            </w:r>
          </w:p>
        </w:tc>
      </w:tr>
      <w:tr w14:paraId="6F81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noWrap w:val="0"/>
            <w:vAlign w:val="center"/>
          </w:tcPr>
          <w:p w14:paraId="299C021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1276" w:type="dxa"/>
            <w:noWrap w:val="0"/>
            <w:vAlign w:val="center"/>
          </w:tcPr>
          <w:p w14:paraId="1F15151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836" w:type="dxa"/>
            <w:noWrap w:val="0"/>
            <w:vAlign w:val="center"/>
          </w:tcPr>
          <w:p w14:paraId="12824EDA">
            <w:pPr>
              <w:rPr>
                <w:rFonts w:hint="eastAsia" w:ascii="宋体" w:hAnsi="宋体" w:eastAsia="宋体" w:cs="宋体"/>
                <w:szCs w:val="21"/>
                <w:highlight w:val="none"/>
                <w:u w:val="single"/>
              </w:rPr>
            </w:pPr>
            <w:r>
              <w:rPr>
                <w:rFonts w:hint="eastAsia" w:ascii="宋体" w:hAnsi="宋体" w:eastAsia="宋体" w:cs="宋体"/>
                <w:szCs w:val="21"/>
                <w:highlight w:val="none"/>
              </w:rPr>
              <w:t>争议的最终解决方式：</w:t>
            </w:r>
            <w:r>
              <w:rPr>
                <w:rFonts w:hint="eastAsia" w:ascii="宋体" w:hAnsi="宋体" w:eastAsia="宋体" w:cs="宋体"/>
                <w:szCs w:val="21"/>
                <w:highlight w:val="none"/>
                <w:u w:val="single"/>
              </w:rPr>
              <w:t>仲裁</w:t>
            </w:r>
          </w:p>
          <w:p w14:paraId="7D66B9DC">
            <w:pPr>
              <w:spacing w:line="360" w:lineRule="auto"/>
              <w:rPr>
                <w:rFonts w:hint="eastAsia" w:ascii="宋体" w:hAnsi="宋体" w:eastAsia="宋体" w:cs="宋体"/>
                <w:szCs w:val="21"/>
                <w:highlight w:val="none"/>
              </w:rPr>
            </w:pPr>
            <w:r>
              <w:rPr>
                <w:rFonts w:hint="eastAsia" w:ascii="宋体" w:hAnsi="宋体" w:eastAsia="宋体" w:cs="宋体"/>
                <w:kern w:val="0"/>
                <w:szCs w:val="21"/>
                <w:highlight w:val="none"/>
              </w:rPr>
              <w:t>如仲裁向</w:t>
            </w:r>
            <w:r>
              <w:rPr>
                <w:rFonts w:hint="eastAsia" w:ascii="宋体" w:hAnsi="宋体" w:eastAsia="宋体" w:cs="宋体"/>
                <w:kern w:val="0"/>
                <w:szCs w:val="21"/>
                <w:highlight w:val="none"/>
                <w:u w:val="single"/>
              </w:rPr>
              <w:t>南通</w:t>
            </w:r>
            <w:r>
              <w:rPr>
                <w:rFonts w:hint="eastAsia" w:ascii="宋体" w:hAnsi="宋体" w:eastAsia="宋体" w:cs="宋体"/>
                <w:szCs w:val="21"/>
                <w:highlight w:val="none"/>
                <w:u w:val="single"/>
              </w:rPr>
              <w:t>仲裁委员会</w:t>
            </w:r>
            <w:r>
              <w:rPr>
                <w:rFonts w:hint="eastAsia" w:ascii="宋体" w:hAnsi="宋体" w:eastAsia="宋体" w:cs="宋体"/>
                <w:kern w:val="0"/>
                <w:szCs w:val="21"/>
                <w:highlight w:val="none"/>
              </w:rPr>
              <w:t>提起</w:t>
            </w:r>
            <w:r>
              <w:rPr>
                <w:rFonts w:hint="eastAsia" w:ascii="宋体" w:hAnsi="宋体" w:eastAsia="宋体" w:cs="宋体"/>
                <w:szCs w:val="21"/>
                <w:highlight w:val="none"/>
                <w:u w:val="single"/>
              </w:rPr>
              <w:t>仲裁</w:t>
            </w:r>
          </w:p>
        </w:tc>
      </w:tr>
    </w:tbl>
    <w:p w14:paraId="2603EDA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1．定义与解释</w:t>
      </w:r>
    </w:p>
    <w:p w14:paraId="7AA2369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1.1.1项目</w:t>
      </w:r>
    </w:p>
    <w:p w14:paraId="6A80DFDF">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eastAsia="宋体" w:cs="宋体"/>
          <w:highlight w:val="none"/>
        </w:rPr>
        <w:t>项目名称：</w:t>
      </w:r>
      <w:r>
        <w:rPr>
          <w:rFonts w:hint="eastAsia" w:ascii="宋体" w:hAnsi="宋体" w:cs="宋体"/>
          <w:szCs w:val="21"/>
          <w:highlight w:val="none"/>
          <w:u w:val="single"/>
          <w:lang w:eastAsia="zh-CN"/>
        </w:rPr>
        <w:t>南通沿江港口公用锚地调整项目配套系船浮工程</w:t>
      </w:r>
      <w:r>
        <w:rPr>
          <w:rFonts w:hint="eastAsia" w:ascii="宋体" w:hAnsi="宋体" w:eastAsia="宋体" w:cs="宋体"/>
          <w:szCs w:val="21"/>
          <w:highlight w:val="none"/>
          <w:u w:val="single"/>
          <w:lang w:eastAsia="zh-CN"/>
        </w:rPr>
        <w:t>试验检测项目</w:t>
      </w:r>
    </w:p>
    <w:p w14:paraId="5C7A6F6A">
      <w:pPr>
        <w:spacing w:line="360" w:lineRule="auto"/>
        <w:ind w:firstLine="420" w:firstLineChars="200"/>
        <w:rPr>
          <w:rFonts w:hint="eastAsia" w:ascii="宋体" w:hAnsi="宋体" w:eastAsia="宋体" w:cs="宋体"/>
          <w:snapToGrid w:val="0"/>
          <w:kern w:val="0"/>
          <w:highlight w:val="none"/>
          <w:lang w:eastAsia="zh-CN"/>
        </w:rPr>
      </w:pPr>
      <w:r>
        <w:rPr>
          <w:rFonts w:hint="eastAsia" w:ascii="宋体" w:hAnsi="宋体" w:eastAsia="宋体" w:cs="宋体"/>
          <w:highlight w:val="none"/>
        </w:rPr>
        <w:t>委托人名称：</w:t>
      </w:r>
      <w:r>
        <w:rPr>
          <w:rFonts w:hint="eastAsia" w:ascii="宋体" w:hAnsi="宋体" w:eastAsia="宋体" w:cs="宋体"/>
          <w:snapToGrid w:val="0"/>
          <w:kern w:val="0"/>
          <w:highlight w:val="none"/>
          <w:u w:val="single"/>
          <w:lang w:eastAsia="zh-CN"/>
        </w:rPr>
        <w:t xml:space="preserve">南通市交通公共事业发展中心 </w:t>
      </w:r>
    </w:p>
    <w:p w14:paraId="5673A10A">
      <w:pPr>
        <w:spacing w:line="360" w:lineRule="auto"/>
        <w:ind w:firstLine="420" w:firstLineChars="200"/>
        <w:rPr>
          <w:rFonts w:hint="eastAsia" w:ascii="宋体" w:hAnsi="宋体" w:eastAsia="宋体" w:cs="宋体"/>
          <w:highlight w:val="none"/>
        </w:rPr>
      </w:pPr>
      <w:bookmarkStart w:id="68" w:name="_Toc493408519"/>
      <w:r>
        <w:rPr>
          <w:rFonts w:hint="eastAsia" w:ascii="宋体" w:hAnsi="宋体" w:eastAsia="宋体" w:cs="宋体"/>
          <w:highlight w:val="none"/>
        </w:rPr>
        <w:t>1.1.2工程</w:t>
      </w:r>
      <w:bookmarkEnd w:id="68"/>
    </w:p>
    <w:p w14:paraId="599406E7">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工程地点：南通市</w:t>
      </w:r>
    </w:p>
    <w:p w14:paraId="50F1323C">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检测合同标段名称：</w:t>
      </w:r>
      <w:r>
        <w:rPr>
          <w:rFonts w:hint="eastAsia" w:ascii="宋体" w:hAnsi="宋体" w:eastAsia="宋体" w:cs="宋体"/>
          <w:highlight w:val="none"/>
          <w:u w:val="single"/>
          <w:lang w:eastAsia="zh-CN"/>
        </w:rPr>
        <w:t>XCF-JC</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标段</w:t>
      </w:r>
    </w:p>
    <w:p w14:paraId="216C11D6">
      <w:pPr>
        <w:spacing w:line="360" w:lineRule="auto"/>
        <w:ind w:firstLine="422" w:firstLineChars="200"/>
        <w:rPr>
          <w:rFonts w:hint="eastAsia" w:ascii="宋体" w:hAnsi="宋体" w:eastAsia="宋体" w:cs="宋体"/>
          <w:highlight w:val="none"/>
        </w:rPr>
      </w:pPr>
      <w:r>
        <w:rPr>
          <w:rFonts w:hint="eastAsia" w:ascii="宋体" w:hAnsi="宋体" w:eastAsia="宋体" w:cs="宋体"/>
          <w:b/>
          <w:szCs w:val="21"/>
          <w:highlight w:val="none"/>
        </w:rPr>
        <w:t>2．试验检测人的义务</w:t>
      </w:r>
    </w:p>
    <w:p w14:paraId="4ECBFFF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2.1.1服务形式</w:t>
      </w:r>
    </w:p>
    <w:p w14:paraId="00C5FB8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2.1.2服务范围</w:t>
      </w:r>
    </w:p>
    <w:p w14:paraId="6098513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2.1.2.1检测服务的工作范围：</w:t>
      </w:r>
      <w:r>
        <w:rPr>
          <w:rFonts w:hint="eastAsia" w:cs="宋体"/>
          <w:color w:val="auto"/>
          <w:sz w:val="21"/>
          <w:szCs w:val="21"/>
          <w:highlight w:val="none"/>
          <w:lang w:eastAsia="zh-CN"/>
        </w:rPr>
        <w:t>南通沿江港口公用锚地调整项目配套系船浮工程</w:t>
      </w:r>
      <w:r>
        <w:rPr>
          <w:rFonts w:hint="eastAsia" w:ascii="宋体" w:hAnsi="宋体" w:eastAsia="宋体" w:cs="宋体"/>
          <w:color w:val="auto"/>
          <w:sz w:val="21"/>
          <w:szCs w:val="21"/>
          <w:highlight w:val="none"/>
        </w:rPr>
        <w:t>施工图设计文件中</w:t>
      </w:r>
      <w:r>
        <w:rPr>
          <w:rFonts w:hint="eastAsia" w:ascii="宋体" w:hAnsi="宋体" w:eastAsia="宋体" w:cs="宋体"/>
          <w:color w:val="auto"/>
          <w:sz w:val="21"/>
          <w:szCs w:val="21"/>
          <w:highlight w:val="none"/>
          <w:lang w:val="en-US" w:eastAsia="zh-CN"/>
        </w:rPr>
        <w:t>施工过程中</w:t>
      </w:r>
      <w:r>
        <w:rPr>
          <w:rFonts w:hint="eastAsia" w:ascii="宋体" w:hAnsi="宋体" w:eastAsia="宋体" w:cs="宋体"/>
          <w:color w:val="auto"/>
          <w:sz w:val="21"/>
          <w:szCs w:val="21"/>
          <w:highlight w:val="none"/>
        </w:rPr>
        <w:t>的验证性检测服务，以及根据招标人要求的施工过程中的检测工作、交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验收检测等工作。本工程项目的检测内容、频率和要求应满足本项目设计文件要求、《水运工程质量检验标准》（JTS257- 2008）、《江苏省水运工程交（竣）工质量核验（鉴定）工作程序及标准》（苏交规〔2020〕3 号）等相关规范文件要求。</w:t>
      </w:r>
    </w:p>
    <w:p w14:paraId="0553CDF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2.1.2.2检测服务的工程范围：</w:t>
      </w:r>
      <w:r>
        <w:rPr>
          <w:rFonts w:hint="eastAsia" w:ascii="宋体" w:hAnsi="宋体" w:cs="宋体"/>
          <w:szCs w:val="21"/>
          <w:highlight w:val="none"/>
          <w:u w:val="single"/>
          <w:lang w:eastAsia="zh-CN"/>
        </w:rPr>
        <w:t>南通沿江港口公用锚地调整项目配套系船浮工程</w:t>
      </w:r>
    </w:p>
    <w:p w14:paraId="6016DE4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2.1.3检测服务的内容</w:t>
      </w:r>
    </w:p>
    <w:p w14:paraId="1E717973">
      <w:pPr>
        <w:spacing w:line="360" w:lineRule="auto"/>
        <w:ind w:left="30" w:firstLine="420" w:firstLineChars="200"/>
        <w:rPr>
          <w:rFonts w:hint="eastAsia" w:ascii="宋体" w:hAnsi="宋体" w:eastAsia="宋体" w:cs="宋体"/>
          <w:highlight w:val="none"/>
        </w:rPr>
      </w:pPr>
      <w:r>
        <w:rPr>
          <w:rFonts w:hint="eastAsia" w:ascii="宋体" w:hAnsi="宋体" w:eastAsia="宋体" w:cs="宋体"/>
          <w:highlight w:val="none"/>
        </w:rPr>
        <w:t>检测服务的内容：</w:t>
      </w:r>
    </w:p>
    <w:p w14:paraId="2212AE6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包括配合委托人进行现场质量管理；按规定频率对所有相关项目进行试验检测（注：检测服务包括但不限于本项目《工程量清单》所列项目及内容）；对标准试验进行抽查复核抽检；检查关键工程的工艺性试验；对施工单位试验进行全面监督、检查和指导；完成相应的检测工作；对工程质量缺陷、质量事故进行检查、报告；配合上级主管部门、委托人日常检查及交竣工验收试验检测工作等。</w:t>
      </w:r>
    </w:p>
    <w:p w14:paraId="7497CCF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2.3检测职责</w:t>
      </w:r>
    </w:p>
    <w:p w14:paraId="0FAB2ED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本款末增加：</w:t>
      </w:r>
    </w:p>
    <w:p w14:paraId="79400A77">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highlight w:val="none"/>
        </w:rPr>
        <w:t>2.3.4</w:t>
      </w:r>
      <w:r>
        <w:rPr>
          <w:rFonts w:hint="eastAsia" w:ascii="宋体" w:hAnsi="宋体" w:eastAsia="宋体" w:cs="宋体"/>
          <w:kern w:val="0"/>
          <w:szCs w:val="21"/>
          <w:highlight w:val="none"/>
        </w:rPr>
        <w:t>试验检测人将对本合同项下的工作全面负责。试验检测人应严格遵照国家、省市对水运工程质量检测的有关规定开展工作。</w:t>
      </w:r>
    </w:p>
    <w:p w14:paraId="778040E2">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2.3.5在签订合同且工程开工后一个月内，向委托人提交本工程检测工作计划方案；同时在各单位工程开工后15日内，向委托人提交各单位工程检测工作实施细则，经委托人批准同意后执行，并在实际工作中切实加以执行，并受其约束，同时作为委托人检查监督和验收试验检测人进行检测工作的依据。</w:t>
      </w:r>
    </w:p>
    <w:p w14:paraId="5FE36D8A">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2.3.6试验检测人收到委托人提供的检测工作依据的基础资料后，应仔细阅读，如发现任何错误、失误或缺陷，应在发现后及时通知委托人。</w:t>
      </w:r>
    </w:p>
    <w:p w14:paraId="396BA17F">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2.3.7</w:t>
      </w:r>
      <w:r>
        <w:rPr>
          <w:rFonts w:hint="eastAsia" w:ascii="宋体" w:hAnsi="宋体" w:eastAsia="宋体" w:cs="宋体"/>
          <w:kern w:val="0"/>
          <w:szCs w:val="21"/>
          <w:highlight w:val="none"/>
        </w:rPr>
        <w:t>试验检测人必须严格执行国家、</w:t>
      </w:r>
      <w:r>
        <w:rPr>
          <w:rFonts w:hint="eastAsia" w:ascii="宋体" w:hAnsi="宋体" w:cs="宋体"/>
          <w:kern w:val="0"/>
          <w:szCs w:val="21"/>
          <w:highlight w:val="none"/>
          <w:lang w:eastAsia="zh-CN"/>
        </w:rPr>
        <w:t>交通运输部</w:t>
      </w:r>
      <w:r>
        <w:rPr>
          <w:rFonts w:hint="eastAsia" w:ascii="宋体" w:hAnsi="宋体" w:eastAsia="宋体" w:cs="宋体"/>
          <w:kern w:val="0"/>
          <w:szCs w:val="21"/>
          <w:highlight w:val="none"/>
        </w:rPr>
        <w:t>和上级行政主管部门有关水运工程现行的法规和技术标准、规范、规程《水运工程质量检验标准》（JTS257-2008）、《</w:t>
      </w:r>
      <w:r>
        <w:rPr>
          <w:rFonts w:hint="eastAsia" w:ascii="宋体" w:hAnsi="宋体" w:eastAsia="宋体" w:cs="宋体"/>
          <w:i w:val="0"/>
          <w:iCs w:val="0"/>
          <w:caps w:val="0"/>
          <w:color w:val="333333"/>
          <w:spacing w:val="0"/>
          <w:kern w:val="0"/>
          <w:sz w:val="21"/>
          <w:szCs w:val="21"/>
          <w:highlight w:val="none"/>
          <w:shd w:val="clear" w:color="auto" w:fill="auto"/>
        </w:rPr>
        <w:t>江苏省公路水运工程质量监督管理办法</w:t>
      </w:r>
      <w:r>
        <w:rPr>
          <w:rFonts w:hint="eastAsia" w:ascii="宋体" w:hAnsi="宋体" w:eastAsia="宋体" w:cs="宋体"/>
          <w:kern w:val="0"/>
          <w:szCs w:val="21"/>
          <w:highlight w:val="none"/>
        </w:rPr>
        <w:t>》（苏交规〔20</w:t>
      </w:r>
      <w:r>
        <w:rPr>
          <w:rFonts w:hint="eastAsia" w:ascii="宋体" w:hAnsi="宋体" w:eastAsia="宋体" w:cs="宋体"/>
          <w:kern w:val="0"/>
          <w:szCs w:val="21"/>
          <w:highlight w:val="none"/>
          <w:lang w:eastAsia="zh-CN"/>
        </w:rPr>
        <w:t>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eastAsia="zh-CN"/>
        </w:rPr>
        <w:t>7</w:t>
      </w:r>
      <w:r>
        <w:rPr>
          <w:rFonts w:hint="eastAsia" w:ascii="宋体" w:hAnsi="宋体" w:eastAsia="宋体" w:cs="宋体"/>
          <w:kern w:val="0"/>
          <w:szCs w:val="21"/>
          <w:highlight w:val="none"/>
        </w:rPr>
        <w:t>号）、《公路水运工程试验检测管理办法》（交通运输部令2016年第80号）的相关要求及本项目的技术文件及规范开展检测工作，坚持原则、秉公办事，提供科学、准确的数据和报告。</w:t>
      </w:r>
    </w:p>
    <w:p w14:paraId="05F5A7FC">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2.3.8试验检测人在定期检测完毕向委托人提供检测成果和数据，包括定期检测报告、特殊检测报告以及相应的详细方案设计、工程量预算等，并对其完整性、正确性负责。情况特殊应及时提供专题报告：报告的具体格式、内容、份数等必须符合委托人的要求。试验检测人必须按照合同规定的形式、范围与内容履行与项目有关的检测服务，其具体内容在第四篇技术规范和相关服务要求规定。试验检测人向委托人提交的资料包括3份检测报告、1份电子文档，此费用已含在检测费中，委托人不另外支付。</w:t>
      </w:r>
    </w:p>
    <w:p w14:paraId="4B8CEF99">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2.3.9试验检测人应为实施检测工作提供所需的全部监督、劳务、设备、材料以及所有其他物品。</w:t>
      </w:r>
    </w:p>
    <w:p w14:paraId="0F39A833">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2.3.10试验检测人对所有技术方法的完备性、稳定性和安全性承担全部责任，对其所有工作人员工作中的失误、疏忽、玩忽职守承担全部责任。</w:t>
      </w:r>
    </w:p>
    <w:p w14:paraId="416C0EAD">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2.3.11试验检测人如需查阅本工程的有关设计文件、技术经济资料，应征得委托人同意。</w:t>
      </w:r>
    </w:p>
    <w:p w14:paraId="74CF3FA7">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2.3.12试验检测人可以按照合同规定获得委托人必要的帮助与配合。</w:t>
      </w:r>
    </w:p>
    <w:p w14:paraId="38BFD597">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2.3.13为完成本合同工程所需的全部施工设备（含试验和自检测量等设备）、器材、材料均由试验检测人负责提供、包括采购、验收、运输和保管，并按合同计划及时运到现场，费用由试验检测人自理。</w:t>
      </w:r>
    </w:p>
    <w:p w14:paraId="0621C68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2.3.14</w:t>
      </w:r>
      <w:r>
        <w:rPr>
          <w:rFonts w:hint="eastAsia" w:ascii="宋体" w:hAnsi="宋体" w:eastAsia="宋体" w:cs="宋体"/>
          <w:b/>
          <w:szCs w:val="21"/>
          <w:highlight w:val="none"/>
        </w:rPr>
        <w:t>本项目招标文件中提供的工程量清单仅供投标人报价时参考，不作为合同计量的唯一依据，合同期内，对于《工程量清单》中所列检测项目工程量的增加、未列项（漏项）的检测项目，试验检测人均须无条件提供检测服务，合同总价不予调整</w:t>
      </w:r>
      <w:r>
        <w:rPr>
          <w:rFonts w:hint="eastAsia" w:ascii="宋体" w:hAnsi="宋体" w:eastAsia="宋体" w:cs="宋体"/>
          <w:szCs w:val="21"/>
          <w:highlight w:val="none"/>
        </w:rPr>
        <w:t>。</w:t>
      </w:r>
    </w:p>
    <w:p w14:paraId="5A291728">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2.3.15本项目</w:t>
      </w:r>
      <w:r>
        <w:rPr>
          <w:rFonts w:hint="eastAsia" w:ascii="宋体" w:hAnsi="宋体" w:eastAsia="宋体" w:cs="宋体"/>
          <w:b/>
          <w:szCs w:val="21"/>
          <w:highlight w:val="none"/>
        </w:rPr>
        <w:t>试验检测人不得为</w:t>
      </w:r>
      <w:r>
        <w:rPr>
          <w:rFonts w:hint="eastAsia" w:ascii="宋体" w:hAnsi="宋体" w:cs="宋体"/>
          <w:b/>
          <w:szCs w:val="21"/>
          <w:highlight w:val="none"/>
          <w:lang w:eastAsia="zh-CN"/>
        </w:rPr>
        <w:t>南通沿江港口公用锚地调整项目配套系船浮工程</w:t>
      </w:r>
      <w:r>
        <w:rPr>
          <w:rFonts w:hint="eastAsia" w:ascii="宋体" w:hAnsi="宋体" w:eastAsia="宋体" w:cs="宋体"/>
          <w:b/>
          <w:szCs w:val="21"/>
          <w:highlight w:val="none"/>
        </w:rPr>
        <w:t>施工、监理、质监部门等单位提供本项目的检测服务。</w:t>
      </w:r>
    </w:p>
    <w:p w14:paraId="7FF1804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2.4检测人员</w:t>
      </w:r>
    </w:p>
    <w:p w14:paraId="231BFB7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2.4.1委托人对重要岗位检测人员的要求（见合同附件）</w:t>
      </w:r>
    </w:p>
    <w:p w14:paraId="42FDBF9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u w:val="single"/>
        </w:rPr>
        <w:t>重要岗位检测人员的技术职称、专业、年龄、资格、资历、业绩、数量等的具体要求满足招标公告的资格要求</w:t>
      </w:r>
      <w:r>
        <w:rPr>
          <w:rFonts w:hint="eastAsia" w:ascii="宋体" w:hAnsi="宋体" w:eastAsia="宋体" w:cs="宋体"/>
          <w:highlight w:val="none"/>
        </w:rPr>
        <w:t>，并且明确检测人员。</w:t>
      </w:r>
    </w:p>
    <w:p w14:paraId="7F5640B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本款末增加：</w:t>
      </w:r>
    </w:p>
    <w:p w14:paraId="3778821D">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highlight w:val="none"/>
        </w:rPr>
        <w:t>2.4.6</w:t>
      </w:r>
      <w:r>
        <w:rPr>
          <w:rFonts w:hint="eastAsia" w:ascii="宋体" w:hAnsi="宋体" w:eastAsia="宋体" w:cs="宋体"/>
          <w:kern w:val="0"/>
          <w:szCs w:val="21"/>
          <w:highlight w:val="none"/>
        </w:rPr>
        <w:t>在合同期内，未经委托人同意．不得随意更换人员。若确因特殊原因需要更换项目负责人、技术负责人或现场负责人时，须提前7天提交与拟更换人员具备同等或更高资质的人员报委托人批准，经委托人批准后，试验检测人必须支付委托人约定赔偿金。若委托人提出人员更换要求，试验检测人应在接到通知的7天内选派资格和经验为委托人接受的人员进行更换。由于更换人员引起的费用由试验检测人承担，其更换人员的资质仍应得到委托人的认可。</w:t>
      </w:r>
    </w:p>
    <w:p w14:paraId="404157F7">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highlight w:val="none"/>
        </w:rPr>
        <w:t>2.4.7</w:t>
      </w:r>
      <w:r>
        <w:rPr>
          <w:rFonts w:hint="eastAsia" w:ascii="宋体" w:hAnsi="宋体" w:eastAsia="宋体" w:cs="宋体"/>
          <w:kern w:val="0"/>
          <w:szCs w:val="21"/>
          <w:highlight w:val="none"/>
        </w:rPr>
        <w:t>试验检测人派驻到项目所在地履行检测服务的人员，必须能够适应合同规定的服务工作。</w:t>
      </w:r>
    </w:p>
    <w:p w14:paraId="33DE366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2.4.8</w:t>
      </w:r>
      <w:r>
        <w:rPr>
          <w:rFonts w:hint="eastAsia" w:ascii="宋体" w:hAnsi="宋体" w:eastAsia="宋体" w:cs="宋体"/>
          <w:kern w:val="0"/>
          <w:szCs w:val="21"/>
          <w:highlight w:val="none"/>
        </w:rPr>
        <w:t>为了履行检测服务，试验检测人应在检测工作中指定一名检测</w:t>
      </w:r>
      <w:r>
        <w:rPr>
          <w:rFonts w:hint="eastAsia" w:ascii="宋体" w:hAnsi="宋体" w:eastAsia="宋体" w:cs="宋体"/>
          <w:kern w:val="0"/>
          <w:szCs w:val="21"/>
          <w:highlight w:val="none"/>
          <w:lang w:val="en-US" w:eastAsia="zh-CN"/>
        </w:rPr>
        <w:t>人员</w:t>
      </w:r>
      <w:r>
        <w:rPr>
          <w:rFonts w:hint="eastAsia" w:ascii="宋体" w:hAnsi="宋体" w:eastAsia="宋体" w:cs="宋体"/>
          <w:kern w:val="0"/>
          <w:szCs w:val="21"/>
          <w:highlight w:val="none"/>
        </w:rPr>
        <w:t>作为授权代表与委托人的授权代表建立工作联系。</w:t>
      </w:r>
      <w:r>
        <w:rPr>
          <w:rFonts w:hint="eastAsia" w:ascii="宋体" w:hAnsi="宋体" w:eastAsia="宋体" w:cs="宋体"/>
          <w:kern w:val="0"/>
          <w:szCs w:val="21"/>
          <w:highlight w:val="none"/>
          <w:lang w:val="en-US" w:eastAsia="zh-CN"/>
        </w:rPr>
        <w:t>平均</w:t>
      </w:r>
      <w:r>
        <w:rPr>
          <w:rFonts w:hint="eastAsia" w:ascii="宋体" w:hAnsi="宋体" w:eastAsia="宋体" w:cs="宋体"/>
          <w:kern w:val="0"/>
          <w:szCs w:val="21"/>
          <w:highlight w:val="none"/>
        </w:rPr>
        <w:t>每</w:t>
      </w:r>
      <w:r>
        <w:rPr>
          <w:rFonts w:hint="eastAsia" w:ascii="宋体" w:hAnsi="宋体" w:eastAsia="宋体" w:cs="宋体"/>
          <w:kern w:val="0"/>
          <w:szCs w:val="21"/>
          <w:highlight w:val="none"/>
          <w:lang w:val="en-US" w:eastAsia="zh-CN"/>
        </w:rPr>
        <w:t>月</w:t>
      </w:r>
      <w:r>
        <w:rPr>
          <w:rFonts w:hint="eastAsia" w:ascii="宋体" w:hAnsi="宋体" w:eastAsia="宋体" w:cs="宋体"/>
          <w:kern w:val="0"/>
          <w:szCs w:val="21"/>
          <w:highlight w:val="none"/>
        </w:rPr>
        <w:t>出勤天数不少</w:t>
      </w:r>
      <w:r>
        <w:rPr>
          <w:rFonts w:hint="eastAsia" w:ascii="宋体" w:hAnsi="宋体" w:eastAsia="宋体" w:cs="宋体"/>
          <w:kern w:val="0"/>
          <w:szCs w:val="21"/>
          <w:highlight w:val="none"/>
          <w:lang w:val="en-US" w:eastAsia="zh-CN"/>
        </w:rPr>
        <w:t>于15</w:t>
      </w:r>
      <w:r>
        <w:rPr>
          <w:rFonts w:hint="eastAsia" w:ascii="宋体" w:hAnsi="宋体" w:eastAsia="宋体" w:cs="宋体"/>
          <w:kern w:val="0"/>
          <w:szCs w:val="21"/>
          <w:highlight w:val="none"/>
        </w:rPr>
        <w:t>天，并接受委托人考勤要求。每缺勤一天，试验检测人必须支付委托人</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000元/天约定赔偿金；每缺席参加一次工地例会，试验检测人必须支付委托人</w:t>
      </w:r>
      <w:r>
        <w:rPr>
          <w:rFonts w:hint="eastAsia" w:ascii="宋体" w:hAnsi="宋体" w:eastAsia="宋体" w:cs="宋体"/>
          <w:kern w:val="0"/>
          <w:szCs w:val="21"/>
          <w:highlight w:val="none"/>
          <w:lang w:val="en-US" w:eastAsia="zh-CN"/>
        </w:rPr>
        <w:t>2000</w:t>
      </w:r>
      <w:r>
        <w:rPr>
          <w:rFonts w:hint="eastAsia" w:ascii="宋体" w:hAnsi="宋体" w:eastAsia="宋体" w:cs="宋体"/>
          <w:kern w:val="0"/>
          <w:szCs w:val="21"/>
          <w:highlight w:val="none"/>
        </w:rPr>
        <w:t>元/次约定赔偿金。</w:t>
      </w:r>
    </w:p>
    <w:p w14:paraId="5DF59165">
      <w:pPr>
        <w:spacing w:line="360" w:lineRule="auto"/>
        <w:ind w:firstLine="420" w:firstLineChars="200"/>
        <w:rPr>
          <w:rFonts w:hint="eastAsia" w:ascii="宋体" w:hAnsi="宋体" w:eastAsia="宋体" w:cs="宋体"/>
          <w:highlight w:val="none"/>
        </w:rPr>
      </w:pPr>
      <w:bookmarkStart w:id="69" w:name="_Toc493408521"/>
      <w:r>
        <w:rPr>
          <w:rFonts w:hint="eastAsia" w:ascii="宋体" w:hAnsi="宋体" w:eastAsia="宋体" w:cs="宋体"/>
          <w:highlight w:val="none"/>
        </w:rPr>
        <w:t>2.5保密</w:t>
      </w:r>
      <w:bookmarkEnd w:id="69"/>
    </w:p>
    <w:p w14:paraId="631EE7C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在检测合同有效期内及以后的</w:t>
      </w:r>
      <w:r>
        <w:rPr>
          <w:rFonts w:hint="eastAsia" w:ascii="宋体" w:hAnsi="宋体" w:eastAsia="宋体" w:cs="宋体"/>
          <w:highlight w:val="none"/>
          <w:u w:val="single"/>
        </w:rPr>
        <w:t>三</w:t>
      </w:r>
      <w:r>
        <w:rPr>
          <w:rFonts w:hint="eastAsia" w:ascii="宋体" w:hAnsi="宋体" w:eastAsia="宋体" w:cs="宋体"/>
          <w:highlight w:val="none"/>
        </w:rPr>
        <w:t>年内，未经委托人同意，试验检测人不得泄露委托人与本项目、本工程、本检测合同有关的保密资料。</w:t>
      </w:r>
    </w:p>
    <w:p w14:paraId="2918F3F1">
      <w:pPr>
        <w:spacing w:line="360" w:lineRule="auto"/>
        <w:ind w:firstLine="422" w:firstLineChars="200"/>
        <w:rPr>
          <w:rFonts w:hint="eastAsia" w:ascii="宋体" w:hAnsi="宋体" w:eastAsia="宋体" w:cs="宋体"/>
          <w:highlight w:val="none"/>
        </w:rPr>
      </w:pPr>
      <w:r>
        <w:rPr>
          <w:rFonts w:hint="eastAsia" w:ascii="宋体" w:hAnsi="宋体" w:eastAsia="宋体" w:cs="宋体"/>
          <w:b/>
          <w:szCs w:val="21"/>
          <w:highlight w:val="none"/>
        </w:rPr>
        <w:t>3．委托人的义务</w:t>
      </w:r>
    </w:p>
    <w:p w14:paraId="20AB984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委托人不提供现场办公场所，若需现场办公，试验检测人应根据现场要求自行解决现场办公室，此费用包含在合同总价中。现场办公室需要配备的常用仪器设备及主要的现场办公用品。试验检测人应保证设备及现场办公用品的到位，满足现场检测工作需要。如委托人认为现场办公室配备的仪器设备和办公用品不能满足现场检测工作需要，则试验检测人一周内必须增加仪器设备和办公用品直至委托人满意为止。</w:t>
      </w:r>
    </w:p>
    <w:p w14:paraId="5BA4B62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3.2决定</w:t>
      </w:r>
    </w:p>
    <w:p w14:paraId="5E6D93E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委托人根据试验检测人有关针对本项目的质量和安全等重大问题的请示及时予以决定。委托人对上述请示给予书面答复的期限，自收到书面请示之日起最长不超过</w:t>
      </w:r>
      <w:r>
        <w:rPr>
          <w:rFonts w:hint="eastAsia" w:ascii="宋体" w:hAnsi="宋体" w:eastAsia="宋体" w:cs="宋体"/>
          <w:highlight w:val="none"/>
          <w:u w:val="single"/>
        </w:rPr>
        <w:t>15</w:t>
      </w:r>
      <w:r>
        <w:rPr>
          <w:rFonts w:hint="eastAsia" w:ascii="宋体" w:hAnsi="宋体" w:eastAsia="宋体" w:cs="宋体"/>
          <w:highlight w:val="none"/>
        </w:rPr>
        <w:t>天。</w:t>
      </w:r>
    </w:p>
    <w:p w14:paraId="1DC4C9BE">
      <w:pPr>
        <w:spacing w:line="360" w:lineRule="auto"/>
        <w:ind w:firstLine="420" w:firstLineChars="200"/>
        <w:rPr>
          <w:rFonts w:hint="eastAsia" w:ascii="宋体" w:hAnsi="宋体" w:eastAsia="宋体" w:cs="宋体"/>
          <w:highlight w:val="none"/>
        </w:rPr>
      </w:pPr>
      <w:bookmarkStart w:id="70" w:name="_Toc493408522"/>
      <w:r>
        <w:rPr>
          <w:rFonts w:hint="eastAsia" w:ascii="宋体" w:hAnsi="宋体" w:eastAsia="宋体" w:cs="宋体"/>
          <w:highlight w:val="none"/>
        </w:rPr>
        <w:t>3.3代表</w:t>
      </w:r>
    </w:p>
    <w:p w14:paraId="1F0FA7BE">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委托人授权代表：</w:t>
      </w:r>
      <w:r>
        <w:rPr>
          <w:rFonts w:hint="eastAsia" w:ascii="宋体" w:hAnsi="宋体" w:eastAsia="宋体" w:cs="宋体"/>
          <w:highlight w:val="none"/>
          <w:u w:val="single"/>
        </w:rPr>
        <w:t xml:space="preserve">          </w:t>
      </w:r>
    </w:p>
    <w:p w14:paraId="42A89700">
      <w:pPr>
        <w:spacing w:line="360" w:lineRule="auto"/>
        <w:ind w:firstLine="422" w:firstLineChars="200"/>
        <w:rPr>
          <w:rFonts w:hint="eastAsia" w:ascii="宋体" w:hAnsi="宋体" w:eastAsia="宋体" w:cs="宋体"/>
          <w:highlight w:val="none"/>
        </w:rPr>
      </w:pPr>
      <w:r>
        <w:rPr>
          <w:rFonts w:hint="eastAsia" w:ascii="宋体" w:hAnsi="宋体" w:eastAsia="宋体" w:cs="宋体"/>
          <w:b/>
          <w:szCs w:val="21"/>
          <w:highlight w:val="none"/>
        </w:rPr>
        <w:t>4．责任和保障</w:t>
      </w:r>
    </w:p>
    <w:p w14:paraId="184F0AA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4.1试验检测人的违约及赔偿责任</w:t>
      </w:r>
    </w:p>
    <w:p w14:paraId="238545A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4.1.1检测人员和仪器设备违约及赔偿责任</w:t>
      </w:r>
    </w:p>
    <w:p w14:paraId="6E0C474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）项目负责人和检测专业人员不得随意更换，如违反上述2.4.6条款人员更换情形的，试验检测人需向委托人支付约定赔偿金：项目负责人</w:t>
      </w:r>
      <w:r>
        <w:rPr>
          <w:rFonts w:hint="eastAsia" w:ascii="宋体" w:hAnsi="宋体" w:eastAsia="宋体" w:cs="宋体"/>
          <w:highlight w:val="none"/>
          <w:lang w:val="en-US" w:eastAsia="zh-CN"/>
        </w:rPr>
        <w:t>2000</w:t>
      </w:r>
      <w:r>
        <w:rPr>
          <w:rFonts w:hint="eastAsia" w:ascii="宋体" w:hAnsi="宋体" w:eastAsia="宋体" w:cs="宋体"/>
          <w:highlight w:val="none"/>
        </w:rPr>
        <w:t>元/人、技术负责人1</w:t>
      </w:r>
      <w:r>
        <w:rPr>
          <w:rFonts w:hint="eastAsia" w:ascii="宋体" w:hAnsi="宋体" w:eastAsia="宋体" w:cs="宋体"/>
          <w:highlight w:val="none"/>
          <w:lang w:val="en-US" w:eastAsia="zh-CN"/>
        </w:rPr>
        <w:t>000</w:t>
      </w:r>
      <w:r>
        <w:rPr>
          <w:rFonts w:hint="eastAsia" w:ascii="宋体" w:hAnsi="宋体" w:eastAsia="宋体" w:cs="宋体"/>
          <w:highlight w:val="none"/>
        </w:rPr>
        <w:t>元/人、试验检测工程师5</w:t>
      </w:r>
      <w:r>
        <w:rPr>
          <w:rFonts w:hint="eastAsia" w:ascii="宋体" w:hAnsi="宋体" w:eastAsia="宋体" w:cs="宋体"/>
          <w:highlight w:val="none"/>
          <w:lang w:val="en-US" w:eastAsia="zh-CN"/>
        </w:rPr>
        <w:t>00</w:t>
      </w:r>
      <w:r>
        <w:rPr>
          <w:rFonts w:hint="eastAsia" w:ascii="宋体" w:hAnsi="宋体" w:eastAsia="宋体" w:cs="宋体"/>
          <w:highlight w:val="none"/>
        </w:rPr>
        <w:t>元/人、试验检测员2</w:t>
      </w:r>
      <w:r>
        <w:rPr>
          <w:rFonts w:hint="eastAsia" w:ascii="宋体" w:hAnsi="宋体" w:eastAsia="宋体" w:cs="宋体"/>
          <w:highlight w:val="none"/>
          <w:lang w:val="en-US" w:eastAsia="zh-CN"/>
        </w:rPr>
        <w:t>00</w:t>
      </w:r>
      <w:r>
        <w:rPr>
          <w:rFonts w:hint="eastAsia" w:ascii="宋体" w:hAnsi="宋体" w:eastAsia="宋体" w:cs="宋体"/>
          <w:highlight w:val="none"/>
        </w:rPr>
        <w:t>元/人。擅自更换的，委托人可单方面终止合同，受托方承担上述违约金标准的双倍</w:t>
      </w:r>
      <w:r>
        <w:rPr>
          <w:rFonts w:hint="eastAsia" w:ascii="宋体" w:hAnsi="宋体" w:eastAsia="宋体" w:cs="宋体"/>
          <w:kern w:val="0"/>
          <w:szCs w:val="21"/>
          <w:highlight w:val="none"/>
        </w:rPr>
        <w:t>约定赔偿金</w:t>
      </w:r>
      <w:r>
        <w:rPr>
          <w:rFonts w:hint="eastAsia" w:ascii="宋体" w:hAnsi="宋体" w:eastAsia="宋体" w:cs="宋体"/>
          <w:highlight w:val="none"/>
        </w:rPr>
        <w:t>。</w:t>
      </w:r>
    </w:p>
    <w:p w14:paraId="0E7AD48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）因工伤、死亡无法继续履行试验检测职责而更换的，不予扣取违约金。试验检测人员采取消极履行试验检测职责、故意违规等迫使委托人要求更换的，应按照试验检测人擅自更换检测人员扣取违约金。</w:t>
      </w:r>
    </w:p>
    <w:p w14:paraId="4CB0AD1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如在试验检测服务期中发生未经委托人同意擅自更改办公、生活设施、试验检测、测量仪器和交通工具的标准和数量或撤离，以至无法满足正常试验检测服务使用的，则参考单件仪器设备价值按1万元至5万元扣取违约金。</w:t>
      </w:r>
    </w:p>
    <w:p w14:paraId="4453D13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）试验检测人在合同期内为本项目对应的工程施工单位、监理单位提供本项目检测服务的，如发生一次，试验检测人向委托人支付约定赔偿金1000元/次，情节严重的委托人可单方面解除合同。</w:t>
      </w:r>
    </w:p>
    <w:p w14:paraId="7BF2627E">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4.1.2试验检测人的其他违约责任：</w:t>
      </w:r>
    </w:p>
    <w:p w14:paraId="426DC176">
      <w:pPr>
        <w:pStyle w:val="22"/>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(1)合同生效后，如试验检测人擅自中途停止或解除合同，除委托人应没收试验检测人的履约保证金外，试验检测人应向委托人双倍返还已支付的费用。</w:t>
      </w:r>
    </w:p>
    <w:p w14:paraId="37A26874">
      <w:pPr>
        <w:pStyle w:val="22"/>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(2)试验检测人因自身原因未按期向委托人提交检测成果，试验检测人应向委托人偿付由此而导致的委托人的损失费，每一检测成果每天的损失费按合同总价的0.5‰计算。</w:t>
      </w:r>
    </w:p>
    <w:p w14:paraId="64F5D3A1">
      <w:pPr>
        <w:pStyle w:val="22"/>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(3)检测人员责任心不强、检测工作不到位，使用规范错误，伪造检测数据出具错误检测数据或错误鉴定结论。试验检测人发现有危及工程结构安全和重要使用功能安全的问题时，未及时向委托人报告。</w:t>
      </w:r>
    </w:p>
    <w:p w14:paraId="3E3BD39C">
      <w:pPr>
        <w:pStyle w:val="22"/>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(4)试验检测人检测制度不全，档案资料不按规定存档。</w:t>
      </w:r>
    </w:p>
    <w:p w14:paraId="061AA347">
      <w:pPr>
        <w:pStyle w:val="22"/>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(5)试验检测人未能及时提出检测方案，导致现场施工进度滞后。</w:t>
      </w:r>
    </w:p>
    <w:p w14:paraId="5B9FE02C">
      <w:pPr>
        <w:pStyle w:val="22"/>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(6)违反廉政合同条款的规定。。</w:t>
      </w:r>
    </w:p>
    <w:p w14:paraId="08E7BE3E">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试验检测人发生以上第（3）～（6）条情况，委托人将视情节轻重对有关人员提出警告、责令更正、通报批评至逐出现场，试验检测人须支付委托人1万元至10万元的损失赔偿金。</w:t>
      </w:r>
    </w:p>
    <w:bookmarkEnd w:id="70"/>
    <w:p w14:paraId="12D49EEB">
      <w:pPr>
        <w:spacing w:line="360" w:lineRule="auto"/>
        <w:ind w:firstLine="420" w:firstLineChars="200"/>
        <w:rPr>
          <w:rFonts w:hint="eastAsia" w:ascii="宋体" w:hAnsi="宋体" w:eastAsia="宋体" w:cs="宋体"/>
          <w:highlight w:val="none"/>
        </w:rPr>
      </w:pPr>
      <w:bookmarkStart w:id="71" w:name="_Toc493408523"/>
      <w:r>
        <w:rPr>
          <w:rFonts w:hint="eastAsia" w:ascii="宋体" w:hAnsi="宋体" w:eastAsia="宋体" w:cs="宋体"/>
          <w:highlight w:val="none"/>
        </w:rPr>
        <w:t>4.2委托人的赔偿责任</w:t>
      </w:r>
      <w:bookmarkEnd w:id="71"/>
    </w:p>
    <w:p w14:paraId="4B745C5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本条修改为：</w:t>
      </w:r>
    </w:p>
    <w:p w14:paraId="3427670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合同生效后，因委托人原因，委托人提出终止合同，双方按照实际完成的工作量进行结算。</w:t>
      </w:r>
    </w:p>
    <w:p w14:paraId="09367600">
      <w:pPr>
        <w:spacing w:line="360" w:lineRule="auto"/>
        <w:ind w:firstLine="420" w:firstLineChars="200"/>
        <w:rPr>
          <w:rFonts w:hint="eastAsia" w:ascii="宋体" w:hAnsi="宋体" w:eastAsia="宋体" w:cs="宋体"/>
          <w:highlight w:val="none"/>
        </w:rPr>
      </w:pPr>
      <w:bookmarkStart w:id="72" w:name="_Toc493408524"/>
      <w:r>
        <w:rPr>
          <w:rFonts w:hint="eastAsia" w:ascii="宋体" w:hAnsi="宋体" w:eastAsia="宋体" w:cs="宋体"/>
          <w:highlight w:val="none"/>
        </w:rPr>
        <w:t>4.4赔偿的限额</w:t>
      </w:r>
      <w:bookmarkEnd w:id="72"/>
    </w:p>
    <w:p w14:paraId="4D27823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删除通用条款本条内容。</w:t>
      </w:r>
    </w:p>
    <w:p w14:paraId="50623CA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4.6保险</w:t>
      </w:r>
    </w:p>
    <w:p w14:paraId="297C461F">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根据国家规定，委托人要求试验检测人参加第三方责任险和人身意外伤害及装备保险，所有保险费用均应包含在所报清单的单价及总额价中。在本合同工程实施过程中，试验检测人雇员的人身死亡或伤残，或财产（设备）的损失或损害，由试验检测人自行负责，委托人不予赔偿。</w:t>
      </w:r>
    </w:p>
    <w:p w14:paraId="3B37A44C">
      <w:pPr>
        <w:spacing w:line="360" w:lineRule="auto"/>
        <w:ind w:firstLine="422" w:firstLineChars="200"/>
        <w:rPr>
          <w:rFonts w:hint="eastAsia" w:ascii="宋体" w:hAnsi="宋体" w:eastAsia="宋体" w:cs="宋体"/>
          <w:highlight w:val="none"/>
        </w:rPr>
      </w:pPr>
      <w:bookmarkStart w:id="73" w:name="_Toc493408527"/>
      <w:r>
        <w:rPr>
          <w:rFonts w:hint="eastAsia" w:ascii="宋体" w:hAnsi="宋体" w:eastAsia="宋体" w:cs="宋体"/>
          <w:b/>
          <w:szCs w:val="21"/>
          <w:highlight w:val="none"/>
        </w:rPr>
        <w:t>5．检测合同的生效、终止、变更、暂停与解除</w:t>
      </w:r>
    </w:p>
    <w:bookmarkEnd w:id="73"/>
    <w:p w14:paraId="0E71DEEC">
      <w:pPr>
        <w:spacing w:line="360" w:lineRule="auto"/>
        <w:ind w:firstLine="420" w:firstLineChars="200"/>
        <w:rPr>
          <w:rFonts w:hint="eastAsia" w:ascii="宋体" w:hAnsi="宋体" w:eastAsia="宋体" w:cs="宋体"/>
          <w:highlight w:val="none"/>
        </w:rPr>
      </w:pPr>
      <w:bookmarkStart w:id="74" w:name="_Toc493408528"/>
      <w:r>
        <w:rPr>
          <w:rFonts w:hint="eastAsia" w:ascii="宋体" w:hAnsi="宋体" w:eastAsia="宋体" w:cs="宋体"/>
          <w:highlight w:val="none"/>
        </w:rPr>
        <w:t>5.4.4物价变动的调整办法</w:t>
      </w:r>
      <w:bookmarkEnd w:id="74"/>
    </w:p>
    <w:p w14:paraId="4D8D984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u w:val="single"/>
        </w:rPr>
        <w:t>不调整</w:t>
      </w:r>
      <w:r>
        <w:rPr>
          <w:rFonts w:hint="eastAsia" w:ascii="宋体" w:hAnsi="宋体" w:eastAsia="宋体" w:cs="宋体"/>
          <w:highlight w:val="none"/>
        </w:rPr>
        <w:t>。</w:t>
      </w:r>
    </w:p>
    <w:p w14:paraId="3AF0699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5.5检测合同的暂停与解除</w:t>
      </w:r>
    </w:p>
    <w:p w14:paraId="6D25B59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5.5.1出现根据本检测合同的规定不应由试验检测人负责的情况，且该情况已使试验检测人不能继续履行全部或部分检测服务时，试验检测人应立即书面通知委托人。并且：</w:t>
      </w:r>
    </w:p>
    <w:p w14:paraId="1051A96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5.5.1.1不得不暂停或减缓某些检测服务时，则上述服务的完成期限应予以延长；</w:t>
      </w:r>
    </w:p>
    <w:p w14:paraId="6571F4C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5.5.1.2全部检测服务已无法继续履行时，试验检测人在书面通知委托人28日之后，双方经协商一致后，可终止本合同并按照实际完成的工作了进行结算。委托人应及时向试验检测人返还全部或剩余部分的履约保证金；</w:t>
      </w:r>
    </w:p>
    <w:p w14:paraId="422218AD">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删除5.5.4。</w:t>
      </w:r>
    </w:p>
    <w:p w14:paraId="7DD26BB9">
      <w:pPr>
        <w:spacing w:line="360" w:lineRule="auto"/>
        <w:ind w:firstLine="422" w:firstLineChars="200"/>
        <w:rPr>
          <w:rFonts w:hint="eastAsia" w:ascii="宋体" w:hAnsi="宋体" w:eastAsia="宋体" w:cs="宋体"/>
          <w:b/>
          <w:highlight w:val="none"/>
        </w:rPr>
      </w:pPr>
      <w:bookmarkStart w:id="75" w:name="_Toc493408529"/>
      <w:r>
        <w:rPr>
          <w:rFonts w:hint="eastAsia" w:ascii="宋体" w:hAnsi="宋体" w:eastAsia="宋体" w:cs="宋体"/>
          <w:b/>
          <w:highlight w:val="none"/>
        </w:rPr>
        <w:t>6.检测服务的费用与支付</w:t>
      </w:r>
    </w:p>
    <w:bookmarkEnd w:id="75"/>
    <w:p w14:paraId="41C8B8E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6.2支付</w:t>
      </w:r>
    </w:p>
    <w:p w14:paraId="423F114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6.2.1动员预付费</w:t>
      </w:r>
    </w:p>
    <w:p w14:paraId="6460D8C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无。</w:t>
      </w:r>
    </w:p>
    <w:p w14:paraId="3DC5942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6.2.2履约保证金</w:t>
      </w:r>
    </w:p>
    <w:p w14:paraId="1DAE333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6.2.2.1、在签署合同协议书前，试验检测人应按本合同规定，将履约保证金汇入委托人指定账户，作为试验检测人的履约担保。</w:t>
      </w:r>
    </w:p>
    <w:p w14:paraId="7D8CF16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6.2.2.2、履约保证金的金额为：10% 签约合同价。江苏省公路水运建设市场信用等级评定为 AA 级的投标单位（以最近一次江苏省公路水运建设市场信用等级评定公布结果为准），可以减少 20%的履约保证金； 最近一次被列入江苏省交通运输主管部门红名单的投标单位，可以减免 50%的履约保证金。</w:t>
      </w:r>
    </w:p>
    <w:p w14:paraId="4DEAEF1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6.2.2.3、除另有规定外，在出现下列情况之一时，试验检测人的履约保证金将被委托人全部没收或部分没收；</w:t>
      </w:r>
    </w:p>
    <w:p w14:paraId="25C6B75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①中标以后，在检查过程中，试验检测人擅自撤换本合同项目负责人；</w:t>
      </w:r>
    </w:p>
    <w:p w14:paraId="72DFF06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②合同签署后，试验检测人承诺的设备不能全部到场，或到场后在合同期内未经委托人同意中途撤出。</w:t>
      </w:r>
    </w:p>
    <w:p w14:paraId="3D4797E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③在合同过程中，试验检测人擅自撕毁合同、撤离工地、中止施工；</w:t>
      </w:r>
    </w:p>
    <w:p w14:paraId="7001DEF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④在合同过程中，试验检测人确实不能履行本合同的各项责任和义务，致使工期严重滞后，检查质量无法达标，且拒不执行委托人为此而签发的指令，不能限期改正，已经或将要对工程建设造成巨大损失，最终经委托人批准，中止合同，并限期撤离工地；</w:t>
      </w:r>
    </w:p>
    <w:p w14:paraId="203A7DA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6.2.2.4、履约保证金在服务期结束后由委托人无息退还给试验检测人。</w:t>
      </w:r>
    </w:p>
    <w:p w14:paraId="3E4BB68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6.2.4支付方式与支付内容</w:t>
      </w:r>
    </w:p>
    <w:p w14:paraId="6245481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6.2.4.1</w:t>
      </w:r>
      <w:bookmarkStart w:id="76" w:name="_Hlk39592216"/>
      <w:r>
        <w:rPr>
          <w:rFonts w:hint="eastAsia" w:ascii="宋体" w:hAnsi="宋体" w:eastAsia="宋体" w:cs="宋体"/>
          <w:bCs/>
          <w:highlight w:val="none"/>
        </w:rPr>
        <w:t>委托</w:t>
      </w:r>
      <w:r>
        <w:rPr>
          <w:rFonts w:hint="eastAsia" w:ascii="宋体" w:hAnsi="宋体" w:eastAsia="宋体" w:cs="宋体"/>
          <w:szCs w:val="21"/>
          <w:highlight w:val="none"/>
        </w:rPr>
        <w:t>人收到试验检测人计量结算报表、进度款申请材料及符合</w:t>
      </w:r>
      <w:r>
        <w:rPr>
          <w:rFonts w:hint="eastAsia" w:ascii="宋体" w:hAnsi="宋体" w:eastAsia="宋体" w:cs="宋体"/>
          <w:bCs/>
          <w:highlight w:val="none"/>
        </w:rPr>
        <w:t>委托</w:t>
      </w:r>
      <w:r>
        <w:rPr>
          <w:rFonts w:hint="eastAsia" w:ascii="宋体" w:hAnsi="宋体" w:eastAsia="宋体" w:cs="宋体"/>
          <w:szCs w:val="21"/>
          <w:highlight w:val="none"/>
        </w:rPr>
        <w:t>人要求的增值税专用发票后56日内，按以下方式支付：</w:t>
      </w:r>
    </w:p>
    <w:p w14:paraId="12E57477">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交工验收合格后支付至合同价款的85%，工程结算审计完成后支付至合同价款的97%（扣除相应款项），合同价款的3%作为预留缺陷责任期服务费，缺陷责任期满双方无争议且工程审计结算完成后扣除应赔偿款项（若有）后付清。</w:t>
      </w:r>
      <w:bookmarkEnd w:id="76"/>
    </w:p>
    <w:p w14:paraId="00935D3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6.2.4.2、在签订本合同后，因法律、法规发生变化引起该检测费变化，以及因物价变动、规范性文件发生变化等其他因素而引起检测费变化，检测费不作调整。</w:t>
      </w:r>
    </w:p>
    <w:p w14:paraId="2917C248">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6.2.4.3、委托人、试验检测人对合同价款支付发生争议时．按本合同有关争议的约定处理。</w:t>
      </w:r>
    </w:p>
    <w:p w14:paraId="010109B5">
      <w:pPr>
        <w:spacing w:line="360" w:lineRule="auto"/>
        <w:ind w:firstLine="422" w:firstLineChars="200"/>
        <w:rPr>
          <w:rFonts w:hint="eastAsia" w:ascii="宋体" w:hAnsi="宋体" w:eastAsia="宋体" w:cs="宋体"/>
          <w:b/>
          <w:szCs w:val="21"/>
          <w:highlight w:val="none"/>
        </w:rPr>
      </w:pPr>
      <w:bookmarkStart w:id="77" w:name="_Toc493408531"/>
      <w:r>
        <w:rPr>
          <w:rFonts w:hint="eastAsia" w:ascii="宋体" w:hAnsi="宋体" w:eastAsia="宋体" w:cs="宋体"/>
          <w:b/>
          <w:szCs w:val="21"/>
          <w:highlight w:val="none"/>
        </w:rPr>
        <w:t>7．其它</w:t>
      </w:r>
    </w:p>
    <w:p w14:paraId="54D98AA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7.2语言和法律</w:t>
      </w:r>
      <w:bookmarkEnd w:id="77"/>
    </w:p>
    <w:p w14:paraId="57DFA39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检测合同的主导语言：</w:t>
      </w:r>
      <w:r>
        <w:rPr>
          <w:rFonts w:hint="eastAsia" w:ascii="宋体" w:hAnsi="宋体" w:eastAsia="宋体" w:cs="宋体"/>
          <w:highlight w:val="none"/>
          <w:u w:val="single"/>
        </w:rPr>
        <w:t>中文</w:t>
      </w:r>
      <w:r>
        <w:rPr>
          <w:rFonts w:hint="eastAsia" w:ascii="宋体" w:hAnsi="宋体" w:eastAsia="宋体" w:cs="宋体"/>
          <w:highlight w:val="none"/>
        </w:rPr>
        <w:t>。</w:t>
      </w:r>
    </w:p>
    <w:p w14:paraId="45AFF19D">
      <w:pPr>
        <w:tabs>
          <w:tab w:val="left" w:pos="360"/>
        </w:tabs>
        <w:autoSpaceDE w:val="0"/>
        <w:autoSpaceDN w:val="0"/>
        <w:spacing w:line="360" w:lineRule="auto"/>
        <w:ind w:firstLine="420" w:firstLineChars="200"/>
        <w:textAlignment w:val="bottom"/>
        <w:rPr>
          <w:rFonts w:hint="eastAsia" w:ascii="宋体" w:hAnsi="宋体" w:eastAsia="宋体" w:cs="宋体"/>
          <w:highlight w:val="none"/>
        </w:rPr>
      </w:pPr>
      <w:r>
        <w:rPr>
          <w:rFonts w:hint="eastAsia" w:ascii="宋体" w:hAnsi="宋体" w:eastAsia="宋体" w:cs="宋体"/>
          <w:highlight w:val="none"/>
        </w:rPr>
        <w:t>检测合同所遵循的法律：</w:t>
      </w:r>
      <w:r>
        <w:rPr>
          <w:rFonts w:hint="eastAsia" w:ascii="宋体" w:hAnsi="宋体" w:eastAsia="宋体" w:cs="宋体"/>
          <w:highlight w:val="none"/>
          <w:u w:val="single"/>
        </w:rPr>
        <w:t>本合同必须服从国家的现行法律和法规，对合同的解释应以国家的现行法律和法规为准。双方根据有关法律、行政法规规定，结合工程实际，经协商一致后，可对本检测合同条款进行补充或修改，另行签订补充协议，作为本合同的组成部分</w:t>
      </w:r>
      <w:r>
        <w:rPr>
          <w:rFonts w:hint="eastAsia" w:ascii="宋体" w:hAnsi="宋体" w:eastAsia="宋体" w:cs="宋体"/>
          <w:highlight w:val="none"/>
        </w:rPr>
        <w:t>。</w:t>
      </w:r>
    </w:p>
    <w:p w14:paraId="0DBEA9E9">
      <w:pPr>
        <w:spacing w:line="360" w:lineRule="auto"/>
        <w:ind w:firstLine="420" w:firstLineChars="200"/>
        <w:rPr>
          <w:rFonts w:hint="eastAsia" w:ascii="宋体" w:hAnsi="宋体" w:eastAsia="宋体" w:cs="宋体"/>
          <w:highlight w:val="none"/>
        </w:rPr>
      </w:pPr>
      <w:bookmarkStart w:id="78" w:name="_Toc493408533"/>
      <w:r>
        <w:rPr>
          <w:rFonts w:hint="eastAsia" w:ascii="宋体" w:hAnsi="宋体" w:eastAsia="宋体" w:cs="宋体"/>
          <w:highlight w:val="none"/>
        </w:rPr>
        <w:t>7.5.2版权</w:t>
      </w:r>
      <w:bookmarkEnd w:id="78"/>
    </w:p>
    <w:p w14:paraId="22D2957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委托人就本项目试验检测而向试验检测人提供的成果为委托人所拥有。试验检测人因受委托人委托进行的本项目试验检测而产生的成果均为双方共同享有，其中任何一方向第三方转让时须经另一方同意，但若委托人因推行本项目的需要向第三方透露检测成果，则无须经过试验检测人的同意。</w:t>
      </w:r>
    </w:p>
    <w:p w14:paraId="6B03D1E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本款末增加：</w:t>
      </w:r>
    </w:p>
    <w:p w14:paraId="220FA8CA">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7.8委托人不提供现场办公场所，试验检测人应根据现场要求自行解决现场办公室，此费用包含在合同总价中。现场办公室需要配备的常用仪器设备及主要的现场办公用品。试验检测人应保证设备及现场办公用品的到位，满足检查工作需要。如委托人认为现场办公室配备的仪器设备和办公用品不能满足工作需要，则试验检测人一周内必须增加仪器设备和办公用品直至委托人满意为止。</w:t>
      </w:r>
    </w:p>
    <w:p w14:paraId="391873FC">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7.9第三方责任险由试验检测人投保，包含在合同总价中，不单独计量与支付。</w:t>
      </w:r>
    </w:p>
    <w:p w14:paraId="0C799B60">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7.10试验检测人的雇员及装备的保险由试验检测人自行投保，包含在合同总价中，不单独计量与支付。</w:t>
      </w:r>
    </w:p>
    <w:p w14:paraId="7E6E32CC">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7.11实施本合同工程采取的安全保障措施，其中应配备必要的安全负责人，需配置临时交通安全设施，此费用包含在安全生产费用中。</w:t>
      </w:r>
    </w:p>
    <w:p w14:paraId="78AB62EE">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7.12试验检测人检测发生的车船费用均由试验检测人自行承担，含在投标总价中，不另行计量与支付。</w:t>
      </w:r>
    </w:p>
    <w:p w14:paraId="6AEB7307">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7.13试验检测人为实施本合同检测须遵守国家和地方有关环境保护和水土保持等方面有关法律法规并将其措施实施到位，所需费用包含在合同总价中，不单独计量与支付。试验检测人在实施作业过程中应做到文明检测，由此发生的费用包含在合同报价清单单价中，不单独报价。</w:t>
      </w:r>
    </w:p>
    <w:p w14:paraId="5A69A163">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7.14试验检测人在投标时应主动查阅本项目的有关设计文件、技术资料等。作为一个有经验的试验检测人，应充分考虑到委托人、委托人提供的清单以及相关资料和数据与合同实施过程中可能存有的偏差，试验检测人应综合考虑到报价中，服务费一率不作调整，投标人在报价时应充分考虑相关风险。</w:t>
      </w:r>
    </w:p>
    <w:p w14:paraId="7E02D2AF">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7.15委托人有权在相关规范标准规定范围内提出任何检测要求，额外增加的费用由双方协商后另行计量支付。</w:t>
      </w:r>
    </w:p>
    <w:p w14:paraId="47DCAA0B">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7.16在合同有效期间或合同专用条件规定的期限内，未经委托人的书面同意，试验检测人不得泄露委托人与本项目、本工程、本合同有关的保密资料。本项目试验检测人在检测服务期间及合格的检测数据交付后3年时间内，不得将工程的任何资料向第三方泄露，除非征得委托人的书面同意。</w:t>
      </w:r>
    </w:p>
    <w:p w14:paraId="4D7844AD">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7.17在履行合同过程中，试验检测人应遵守有关法律、法规以及有关主管部门的规章，并按照其要求支付所有费用。此费用已含在检查费用中，委托人不另外支付。</w:t>
      </w:r>
    </w:p>
    <w:p w14:paraId="222425F7">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7.18试验检测人应为合同实施提供所需的全部监督、劳务、设备、材料以及所有其他物品。</w:t>
      </w:r>
    </w:p>
    <w:p w14:paraId="04DA2FB4">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7.19试验检测人对所有技术方法的完备性、稳定性和安全性承担全部责任，对其所有工作人员工作中的失误、疏忽、玩忽职守承担全部责任。</w:t>
      </w:r>
    </w:p>
    <w:p w14:paraId="6B5B19C3">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7.20试验检测人如需查阅本工程的有关设计文件、技术经济资料，应征得委托人同意。</w:t>
      </w:r>
    </w:p>
    <w:p w14:paraId="112EEB71">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highlight w:val="none"/>
        </w:rPr>
        <w:t>7.21试验检测人必须设常驻正式办公地点，常备检测车辆及仪器。</w:t>
      </w:r>
    </w:p>
    <w:p w14:paraId="6083CF8D">
      <w:pPr>
        <w:spacing w:line="360" w:lineRule="auto"/>
        <w:ind w:firstLine="422" w:firstLineChars="200"/>
        <w:rPr>
          <w:rFonts w:hint="eastAsia" w:ascii="宋体" w:hAnsi="宋体" w:eastAsia="宋体" w:cs="宋体"/>
          <w:b/>
          <w:highlight w:val="none"/>
        </w:rPr>
      </w:pPr>
      <w:bookmarkStart w:id="79" w:name="_Toc493408534"/>
      <w:r>
        <w:rPr>
          <w:rFonts w:hint="eastAsia" w:ascii="宋体" w:hAnsi="宋体" w:eastAsia="宋体" w:cs="宋体"/>
          <w:b/>
          <w:highlight w:val="none"/>
        </w:rPr>
        <w:t>8争端的解决</w:t>
      </w:r>
      <w:bookmarkEnd w:id="79"/>
    </w:p>
    <w:p w14:paraId="1E04C9D3">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双方在履行合同时发生争议，应当协调解决；如未能达成一致，可提交上级主管部门协调：若仍不能达成一致，双方约定通过仲裁方式解决。如诉讼向</w:t>
      </w:r>
      <w:r>
        <w:rPr>
          <w:rFonts w:hint="eastAsia" w:ascii="宋体" w:hAnsi="宋体" w:eastAsia="宋体" w:cs="宋体"/>
          <w:szCs w:val="21"/>
          <w:highlight w:val="none"/>
          <w:u w:val="single"/>
        </w:rPr>
        <w:t>南通仲裁委员会</w:t>
      </w:r>
      <w:r>
        <w:rPr>
          <w:rFonts w:hint="eastAsia" w:ascii="宋体" w:hAnsi="宋体" w:eastAsia="宋体" w:cs="宋体"/>
          <w:szCs w:val="21"/>
          <w:highlight w:val="none"/>
        </w:rPr>
        <w:t>提起仲裁。</w:t>
      </w:r>
    </w:p>
    <w:p w14:paraId="29B43A0E">
      <w:pPr>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9补充条款：</w:t>
      </w:r>
    </w:p>
    <w:p w14:paraId="6FE65B92">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9.1安全生产</w:t>
      </w:r>
    </w:p>
    <w:p w14:paraId="3DD3E10C">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在现场工作时，试验检测人应遵守政府有关安全法律法规，并对其人员的安全负责，在作业现场，试验检测人应采取必要的安全措施，并应保障委托人免于承担由此导致的一切诉讼、争执、索赔、罚款，任何事故和责任均由试验检测人承担。</w:t>
      </w:r>
    </w:p>
    <w:p w14:paraId="60712C1A">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9.2环境保护</w:t>
      </w:r>
    </w:p>
    <w:p w14:paraId="1FE8BA2E">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在本合同工程施工期间，试验检测人必须遵守国家有关环境保护的法令。</w:t>
      </w:r>
    </w:p>
    <w:p w14:paraId="5F6A7AEE">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如果由于试验检测人实施施工的原因，破坏了环境保护而导致的损失和赔偿，则由试验检测人承担全部责任。</w:t>
      </w:r>
    </w:p>
    <w:p w14:paraId="2DBD14D7">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9.3节能、环保要求</w:t>
      </w:r>
    </w:p>
    <w:p w14:paraId="0761CB34">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试验检测人在工程实施期间，应按照《江苏省交通运输行业节能减排工作考核办法》及国家、江苏省、委托人的相关规定，按照节能、环保的要求进行施工，并制定相应的保障措施。试验检测人投入本项目的施工机械、设备、车辆、用于本工程的施工材料、污水及固体废物排放等均应满足节能、环保的相关要求。委托人将委托相应专业机构对试验检测人节能、环保措施的落实情况进行检查监督，试验检测人应无条件予以配合并执行委托人提出的整改意见。上述所有工作发生的费用视为包含在投标报价中，不另行计量支付。</w:t>
      </w:r>
    </w:p>
    <w:p w14:paraId="394DBF3F">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9.5科技创新要求</w:t>
      </w:r>
    </w:p>
    <w:p w14:paraId="7E703B98">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委托人鼓励试验检测人科技创新，在检测过程中积极探索，将合适的新技术、新工艺、新设备用于本项目。</w:t>
      </w:r>
    </w:p>
    <w:p w14:paraId="1CE32354">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9.6廉政建设</w:t>
      </w:r>
    </w:p>
    <w:p w14:paraId="11E5AF3B">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试验检测人应自觉遵守相应的廉政建设的有关规定。</w:t>
      </w:r>
    </w:p>
    <w:p w14:paraId="4514FCA9">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9.7版权</w:t>
      </w:r>
    </w:p>
    <w:p w14:paraId="1D572428">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（1）对试验检测人拥有版权并已用于本检测服务中的所有文件，委托人有权在合同项目中使用或复制。但未经试验检测人同意，委托人不得将上述文件直接或间接用于其他项目、工程或服务之中。</w:t>
      </w:r>
    </w:p>
    <w:p w14:paraId="01D4E2DB">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（2）试验检测人应对由于自己或其代理人的过错包括侵犯版权或发明权而给委托人或任何第三方造成的损失负赔偿责任。</w:t>
      </w:r>
    </w:p>
    <w:p w14:paraId="04520F37">
      <w:pPr>
        <w:spacing w:line="360" w:lineRule="auto"/>
        <w:ind w:firstLine="420" w:firstLineChars="200"/>
        <w:rPr>
          <w:rFonts w:ascii="宋体" w:hAnsi="宋体" w:cs="宋体"/>
          <w:b/>
          <w:color w:val="auto"/>
          <w:highlight w:val="none"/>
        </w:rPr>
      </w:pPr>
      <w:r>
        <w:rPr>
          <w:rFonts w:hint="eastAsia" w:ascii="宋体" w:hAnsi="宋体" w:eastAsia="宋体" w:cs="宋体"/>
          <w:bCs/>
          <w:highlight w:val="none"/>
        </w:rPr>
        <w:t>（3）试验检测人要出版与本项目相关的一切资料，必须事先征得委托人方的书面同意。</w:t>
      </w:r>
    </w:p>
    <w:p w14:paraId="4DF30EA5">
      <w:pPr>
        <w:spacing w:line="360" w:lineRule="auto"/>
        <w:ind w:firstLine="420" w:firstLineChars="200"/>
        <w:rPr>
          <w:rFonts w:ascii="Garamond" w:hAnsi="Garamond"/>
          <w:color w:val="auto"/>
          <w:szCs w:val="21"/>
          <w:highlight w:val="none"/>
        </w:rPr>
      </w:pPr>
    </w:p>
    <w:p w14:paraId="31801491">
      <w:pPr>
        <w:spacing w:line="300" w:lineRule="auto"/>
        <w:rPr>
          <w:rFonts w:ascii="Garamond" w:hAnsi="Garamond"/>
          <w:color w:val="auto"/>
          <w:szCs w:val="21"/>
          <w:highlight w:val="none"/>
        </w:rPr>
        <w:sectPr>
          <w:footerReference r:id="rId8" w:type="even"/>
          <w:pgSz w:w="11906" w:h="16838"/>
          <w:pgMar w:top="1417" w:right="1247" w:bottom="1417" w:left="1417" w:header="851" w:footer="680" w:gutter="0"/>
          <w:pgNumType w:fmt="decimalFullWidth"/>
          <w:cols w:space="0" w:num="1"/>
          <w:docGrid w:linePitch="312" w:charSpace="0"/>
        </w:sectPr>
      </w:pPr>
    </w:p>
    <w:p w14:paraId="11572347">
      <w:pPr>
        <w:pStyle w:val="3"/>
        <w:jc w:val="center"/>
        <w:rPr>
          <w:rFonts w:ascii="Garamond" w:hAnsi="Garamond"/>
          <w:color w:val="auto"/>
          <w:highlight w:val="none"/>
        </w:rPr>
      </w:pPr>
      <w:r>
        <w:rPr>
          <w:rFonts w:ascii="Garamond" w:hAnsi="Garamond"/>
          <w:color w:val="auto"/>
          <w:highlight w:val="none"/>
        </w:rPr>
        <w:t>第三节  合同附件格式</w:t>
      </w:r>
    </w:p>
    <w:p w14:paraId="047D68D2">
      <w:pPr>
        <w:spacing w:line="300" w:lineRule="auto"/>
        <w:rPr>
          <w:rFonts w:eastAsia="黑体"/>
          <w:b/>
          <w:color w:val="auto"/>
          <w:sz w:val="24"/>
          <w:highlight w:val="none"/>
        </w:rPr>
      </w:pPr>
      <w:r>
        <w:rPr>
          <w:rFonts w:eastAsia="黑体"/>
          <w:b/>
          <w:color w:val="auto"/>
          <w:sz w:val="24"/>
          <w:highlight w:val="none"/>
        </w:rPr>
        <w:t>附件一： 合同协议书</w:t>
      </w:r>
    </w:p>
    <w:p w14:paraId="2E1AA97A">
      <w:pPr>
        <w:spacing w:after="120" w:afterLines="50" w:line="360" w:lineRule="auto"/>
        <w:ind w:firstLine="562" w:firstLineChars="200"/>
        <w:jc w:val="center"/>
        <w:rPr>
          <w:b/>
          <w:color w:val="auto"/>
          <w:sz w:val="28"/>
          <w:szCs w:val="28"/>
          <w:highlight w:val="none"/>
        </w:rPr>
      </w:pPr>
      <w:r>
        <w:rPr>
          <w:b/>
          <w:color w:val="auto"/>
          <w:sz w:val="28"/>
          <w:szCs w:val="28"/>
          <w:highlight w:val="none"/>
        </w:rPr>
        <w:t>合同协议书</w:t>
      </w:r>
    </w:p>
    <w:p w14:paraId="24243721">
      <w:pPr>
        <w:spacing w:line="360" w:lineRule="auto"/>
        <w:ind w:firstLine="492" w:firstLineChars="200"/>
        <w:rPr>
          <w:rFonts w:ascii="宋体" w:hAnsi="宋体" w:cs="宋体"/>
          <w:color w:val="auto"/>
          <w:szCs w:val="21"/>
          <w:highlight w:val="none"/>
        </w:rPr>
      </w:pPr>
      <w:r>
        <w:rPr>
          <w:rFonts w:hint="eastAsia" w:ascii="宋体" w:hAnsi="宋体" w:cs="宋体"/>
          <w:color w:val="auto"/>
          <w:spacing w:val="18"/>
          <w:szCs w:val="21"/>
          <w:highlight w:val="none"/>
        </w:rPr>
        <w:t>本协议书由</w:t>
      </w:r>
      <w:r>
        <w:rPr>
          <w:rFonts w:hint="eastAsia" w:ascii="宋体" w:hAnsi="宋体" w:cs="宋体"/>
          <w:color w:val="auto"/>
          <w:spacing w:val="18"/>
          <w:szCs w:val="21"/>
          <w:highlight w:val="none"/>
          <w:u w:val="single"/>
          <w:lang w:eastAsia="zh-CN"/>
        </w:rPr>
        <w:t>南通市交通公共事业发展中心</w:t>
      </w:r>
      <w:r>
        <w:rPr>
          <w:rFonts w:hint="eastAsia" w:ascii="宋体" w:hAnsi="宋体" w:cs="宋体"/>
          <w:color w:val="auto"/>
          <w:spacing w:val="18"/>
          <w:szCs w:val="21"/>
          <w:highlight w:val="none"/>
          <w:u w:val="single"/>
        </w:rPr>
        <w:t>（委托人全称）</w:t>
      </w:r>
      <w:r>
        <w:rPr>
          <w:rFonts w:hint="eastAsia" w:ascii="宋体" w:hAnsi="宋体" w:cs="宋体"/>
          <w:color w:val="auto"/>
          <w:spacing w:val="18"/>
          <w:szCs w:val="21"/>
          <w:highlight w:val="none"/>
        </w:rPr>
        <w:t>(以下简称“委托人”)</w:t>
      </w:r>
      <w:r>
        <w:rPr>
          <w:rFonts w:hint="eastAsia" w:ascii="宋体" w:hAnsi="宋体" w:cs="宋体"/>
          <w:color w:val="auto"/>
          <w:szCs w:val="21"/>
          <w:highlight w:val="none"/>
        </w:rPr>
        <w:t>与</w:t>
      </w:r>
      <w:r>
        <w:rPr>
          <w:rFonts w:hint="eastAsia" w:ascii="宋体" w:hAnsi="宋体" w:cs="宋体"/>
          <w:color w:val="auto"/>
          <w:szCs w:val="21"/>
          <w:highlight w:val="none"/>
          <w:u w:val="single"/>
        </w:rPr>
        <w:t>（受托人全称）</w:t>
      </w:r>
      <w:r>
        <w:rPr>
          <w:rFonts w:hint="eastAsia" w:ascii="宋体" w:hAnsi="宋体" w:cs="宋体"/>
          <w:color w:val="auto"/>
          <w:szCs w:val="21"/>
          <w:highlight w:val="none"/>
        </w:rPr>
        <w:t>(以下简称“受托人”)为另一方共同订立。</w:t>
      </w:r>
    </w:p>
    <w:p w14:paraId="493526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鉴于委托人已委托受托人为</w:t>
      </w:r>
      <w:r>
        <w:rPr>
          <w:rFonts w:hint="eastAsia" w:ascii="宋体" w:hAnsi="宋体" w:cs="宋体"/>
          <w:color w:val="auto"/>
          <w:szCs w:val="21"/>
          <w:highlight w:val="none"/>
          <w:u w:val="single"/>
          <w:lang w:eastAsia="zh-CN"/>
        </w:rPr>
        <w:t>南通沿江港口公用锚地调整项目配套系船浮工程试验检测项目XCF-JC标段</w:t>
      </w:r>
      <w:r>
        <w:rPr>
          <w:rFonts w:hint="eastAsia" w:ascii="宋体" w:hAnsi="宋体" w:cs="宋体"/>
          <w:color w:val="auto"/>
          <w:szCs w:val="21"/>
          <w:highlight w:val="none"/>
        </w:rPr>
        <w:t>提供检测服务，并已接受了受托人就此提出的投标文件，为明确双方在合同期间的义务、责任、权力和利益，兹就以下事项达成协议：</w:t>
      </w:r>
    </w:p>
    <w:p w14:paraId="55386A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一、本协议书中的词句和用语与通用合同条款中规定的定义相同。</w:t>
      </w:r>
    </w:p>
    <w:p w14:paraId="04D312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二、下列文件是本协议书的组成部分，应作为协议书的有效内容予以遵守和执行。下列文件将互相补充，若有不明确或不一致之处，应按时间顺序以最后编写或双方最后确认的文件为准。</w:t>
      </w:r>
    </w:p>
    <w:p w14:paraId="73ED51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1、合同协议书及附件；</w:t>
      </w:r>
    </w:p>
    <w:p w14:paraId="7B6B7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14:paraId="1DCF3C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函</w:t>
      </w:r>
      <w:r>
        <w:rPr>
          <w:rFonts w:hint="eastAsia" w:ascii="宋体" w:hAnsi="宋体" w:cs="宋体"/>
          <w:color w:val="auto"/>
          <w:kern w:val="0"/>
          <w:szCs w:val="21"/>
          <w:highlight w:val="none"/>
        </w:rPr>
        <w:t>及投标函附录；</w:t>
      </w:r>
    </w:p>
    <w:p w14:paraId="45A1C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4、专用合同条款；</w:t>
      </w:r>
    </w:p>
    <w:p w14:paraId="0C4D35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5、通用合同条款；</w:t>
      </w:r>
    </w:p>
    <w:p w14:paraId="68B7F7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6、技术标准和要求；</w:t>
      </w:r>
    </w:p>
    <w:p w14:paraId="4FF5C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7、标价的工程量清单；</w:t>
      </w:r>
    </w:p>
    <w:p w14:paraId="2179A9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8、在本专用合同条款中可能规定的构成本合同组成部分的其他文件。</w:t>
      </w:r>
    </w:p>
    <w:p w14:paraId="7AA785ED">
      <w:pPr>
        <w:spacing w:line="360" w:lineRule="auto"/>
        <w:ind w:firstLine="420" w:firstLineChars="200"/>
        <w:rPr>
          <w:color w:val="auto"/>
          <w:szCs w:val="21"/>
          <w:highlight w:val="none"/>
        </w:rPr>
      </w:pPr>
      <w:r>
        <w:rPr>
          <w:rFonts w:hint="eastAsia"/>
          <w:color w:val="auto"/>
          <w:szCs w:val="21"/>
          <w:highlight w:val="none"/>
        </w:rPr>
        <w:t>三、项目负责人为</w:t>
      </w:r>
      <w:r>
        <w:rPr>
          <w:rFonts w:hint="eastAsia"/>
          <w:color w:val="auto"/>
          <w:szCs w:val="21"/>
          <w:highlight w:val="none"/>
          <w:u w:val="single"/>
        </w:rPr>
        <w:t xml:space="preserve">              ，联系电话：              </w:t>
      </w:r>
      <w:r>
        <w:rPr>
          <w:rFonts w:hint="eastAsia"/>
          <w:color w:val="auto"/>
          <w:szCs w:val="21"/>
          <w:highlight w:val="none"/>
        </w:rPr>
        <w:t>。</w:t>
      </w:r>
    </w:p>
    <w:p w14:paraId="38BA46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四、本合同计划服务期：</w:t>
      </w:r>
      <w:r>
        <w:rPr>
          <w:rFonts w:hint="eastAsia"/>
          <w:color w:val="auto"/>
          <w:szCs w:val="21"/>
          <w:highlight w:val="none"/>
          <w:u w:val="single"/>
        </w:rPr>
        <w:t xml:space="preserve">         </w:t>
      </w:r>
      <w:r>
        <w:rPr>
          <w:rFonts w:hint="eastAsia" w:ascii="宋体" w:hAnsi="宋体" w:cs="宋体"/>
          <w:color w:val="auto"/>
          <w:szCs w:val="21"/>
          <w:highlight w:val="none"/>
        </w:rPr>
        <w:t>。</w:t>
      </w:r>
    </w:p>
    <w:p w14:paraId="44B787D7">
      <w:pPr>
        <w:spacing w:line="360" w:lineRule="auto"/>
        <w:ind w:firstLine="420" w:firstLineChars="200"/>
        <w:rPr>
          <w:color w:val="auto"/>
          <w:szCs w:val="21"/>
          <w:highlight w:val="none"/>
        </w:rPr>
      </w:pPr>
      <w:r>
        <w:rPr>
          <w:rFonts w:hint="eastAsia"/>
          <w:color w:val="auto"/>
          <w:szCs w:val="21"/>
          <w:highlight w:val="none"/>
        </w:rPr>
        <w:t>五、本项目为总价合同，合同总价为（大写）</w:t>
      </w:r>
      <w:r>
        <w:rPr>
          <w:rFonts w:hint="eastAsia"/>
          <w:color w:val="auto"/>
          <w:szCs w:val="21"/>
          <w:highlight w:val="none"/>
          <w:u w:val="single"/>
        </w:rPr>
        <w:t xml:space="preserve">  元整(￥   )</w:t>
      </w:r>
      <w:r>
        <w:rPr>
          <w:rFonts w:hint="eastAsia"/>
          <w:color w:val="auto"/>
          <w:szCs w:val="21"/>
          <w:highlight w:val="none"/>
        </w:rPr>
        <w:t>。</w:t>
      </w:r>
    </w:p>
    <w:p w14:paraId="3FBEF6A6">
      <w:pPr>
        <w:spacing w:line="360" w:lineRule="auto"/>
        <w:ind w:firstLine="420" w:firstLineChars="200"/>
        <w:rPr>
          <w:color w:val="auto"/>
          <w:szCs w:val="21"/>
          <w:highlight w:val="none"/>
        </w:rPr>
      </w:pPr>
      <w:r>
        <w:rPr>
          <w:rFonts w:hint="eastAsia"/>
          <w:color w:val="auto"/>
          <w:szCs w:val="21"/>
          <w:highlight w:val="none"/>
        </w:rPr>
        <w:t>六、</w:t>
      </w:r>
      <w:r>
        <w:rPr>
          <w:color w:val="auto"/>
          <w:szCs w:val="21"/>
          <w:highlight w:val="none"/>
        </w:rPr>
        <w:t>委托人在此同意按照本检测合同规定的期限和方式，向</w:t>
      </w:r>
      <w:r>
        <w:rPr>
          <w:rFonts w:hint="eastAsia"/>
          <w:color w:val="auto"/>
          <w:szCs w:val="21"/>
          <w:highlight w:val="none"/>
        </w:rPr>
        <w:t>受托人</w:t>
      </w:r>
      <w:r>
        <w:rPr>
          <w:color w:val="auto"/>
          <w:szCs w:val="21"/>
          <w:highlight w:val="none"/>
        </w:rPr>
        <w:t>支付根据检测合同规定应支付的费用和提供检测工作条件。</w:t>
      </w:r>
    </w:p>
    <w:p w14:paraId="1AE8A7EB">
      <w:pPr>
        <w:spacing w:line="360" w:lineRule="auto"/>
        <w:ind w:firstLine="420" w:firstLineChars="200"/>
        <w:rPr>
          <w:color w:val="auto"/>
          <w:szCs w:val="21"/>
          <w:highlight w:val="none"/>
        </w:rPr>
      </w:pPr>
      <w:r>
        <w:rPr>
          <w:rFonts w:hint="eastAsia"/>
          <w:color w:val="auto"/>
          <w:szCs w:val="21"/>
          <w:highlight w:val="none"/>
        </w:rPr>
        <w:t>支付方式：全部工作完成后，提供符合要求的成果并通过委托人审核后一个月内结清。以上均不计利息</w:t>
      </w:r>
      <w:r>
        <w:rPr>
          <w:color w:val="auto"/>
          <w:szCs w:val="21"/>
          <w:highlight w:val="none"/>
        </w:rPr>
        <w:t>。</w:t>
      </w:r>
    </w:p>
    <w:p w14:paraId="015CA2CD">
      <w:pPr>
        <w:spacing w:line="360" w:lineRule="auto"/>
        <w:ind w:firstLine="420" w:firstLineChars="200"/>
        <w:rPr>
          <w:color w:val="auto"/>
          <w:szCs w:val="21"/>
          <w:highlight w:val="none"/>
        </w:rPr>
      </w:pPr>
      <w:r>
        <w:rPr>
          <w:rFonts w:hint="eastAsia"/>
          <w:color w:val="auto"/>
          <w:szCs w:val="21"/>
          <w:highlight w:val="none"/>
        </w:rPr>
        <w:t>七</w:t>
      </w:r>
      <w:r>
        <w:rPr>
          <w:color w:val="auto"/>
          <w:szCs w:val="21"/>
          <w:highlight w:val="none"/>
        </w:rPr>
        <w:t>、</w:t>
      </w:r>
      <w:r>
        <w:rPr>
          <w:rFonts w:hint="eastAsia"/>
          <w:color w:val="auto"/>
          <w:szCs w:val="21"/>
          <w:highlight w:val="none"/>
        </w:rPr>
        <w:t>受托人</w:t>
      </w:r>
      <w:r>
        <w:rPr>
          <w:color w:val="auto"/>
          <w:szCs w:val="21"/>
          <w:highlight w:val="none"/>
        </w:rPr>
        <w:t>基于委托人的上述保证，在此向委托人承诺按照本检测合同的规定履行检测服务。</w:t>
      </w:r>
    </w:p>
    <w:p w14:paraId="5F5C8BD6">
      <w:pPr>
        <w:spacing w:line="360" w:lineRule="auto"/>
        <w:ind w:firstLine="420" w:firstLineChars="200"/>
        <w:rPr>
          <w:color w:val="auto"/>
          <w:szCs w:val="21"/>
          <w:highlight w:val="none"/>
        </w:rPr>
      </w:pPr>
      <w:r>
        <w:rPr>
          <w:rFonts w:hint="eastAsia"/>
          <w:color w:val="auto"/>
          <w:szCs w:val="21"/>
          <w:highlight w:val="none"/>
        </w:rPr>
        <w:t>八</w:t>
      </w:r>
      <w:r>
        <w:rPr>
          <w:color w:val="auto"/>
          <w:szCs w:val="21"/>
          <w:highlight w:val="none"/>
        </w:rPr>
        <w:t>、本协议书经双方签字盖章</w:t>
      </w:r>
      <w:r>
        <w:rPr>
          <w:rFonts w:hint="eastAsia"/>
          <w:color w:val="auto"/>
          <w:szCs w:val="21"/>
          <w:highlight w:val="none"/>
        </w:rPr>
        <w:t>后立即</w:t>
      </w:r>
      <w:r>
        <w:rPr>
          <w:color w:val="auto"/>
          <w:szCs w:val="21"/>
          <w:highlight w:val="none"/>
        </w:rPr>
        <w:t>生效，至双方按照检测合同的规定履行完各自的义务和责任后自然失效。</w:t>
      </w:r>
    </w:p>
    <w:p w14:paraId="57FFD9CE">
      <w:pPr>
        <w:spacing w:line="360" w:lineRule="auto"/>
        <w:ind w:firstLine="420" w:firstLineChars="200"/>
        <w:rPr>
          <w:rFonts w:ascii="宋体" w:hAnsi="宋体" w:cs="宋体"/>
          <w:color w:val="auto"/>
          <w:szCs w:val="21"/>
          <w:highlight w:val="none"/>
        </w:rPr>
      </w:pPr>
      <w:r>
        <w:rPr>
          <w:rFonts w:hint="eastAsia"/>
          <w:color w:val="auto"/>
          <w:szCs w:val="21"/>
          <w:highlight w:val="none"/>
        </w:rPr>
        <w:t>九</w:t>
      </w:r>
      <w:r>
        <w:rPr>
          <w:color w:val="auto"/>
          <w:szCs w:val="21"/>
          <w:highlight w:val="none"/>
        </w:rPr>
        <w:t>、本协议书正本一式两份，双方各执一份，具有同等法律效力。协议书副本</w:t>
      </w:r>
      <w:r>
        <w:rPr>
          <w:rFonts w:hint="eastAsia"/>
          <w:color w:val="auto"/>
          <w:szCs w:val="21"/>
          <w:highlight w:val="none"/>
        </w:rPr>
        <w:t>肆</w:t>
      </w:r>
      <w:r>
        <w:rPr>
          <w:color w:val="auto"/>
          <w:szCs w:val="21"/>
          <w:highlight w:val="none"/>
        </w:rPr>
        <w:t>份，双方各执两份。</w:t>
      </w:r>
    </w:p>
    <w:p w14:paraId="5FDD4C41">
      <w:pPr>
        <w:spacing w:after="120" w:afterLines="50" w:line="360" w:lineRule="auto"/>
        <w:ind w:firstLine="420" w:firstLineChars="200"/>
        <w:rPr>
          <w:rFonts w:ascii="宋体" w:hAnsi="宋体" w:cs="宋体"/>
          <w:color w:val="auto"/>
          <w:szCs w:val="21"/>
          <w:highlight w:val="none"/>
        </w:rPr>
      </w:pPr>
    </w:p>
    <w:p w14:paraId="16CC6132">
      <w:pPr>
        <w:spacing w:after="120" w:afterLines="50" w:line="360" w:lineRule="auto"/>
        <w:rPr>
          <w:color w:val="auto"/>
          <w:szCs w:val="21"/>
          <w:highlight w:val="none"/>
          <w:u w:val="single"/>
        </w:rPr>
      </w:pPr>
      <w:r>
        <w:rPr>
          <w:color w:val="auto"/>
          <w:szCs w:val="21"/>
          <w:highlight w:val="none"/>
        </w:rPr>
        <w:t>委托人:</w:t>
      </w:r>
      <w:r>
        <w:rPr>
          <w:color w:val="auto"/>
          <w:szCs w:val="21"/>
          <w:highlight w:val="none"/>
          <w:u w:val="single"/>
        </w:rPr>
        <w:t xml:space="preserve"> （全称） （盖章）  </w:t>
      </w:r>
      <w:r>
        <w:rPr>
          <w:color w:val="auto"/>
          <w:szCs w:val="21"/>
          <w:highlight w:val="none"/>
        </w:rPr>
        <w:t xml:space="preserve">　    　 </w:t>
      </w:r>
      <w:r>
        <w:rPr>
          <w:rFonts w:hint="eastAsia"/>
          <w:color w:val="auto"/>
          <w:szCs w:val="21"/>
          <w:highlight w:val="none"/>
        </w:rPr>
        <w:t xml:space="preserve">       受托人</w:t>
      </w:r>
      <w:r>
        <w:rPr>
          <w:color w:val="auto"/>
          <w:szCs w:val="21"/>
          <w:highlight w:val="none"/>
        </w:rPr>
        <w:t>:</w:t>
      </w:r>
      <w:r>
        <w:rPr>
          <w:color w:val="auto"/>
          <w:szCs w:val="21"/>
          <w:highlight w:val="none"/>
          <w:u w:val="single"/>
        </w:rPr>
        <w:t xml:space="preserve"> （全称） （盖章）</w:t>
      </w:r>
    </w:p>
    <w:p w14:paraId="0B691E43">
      <w:pPr>
        <w:spacing w:line="360" w:lineRule="auto"/>
        <w:ind w:right="468"/>
        <w:jc w:val="left"/>
        <w:rPr>
          <w:color w:val="auto"/>
          <w:szCs w:val="21"/>
          <w:highlight w:val="none"/>
          <w:u w:val="single"/>
        </w:rPr>
      </w:pPr>
      <w:r>
        <w:rPr>
          <w:color w:val="auto"/>
          <w:szCs w:val="21"/>
          <w:highlight w:val="none"/>
        </w:rPr>
        <w:t>法定代表人或其委托代理人：</w:t>
      </w:r>
      <w:r>
        <w:rPr>
          <w:color w:val="auto"/>
          <w:szCs w:val="21"/>
          <w:highlight w:val="none"/>
          <w:u w:val="single"/>
        </w:rPr>
        <w:t>（签字）</w:t>
      </w:r>
      <w:r>
        <w:rPr>
          <w:rFonts w:hint="eastAsia"/>
          <w:color w:val="auto"/>
          <w:szCs w:val="21"/>
          <w:highlight w:val="none"/>
          <w:u w:val="single"/>
        </w:rPr>
        <w:t xml:space="preserve">         </w:t>
      </w:r>
      <w:r>
        <w:rPr>
          <w:color w:val="auto"/>
          <w:szCs w:val="21"/>
          <w:highlight w:val="none"/>
        </w:rPr>
        <w:t>法定代表人或其委托代理人：</w:t>
      </w:r>
      <w:r>
        <w:rPr>
          <w:color w:val="auto"/>
          <w:szCs w:val="21"/>
          <w:highlight w:val="none"/>
          <w:u w:val="single"/>
        </w:rPr>
        <w:t>（签字）</w:t>
      </w:r>
    </w:p>
    <w:p w14:paraId="5849D727">
      <w:pPr>
        <w:tabs>
          <w:tab w:val="left" w:pos="4395"/>
          <w:tab w:val="left" w:pos="4678"/>
          <w:tab w:val="left" w:pos="4820"/>
        </w:tabs>
        <w:spacing w:line="360" w:lineRule="auto"/>
        <w:ind w:firstLine="1199" w:firstLineChars="571"/>
        <w:rPr>
          <w:color w:val="auto"/>
          <w:szCs w:val="21"/>
          <w:highlight w:val="none"/>
        </w:rPr>
      </w:pPr>
      <w:r>
        <w:rPr>
          <w:color w:val="auto"/>
          <w:szCs w:val="21"/>
          <w:highlight w:val="none"/>
        </w:rPr>
        <w:t xml:space="preserve">年月日  </w:t>
      </w:r>
      <w:r>
        <w:rPr>
          <w:rFonts w:hint="eastAsia"/>
          <w:color w:val="auto"/>
          <w:szCs w:val="21"/>
          <w:highlight w:val="none"/>
        </w:rPr>
        <w:t xml:space="preserve">                                          </w:t>
      </w:r>
      <w:r>
        <w:rPr>
          <w:color w:val="auto"/>
          <w:szCs w:val="21"/>
          <w:highlight w:val="none"/>
        </w:rPr>
        <w:t xml:space="preserve"> 年月日</w:t>
      </w:r>
    </w:p>
    <w:p w14:paraId="7D718625">
      <w:pPr>
        <w:tabs>
          <w:tab w:val="left" w:pos="4395"/>
          <w:tab w:val="left" w:pos="4678"/>
          <w:tab w:val="left" w:pos="4820"/>
        </w:tabs>
        <w:spacing w:line="360" w:lineRule="auto"/>
        <w:rPr>
          <w:rFonts w:ascii="宋体" w:hAnsi="宋体" w:cs="宋体"/>
          <w:color w:val="auto"/>
          <w:szCs w:val="21"/>
          <w:highlight w:val="none"/>
        </w:rPr>
      </w:pPr>
    </w:p>
    <w:p w14:paraId="3291DE08">
      <w:pPr>
        <w:tabs>
          <w:tab w:val="left" w:pos="4395"/>
          <w:tab w:val="left" w:pos="4678"/>
          <w:tab w:val="left" w:pos="4820"/>
        </w:tabs>
        <w:spacing w:line="360" w:lineRule="auto"/>
        <w:rPr>
          <w:rFonts w:ascii="宋体" w:hAnsi="宋体" w:cs="宋体"/>
          <w:color w:val="auto"/>
          <w:szCs w:val="21"/>
          <w:highlight w:val="none"/>
        </w:rPr>
      </w:pPr>
    </w:p>
    <w:p w14:paraId="71ED5B47">
      <w:pPr>
        <w:tabs>
          <w:tab w:val="left" w:pos="4395"/>
          <w:tab w:val="left" w:pos="4678"/>
          <w:tab w:val="left" w:pos="4820"/>
        </w:tabs>
        <w:spacing w:line="360" w:lineRule="auto"/>
        <w:rPr>
          <w:rFonts w:ascii="宋体" w:hAnsi="宋体" w:cs="宋体"/>
          <w:color w:val="auto"/>
          <w:szCs w:val="21"/>
          <w:highlight w:val="none"/>
        </w:rPr>
      </w:pPr>
    </w:p>
    <w:p w14:paraId="46AF2B3A">
      <w:pPr>
        <w:tabs>
          <w:tab w:val="left" w:pos="4395"/>
          <w:tab w:val="left" w:pos="4678"/>
          <w:tab w:val="left" w:pos="4820"/>
        </w:tabs>
        <w:spacing w:line="360" w:lineRule="auto"/>
        <w:rPr>
          <w:rFonts w:ascii="宋体" w:hAnsi="宋体" w:cs="宋体"/>
          <w:color w:val="auto"/>
          <w:szCs w:val="21"/>
          <w:highlight w:val="none"/>
        </w:rPr>
      </w:pPr>
    </w:p>
    <w:p w14:paraId="2682BC43">
      <w:pPr>
        <w:tabs>
          <w:tab w:val="left" w:pos="4395"/>
          <w:tab w:val="left" w:pos="4678"/>
          <w:tab w:val="left" w:pos="4820"/>
        </w:tabs>
        <w:spacing w:line="360" w:lineRule="auto"/>
        <w:rPr>
          <w:rFonts w:ascii="宋体" w:hAnsi="宋体" w:cs="宋体"/>
          <w:color w:val="auto"/>
          <w:szCs w:val="21"/>
          <w:highlight w:val="none"/>
        </w:rPr>
      </w:pPr>
    </w:p>
    <w:p w14:paraId="50C40B26">
      <w:pPr>
        <w:tabs>
          <w:tab w:val="left" w:pos="4395"/>
          <w:tab w:val="left" w:pos="4678"/>
          <w:tab w:val="left" w:pos="4820"/>
        </w:tabs>
        <w:spacing w:line="360" w:lineRule="auto"/>
        <w:rPr>
          <w:rFonts w:ascii="宋体" w:hAnsi="宋体" w:cs="宋体"/>
          <w:color w:val="auto"/>
          <w:szCs w:val="21"/>
          <w:highlight w:val="none"/>
        </w:rPr>
      </w:pPr>
    </w:p>
    <w:p w14:paraId="147B558D">
      <w:pPr>
        <w:tabs>
          <w:tab w:val="left" w:pos="4395"/>
          <w:tab w:val="left" w:pos="4678"/>
          <w:tab w:val="left" w:pos="4820"/>
        </w:tabs>
        <w:spacing w:line="360" w:lineRule="auto"/>
        <w:rPr>
          <w:rFonts w:ascii="宋体" w:hAnsi="宋体" w:cs="宋体"/>
          <w:color w:val="auto"/>
          <w:szCs w:val="21"/>
          <w:highlight w:val="none"/>
        </w:rPr>
      </w:pPr>
    </w:p>
    <w:p w14:paraId="142D66EB">
      <w:pPr>
        <w:tabs>
          <w:tab w:val="left" w:pos="4395"/>
          <w:tab w:val="left" w:pos="4678"/>
          <w:tab w:val="left" w:pos="4820"/>
        </w:tabs>
        <w:spacing w:line="360" w:lineRule="auto"/>
        <w:rPr>
          <w:rFonts w:ascii="宋体" w:hAnsi="宋体" w:cs="宋体"/>
          <w:color w:val="auto"/>
          <w:szCs w:val="21"/>
          <w:highlight w:val="none"/>
        </w:rPr>
      </w:pPr>
    </w:p>
    <w:p w14:paraId="0B4A73A8">
      <w:pPr>
        <w:tabs>
          <w:tab w:val="left" w:pos="4395"/>
          <w:tab w:val="left" w:pos="4678"/>
          <w:tab w:val="left" w:pos="4820"/>
        </w:tabs>
        <w:spacing w:line="360" w:lineRule="auto"/>
        <w:rPr>
          <w:rFonts w:ascii="宋体" w:hAnsi="宋体" w:cs="宋体"/>
          <w:color w:val="auto"/>
          <w:szCs w:val="21"/>
          <w:highlight w:val="none"/>
        </w:rPr>
      </w:pPr>
    </w:p>
    <w:p w14:paraId="5A8BA8B5">
      <w:pPr>
        <w:tabs>
          <w:tab w:val="left" w:pos="4395"/>
          <w:tab w:val="left" w:pos="4678"/>
          <w:tab w:val="left" w:pos="4820"/>
        </w:tabs>
        <w:spacing w:line="360" w:lineRule="auto"/>
        <w:rPr>
          <w:rFonts w:ascii="宋体" w:hAnsi="宋体" w:cs="宋体"/>
          <w:color w:val="auto"/>
          <w:szCs w:val="21"/>
          <w:highlight w:val="none"/>
        </w:rPr>
      </w:pPr>
    </w:p>
    <w:p w14:paraId="642EBDDA">
      <w:pPr>
        <w:tabs>
          <w:tab w:val="left" w:pos="4395"/>
          <w:tab w:val="left" w:pos="4678"/>
          <w:tab w:val="left" w:pos="4820"/>
        </w:tabs>
        <w:spacing w:line="360" w:lineRule="auto"/>
        <w:rPr>
          <w:rFonts w:ascii="宋体" w:hAnsi="宋体" w:cs="宋体"/>
          <w:color w:val="auto"/>
          <w:szCs w:val="21"/>
          <w:highlight w:val="none"/>
        </w:rPr>
      </w:pPr>
    </w:p>
    <w:p w14:paraId="6A87686B">
      <w:pPr>
        <w:tabs>
          <w:tab w:val="left" w:pos="4395"/>
          <w:tab w:val="left" w:pos="4678"/>
          <w:tab w:val="left" w:pos="4820"/>
        </w:tabs>
        <w:spacing w:line="360" w:lineRule="auto"/>
        <w:rPr>
          <w:rFonts w:ascii="宋体" w:hAnsi="宋体" w:cs="宋体"/>
          <w:color w:val="auto"/>
          <w:szCs w:val="21"/>
          <w:highlight w:val="none"/>
        </w:rPr>
      </w:pPr>
    </w:p>
    <w:p w14:paraId="749C8317">
      <w:pPr>
        <w:tabs>
          <w:tab w:val="left" w:pos="4395"/>
          <w:tab w:val="left" w:pos="4678"/>
          <w:tab w:val="left" w:pos="4820"/>
        </w:tabs>
        <w:spacing w:line="360" w:lineRule="auto"/>
        <w:rPr>
          <w:rFonts w:ascii="宋体" w:hAnsi="宋体" w:cs="宋体"/>
          <w:color w:val="auto"/>
          <w:szCs w:val="21"/>
          <w:highlight w:val="none"/>
        </w:rPr>
      </w:pPr>
    </w:p>
    <w:p w14:paraId="61E2258E">
      <w:pPr>
        <w:tabs>
          <w:tab w:val="left" w:pos="4395"/>
          <w:tab w:val="left" w:pos="4678"/>
          <w:tab w:val="left" w:pos="4820"/>
        </w:tabs>
        <w:spacing w:line="360" w:lineRule="auto"/>
        <w:rPr>
          <w:rFonts w:ascii="宋体" w:hAnsi="宋体" w:cs="宋体"/>
          <w:color w:val="auto"/>
          <w:szCs w:val="21"/>
          <w:highlight w:val="none"/>
        </w:rPr>
      </w:pPr>
    </w:p>
    <w:p w14:paraId="792B4D6D">
      <w:pPr>
        <w:tabs>
          <w:tab w:val="left" w:pos="4395"/>
          <w:tab w:val="left" w:pos="4678"/>
          <w:tab w:val="left" w:pos="4820"/>
        </w:tabs>
        <w:spacing w:line="360" w:lineRule="auto"/>
        <w:rPr>
          <w:rFonts w:ascii="宋体" w:hAnsi="宋体" w:cs="宋体"/>
          <w:color w:val="auto"/>
          <w:szCs w:val="21"/>
          <w:highlight w:val="none"/>
        </w:rPr>
      </w:pPr>
    </w:p>
    <w:p w14:paraId="1D9CCEAD">
      <w:pPr>
        <w:tabs>
          <w:tab w:val="left" w:pos="4395"/>
          <w:tab w:val="left" w:pos="4678"/>
          <w:tab w:val="left" w:pos="4820"/>
        </w:tabs>
        <w:spacing w:line="360" w:lineRule="auto"/>
        <w:rPr>
          <w:rFonts w:ascii="宋体" w:hAnsi="宋体" w:cs="宋体"/>
          <w:color w:val="auto"/>
          <w:szCs w:val="21"/>
          <w:highlight w:val="none"/>
        </w:rPr>
      </w:pPr>
    </w:p>
    <w:p w14:paraId="5ADC781C">
      <w:pPr>
        <w:tabs>
          <w:tab w:val="left" w:pos="4395"/>
          <w:tab w:val="left" w:pos="4678"/>
          <w:tab w:val="left" w:pos="4820"/>
        </w:tabs>
        <w:spacing w:line="360" w:lineRule="auto"/>
        <w:rPr>
          <w:rFonts w:ascii="宋体" w:hAnsi="宋体" w:cs="宋体"/>
          <w:color w:val="auto"/>
          <w:szCs w:val="21"/>
          <w:highlight w:val="none"/>
        </w:rPr>
      </w:pPr>
    </w:p>
    <w:p w14:paraId="6659D24D">
      <w:pPr>
        <w:tabs>
          <w:tab w:val="left" w:pos="4395"/>
          <w:tab w:val="left" w:pos="4678"/>
          <w:tab w:val="left" w:pos="4820"/>
        </w:tabs>
        <w:spacing w:line="360" w:lineRule="auto"/>
        <w:rPr>
          <w:color w:val="auto"/>
          <w:sz w:val="23"/>
          <w:szCs w:val="23"/>
          <w:highlight w:val="none"/>
        </w:rPr>
      </w:pPr>
      <w:r>
        <w:rPr>
          <w:rFonts w:hint="eastAsia"/>
          <w:color w:val="auto"/>
          <w:sz w:val="23"/>
          <w:szCs w:val="23"/>
          <w:highlight w:val="none"/>
        </w:rPr>
        <w:br w:type="page"/>
      </w:r>
      <w:r>
        <w:rPr>
          <w:rFonts w:hint="eastAsia"/>
          <w:color w:val="auto"/>
          <w:sz w:val="23"/>
          <w:szCs w:val="23"/>
          <w:highlight w:val="none"/>
        </w:rPr>
        <w:t>附件：</w:t>
      </w:r>
    </w:p>
    <w:p w14:paraId="39F5EDED">
      <w:pPr>
        <w:spacing w:line="300" w:lineRule="auto"/>
        <w:jc w:val="center"/>
        <w:rPr>
          <w:rFonts w:ascii="宋体" w:hAnsi="宋体"/>
          <w:bCs/>
          <w:color w:val="auto"/>
          <w:sz w:val="32"/>
          <w:szCs w:val="32"/>
          <w:highlight w:val="none"/>
        </w:rPr>
      </w:pPr>
      <w:r>
        <w:rPr>
          <w:rFonts w:hint="eastAsia" w:ascii="宋体" w:hAnsi="宋体"/>
          <w:bCs/>
          <w:color w:val="auto"/>
          <w:sz w:val="32"/>
          <w:szCs w:val="32"/>
          <w:highlight w:val="none"/>
        </w:rPr>
        <w:t>受托人投入本项目主要人员情况汇总表</w:t>
      </w:r>
    </w:p>
    <w:tbl>
      <w:tblPr>
        <w:tblStyle w:val="4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gridCol w:w="720"/>
      </w:tblGrid>
      <w:tr w14:paraId="0BA2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noWrap/>
            <w:vAlign w:val="center"/>
          </w:tcPr>
          <w:p w14:paraId="7B1E0974">
            <w:pPr>
              <w:widowControl/>
              <w:jc w:val="center"/>
              <w:textAlignment w:val="bottom"/>
              <w:rPr>
                <w:rFonts w:ascii="Arial" w:hAnsi="Arial" w:cs="Arial"/>
                <w:color w:val="auto"/>
                <w:sz w:val="20"/>
                <w:highlight w:val="none"/>
              </w:rPr>
            </w:pPr>
            <w:r>
              <w:rPr>
                <w:rFonts w:ascii="Arial" w:hAnsi="Arial" w:cs="Arial"/>
                <w:color w:val="auto"/>
                <w:kern w:val="0"/>
                <w:sz w:val="20"/>
                <w:highlight w:val="none"/>
              </w:rPr>
              <w:t>序号</w:t>
            </w:r>
          </w:p>
        </w:tc>
        <w:tc>
          <w:tcPr>
            <w:tcW w:w="1024" w:type="dxa"/>
            <w:vMerge w:val="restart"/>
            <w:noWrap/>
            <w:vAlign w:val="center"/>
          </w:tcPr>
          <w:p w14:paraId="7DD8EF78">
            <w:pPr>
              <w:widowControl/>
              <w:jc w:val="center"/>
              <w:textAlignment w:val="bottom"/>
              <w:rPr>
                <w:rFonts w:ascii="Arial" w:hAnsi="Arial" w:cs="Arial"/>
                <w:color w:val="auto"/>
                <w:sz w:val="20"/>
                <w:highlight w:val="none"/>
              </w:rPr>
            </w:pPr>
            <w:r>
              <w:rPr>
                <w:rFonts w:ascii="Arial" w:hAnsi="Arial" w:cs="Arial"/>
                <w:color w:val="auto"/>
                <w:kern w:val="0"/>
                <w:sz w:val="20"/>
                <w:highlight w:val="none"/>
              </w:rPr>
              <w:t>在本</w:t>
            </w:r>
            <w:r>
              <w:rPr>
                <w:rFonts w:hint="eastAsia" w:ascii="Arial" w:hAnsi="Arial" w:cs="Arial"/>
                <w:color w:val="auto"/>
                <w:kern w:val="0"/>
                <w:sz w:val="20"/>
                <w:highlight w:val="none"/>
              </w:rPr>
              <w:t>标段</w:t>
            </w:r>
            <w:r>
              <w:rPr>
                <w:rFonts w:ascii="Arial" w:hAnsi="Arial" w:cs="Arial"/>
                <w:color w:val="auto"/>
                <w:kern w:val="0"/>
                <w:sz w:val="20"/>
                <w:highlight w:val="none"/>
              </w:rPr>
              <w:t>任职</w:t>
            </w:r>
          </w:p>
        </w:tc>
        <w:tc>
          <w:tcPr>
            <w:tcW w:w="900" w:type="dxa"/>
            <w:vMerge w:val="restart"/>
            <w:noWrap/>
            <w:vAlign w:val="center"/>
          </w:tcPr>
          <w:p w14:paraId="51BF0E19">
            <w:pPr>
              <w:widowControl/>
              <w:jc w:val="center"/>
              <w:textAlignment w:val="bottom"/>
              <w:rPr>
                <w:rFonts w:ascii="Arial" w:hAnsi="Arial" w:cs="Arial"/>
                <w:color w:val="auto"/>
                <w:sz w:val="20"/>
                <w:highlight w:val="none"/>
              </w:rPr>
            </w:pPr>
            <w:r>
              <w:rPr>
                <w:rFonts w:ascii="Arial" w:hAnsi="Arial" w:cs="Arial"/>
                <w:color w:val="auto"/>
                <w:kern w:val="0"/>
                <w:sz w:val="20"/>
                <w:highlight w:val="none"/>
              </w:rPr>
              <w:t>姓名</w:t>
            </w:r>
          </w:p>
        </w:tc>
        <w:tc>
          <w:tcPr>
            <w:tcW w:w="540" w:type="dxa"/>
            <w:vMerge w:val="restart"/>
            <w:noWrap/>
            <w:vAlign w:val="center"/>
          </w:tcPr>
          <w:p w14:paraId="52B26ED4">
            <w:pPr>
              <w:widowControl/>
              <w:jc w:val="center"/>
              <w:textAlignment w:val="bottom"/>
              <w:rPr>
                <w:rFonts w:ascii="Arial" w:hAnsi="Arial" w:cs="Arial"/>
                <w:color w:val="auto"/>
                <w:sz w:val="20"/>
                <w:highlight w:val="none"/>
              </w:rPr>
            </w:pPr>
            <w:r>
              <w:rPr>
                <w:rFonts w:ascii="Arial" w:hAnsi="Arial" w:cs="Arial"/>
                <w:color w:val="auto"/>
                <w:kern w:val="0"/>
                <w:sz w:val="20"/>
                <w:highlight w:val="none"/>
              </w:rPr>
              <w:t>学历</w:t>
            </w:r>
          </w:p>
        </w:tc>
        <w:tc>
          <w:tcPr>
            <w:tcW w:w="900" w:type="dxa"/>
            <w:vMerge w:val="restart"/>
            <w:noWrap/>
            <w:vAlign w:val="center"/>
          </w:tcPr>
          <w:p w14:paraId="1C0329D0">
            <w:pPr>
              <w:widowControl/>
              <w:jc w:val="center"/>
              <w:textAlignment w:val="bottom"/>
              <w:rPr>
                <w:rFonts w:ascii="Arial" w:hAnsi="Arial" w:cs="Arial"/>
                <w:color w:val="auto"/>
                <w:kern w:val="0"/>
                <w:sz w:val="20"/>
                <w:highlight w:val="none"/>
              </w:rPr>
            </w:pPr>
            <w:r>
              <w:rPr>
                <w:rFonts w:ascii="Arial" w:hAnsi="Arial" w:cs="Arial"/>
                <w:color w:val="auto"/>
                <w:kern w:val="0"/>
                <w:sz w:val="20"/>
                <w:highlight w:val="none"/>
              </w:rPr>
              <w:t>技术</w:t>
            </w:r>
          </w:p>
          <w:p w14:paraId="7C42B833">
            <w:pPr>
              <w:widowControl/>
              <w:jc w:val="center"/>
              <w:textAlignment w:val="bottom"/>
              <w:rPr>
                <w:rFonts w:ascii="Arial" w:hAnsi="Arial" w:cs="Arial"/>
                <w:color w:val="auto"/>
                <w:sz w:val="20"/>
                <w:highlight w:val="none"/>
              </w:rPr>
            </w:pPr>
            <w:r>
              <w:rPr>
                <w:rFonts w:ascii="Arial" w:hAnsi="Arial" w:cs="Arial"/>
                <w:color w:val="auto"/>
                <w:kern w:val="0"/>
                <w:sz w:val="20"/>
                <w:highlight w:val="none"/>
              </w:rPr>
              <w:t>职称</w:t>
            </w:r>
          </w:p>
        </w:tc>
        <w:tc>
          <w:tcPr>
            <w:tcW w:w="720" w:type="dxa"/>
            <w:vMerge w:val="restart"/>
            <w:noWrap/>
            <w:vAlign w:val="center"/>
          </w:tcPr>
          <w:p w14:paraId="4EBF13D9">
            <w:pPr>
              <w:widowControl/>
              <w:jc w:val="center"/>
              <w:textAlignment w:val="bottom"/>
              <w:rPr>
                <w:rFonts w:ascii="Arial" w:hAnsi="Arial" w:cs="Arial"/>
                <w:color w:val="auto"/>
                <w:sz w:val="20"/>
                <w:highlight w:val="none"/>
              </w:rPr>
            </w:pPr>
            <w:r>
              <w:rPr>
                <w:rFonts w:ascii="Arial" w:hAnsi="Arial" w:cs="Arial"/>
                <w:color w:val="auto"/>
                <w:kern w:val="0"/>
                <w:sz w:val="20"/>
                <w:highlight w:val="none"/>
              </w:rPr>
              <w:t>专业</w:t>
            </w:r>
          </w:p>
        </w:tc>
        <w:tc>
          <w:tcPr>
            <w:tcW w:w="2160" w:type="dxa"/>
            <w:gridSpan w:val="2"/>
            <w:noWrap/>
            <w:vAlign w:val="center"/>
          </w:tcPr>
          <w:p w14:paraId="01E84A33">
            <w:pPr>
              <w:widowControl/>
              <w:jc w:val="center"/>
              <w:textAlignment w:val="bottom"/>
              <w:rPr>
                <w:rFonts w:ascii="Arial" w:hAnsi="Arial" w:cs="Arial"/>
                <w:color w:val="auto"/>
                <w:kern w:val="0"/>
                <w:sz w:val="20"/>
                <w:highlight w:val="none"/>
              </w:rPr>
            </w:pPr>
            <w:r>
              <w:rPr>
                <w:rFonts w:hint="eastAsia" w:ascii="Arial" w:hAnsi="Arial" w:cs="Arial"/>
                <w:color w:val="auto"/>
                <w:kern w:val="0"/>
                <w:sz w:val="20"/>
                <w:highlight w:val="none"/>
              </w:rPr>
              <w:t>执业或职业资格证明</w:t>
            </w:r>
          </w:p>
        </w:tc>
        <w:tc>
          <w:tcPr>
            <w:tcW w:w="1800" w:type="dxa"/>
            <w:vMerge w:val="restart"/>
            <w:noWrap/>
            <w:vAlign w:val="center"/>
          </w:tcPr>
          <w:p w14:paraId="7F34379C">
            <w:pPr>
              <w:widowControl/>
              <w:jc w:val="center"/>
              <w:textAlignment w:val="bottom"/>
              <w:rPr>
                <w:rFonts w:ascii="Arial" w:hAnsi="Arial" w:cs="Arial"/>
                <w:color w:val="auto"/>
                <w:sz w:val="20"/>
                <w:highlight w:val="none"/>
              </w:rPr>
            </w:pPr>
            <w:r>
              <w:rPr>
                <w:rFonts w:hint="eastAsia" w:ascii="Arial" w:hAnsi="Arial" w:cs="Arial"/>
                <w:color w:val="auto"/>
                <w:kern w:val="0"/>
                <w:sz w:val="20"/>
                <w:highlight w:val="none"/>
              </w:rPr>
              <w:t>身份证号</w:t>
            </w:r>
          </w:p>
        </w:tc>
        <w:tc>
          <w:tcPr>
            <w:tcW w:w="720" w:type="dxa"/>
            <w:vMerge w:val="restart"/>
            <w:noWrap/>
            <w:vAlign w:val="center"/>
          </w:tcPr>
          <w:p w14:paraId="45C135A4">
            <w:pPr>
              <w:widowControl/>
              <w:jc w:val="center"/>
              <w:textAlignment w:val="bottom"/>
              <w:rPr>
                <w:rFonts w:ascii="Arial" w:hAnsi="Arial" w:cs="Arial"/>
                <w:color w:val="auto"/>
                <w:sz w:val="20"/>
                <w:highlight w:val="none"/>
              </w:rPr>
            </w:pPr>
            <w:r>
              <w:rPr>
                <w:rFonts w:hint="eastAsia" w:ascii="Arial" w:hAnsi="Arial" w:cs="Arial"/>
                <w:color w:val="auto"/>
                <w:sz w:val="20"/>
                <w:highlight w:val="none"/>
              </w:rPr>
              <w:t>社保</w:t>
            </w:r>
          </w:p>
          <w:p w14:paraId="346E6D55">
            <w:pPr>
              <w:widowControl/>
              <w:jc w:val="center"/>
              <w:textAlignment w:val="bottom"/>
              <w:rPr>
                <w:rFonts w:ascii="Arial" w:hAnsi="Arial" w:cs="Arial"/>
                <w:color w:val="auto"/>
                <w:sz w:val="20"/>
                <w:highlight w:val="none"/>
              </w:rPr>
            </w:pPr>
            <w:r>
              <w:rPr>
                <w:rFonts w:hint="eastAsia" w:ascii="Arial" w:hAnsi="Arial" w:cs="Arial"/>
                <w:color w:val="auto"/>
                <w:sz w:val="20"/>
                <w:highlight w:val="none"/>
              </w:rPr>
              <w:t>缴费单位</w:t>
            </w:r>
          </w:p>
        </w:tc>
        <w:tc>
          <w:tcPr>
            <w:tcW w:w="720" w:type="dxa"/>
            <w:vMerge w:val="restart"/>
            <w:noWrap/>
            <w:vAlign w:val="center"/>
          </w:tcPr>
          <w:p w14:paraId="2772774B">
            <w:pPr>
              <w:widowControl/>
              <w:jc w:val="center"/>
              <w:textAlignment w:val="bottom"/>
              <w:rPr>
                <w:rFonts w:ascii="Arial" w:hAnsi="Arial" w:cs="Arial"/>
                <w:color w:val="auto"/>
                <w:sz w:val="20"/>
                <w:highlight w:val="none"/>
              </w:rPr>
            </w:pPr>
            <w:r>
              <w:rPr>
                <w:rFonts w:hint="eastAsia" w:ascii="Arial" w:hAnsi="Arial" w:cs="Arial"/>
                <w:color w:val="auto"/>
                <w:sz w:val="20"/>
                <w:highlight w:val="none"/>
              </w:rPr>
              <w:t>备注</w:t>
            </w:r>
          </w:p>
        </w:tc>
      </w:tr>
      <w:tr w14:paraId="3C64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6" w:type="dxa"/>
            <w:vMerge w:val="continue"/>
            <w:noWrap/>
            <w:vAlign w:val="center"/>
          </w:tcPr>
          <w:p w14:paraId="4BD6EBE1">
            <w:pPr>
              <w:spacing w:line="300" w:lineRule="auto"/>
              <w:jc w:val="center"/>
              <w:rPr>
                <w:rFonts w:ascii="黑体" w:eastAsia="黑体"/>
                <w:b/>
                <w:color w:val="auto"/>
                <w:sz w:val="24"/>
                <w:highlight w:val="none"/>
              </w:rPr>
            </w:pPr>
          </w:p>
        </w:tc>
        <w:tc>
          <w:tcPr>
            <w:tcW w:w="1024" w:type="dxa"/>
            <w:vMerge w:val="continue"/>
            <w:noWrap/>
            <w:vAlign w:val="center"/>
          </w:tcPr>
          <w:p w14:paraId="4090D304">
            <w:pPr>
              <w:spacing w:line="300" w:lineRule="auto"/>
              <w:jc w:val="center"/>
              <w:rPr>
                <w:rFonts w:ascii="黑体" w:eastAsia="黑体"/>
                <w:b/>
                <w:color w:val="auto"/>
                <w:sz w:val="24"/>
                <w:highlight w:val="none"/>
              </w:rPr>
            </w:pPr>
          </w:p>
        </w:tc>
        <w:tc>
          <w:tcPr>
            <w:tcW w:w="900" w:type="dxa"/>
            <w:vMerge w:val="continue"/>
            <w:noWrap/>
            <w:vAlign w:val="center"/>
          </w:tcPr>
          <w:p w14:paraId="43E2B5BE">
            <w:pPr>
              <w:spacing w:line="300" w:lineRule="auto"/>
              <w:jc w:val="center"/>
              <w:rPr>
                <w:rFonts w:ascii="黑体" w:eastAsia="黑体"/>
                <w:b/>
                <w:color w:val="auto"/>
                <w:sz w:val="24"/>
                <w:highlight w:val="none"/>
              </w:rPr>
            </w:pPr>
          </w:p>
        </w:tc>
        <w:tc>
          <w:tcPr>
            <w:tcW w:w="540" w:type="dxa"/>
            <w:vMerge w:val="continue"/>
            <w:noWrap/>
            <w:vAlign w:val="center"/>
          </w:tcPr>
          <w:p w14:paraId="532A0589">
            <w:pPr>
              <w:spacing w:line="300" w:lineRule="auto"/>
              <w:jc w:val="center"/>
              <w:rPr>
                <w:rFonts w:ascii="黑体" w:eastAsia="黑体"/>
                <w:b/>
                <w:color w:val="auto"/>
                <w:sz w:val="24"/>
                <w:highlight w:val="none"/>
              </w:rPr>
            </w:pPr>
          </w:p>
        </w:tc>
        <w:tc>
          <w:tcPr>
            <w:tcW w:w="900" w:type="dxa"/>
            <w:vMerge w:val="continue"/>
            <w:noWrap/>
            <w:vAlign w:val="center"/>
          </w:tcPr>
          <w:p w14:paraId="5944E8DC">
            <w:pPr>
              <w:spacing w:line="300" w:lineRule="auto"/>
              <w:jc w:val="center"/>
              <w:rPr>
                <w:rFonts w:ascii="黑体" w:eastAsia="黑体"/>
                <w:b/>
                <w:color w:val="auto"/>
                <w:sz w:val="24"/>
                <w:highlight w:val="none"/>
              </w:rPr>
            </w:pPr>
          </w:p>
        </w:tc>
        <w:tc>
          <w:tcPr>
            <w:tcW w:w="720" w:type="dxa"/>
            <w:vMerge w:val="continue"/>
            <w:noWrap/>
            <w:vAlign w:val="center"/>
          </w:tcPr>
          <w:p w14:paraId="502E204D">
            <w:pPr>
              <w:spacing w:line="300" w:lineRule="auto"/>
              <w:jc w:val="center"/>
              <w:rPr>
                <w:rFonts w:ascii="黑体" w:eastAsia="黑体"/>
                <w:b/>
                <w:color w:val="auto"/>
                <w:sz w:val="24"/>
                <w:highlight w:val="none"/>
              </w:rPr>
            </w:pPr>
          </w:p>
        </w:tc>
        <w:tc>
          <w:tcPr>
            <w:tcW w:w="900" w:type="dxa"/>
            <w:noWrap/>
            <w:vAlign w:val="center"/>
          </w:tcPr>
          <w:p w14:paraId="7E803171">
            <w:pPr>
              <w:jc w:val="center"/>
              <w:rPr>
                <w:rFonts w:ascii="Arial" w:hAnsi="Arial" w:cs="Arial"/>
                <w:color w:val="auto"/>
                <w:kern w:val="0"/>
                <w:sz w:val="20"/>
                <w:highlight w:val="none"/>
              </w:rPr>
            </w:pPr>
            <w:r>
              <w:rPr>
                <w:rFonts w:hint="eastAsia" w:ascii="Arial" w:hAnsi="Arial" w:cs="Arial"/>
                <w:color w:val="auto"/>
                <w:kern w:val="0"/>
                <w:sz w:val="20"/>
                <w:highlight w:val="none"/>
              </w:rPr>
              <w:t>证书</w:t>
            </w:r>
          </w:p>
          <w:p w14:paraId="22593E53">
            <w:pPr>
              <w:jc w:val="center"/>
              <w:rPr>
                <w:rFonts w:ascii="Arial" w:hAnsi="Arial" w:cs="Arial"/>
                <w:color w:val="auto"/>
                <w:kern w:val="0"/>
                <w:sz w:val="20"/>
                <w:highlight w:val="none"/>
              </w:rPr>
            </w:pPr>
            <w:r>
              <w:rPr>
                <w:rFonts w:hint="eastAsia" w:ascii="Arial" w:hAnsi="Arial" w:cs="Arial"/>
                <w:color w:val="auto"/>
                <w:kern w:val="0"/>
                <w:sz w:val="20"/>
                <w:highlight w:val="none"/>
              </w:rPr>
              <w:t>名称</w:t>
            </w:r>
          </w:p>
        </w:tc>
        <w:tc>
          <w:tcPr>
            <w:tcW w:w="1260" w:type="dxa"/>
            <w:noWrap/>
            <w:vAlign w:val="center"/>
          </w:tcPr>
          <w:p w14:paraId="50289ABE">
            <w:pPr>
              <w:spacing w:line="300" w:lineRule="auto"/>
              <w:jc w:val="center"/>
              <w:rPr>
                <w:rFonts w:ascii="Arial" w:hAnsi="Arial" w:cs="Arial"/>
                <w:color w:val="auto"/>
                <w:kern w:val="0"/>
                <w:sz w:val="20"/>
                <w:highlight w:val="none"/>
              </w:rPr>
            </w:pPr>
            <w:r>
              <w:rPr>
                <w:rFonts w:hint="eastAsia" w:ascii="Arial" w:hAnsi="Arial" w:cs="Arial"/>
                <w:color w:val="auto"/>
                <w:kern w:val="0"/>
                <w:sz w:val="20"/>
                <w:highlight w:val="none"/>
              </w:rPr>
              <w:t>证 号</w:t>
            </w:r>
          </w:p>
        </w:tc>
        <w:tc>
          <w:tcPr>
            <w:tcW w:w="1800" w:type="dxa"/>
            <w:vMerge w:val="continue"/>
            <w:noWrap/>
            <w:vAlign w:val="center"/>
          </w:tcPr>
          <w:p w14:paraId="1F5AE37C">
            <w:pPr>
              <w:spacing w:line="300" w:lineRule="auto"/>
              <w:jc w:val="center"/>
              <w:rPr>
                <w:rFonts w:ascii="黑体" w:eastAsia="黑体"/>
                <w:b/>
                <w:color w:val="auto"/>
                <w:sz w:val="24"/>
                <w:highlight w:val="none"/>
              </w:rPr>
            </w:pPr>
          </w:p>
        </w:tc>
        <w:tc>
          <w:tcPr>
            <w:tcW w:w="720" w:type="dxa"/>
            <w:vMerge w:val="continue"/>
            <w:noWrap/>
            <w:vAlign w:val="center"/>
          </w:tcPr>
          <w:p w14:paraId="08141AF9">
            <w:pPr>
              <w:widowControl/>
              <w:jc w:val="center"/>
              <w:textAlignment w:val="bottom"/>
              <w:rPr>
                <w:rFonts w:ascii="黑体" w:eastAsia="黑体"/>
                <w:b/>
                <w:color w:val="auto"/>
                <w:sz w:val="24"/>
                <w:highlight w:val="none"/>
              </w:rPr>
            </w:pPr>
          </w:p>
        </w:tc>
        <w:tc>
          <w:tcPr>
            <w:tcW w:w="720" w:type="dxa"/>
            <w:vMerge w:val="continue"/>
            <w:noWrap/>
            <w:vAlign w:val="center"/>
          </w:tcPr>
          <w:p w14:paraId="0EB878FF">
            <w:pPr>
              <w:spacing w:line="300" w:lineRule="auto"/>
              <w:jc w:val="center"/>
              <w:rPr>
                <w:rFonts w:ascii="黑体" w:eastAsia="黑体"/>
                <w:b/>
                <w:color w:val="auto"/>
                <w:sz w:val="24"/>
                <w:highlight w:val="none"/>
              </w:rPr>
            </w:pPr>
          </w:p>
        </w:tc>
      </w:tr>
      <w:tr w14:paraId="522D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7C8838F">
            <w:pPr>
              <w:spacing w:line="300" w:lineRule="auto"/>
              <w:jc w:val="center"/>
              <w:rPr>
                <w:rFonts w:ascii="黑体" w:eastAsia="黑体"/>
                <w:b/>
                <w:color w:val="auto"/>
                <w:sz w:val="24"/>
                <w:highlight w:val="none"/>
              </w:rPr>
            </w:pPr>
          </w:p>
        </w:tc>
        <w:tc>
          <w:tcPr>
            <w:tcW w:w="1024" w:type="dxa"/>
            <w:noWrap/>
            <w:vAlign w:val="center"/>
          </w:tcPr>
          <w:p w14:paraId="2B605F8C">
            <w:pPr>
              <w:spacing w:line="300" w:lineRule="auto"/>
              <w:jc w:val="center"/>
              <w:rPr>
                <w:rFonts w:ascii="黑体" w:eastAsia="黑体"/>
                <w:b/>
                <w:color w:val="auto"/>
                <w:sz w:val="24"/>
                <w:highlight w:val="none"/>
              </w:rPr>
            </w:pPr>
          </w:p>
        </w:tc>
        <w:tc>
          <w:tcPr>
            <w:tcW w:w="900" w:type="dxa"/>
            <w:noWrap/>
            <w:vAlign w:val="center"/>
          </w:tcPr>
          <w:p w14:paraId="65FC3DD3">
            <w:pPr>
              <w:spacing w:line="300" w:lineRule="auto"/>
              <w:jc w:val="center"/>
              <w:rPr>
                <w:rFonts w:ascii="黑体" w:eastAsia="黑体"/>
                <w:b/>
                <w:color w:val="auto"/>
                <w:sz w:val="24"/>
                <w:highlight w:val="none"/>
              </w:rPr>
            </w:pPr>
          </w:p>
        </w:tc>
        <w:tc>
          <w:tcPr>
            <w:tcW w:w="540" w:type="dxa"/>
            <w:noWrap/>
            <w:vAlign w:val="center"/>
          </w:tcPr>
          <w:p w14:paraId="156B21E7">
            <w:pPr>
              <w:spacing w:line="300" w:lineRule="auto"/>
              <w:jc w:val="center"/>
              <w:rPr>
                <w:rFonts w:ascii="黑体" w:eastAsia="黑体"/>
                <w:b/>
                <w:color w:val="auto"/>
                <w:sz w:val="24"/>
                <w:highlight w:val="none"/>
              </w:rPr>
            </w:pPr>
          </w:p>
        </w:tc>
        <w:tc>
          <w:tcPr>
            <w:tcW w:w="900" w:type="dxa"/>
            <w:noWrap/>
            <w:vAlign w:val="center"/>
          </w:tcPr>
          <w:p w14:paraId="363D1E2A">
            <w:pPr>
              <w:spacing w:line="300" w:lineRule="auto"/>
              <w:jc w:val="center"/>
              <w:rPr>
                <w:rFonts w:ascii="黑体" w:eastAsia="黑体"/>
                <w:b/>
                <w:color w:val="auto"/>
                <w:sz w:val="24"/>
                <w:highlight w:val="none"/>
              </w:rPr>
            </w:pPr>
          </w:p>
        </w:tc>
        <w:tc>
          <w:tcPr>
            <w:tcW w:w="720" w:type="dxa"/>
            <w:noWrap/>
            <w:vAlign w:val="center"/>
          </w:tcPr>
          <w:p w14:paraId="3B6285AA">
            <w:pPr>
              <w:spacing w:line="300" w:lineRule="auto"/>
              <w:jc w:val="center"/>
              <w:rPr>
                <w:rFonts w:ascii="黑体" w:eastAsia="黑体"/>
                <w:b/>
                <w:color w:val="auto"/>
                <w:sz w:val="24"/>
                <w:highlight w:val="none"/>
              </w:rPr>
            </w:pPr>
          </w:p>
        </w:tc>
        <w:tc>
          <w:tcPr>
            <w:tcW w:w="900" w:type="dxa"/>
            <w:noWrap/>
            <w:vAlign w:val="center"/>
          </w:tcPr>
          <w:p w14:paraId="495FCDF3">
            <w:pPr>
              <w:spacing w:line="300" w:lineRule="auto"/>
              <w:jc w:val="center"/>
              <w:rPr>
                <w:rFonts w:ascii="黑体" w:eastAsia="黑体"/>
                <w:b/>
                <w:color w:val="auto"/>
                <w:sz w:val="24"/>
                <w:highlight w:val="none"/>
              </w:rPr>
            </w:pPr>
          </w:p>
        </w:tc>
        <w:tc>
          <w:tcPr>
            <w:tcW w:w="1260" w:type="dxa"/>
            <w:noWrap/>
            <w:vAlign w:val="center"/>
          </w:tcPr>
          <w:p w14:paraId="2726314D">
            <w:pPr>
              <w:spacing w:line="300" w:lineRule="auto"/>
              <w:jc w:val="center"/>
              <w:rPr>
                <w:rFonts w:ascii="黑体" w:eastAsia="黑体"/>
                <w:b/>
                <w:color w:val="auto"/>
                <w:sz w:val="24"/>
                <w:highlight w:val="none"/>
              </w:rPr>
            </w:pPr>
          </w:p>
        </w:tc>
        <w:tc>
          <w:tcPr>
            <w:tcW w:w="1800" w:type="dxa"/>
            <w:noWrap/>
            <w:vAlign w:val="center"/>
          </w:tcPr>
          <w:p w14:paraId="3A9F4E1A">
            <w:pPr>
              <w:spacing w:line="300" w:lineRule="auto"/>
              <w:jc w:val="center"/>
              <w:rPr>
                <w:rFonts w:ascii="黑体" w:eastAsia="黑体"/>
                <w:b/>
                <w:color w:val="auto"/>
                <w:sz w:val="24"/>
                <w:highlight w:val="none"/>
              </w:rPr>
            </w:pPr>
          </w:p>
        </w:tc>
        <w:tc>
          <w:tcPr>
            <w:tcW w:w="720" w:type="dxa"/>
            <w:noWrap/>
            <w:vAlign w:val="center"/>
          </w:tcPr>
          <w:p w14:paraId="69B641E1">
            <w:pPr>
              <w:spacing w:line="300" w:lineRule="auto"/>
              <w:jc w:val="center"/>
              <w:rPr>
                <w:rFonts w:ascii="黑体" w:eastAsia="黑体"/>
                <w:b/>
                <w:color w:val="auto"/>
                <w:sz w:val="24"/>
                <w:highlight w:val="none"/>
              </w:rPr>
            </w:pPr>
          </w:p>
        </w:tc>
        <w:tc>
          <w:tcPr>
            <w:tcW w:w="720" w:type="dxa"/>
            <w:noWrap/>
            <w:vAlign w:val="center"/>
          </w:tcPr>
          <w:p w14:paraId="460B1152">
            <w:pPr>
              <w:spacing w:line="300" w:lineRule="auto"/>
              <w:jc w:val="center"/>
              <w:rPr>
                <w:rFonts w:ascii="黑体" w:eastAsia="黑体"/>
                <w:b/>
                <w:color w:val="auto"/>
                <w:sz w:val="24"/>
                <w:highlight w:val="none"/>
              </w:rPr>
            </w:pPr>
          </w:p>
        </w:tc>
      </w:tr>
      <w:tr w14:paraId="71A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65D9C32C">
            <w:pPr>
              <w:spacing w:line="300" w:lineRule="auto"/>
              <w:jc w:val="center"/>
              <w:rPr>
                <w:rFonts w:ascii="黑体" w:eastAsia="黑体"/>
                <w:b/>
                <w:color w:val="auto"/>
                <w:sz w:val="24"/>
                <w:highlight w:val="none"/>
              </w:rPr>
            </w:pPr>
          </w:p>
        </w:tc>
        <w:tc>
          <w:tcPr>
            <w:tcW w:w="1024" w:type="dxa"/>
            <w:noWrap/>
            <w:vAlign w:val="center"/>
          </w:tcPr>
          <w:p w14:paraId="557FFCE9">
            <w:pPr>
              <w:spacing w:line="300" w:lineRule="auto"/>
              <w:jc w:val="center"/>
              <w:rPr>
                <w:rFonts w:ascii="黑体" w:eastAsia="黑体"/>
                <w:b/>
                <w:color w:val="auto"/>
                <w:sz w:val="24"/>
                <w:highlight w:val="none"/>
              </w:rPr>
            </w:pPr>
          </w:p>
        </w:tc>
        <w:tc>
          <w:tcPr>
            <w:tcW w:w="900" w:type="dxa"/>
            <w:noWrap/>
            <w:vAlign w:val="center"/>
          </w:tcPr>
          <w:p w14:paraId="3AB4043F">
            <w:pPr>
              <w:spacing w:line="300" w:lineRule="auto"/>
              <w:jc w:val="center"/>
              <w:rPr>
                <w:rFonts w:ascii="黑体" w:eastAsia="黑体"/>
                <w:b/>
                <w:color w:val="auto"/>
                <w:sz w:val="24"/>
                <w:highlight w:val="none"/>
              </w:rPr>
            </w:pPr>
          </w:p>
        </w:tc>
        <w:tc>
          <w:tcPr>
            <w:tcW w:w="540" w:type="dxa"/>
            <w:noWrap/>
            <w:vAlign w:val="center"/>
          </w:tcPr>
          <w:p w14:paraId="689A6088">
            <w:pPr>
              <w:spacing w:line="300" w:lineRule="auto"/>
              <w:jc w:val="center"/>
              <w:rPr>
                <w:rFonts w:ascii="黑体" w:eastAsia="黑体"/>
                <w:b/>
                <w:color w:val="auto"/>
                <w:sz w:val="24"/>
                <w:highlight w:val="none"/>
              </w:rPr>
            </w:pPr>
          </w:p>
        </w:tc>
        <w:tc>
          <w:tcPr>
            <w:tcW w:w="900" w:type="dxa"/>
            <w:noWrap/>
            <w:vAlign w:val="center"/>
          </w:tcPr>
          <w:p w14:paraId="656A2B8B">
            <w:pPr>
              <w:spacing w:line="300" w:lineRule="auto"/>
              <w:jc w:val="center"/>
              <w:rPr>
                <w:rFonts w:ascii="黑体" w:eastAsia="黑体"/>
                <w:b/>
                <w:color w:val="auto"/>
                <w:sz w:val="24"/>
                <w:highlight w:val="none"/>
              </w:rPr>
            </w:pPr>
          </w:p>
        </w:tc>
        <w:tc>
          <w:tcPr>
            <w:tcW w:w="720" w:type="dxa"/>
            <w:noWrap/>
            <w:vAlign w:val="center"/>
          </w:tcPr>
          <w:p w14:paraId="5B08772B">
            <w:pPr>
              <w:spacing w:line="300" w:lineRule="auto"/>
              <w:jc w:val="center"/>
              <w:rPr>
                <w:rFonts w:ascii="黑体" w:eastAsia="黑体"/>
                <w:b/>
                <w:color w:val="auto"/>
                <w:sz w:val="24"/>
                <w:highlight w:val="none"/>
              </w:rPr>
            </w:pPr>
          </w:p>
        </w:tc>
        <w:tc>
          <w:tcPr>
            <w:tcW w:w="900" w:type="dxa"/>
            <w:noWrap/>
            <w:vAlign w:val="center"/>
          </w:tcPr>
          <w:p w14:paraId="030B8BB7">
            <w:pPr>
              <w:spacing w:line="300" w:lineRule="auto"/>
              <w:jc w:val="center"/>
              <w:rPr>
                <w:rFonts w:ascii="黑体" w:eastAsia="黑体"/>
                <w:b/>
                <w:color w:val="auto"/>
                <w:sz w:val="24"/>
                <w:highlight w:val="none"/>
              </w:rPr>
            </w:pPr>
          </w:p>
        </w:tc>
        <w:tc>
          <w:tcPr>
            <w:tcW w:w="1260" w:type="dxa"/>
            <w:noWrap/>
            <w:vAlign w:val="center"/>
          </w:tcPr>
          <w:p w14:paraId="073DF037">
            <w:pPr>
              <w:spacing w:line="300" w:lineRule="auto"/>
              <w:jc w:val="center"/>
              <w:rPr>
                <w:rFonts w:ascii="黑体" w:eastAsia="黑体"/>
                <w:b/>
                <w:color w:val="auto"/>
                <w:sz w:val="24"/>
                <w:highlight w:val="none"/>
              </w:rPr>
            </w:pPr>
          </w:p>
        </w:tc>
        <w:tc>
          <w:tcPr>
            <w:tcW w:w="1800" w:type="dxa"/>
            <w:noWrap/>
            <w:vAlign w:val="center"/>
          </w:tcPr>
          <w:p w14:paraId="6739F382">
            <w:pPr>
              <w:spacing w:line="300" w:lineRule="auto"/>
              <w:jc w:val="center"/>
              <w:rPr>
                <w:rFonts w:ascii="黑体" w:eastAsia="黑体"/>
                <w:b/>
                <w:color w:val="auto"/>
                <w:sz w:val="24"/>
                <w:highlight w:val="none"/>
              </w:rPr>
            </w:pPr>
          </w:p>
        </w:tc>
        <w:tc>
          <w:tcPr>
            <w:tcW w:w="720" w:type="dxa"/>
            <w:noWrap/>
            <w:vAlign w:val="center"/>
          </w:tcPr>
          <w:p w14:paraId="572353A1">
            <w:pPr>
              <w:spacing w:line="300" w:lineRule="auto"/>
              <w:jc w:val="center"/>
              <w:rPr>
                <w:rFonts w:ascii="黑体" w:eastAsia="黑体"/>
                <w:b/>
                <w:color w:val="auto"/>
                <w:sz w:val="24"/>
                <w:highlight w:val="none"/>
              </w:rPr>
            </w:pPr>
          </w:p>
        </w:tc>
        <w:tc>
          <w:tcPr>
            <w:tcW w:w="720" w:type="dxa"/>
            <w:noWrap/>
            <w:vAlign w:val="center"/>
          </w:tcPr>
          <w:p w14:paraId="6C839B40">
            <w:pPr>
              <w:spacing w:line="300" w:lineRule="auto"/>
              <w:jc w:val="center"/>
              <w:rPr>
                <w:rFonts w:ascii="黑体" w:eastAsia="黑体"/>
                <w:b/>
                <w:color w:val="auto"/>
                <w:sz w:val="24"/>
                <w:highlight w:val="none"/>
              </w:rPr>
            </w:pPr>
          </w:p>
        </w:tc>
      </w:tr>
      <w:tr w14:paraId="0A97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08520C6B">
            <w:pPr>
              <w:spacing w:line="300" w:lineRule="auto"/>
              <w:jc w:val="center"/>
              <w:rPr>
                <w:rFonts w:ascii="黑体" w:eastAsia="黑体"/>
                <w:b/>
                <w:color w:val="auto"/>
                <w:sz w:val="24"/>
                <w:highlight w:val="none"/>
              </w:rPr>
            </w:pPr>
          </w:p>
        </w:tc>
        <w:tc>
          <w:tcPr>
            <w:tcW w:w="1024" w:type="dxa"/>
            <w:noWrap/>
            <w:vAlign w:val="center"/>
          </w:tcPr>
          <w:p w14:paraId="039A93C6">
            <w:pPr>
              <w:spacing w:line="300" w:lineRule="auto"/>
              <w:jc w:val="center"/>
              <w:rPr>
                <w:rFonts w:ascii="黑体" w:eastAsia="黑体"/>
                <w:b/>
                <w:color w:val="auto"/>
                <w:sz w:val="24"/>
                <w:highlight w:val="none"/>
              </w:rPr>
            </w:pPr>
          </w:p>
        </w:tc>
        <w:tc>
          <w:tcPr>
            <w:tcW w:w="900" w:type="dxa"/>
            <w:noWrap/>
            <w:vAlign w:val="center"/>
          </w:tcPr>
          <w:p w14:paraId="2E008CF0">
            <w:pPr>
              <w:spacing w:line="300" w:lineRule="auto"/>
              <w:jc w:val="center"/>
              <w:rPr>
                <w:rFonts w:ascii="黑体" w:eastAsia="黑体"/>
                <w:b/>
                <w:color w:val="auto"/>
                <w:sz w:val="24"/>
                <w:highlight w:val="none"/>
              </w:rPr>
            </w:pPr>
          </w:p>
        </w:tc>
        <w:tc>
          <w:tcPr>
            <w:tcW w:w="540" w:type="dxa"/>
            <w:noWrap/>
            <w:vAlign w:val="center"/>
          </w:tcPr>
          <w:p w14:paraId="629129E8">
            <w:pPr>
              <w:spacing w:line="300" w:lineRule="auto"/>
              <w:jc w:val="center"/>
              <w:rPr>
                <w:rFonts w:ascii="黑体" w:eastAsia="黑体"/>
                <w:b/>
                <w:color w:val="auto"/>
                <w:sz w:val="24"/>
                <w:highlight w:val="none"/>
              </w:rPr>
            </w:pPr>
          </w:p>
        </w:tc>
        <w:tc>
          <w:tcPr>
            <w:tcW w:w="900" w:type="dxa"/>
            <w:noWrap/>
            <w:vAlign w:val="center"/>
          </w:tcPr>
          <w:p w14:paraId="0013ABA4">
            <w:pPr>
              <w:spacing w:line="300" w:lineRule="auto"/>
              <w:jc w:val="center"/>
              <w:rPr>
                <w:rFonts w:ascii="黑体" w:eastAsia="黑体"/>
                <w:b/>
                <w:color w:val="auto"/>
                <w:sz w:val="24"/>
                <w:highlight w:val="none"/>
              </w:rPr>
            </w:pPr>
          </w:p>
        </w:tc>
        <w:tc>
          <w:tcPr>
            <w:tcW w:w="720" w:type="dxa"/>
            <w:noWrap/>
            <w:vAlign w:val="center"/>
          </w:tcPr>
          <w:p w14:paraId="152C403E">
            <w:pPr>
              <w:spacing w:line="300" w:lineRule="auto"/>
              <w:jc w:val="center"/>
              <w:rPr>
                <w:rFonts w:ascii="黑体" w:eastAsia="黑体"/>
                <w:b/>
                <w:color w:val="auto"/>
                <w:sz w:val="24"/>
                <w:highlight w:val="none"/>
              </w:rPr>
            </w:pPr>
          </w:p>
        </w:tc>
        <w:tc>
          <w:tcPr>
            <w:tcW w:w="900" w:type="dxa"/>
            <w:noWrap/>
            <w:vAlign w:val="center"/>
          </w:tcPr>
          <w:p w14:paraId="6FB590EB">
            <w:pPr>
              <w:spacing w:line="300" w:lineRule="auto"/>
              <w:jc w:val="center"/>
              <w:rPr>
                <w:rFonts w:ascii="黑体" w:eastAsia="黑体"/>
                <w:b/>
                <w:color w:val="auto"/>
                <w:sz w:val="24"/>
                <w:highlight w:val="none"/>
              </w:rPr>
            </w:pPr>
          </w:p>
        </w:tc>
        <w:tc>
          <w:tcPr>
            <w:tcW w:w="1260" w:type="dxa"/>
            <w:noWrap/>
            <w:vAlign w:val="center"/>
          </w:tcPr>
          <w:p w14:paraId="7E1D4952">
            <w:pPr>
              <w:spacing w:line="300" w:lineRule="auto"/>
              <w:jc w:val="center"/>
              <w:rPr>
                <w:rFonts w:ascii="黑体" w:eastAsia="黑体"/>
                <w:b/>
                <w:color w:val="auto"/>
                <w:sz w:val="24"/>
                <w:highlight w:val="none"/>
              </w:rPr>
            </w:pPr>
          </w:p>
        </w:tc>
        <w:tc>
          <w:tcPr>
            <w:tcW w:w="1800" w:type="dxa"/>
            <w:noWrap/>
            <w:vAlign w:val="center"/>
          </w:tcPr>
          <w:p w14:paraId="4C0131B8">
            <w:pPr>
              <w:spacing w:line="300" w:lineRule="auto"/>
              <w:jc w:val="center"/>
              <w:rPr>
                <w:rFonts w:ascii="黑体" w:eastAsia="黑体"/>
                <w:b/>
                <w:color w:val="auto"/>
                <w:sz w:val="24"/>
                <w:highlight w:val="none"/>
              </w:rPr>
            </w:pPr>
          </w:p>
        </w:tc>
        <w:tc>
          <w:tcPr>
            <w:tcW w:w="720" w:type="dxa"/>
            <w:noWrap/>
            <w:vAlign w:val="center"/>
          </w:tcPr>
          <w:p w14:paraId="58F44FCF">
            <w:pPr>
              <w:spacing w:line="300" w:lineRule="auto"/>
              <w:jc w:val="center"/>
              <w:rPr>
                <w:rFonts w:ascii="黑体" w:eastAsia="黑体"/>
                <w:b/>
                <w:color w:val="auto"/>
                <w:sz w:val="24"/>
                <w:highlight w:val="none"/>
              </w:rPr>
            </w:pPr>
          </w:p>
        </w:tc>
        <w:tc>
          <w:tcPr>
            <w:tcW w:w="720" w:type="dxa"/>
            <w:noWrap/>
            <w:vAlign w:val="center"/>
          </w:tcPr>
          <w:p w14:paraId="106F034C">
            <w:pPr>
              <w:spacing w:line="300" w:lineRule="auto"/>
              <w:jc w:val="center"/>
              <w:rPr>
                <w:rFonts w:ascii="黑体" w:eastAsia="黑体"/>
                <w:b/>
                <w:color w:val="auto"/>
                <w:sz w:val="24"/>
                <w:highlight w:val="none"/>
              </w:rPr>
            </w:pPr>
          </w:p>
        </w:tc>
      </w:tr>
      <w:tr w14:paraId="59AC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3726A668">
            <w:pPr>
              <w:spacing w:line="300" w:lineRule="auto"/>
              <w:jc w:val="center"/>
              <w:rPr>
                <w:rFonts w:ascii="黑体" w:eastAsia="黑体"/>
                <w:b/>
                <w:color w:val="auto"/>
                <w:sz w:val="24"/>
                <w:highlight w:val="none"/>
              </w:rPr>
            </w:pPr>
          </w:p>
        </w:tc>
        <w:tc>
          <w:tcPr>
            <w:tcW w:w="1024" w:type="dxa"/>
            <w:noWrap/>
            <w:vAlign w:val="center"/>
          </w:tcPr>
          <w:p w14:paraId="2798FA59">
            <w:pPr>
              <w:spacing w:line="300" w:lineRule="auto"/>
              <w:jc w:val="center"/>
              <w:rPr>
                <w:rFonts w:ascii="黑体" w:eastAsia="黑体"/>
                <w:b/>
                <w:color w:val="auto"/>
                <w:sz w:val="24"/>
                <w:highlight w:val="none"/>
              </w:rPr>
            </w:pPr>
          </w:p>
        </w:tc>
        <w:tc>
          <w:tcPr>
            <w:tcW w:w="900" w:type="dxa"/>
            <w:noWrap/>
            <w:vAlign w:val="center"/>
          </w:tcPr>
          <w:p w14:paraId="1D52706F">
            <w:pPr>
              <w:spacing w:line="300" w:lineRule="auto"/>
              <w:jc w:val="center"/>
              <w:rPr>
                <w:rFonts w:ascii="黑体" w:eastAsia="黑体"/>
                <w:b/>
                <w:color w:val="auto"/>
                <w:sz w:val="24"/>
                <w:highlight w:val="none"/>
              </w:rPr>
            </w:pPr>
          </w:p>
        </w:tc>
        <w:tc>
          <w:tcPr>
            <w:tcW w:w="540" w:type="dxa"/>
            <w:noWrap/>
            <w:vAlign w:val="center"/>
          </w:tcPr>
          <w:p w14:paraId="0EA1E8ED">
            <w:pPr>
              <w:spacing w:line="300" w:lineRule="auto"/>
              <w:jc w:val="center"/>
              <w:rPr>
                <w:rFonts w:ascii="黑体" w:eastAsia="黑体"/>
                <w:b/>
                <w:color w:val="auto"/>
                <w:sz w:val="24"/>
                <w:highlight w:val="none"/>
              </w:rPr>
            </w:pPr>
          </w:p>
        </w:tc>
        <w:tc>
          <w:tcPr>
            <w:tcW w:w="900" w:type="dxa"/>
            <w:noWrap/>
            <w:vAlign w:val="center"/>
          </w:tcPr>
          <w:p w14:paraId="3130112E">
            <w:pPr>
              <w:spacing w:line="300" w:lineRule="auto"/>
              <w:jc w:val="center"/>
              <w:rPr>
                <w:rFonts w:ascii="黑体" w:eastAsia="黑体"/>
                <w:b/>
                <w:color w:val="auto"/>
                <w:sz w:val="24"/>
                <w:highlight w:val="none"/>
              </w:rPr>
            </w:pPr>
          </w:p>
        </w:tc>
        <w:tc>
          <w:tcPr>
            <w:tcW w:w="720" w:type="dxa"/>
            <w:noWrap/>
            <w:vAlign w:val="center"/>
          </w:tcPr>
          <w:p w14:paraId="3626BD6F">
            <w:pPr>
              <w:spacing w:line="300" w:lineRule="auto"/>
              <w:jc w:val="center"/>
              <w:rPr>
                <w:rFonts w:ascii="黑体" w:eastAsia="黑体"/>
                <w:b/>
                <w:color w:val="auto"/>
                <w:sz w:val="24"/>
                <w:highlight w:val="none"/>
              </w:rPr>
            </w:pPr>
          </w:p>
        </w:tc>
        <w:tc>
          <w:tcPr>
            <w:tcW w:w="900" w:type="dxa"/>
            <w:noWrap/>
            <w:vAlign w:val="center"/>
          </w:tcPr>
          <w:p w14:paraId="0CE27995">
            <w:pPr>
              <w:spacing w:line="300" w:lineRule="auto"/>
              <w:jc w:val="center"/>
              <w:rPr>
                <w:rFonts w:ascii="黑体" w:eastAsia="黑体"/>
                <w:b/>
                <w:color w:val="auto"/>
                <w:sz w:val="24"/>
                <w:highlight w:val="none"/>
              </w:rPr>
            </w:pPr>
          </w:p>
        </w:tc>
        <w:tc>
          <w:tcPr>
            <w:tcW w:w="1260" w:type="dxa"/>
            <w:noWrap/>
            <w:vAlign w:val="center"/>
          </w:tcPr>
          <w:p w14:paraId="1DD35CAB">
            <w:pPr>
              <w:spacing w:line="300" w:lineRule="auto"/>
              <w:jc w:val="center"/>
              <w:rPr>
                <w:rFonts w:ascii="黑体" w:eastAsia="黑体"/>
                <w:b/>
                <w:color w:val="auto"/>
                <w:sz w:val="24"/>
                <w:highlight w:val="none"/>
              </w:rPr>
            </w:pPr>
          </w:p>
        </w:tc>
        <w:tc>
          <w:tcPr>
            <w:tcW w:w="1800" w:type="dxa"/>
            <w:noWrap/>
            <w:vAlign w:val="center"/>
          </w:tcPr>
          <w:p w14:paraId="41438743">
            <w:pPr>
              <w:spacing w:line="300" w:lineRule="auto"/>
              <w:jc w:val="center"/>
              <w:rPr>
                <w:rFonts w:ascii="黑体" w:eastAsia="黑体"/>
                <w:b/>
                <w:color w:val="auto"/>
                <w:sz w:val="24"/>
                <w:highlight w:val="none"/>
              </w:rPr>
            </w:pPr>
          </w:p>
        </w:tc>
        <w:tc>
          <w:tcPr>
            <w:tcW w:w="720" w:type="dxa"/>
            <w:noWrap/>
            <w:vAlign w:val="center"/>
          </w:tcPr>
          <w:p w14:paraId="33CD4736">
            <w:pPr>
              <w:spacing w:line="300" w:lineRule="auto"/>
              <w:jc w:val="center"/>
              <w:rPr>
                <w:rFonts w:ascii="黑体" w:eastAsia="黑体"/>
                <w:b/>
                <w:color w:val="auto"/>
                <w:sz w:val="24"/>
                <w:highlight w:val="none"/>
              </w:rPr>
            </w:pPr>
          </w:p>
        </w:tc>
        <w:tc>
          <w:tcPr>
            <w:tcW w:w="720" w:type="dxa"/>
            <w:noWrap/>
            <w:vAlign w:val="center"/>
          </w:tcPr>
          <w:p w14:paraId="6E88A6EA">
            <w:pPr>
              <w:spacing w:line="300" w:lineRule="auto"/>
              <w:jc w:val="center"/>
              <w:rPr>
                <w:rFonts w:ascii="黑体" w:eastAsia="黑体"/>
                <w:b/>
                <w:color w:val="auto"/>
                <w:sz w:val="24"/>
                <w:highlight w:val="none"/>
              </w:rPr>
            </w:pPr>
          </w:p>
        </w:tc>
      </w:tr>
      <w:tr w14:paraId="5ED1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0B95011">
            <w:pPr>
              <w:spacing w:line="300" w:lineRule="auto"/>
              <w:jc w:val="center"/>
              <w:rPr>
                <w:rFonts w:ascii="黑体" w:eastAsia="黑体"/>
                <w:b/>
                <w:color w:val="auto"/>
                <w:sz w:val="24"/>
                <w:highlight w:val="none"/>
              </w:rPr>
            </w:pPr>
          </w:p>
        </w:tc>
        <w:tc>
          <w:tcPr>
            <w:tcW w:w="1024" w:type="dxa"/>
            <w:noWrap/>
            <w:vAlign w:val="center"/>
          </w:tcPr>
          <w:p w14:paraId="7DF0513C">
            <w:pPr>
              <w:spacing w:line="300" w:lineRule="auto"/>
              <w:jc w:val="center"/>
              <w:rPr>
                <w:rFonts w:ascii="黑体" w:eastAsia="黑体"/>
                <w:b/>
                <w:color w:val="auto"/>
                <w:sz w:val="24"/>
                <w:highlight w:val="none"/>
              </w:rPr>
            </w:pPr>
          </w:p>
        </w:tc>
        <w:tc>
          <w:tcPr>
            <w:tcW w:w="900" w:type="dxa"/>
            <w:noWrap/>
            <w:vAlign w:val="center"/>
          </w:tcPr>
          <w:p w14:paraId="7CFF4578">
            <w:pPr>
              <w:spacing w:line="300" w:lineRule="auto"/>
              <w:jc w:val="center"/>
              <w:rPr>
                <w:rFonts w:ascii="黑体" w:eastAsia="黑体"/>
                <w:b/>
                <w:color w:val="auto"/>
                <w:sz w:val="24"/>
                <w:highlight w:val="none"/>
              </w:rPr>
            </w:pPr>
          </w:p>
        </w:tc>
        <w:tc>
          <w:tcPr>
            <w:tcW w:w="540" w:type="dxa"/>
            <w:noWrap/>
            <w:vAlign w:val="center"/>
          </w:tcPr>
          <w:p w14:paraId="367B6B13">
            <w:pPr>
              <w:spacing w:line="300" w:lineRule="auto"/>
              <w:jc w:val="center"/>
              <w:rPr>
                <w:rFonts w:ascii="黑体" w:eastAsia="黑体"/>
                <w:b/>
                <w:color w:val="auto"/>
                <w:sz w:val="24"/>
                <w:highlight w:val="none"/>
              </w:rPr>
            </w:pPr>
          </w:p>
        </w:tc>
        <w:tc>
          <w:tcPr>
            <w:tcW w:w="900" w:type="dxa"/>
            <w:noWrap/>
            <w:vAlign w:val="center"/>
          </w:tcPr>
          <w:p w14:paraId="37454451">
            <w:pPr>
              <w:spacing w:line="300" w:lineRule="auto"/>
              <w:jc w:val="center"/>
              <w:rPr>
                <w:rFonts w:ascii="黑体" w:eastAsia="黑体"/>
                <w:b/>
                <w:color w:val="auto"/>
                <w:sz w:val="24"/>
                <w:highlight w:val="none"/>
              </w:rPr>
            </w:pPr>
          </w:p>
        </w:tc>
        <w:tc>
          <w:tcPr>
            <w:tcW w:w="720" w:type="dxa"/>
            <w:noWrap/>
            <w:vAlign w:val="center"/>
          </w:tcPr>
          <w:p w14:paraId="4A1376E3">
            <w:pPr>
              <w:spacing w:line="300" w:lineRule="auto"/>
              <w:jc w:val="center"/>
              <w:rPr>
                <w:rFonts w:ascii="黑体" w:eastAsia="黑体"/>
                <w:b/>
                <w:color w:val="auto"/>
                <w:sz w:val="24"/>
                <w:highlight w:val="none"/>
              </w:rPr>
            </w:pPr>
          </w:p>
        </w:tc>
        <w:tc>
          <w:tcPr>
            <w:tcW w:w="900" w:type="dxa"/>
            <w:noWrap/>
            <w:vAlign w:val="center"/>
          </w:tcPr>
          <w:p w14:paraId="45EECAED">
            <w:pPr>
              <w:spacing w:line="300" w:lineRule="auto"/>
              <w:jc w:val="center"/>
              <w:rPr>
                <w:rFonts w:ascii="黑体" w:eastAsia="黑体"/>
                <w:b/>
                <w:color w:val="auto"/>
                <w:sz w:val="24"/>
                <w:highlight w:val="none"/>
              </w:rPr>
            </w:pPr>
          </w:p>
        </w:tc>
        <w:tc>
          <w:tcPr>
            <w:tcW w:w="1260" w:type="dxa"/>
            <w:noWrap/>
            <w:vAlign w:val="center"/>
          </w:tcPr>
          <w:p w14:paraId="08A7D97D">
            <w:pPr>
              <w:spacing w:line="300" w:lineRule="auto"/>
              <w:jc w:val="center"/>
              <w:rPr>
                <w:rFonts w:ascii="黑体" w:eastAsia="黑体"/>
                <w:b/>
                <w:color w:val="auto"/>
                <w:sz w:val="24"/>
                <w:highlight w:val="none"/>
              </w:rPr>
            </w:pPr>
          </w:p>
        </w:tc>
        <w:tc>
          <w:tcPr>
            <w:tcW w:w="1800" w:type="dxa"/>
            <w:noWrap/>
            <w:vAlign w:val="center"/>
          </w:tcPr>
          <w:p w14:paraId="3ED7BE71">
            <w:pPr>
              <w:spacing w:line="300" w:lineRule="auto"/>
              <w:jc w:val="center"/>
              <w:rPr>
                <w:rFonts w:ascii="黑体" w:eastAsia="黑体"/>
                <w:b/>
                <w:color w:val="auto"/>
                <w:sz w:val="24"/>
                <w:highlight w:val="none"/>
              </w:rPr>
            </w:pPr>
          </w:p>
        </w:tc>
        <w:tc>
          <w:tcPr>
            <w:tcW w:w="720" w:type="dxa"/>
            <w:noWrap/>
            <w:vAlign w:val="center"/>
          </w:tcPr>
          <w:p w14:paraId="3354E8A6">
            <w:pPr>
              <w:spacing w:line="300" w:lineRule="auto"/>
              <w:jc w:val="center"/>
              <w:rPr>
                <w:rFonts w:ascii="黑体" w:eastAsia="黑体"/>
                <w:b/>
                <w:color w:val="auto"/>
                <w:sz w:val="24"/>
                <w:highlight w:val="none"/>
              </w:rPr>
            </w:pPr>
          </w:p>
        </w:tc>
        <w:tc>
          <w:tcPr>
            <w:tcW w:w="720" w:type="dxa"/>
            <w:noWrap/>
            <w:vAlign w:val="center"/>
          </w:tcPr>
          <w:p w14:paraId="5C96B42A">
            <w:pPr>
              <w:spacing w:line="300" w:lineRule="auto"/>
              <w:jc w:val="center"/>
              <w:rPr>
                <w:rFonts w:ascii="黑体" w:eastAsia="黑体"/>
                <w:b/>
                <w:color w:val="auto"/>
                <w:sz w:val="24"/>
                <w:highlight w:val="none"/>
              </w:rPr>
            </w:pPr>
          </w:p>
        </w:tc>
      </w:tr>
      <w:tr w14:paraId="1001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46CCA713">
            <w:pPr>
              <w:spacing w:line="300" w:lineRule="auto"/>
              <w:jc w:val="center"/>
              <w:rPr>
                <w:rFonts w:ascii="黑体" w:eastAsia="黑体"/>
                <w:b/>
                <w:color w:val="auto"/>
                <w:sz w:val="24"/>
                <w:highlight w:val="none"/>
              </w:rPr>
            </w:pPr>
          </w:p>
        </w:tc>
        <w:tc>
          <w:tcPr>
            <w:tcW w:w="1024" w:type="dxa"/>
            <w:noWrap/>
            <w:vAlign w:val="center"/>
          </w:tcPr>
          <w:p w14:paraId="324723F4">
            <w:pPr>
              <w:spacing w:line="300" w:lineRule="auto"/>
              <w:jc w:val="center"/>
              <w:rPr>
                <w:rFonts w:ascii="黑体" w:eastAsia="黑体"/>
                <w:b/>
                <w:color w:val="auto"/>
                <w:sz w:val="24"/>
                <w:highlight w:val="none"/>
              </w:rPr>
            </w:pPr>
          </w:p>
        </w:tc>
        <w:tc>
          <w:tcPr>
            <w:tcW w:w="900" w:type="dxa"/>
            <w:noWrap/>
            <w:vAlign w:val="center"/>
          </w:tcPr>
          <w:p w14:paraId="500F2E4F">
            <w:pPr>
              <w:spacing w:line="300" w:lineRule="auto"/>
              <w:jc w:val="center"/>
              <w:rPr>
                <w:rFonts w:ascii="黑体" w:eastAsia="黑体"/>
                <w:b/>
                <w:color w:val="auto"/>
                <w:sz w:val="24"/>
                <w:highlight w:val="none"/>
              </w:rPr>
            </w:pPr>
          </w:p>
        </w:tc>
        <w:tc>
          <w:tcPr>
            <w:tcW w:w="540" w:type="dxa"/>
            <w:noWrap/>
            <w:vAlign w:val="center"/>
          </w:tcPr>
          <w:p w14:paraId="77FAB902">
            <w:pPr>
              <w:spacing w:line="300" w:lineRule="auto"/>
              <w:jc w:val="center"/>
              <w:rPr>
                <w:rFonts w:ascii="黑体" w:eastAsia="黑体"/>
                <w:b/>
                <w:color w:val="auto"/>
                <w:sz w:val="24"/>
                <w:highlight w:val="none"/>
              </w:rPr>
            </w:pPr>
          </w:p>
        </w:tc>
        <w:tc>
          <w:tcPr>
            <w:tcW w:w="900" w:type="dxa"/>
            <w:noWrap/>
            <w:vAlign w:val="center"/>
          </w:tcPr>
          <w:p w14:paraId="02017669">
            <w:pPr>
              <w:spacing w:line="300" w:lineRule="auto"/>
              <w:jc w:val="center"/>
              <w:rPr>
                <w:rFonts w:ascii="黑体" w:eastAsia="黑体"/>
                <w:b/>
                <w:color w:val="auto"/>
                <w:sz w:val="24"/>
                <w:highlight w:val="none"/>
              </w:rPr>
            </w:pPr>
          </w:p>
        </w:tc>
        <w:tc>
          <w:tcPr>
            <w:tcW w:w="720" w:type="dxa"/>
            <w:noWrap/>
            <w:vAlign w:val="center"/>
          </w:tcPr>
          <w:p w14:paraId="2EF43327">
            <w:pPr>
              <w:spacing w:line="300" w:lineRule="auto"/>
              <w:jc w:val="center"/>
              <w:rPr>
                <w:rFonts w:ascii="黑体" w:eastAsia="黑体"/>
                <w:b/>
                <w:color w:val="auto"/>
                <w:sz w:val="24"/>
                <w:highlight w:val="none"/>
              </w:rPr>
            </w:pPr>
          </w:p>
        </w:tc>
        <w:tc>
          <w:tcPr>
            <w:tcW w:w="900" w:type="dxa"/>
            <w:noWrap/>
            <w:vAlign w:val="center"/>
          </w:tcPr>
          <w:p w14:paraId="2C09580E">
            <w:pPr>
              <w:spacing w:line="300" w:lineRule="auto"/>
              <w:jc w:val="center"/>
              <w:rPr>
                <w:rFonts w:ascii="黑体" w:eastAsia="黑体"/>
                <w:b/>
                <w:color w:val="auto"/>
                <w:sz w:val="24"/>
                <w:highlight w:val="none"/>
              </w:rPr>
            </w:pPr>
          </w:p>
        </w:tc>
        <w:tc>
          <w:tcPr>
            <w:tcW w:w="1260" w:type="dxa"/>
            <w:noWrap/>
            <w:vAlign w:val="center"/>
          </w:tcPr>
          <w:p w14:paraId="518FAF32">
            <w:pPr>
              <w:spacing w:line="300" w:lineRule="auto"/>
              <w:jc w:val="center"/>
              <w:rPr>
                <w:rFonts w:ascii="黑体" w:eastAsia="黑体"/>
                <w:b/>
                <w:color w:val="auto"/>
                <w:sz w:val="24"/>
                <w:highlight w:val="none"/>
              </w:rPr>
            </w:pPr>
          </w:p>
        </w:tc>
        <w:tc>
          <w:tcPr>
            <w:tcW w:w="1800" w:type="dxa"/>
            <w:noWrap/>
            <w:vAlign w:val="center"/>
          </w:tcPr>
          <w:p w14:paraId="2841B488">
            <w:pPr>
              <w:spacing w:line="300" w:lineRule="auto"/>
              <w:jc w:val="center"/>
              <w:rPr>
                <w:rFonts w:ascii="黑体" w:eastAsia="黑体"/>
                <w:b/>
                <w:color w:val="auto"/>
                <w:sz w:val="24"/>
                <w:highlight w:val="none"/>
              </w:rPr>
            </w:pPr>
          </w:p>
        </w:tc>
        <w:tc>
          <w:tcPr>
            <w:tcW w:w="720" w:type="dxa"/>
            <w:noWrap/>
            <w:vAlign w:val="center"/>
          </w:tcPr>
          <w:p w14:paraId="0D783269">
            <w:pPr>
              <w:spacing w:line="300" w:lineRule="auto"/>
              <w:jc w:val="center"/>
              <w:rPr>
                <w:rFonts w:ascii="黑体" w:eastAsia="黑体"/>
                <w:b/>
                <w:color w:val="auto"/>
                <w:sz w:val="24"/>
                <w:highlight w:val="none"/>
              </w:rPr>
            </w:pPr>
          </w:p>
        </w:tc>
        <w:tc>
          <w:tcPr>
            <w:tcW w:w="720" w:type="dxa"/>
            <w:noWrap/>
            <w:vAlign w:val="center"/>
          </w:tcPr>
          <w:p w14:paraId="628FBF8F">
            <w:pPr>
              <w:spacing w:line="300" w:lineRule="auto"/>
              <w:jc w:val="center"/>
              <w:rPr>
                <w:rFonts w:ascii="黑体" w:eastAsia="黑体"/>
                <w:b/>
                <w:color w:val="auto"/>
                <w:sz w:val="24"/>
                <w:highlight w:val="none"/>
              </w:rPr>
            </w:pPr>
          </w:p>
        </w:tc>
      </w:tr>
      <w:tr w14:paraId="7D95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7BCB8F5">
            <w:pPr>
              <w:spacing w:line="300" w:lineRule="auto"/>
              <w:jc w:val="center"/>
              <w:rPr>
                <w:rFonts w:ascii="黑体" w:eastAsia="黑体"/>
                <w:b/>
                <w:color w:val="auto"/>
                <w:sz w:val="24"/>
                <w:highlight w:val="none"/>
              </w:rPr>
            </w:pPr>
          </w:p>
        </w:tc>
        <w:tc>
          <w:tcPr>
            <w:tcW w:w="1024" w:type="dxa"/>
            <w:noWrap/>
            <w:vAlign w:val="center"/>
          </w:tcPr>
          <w:p w14:paraId="267A8639">
            <w:pPr>
              <w:spacing w:line="300" w:lineRule="auto"/>
              <w:jc w:val="center"/>
              <w:rPr>
                <w:rFonts w:ascii="黑体" w:eastAsia="黑体"/>
                <w:b/>
                <w:color w:val="auto"/>
                <w:sz w:val="24"/>
                <w:highlight w:val="none"/>
              </w:rPr>
            </w:pPr>
          </w:p>
        </w:tc>
        <w:tc>
          <w:tcPr>
            <w:tcW w:w="900" w:type="dxa"/>
            <w:noWrap/>
            <w:vAlign w:val="center"/>
          </w:tcPr>
          <w:p w14:paraId="6D49EFE1">
            <w:pPr>
              <w:spacing w:line="300" w:lineRule="auto"/>
              <w:jc w:val="center"/>
              <w:rPr>
                <w:rFonts w:ascii="黑体" w:eastAsia="黑体"/>
                <w:b/>
                <w:color w:val="auto"/>
                <w:sz w:val="24"/>
                <w:highlight w:val="none"/>
              </w:rPr>
            </w:pPr>
          </w:p>
        </w:tc>
        <w:tc>
          <w:tcPr>
            <w:tcW w:w="540" w:type="dxa"/>
            <w:noWrap/>
            <w:vAlign w:val="center"/>
          </w:tcPr>
          <w:p w14:paraId="337CE0D3">
            <w:pPr>
              <w:spacing w:line="300" w:lineRule="auto"/>
              <w:jc w:val="center"/>
              <w:rPr>
                <w:rFonts w:ascii="黑体" w:eastAsia="黑体"/>
                <w:b/>
                <w:color w:val="auto"/>
                <w:sz w:val="24"/>
                <w:highlight w:val="none"/>
              </w:rPr>
            </w:pPr>
          </w:p>
        </w:tc>
        <w:tc>
          <w:tcPr>
            <w:tcW w:w="900" w:type="dxa"/>
            <w:noWrap/>
            <w:vAlign w:val="center"/>
          </w:tcPr>
          <w:p w14:paraId="343E462C">
            <w:pPr>
              <w:spacing w:line="300" w:lineRule="auto"/>
              <w:jc w:val="center"/>
              <w:rPr>
                <w:rFonts w:ascii="黑体" w:eastAsia="黑体"/>
                <w:b/>
                <w:color w:val="auto"/>
                <w:sz w:val="24"/>
                <w:highlight w:val="none"/>
              </w:rPr>
            </w:pPr>
          </w:p>
        </w:tc>
        <w:tc>
          <w:tcPr>
            <w:tcW w:w="720" w:type="dxa"/>
            <w:noWrap/>
            <w:vAlign w:val="center"/>
          </w:tcPr>
          <w:p w14:paraId="19038DCC">
            <w:pPr>
              <w:spacing w:line="300" w:lineRule="auto"/>
              <w:jc w:val="center"/>
              <w:rPr>
                <w:rFonts w:ascii="黑体" w:eastAsia="黑体"/>
                <w:b/>
                <w:color w:val="auto"/>
                <w:sz w:val="24"/>
                <w:highlight w:val="none"/>
              </w:rPr>
            </w:pPr>
          </w:p>
        </w:tc>
        <w:tc>
          <w:tcPr>
            <w:tcW w:w="900" w:type="dxa"/>
            <w:noWrap/>
            <w:vAlign w:val="center"/>
          </w:tcPr>
          <w:p w14:paraId="1F682B6E">
            <w:pPr>
              <w:spacing w:line="300" w:lineRule="auto"/>
              <w:jc w:val="center"/>
              <w:rPr>
                <w:rFonts w:ascii="黑体" w:eastAsia="黑体"/>
                <w:b/>
                <w:color w:val="auto"/>
                <w:sz w:val="24"/>
                <w:highlight w:val="none"/>
              </w:rPr>
            </w:pPr>
          </w:p>
        </w:tc>
        <w:tc>
          <w:tcPr>
            <w:tcW w:w="1260" w:type="dxa"/>
            <w:noWrap/>
            <w:vAlign w:val="center"/>
          </w:tcPr>
          <w:p w14:paraId="0E516DB2">
            <w:pPr>
              <w:spacing w:line="300" w:lineRule="auto"/>
              <w:jc w:val="center"/>
              <w:rPr>
                <w:rFonts w:ascii="黑体" w:eastAsia="黑体"/>
                <w:b/>
                <w:color w:val="auto"/>
                <w:sz w:val="24"/>
                <w:highlight w:val="none"/>
              </w:rPr>
            </w:pPr>
          </w:p>
        </w:tc>
        <w:tc>
          <w:tcPr>
            <w:tcW w:w="1800" w:type="dxa"/>
            <w:noWrap/>
            <w:vAlign w:val="center"/>
          </w:tcPr>
          <w:p w14:paraId="6C78F196">
            <w:pPr>
              <w:spacing w:line="300" w:lineRule="auto"/>
              <w:jc w:val="center"/>
              <w:rPr>
                <w:rFonts w:ascii="黑体" w:eastAsia="黑体"/>
                <w:b/>
                <w:color w:val="auto"/>
                <w:sz w:val="24"/>
                <w:highlight w:val="none"/>
              </w:rPr>
            </w:pPr>
          </w:p>
        </w:tc>
        <w:tc>
          <w:tcPr>
            <w:tcW w:w="720" w:type="dxa"/>
            <w:noWrap/>
            <w:vAlign w:val="center"/>
          </w:tcPr>
          <w:p w14:paraId="6FE3AAA8">
            <w:pPr>
              <w:spacing w:line="300" w:lineRule="auto"/>
              <w:jc w:val="center"/>
              <w:rPr>
                <w:rFonts w:ascii="黑体" w:eastAsia="黑体"/>
                <w:b/>
                <w:color w:val="auto"/>
                <w:sz w:val="24"/>
                <w:highlight w:val="none"/>
              </w:rPr>
            </w:pPr>
          </w:p>
        </w:tc>
        <w:tc>
          <w:tcPr>
            <w:tcW w:w="720" w:type="dxa"/>
            <w:noWrap/>
            <w:vAlign w:val="center"/>
          </w:tcPr>
          <w:p w14:paraId="615B47A6">
            <w:pPr>
              <w:spacing w:line="300" w:lineRule="auto"/>
              <w:jc w:val="center"/>
              <w:rPr>
                <w:rFonts w:ascii="黑体" w:eastAsia="黑体"/>
                <w:b/>
                <w:color w:val="auto"/>
                <w:sz w:val="24"/>
                <w:highlight w:val="none"/>
              </w:rPr>
            </w:pPr>
          </w:p>
        </w:tc>
      </w:tr>
      <w:tr w14:paraId="69D1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3FE8AF61">
            <w:pPr>
              <w:spacing w:line="300" w:lineRule="auto"/>
              <w:jc w:val="center"/>
              <w:rPr>
                <w:rFonts w:ascii="黑体" w:eastAsia="黑体"/>
                <w:b/>
                <w:color w:val="auto"/>
                <w:sz w:val="24"/>
                <w:highlight w:val="none"/>
              </w:rPr>
            </w:pPr>
          </w:p>
        </w:tc>
        <w:tc>
          <w:tcPr>
            <w:tcW w:w="1024" w:type="dxa"/>
            <w:noWrap/>
            <w:vAlign w:val="center"/>
          </w:tcPr>
          <w:p w14:paraId="6B36B26B">
            <w:pPr>
              <w:spacing w:line="300" w:lineRule="auto"/>
              <w:jc w:val="center"/>
              <w:rPr>
                <w:rFonts w:ascii="黑体" w:eastAsia="黑体"/>
                <w:b/>
                <w:color w:val="auto"/>
                <w:sz w:val="24"/>
                <w:highlight w:val="none"/>
              </w:rPr>
            </w:pPr>
          </w:p>
        </w:tc>
        <w:tc>
          <w:tcPr>
            <w:tcW w:w="900" w:type="dxa"/>
            <w:noWrap/>
            <w:vAlign w:val="center"/>
          </w:tcPr>
          <w:p w14:paraId="04195305">
            <w:pPr>
              <w:spacing w:line="300" w:lineRule="auto"/>
              <w:jc w:val="center"/>
              <w:rPr>
                <w:rFonts w:ascii="黑体" w:eastAsia="黑体"/>
                <w:b/>
                <w:color w:val="auto"/>
                <w:sz w:val="24"/>
                <w:highlight w:val="none"/>
              </w:rPr>
            </w:pPr>
          </w:p>
        </w:tc>
        <w:tc>
          <w:tcPr>
            <w:tcW w:w="540" w:type="dxa"/>
            <w:noWrap/>
            <w:vAlign w:val="center"/>
          </w:tcPr>
          <w:p w14:paraId="26372A7C">
            <w:pPr>
              <w:spacing w:line="300" w:lineRule="auto"/>
              <w:jc w:val="center"/>
              <w:rPr>
                <w:rFonts w:ascii="黑体" w:eastAsia="黑体"/>
                <w:b/>
                <w:color w:val="auto"/>
                <w:sz w:val="24"/>
                <w:highlight w:val="none"/>
              </w:rPr>
            </w:pPr>
          </w:p>
        </w:tc>
        <w:tc>
          <w:tcPr>
            <w:tcW w:w="900" w:type="dxa"/>
            <w:noWrap/>
            <w:vAlign w:val="center"/>
          </w:tcPr>
          <w:p w14:paraId="1401DCFC">
            <w:pPr>
              <w:spacing w:line="300" w:lineRule="auto"/>
              <w:jc w:val="center"/>
              <w:rPr>
                <w:rFonts w:ascii="黑体" w:eastAsia="黑体"/>
                <w:b/>
                <w:color w:val="auto"/>
                <w:sz w:val="24"/>
                <w:highlight w:val="none"/>
              </w:rPr>
            </w:pPr>
          </w:p>
        </w:tc>
        <w:tc>
          <w:tcPr>
            <w:tcW w:w="720" w:type="dxa"/>
            <w:noWrap/>
            <w:vAlign w:val="center"/>
          </w:tcPr>
          <w:p w14:paraId="58B35CF6">
            <w:pPr>
              <w:spacing w:line="300" w:lineRule="auto"/>
              <w:jc w:val="center"/>
              <w:rPr>
                <w:rFonts w:ascii="黑体" w:eastAsia="黑体"/>
                <w:b/>
                <w:color w:val="auto"/>
                <w:sz w:val="24"/>
                <w:highlight w:val="none"/>
              </w:rPr>
            </w:pPr>
          </w:p>
        </w:tc>
        <w:tc>
          <w:tcPr>
            <w:tcW w:w="900" w:type="dxa"/>
            <w:noWrap/>
            <w:vAlign w:val="center"/>
          </w:tcPr>
          <w:p w14:paraId="016FBEAA">
            <w:pPr>
              <w:spacing w:line="300" w:lineRule="auto"/>
              <w:jc w:val="center"/>
              <w:rPr>
                <w:rFonts w:ascii="黑体" w:eastAsia="黑体"/>
                <w:b/>
                <w:color w:val="auto"/>
                <w:sz w:val="24"/>
                <w:highlight w:val="none"/>
              </w:rPr>
            </w:pPr>
          </w:p>
        </w:tc>
        <w:tc>
          <w:tcPr>
            <w:tcW w:w="1260" w:type="dxa"/>
            <w:noWrap/>
            <w:vAlign w:val="center"/>
          </w:tcPr>
          <w:p w14:paraId="59016695">
            <w:pPr>
              <w:spacing w:line="300" w:lineRule="auto"/>
              <w:jc w:val="center"/>
              <w:rPr>
                <w:rFonts w:ascii="黑体" w:eastAsia="黑体"/>
                <w:b/>
                <w:color w:val="auto"/>
                <w:sz w:val="24"/>
                <w:highlight w:val="none"/>
              </w:rPr>
            </w:pPr>
          </w:p>
        </w:tc>
        <w:tc>
          <w:tcPr>
            <w:tcW w:w="1800" w:type="dxa"/>
            <w:noWrap/>
            <w:vAlign w:val="center"/>
          </w:tcPr>
          <w:p w14:paraId="16BE4AD0">
            <w:pPr>
              <w:spacing w:line="300" w:lineRule="auto"/>
              <w:jc w:val="center"/>
              <w:rPr>
                <w:rFonts w:ascii="黑体" w:eastAsia="黑体"/>
                <w:b/>
                <w:color w:val="auto"/>
                <w:sz w:val="24"/>
                <w:highlight w:val="none"/>
              </w:rPr>
            </w:pPr>
          </w:p>
        </w:tc>
        <w:tc>
          <w:tcPr>
            <w:tcW w:w="720" w:type="dxa"/>
            <w:noWrap/>
            <w:vAlign w:val="center"/>
          </w:tcPr>
          <w:p w14:paraId="7E612131">
            <w:pPr>
              <w:spacing w:line="300" w:lineRule="auto"/>
              <w:jc w:val="center"/>
              <w:rPr>
                <w:rFonts w:ascii="黑体" w:eastAsia="黑体"/>
                <w:b/>
                <w:color w:val="auto"/>
                <w:sz w:val="24"/>
                <w:highlight w:val="none"/>
              </w:rPr>
            </w:pPr>
          </w:p>
        </w:tc>
        <w:tc>
          <w:tcPr>
            <w:tcW w:w="720" w:type="dxa"/>
            <w:noWrap/>
            <w:vAlign w:val="center"/>
          </w:tcPr>
          <w:p w14:paraId="28D75302">
            <w:pPr>
              <w:spacing w:line="300" w:lineRule="auto"/>
              <w:jc w:val="center"/>
              <w:rPr>
                <w:rFonts w:ascii="黑体" w:eastAsia="黑体"/>
                <w:b/>
                <w:color w:val="auto"/>
                <w:sz w:val="24"/>
                <w:highlight w:val="none"/>
              </w:rPr>
            </w:pPr>
          </w:p>
        </w:tc>
      </w:tr>
    </w:tbl>
    <w:p w14:paraId="460701C3">
      <w:pPr>
        <w:spacing w:line="300" w:lineRule="auto"/>
        <w:rPr>
          <w:rFonts w:eastAsia="黑体"/>
          <w:b/>
          <w:color w:val="auto"/>
          <w:sz w:val="24"/>
          <w:highlight w:val="none"/>
        </w:rPr>
      </w:pPr>
    </w:p>
    <w:p w14:paraId="724571EA">
      <w:pPr>
        <w:spacing w:line="300" w:lineRule="auto"/>
        <w:rPr>
          <w:rFonts w:eastAsia="黑体"/>
          <w:b/>
          <w:color w:val="auto"/>
          <w:sz w:val="24"/>
          <w:highlight w:val="none"/>
        </w:rPr>
      </w:pPr>
      <w:r>
        <w:rPr>
          <w:rFonts w:eastAsia="黑体"/>
          <w:b/>
          <w:color w:val="auto"/>
          <w:sz w:val="24"/>
          <w:highlight w:val="none"/>
        </w:rPr>
        <w:br w:type="page"/>
      </w:r>
      <w:r>
        <w:rPr>
          <w:rFonts w:eastAsia="黑体"/>
          <w:b/>
          <w:color w:val="auto"/>
          <w:sz w:val="24"/>
          <w:highlight w:val="none"/>
        </w:rPr>
        <w:t>附件二： 廉政合同</w:t>
      </w:r>
    </w:p>
    <w:p w14:paraId="23063415">
      <w:pPr>
        <w:spacing w:after="120" w:afterLines="50" w:line="360" w:lineRule="auto"/>
        <w:ind w:firstLine="562" w:firstLineChars="200"/>
        <w:jc w:val="center"/>
        <w:rPr>
          <w:b/>
          <w:color w:val="auto"/>
          <w:sz w:val="28"/>
          <w:szCs w:val="28"/>
          <w:highlight w:val="none"/>
        </w:rPr>
      </w:pPr>
      <w:r>
        <w:rPr>
          <w:b/>
          <w:color w:val="auto"/>
          <w:sz w:val="28"/>
          <w:szCs w:val="28"/>
          <w:highlight w:val="none"/>
        </w:rPr>
        <w:t>廉政合同</w:t>
      </w:r>
    </w:p>
    <w:p w14:paraId="2F1910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eastAsia="zh-CN"/>
        </w:rPr>
        <w:t>交通运输部</w:t>
      </w:r>
      <w:r>
        <w:rPr>
          <w:rFonts w:hint="eastAsia" w:ascii="宋体" w:hAnsi="宋体" w:cs="宋体"/>
          <w:color w:val="auto"/>
          <w:szCs w:val="21"/>
          <w:highlight w:val="none"/>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Cs w:val="21"/>
          <w:highlight w:val="none"/>
          <w:u w:val="single"/>
          <w:lang w:eastAsia="zh-CN"/>
        </w:rPr>
        <w:t>南通沿江港口公用锚地调整项目配套系船浮工程试验检测项目XCF-JC标段</w:t>
      </w:r>
      <w:r>
        <w:rPr>
          <w:rFonts w:hint="eastAsia" w:ascii="宋体" w:hAnsi="宋体" w:cs="宋体"/>
          <w:color w:val="auto"/>
          <w:szCs w:val="21"/>
          <w:highlight w:val="none"/>
        </w:rPr>
        <w:t>的委托人</w:t>
      </w:r>
      <w:r>
        <w:rPr>
          <w:rFonts w:hint="eastAsia" w:ascii="宋体" w:hAnsi="宋体" w:cs="宋体"/>
          <w:color w:val="auto"/>
          <w:szCs w:val="21"/>
          <w:highlight w:val="none"/>
          <w:u w:val="single"/>
          <w:lang w:eastAsia="zh-CN"/>
        </w:rPr>
        <w:t>南通市交通公共事业发展中心</w:t>
      </w:r>
      <w:r>
        <w:rPr>
          <w:rFonts w:hint="eastAsia" w:ascii="宋体" w:hAnsi="宋体" w:cs="宋体"/>
          <w:color w:val="auto"/>
          <w:spacing w:val="18"/>
          <w:szCs w:val="21"/>
          <w:highlight w:val="none"/>
          <w:u w:val="single"/>
        </w:rPr>
        <w:t>（委托人全称）</w:t>
      </w:r>
      <w:r>
        <w:rPr>
          <w:rFonts w:hint="eastAsia" w:ascii="宋体" w:hAnsi="宋体" w:cs="宋体"/>
          <w:color w:val="auto"/>
          <w:spacing w:val="18"/>
          <w:szCs w:val="21"/>
          <w:highlight w:val="none"/>
        </w:rPr>
        <w:t>(以下简称“委托人”)</w:t>
      </w:r>
      <w:r>
        <w:rPr>
          <w:rFonts w:hint="eastAsia" w:ascii="宋体" w:hAnsi="宋体" w:cs="宋体"/>
          <w:color w:val="auto"/>
          <w:szCs w:val="21"/>
          <w:highlight w:val="none"/>
        </w:rPr>
        <w:t>与受托人</w:t>
      </w:r>
      <w:r>
        <w:rPr>
          <w:rFonts w:hint="eastAsia" w:ascii="宋体" w:hAnsi="宋体" w:cs="宋体"/>
          <w:color w:val="auto"/>
          <w:szCs w:val="21"/>
          <w:highlight w:val="none"/>
          <w:u w:val="single"/>
        </w:rPr>
        <w:t>（全称）</w:t>
      </w:r>
      <w:r>
        <w:rPr>
          <w:rFonts w:hint="eastAsia" w:ascii="宋体" w:hAnsi="宋体" w:cs="宋体"/>
          <w:color w:val="auto"/>
          <w:szCs w:val="21"/>
          <w:highlight w:val="none"/>
        </w:rPr>
        <w:t>（以下简称“受托人”），特订立如下合同。</w:t>
      </w:r>
    </w:p>
    <w:p w14:paraId="1AE9332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第一条 </w:t>
      </w:r>
      <w:r>
        <w:rPr>
          <w:rFonts w:hint="eastAsia" w:ascii="宋体" w:hAnsi="宋体" w:cs="宋体"/>
          <w:color w:val="auto"/>
          <w:szCs w:val="21"/>
          <w:highlight w:val="none"/>
        </w:rPr>
        <w:t>甲乙双方的权利和义务</w:t>
      </w:r>
    </w:p>
    <w:p w14:paraId="24D477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（一）严格遵守党和国家有关法律法规及交通部的有关规定。</w:t>
      </w:r>
    </w:p>
    <w:p w14:paraId="6B437F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（二）严格执行</w:t>
      </w:r>
      <w:r>
        <w:rPr>
          <w:rFonts w:hint="eastAsia" w:ascii="宋体" w:hAnsi="宋体" w:cs="宋体"/>
          <w:color w:val="auto"/>
          <w:szCs w:val="21"/>
          <w:highlight w:val="none"/>
          <w:u w:val="single"/>
          <w:lang w:eastAsia="zh-CN"/>
        </w:rPr>
        <w:t>南通沿江港口公用锚地调整项目配套系船浮工程试验检测项目XCF-JC标段</w:t>
      </w:r>
      <w:r>
        <w:rPr>
          <w:rFonts w:hint="eastAsia" w:ascii="宋体" w:hAnsi="宋体" w:cs="宋体"/>
          <w:color w:val="auto"/>
          <w:szCs w:val="21"/>
          <w:highlight w:val="none"/>
        </w:rPr>
        <w:t>检测的合同文件，自觉按合同办事。</w:t>
      </w:r>
    </w:p>
    <w:p w14:paraId="108E4C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（三）双方的业务活动坚持公开、公正、诚信、透明的原则（除法律认定的商业秘密和合同文件另有规定之外），不得损害国家和集体利益，违反工程建设管理规章制度。</w:t>
      </w:r>
    </w:p>
    <w:p w14:paraId="26A22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（四）建立健全廉政制度，开展廉政教育，设立廉政告示牌，公布举报电话，监督并认真查处违法违纪行为。</w:t>
      </w:r>
    </w:p>
    <w:p w14:paraId="15BF8B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（五）发现对方在业务活动中有违反廉政规定的行为，有及时提醒对方纠正的权利和义务。</w:t>
      </w:r>
    </w:p>
    <w:p w14:paraId="1F0314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（六）发现对方严重违反本合同义务条款的行为，有向其上级有关部门举报、建议给予处理并要求告知处理结果的权利。</w:t>
      </w:r>
    </w:p>
    <w:p w14:paraId="20DED6B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第二条 </w:t>
      </w:r>
      <w:r>
        <w:rPr>
          <w:rFonts w:hint="eastAsia" w:ascii="宋体" w:hAnsi="宋体" w:cs="宋体"/>
          <w:color w:val="auto"/>
          <w:szCs w:val="21"/>
          <w:highlight w:val="none"/>
        </w:rPr>
        <w:t>委托人的义务</w:t>
      </w:r>
    </w:p>
    <w:p w14:paraId="3B8F19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（一）委托人及其工作人员不得索要或接受受托人的礼金、有价证券和贵重物品，不得在受托人报销任何应由委托人或个人支付的费用等。</w:t>
      </w:r>
    </w:p>
    <w:p w14:paraId="1D5586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（二）委托人工作人员不得参加受托人安排的宴请和娱乐活动；不得接受受托人提供的通讯工具、交通工具和办公用品等。</w:t>
      </w:r>
    </w:p>
    <w:p w14:paraId="66FAEF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（三）委托人及其工作人员不得要求或者接受受托人为其住房装修、婚丧嫁娶活动、配偶子女的工作安排以及出国出境、旅游等提供方便等。</w:t>
      </w:r>
    </w:p>
    <w:p w14:paraId="76A244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（四）委托人工作人员的配偶、子女不得从事与委托人工程有关的检测分包项目。</w:t>
      </w:r>
    </w:p>
    <w:p w14:paraId="0A5D952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第三条 </w:t>
      </w:r>
      <w:r>
        <w:rPr>
          <w:rFonts w:hint="eastAsia" w:ascii="宋体" w:hAnsi="宋体" w:cs="宋体"/>
          <w:color w:val="auto"/>
          <w:szCs w:val="21"/>
          <w:highlight w:val="none"/>
        </w:rPr>
        <w:t>受托人义务</w:t>
      </w:r>
    </w:p>
    <w:p w14:paraId="51B4AD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（一）受托人不得以任何理由向委托人及其工作人员行贿或馈赠礼金、有价证券、贵重礼品。</w:t>
      </w:r>
    </w:p>
    <w:p w14:paraId="2D759C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（二）受托人不得以任何名义为委托人及其工作人员报销应由委托人单位或个人支付的任何费用。</w:t>
      </w:r>
    </w:p>
    <w:p w14:paraId="36CE5E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（三）受托人不得以任何理由安排委托人工作人员参加宴请及娱乐活动。</w:t>
      </w:r>
    </w:p>
    <w:p w14:paraId="598639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（四）受托人不得为委托人单位和个人购置或提供通讯工具、交通工具和办公用品等。</w:t>
      </w:r>
    </w:p>
    <w:p w14:paraId="4A7A2A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（五）受托人及其工作人员不得索取或接受工作关系单位的礼金、有价证券和贵重物品，不得在工作关系报销任何应由受托人或个人支付的费用。</w:t>
      </w:r>
    </w:p>
    <w:p w14:paraId="63B0A1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（六）受托人及其工作人员必须严格按照检测规程办事，不得损害委托人利益。</w:t>
      </w:r>
    </w:p>
    <w:p w14:paraId="1F0C1C5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第四条 </w:t>
      </w:r>
      <w:r>
        <w:rPr>
          <w:rFonts w:hint="eastAsia" w:ascii="宋体" w:hAnsi="宋体" w:cs="宋体"/>
          <w:color w:val="auto"/>
          <w:szCs w:val="21"/>
          <w:highlight w:val="none"/>
        </w:rPr>
        <w:t>违约责任</w:t>
      </w:r>
    </w:p>
    <w:p w14:paraId="1C232C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（一）委托人及其工作人员违反本合同第一、二条；按管理权限，依据有关规定给予党纪、政纪或组织处理；涉嫌犯罪的，移交司法机关追究刑事责任；给受托人单位造成经济损失的，应予以赔偿。</w:t>
      </w:r>
    </w:p>
    <w:p w14:paraId="6906F0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（二）受托人及其工作人员违反本合同第一、三条，按管理权限依据有关规定，给予党纪、政纪或组织处理；给委托人单位造成经济损失的，应予以赔偿；</w:t>
      </w:r>
      <w:r>
        <w:rPr>
          <w:rFonts w:hint="eastAsia" w:ascii="宋体" w:hAnsi="宋体"/>
          <w:color w:val="auto"/>
          <w:highlight w:val="none"/>
        </w:rPr>
        <w:t>并按照违纪违法认定金额的双倍承担违约金。合同款项未完全支付的，违约金在支付时予以扣减；合同款已支付</w:t>
      </w:r>
      <w:r>
        <w:rPr>
          <w:rFonts w:hint="eastAsia" w:ascii="宋体" w:hAnsi="宋体" w:cs="宋体"/>
          <w:color w:val="auto"/>
          <w:szCs w:val="21"/>
          <w:highlight w:val="none"/>
        </w:rPr>
        <w:t>受托人</w:t>
      </w:r>
      <w:r>
        <w:rPr>
          <w:rFonts w:hint="eastAsia" w:ascii="宋体" w:hAnsi="宋体"/>
          <w:color w:val="auto"/>
          <w:highlight w:val="none"/>
        </w:rPr>
        <w:t>或未支付款不足以支付违约金的，</w:t>
      </w:r>
      <w:r>
        <w:rPr>
          <w:rFonts w:hint="eastAsia" w:ascii="宋体" w:hAnsi="宋体" w:cs="宋体"/>
          <w:color w:val="auto"/>
          <w:szCs w:val="21"/>
          <w:highlight w:val="none"/>
        </w:rPr>
        <w:t>受托人</w:t>
      </w:r>
      <w:r>
        <w:rPr>
          <w:rFonts w:hint="eastAsia" w:ascii="宋体" w:hAnsi="宋体"/>
          <w:color w:val="auto"/>
          <w:highlight w:val="none"/>
        </w:rPr>
        <w:t>另行支付违约金。情节严重的，</w:t>
      </w:r>
      <w:r>
        <w:rPr>
          <w:rFonts w:hint="eastAsia" w:ascii="宋体" w:hAnsi="宋体" w:cs="宋体"/>
          <w:color w:val="auto"/>
          <w:szCs w:val="21"/>
          <w:highlight w:val="none"/>
        </w:rPr>
        <w:t>委托人建议交通工程建设主管部门给予受托人一至三年内不得进入其主管的交通工程建设市场的处罚。</w:t>
      </w:r>
    </w:p>
    <w:p w14:paraId="4160AB79">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第五条 </w:t>
      </w:r>
      <w:r>
        <w:rPr>
          <w:rFonts w:hint="eastAsia" w:ascii="宋体" w:hAnsi="宋体" w:cs="宋体"/>
          <w:color w:val="auto"/>
          <w:szCs w:val="21"/>
          <w:highlight w:val="none"/>
        </w:rPr>
        <w:t>本合同有效期为双方签署之日起至该工程项目交工验收后止。</w:t>
      </w:r>
    </w:p>
    <w:p w14:paraId="698FA2F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第六条 </w:t>
      </w:r>
      <w:r>
        <w:rPr>
          <w:rFonts w:hint="eastAsia" w:ascii="宋体" w:hAnsi="宋体" w:cs="宋体"/>
          <w:color w:val="auto"/>
          <w:szCs w:val="21"/>
          <w:highlight w:val="none"/>
        </w:rPr>
        <w:t>本合同作为工程检测合同的附件，与工程检测合同具有同等的法律效力，经合同双方签署立即生效。</w:t>
      </w:r>
    </w:p>
    <w:p w14:paraId="1602199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第七条 </w:t>
      </w:r>
      <w:r>
        <w:rPr>
          <w:color w:val="auto"/>
          <w:szCs w:val="21"/>
          <w:highlight w:val="none"/>
        </w:rPr>
        <w:t>本合同</w:t>
      </w:r>
      <w:r>
        <w:rPr>
          <w:rFonts w:hint="eastAsia" w:ascii="宋体" w:hAnsi="宋体"/>
          <w:color w:val="auto"/>
          <w:szCs w:val="21"/>
          <w:highlight w:val="none"/>
        </w:rPr>
        <w:t>正本二份、副本四份，合同双方各执正本一份，副本二份</w:t>
      </w:r>
      <w:r>
        <w:rPr>
          <w:color w:val="auto"/>
          <w:szCs w:val="21"/>
          <w:highlight w:val="none"/>
        </w:rPr>
        <w:t>。</w:t>
      </w:r>
    </w:p>
    <w:p w14:paraId="3F7D935C">
      <w:pPr>
        <w:spacing w:after="120" w:afterLines="50" w:line="360" w:lineRule="exact"/>
        <w:ind w:firstLine="422" w:firstLineChars="200"/>
        <w:rPr>
          <w:rFonts w:ascii="宋体" w:hAnsi="宋体" w:cs="宋体"/>
          <w:b/>
          <w:color w:val="auto"/>
          <w:szCs w:val="21"/>
          <w:highlight w:val="none"/>
        </w:rPr>
      </w:pPr>
    </w:p>
    <w:p w14:paraId="17AF8A33">
      <w:pPr>
        <w:spacing w:after="120" w:afterLines="50" w:line="360" w:lineRule="exact"/>
        <w:ind w:firstLine="422" w:firstLineChars="200"/>
        <w:rPr>
          <w:rFonts w:ascii="宋体" w:hAnsi="宋体" w:cs="宋体"/>
          <w:b/>
          <w:color w:val="auto"/>
          <w:szCs w:val="21"/>
          <w:highlight w:val="none"/>
        </w:rPr>
      </w:pPr>
    </w:p>
    <w:p w14:paraId="11AEBEEF">
      <w:pPr>
        <w:spacing w:after="120" w:afterLines="50" w:line="360" w:lineRule="exact"/>
        <w:ind w:firstLine="422" w:firstLineChars="200"/>
        <w:rPr>
          <w:rFonts w:ascii="宋体" w:hAnsi="宋体" w:cs="宋体"/>
          <w:b/>
          <w:color w:val="auto"/>
          <w:szCs w:val="21"/>
          <w:highlight w:val="none"/>
        </w:rPr>
      </w:pPr>
    </w:p>
    <w:p w14:paraId="39D72F8A">
      <w:pPr>
        <w:spacing w:after="120" w:afterLines="50" w:line="360" w:lineRule="exact"/>
        <w:ind w:firstLine="422" w:firstLineChars="200"/>
        <w:rPr>
          <w:rFonts w:ascii="宋体" w:hAnsi="宋体" w:cs="宋体"/>
          <w:b/>
          <w:color w:val="auto"/>
          <w:szCs w:val="21"/>
          <w:highlight w:val="none"/>
        </w:rPr>
      </w:pPr>
    </w:p>
    <w:p w14:paraId="3EAF2CA0">
      <w:pPr>
        <w:spacing w:after="120" w:afterLines="50" w:line="460" w:lineRule="exact"/>
        <w:rPr>
          <w:color w:val="auto"/>
          <w:szCs w:val="21"/>
          <w:highlight w:val="none"/>
          <w:u w:val="single"/>
        </w:rPr>
      </w:pPr>
      <w:r>
        <w:rPr>
          <w:color w:val="auto"/>
          <w:szCs w:val="21"/>
          <w:highlight w:val="none"/>
        </w:rPr>
        <w:t>委托人:</w:t>
      </w:r>
      <w:r>
        <w:rPr>
          <w:color w:val="auto"/>
          <w:szCs w:val="21"/>
          <w:highlight w:val="none"/>
          <w:u w:val="single"/>
        </w:rPr>
        <w:t xml:space="preserve"> （全称） （盖章）  </w:t>
      </w:r>
      <w:r>
        <w:rPr>
          <w:color w:val="auto"/>
          <w:szCs w:val="21"/>
          <w:highlight w:val="none"/>
        </w:rPr>
        <w:t xml:space="preserve">　    　 </w:t>
      </w:r>
      <w:r>
        <w:rPr>
          <w:rFonts w:hint="eastAsia"/>
          <w:color w:val="auto"/>
          <w:szCs w:val="21"/>
          <w:highlight w:val="none"/>
        </w:rPr>
        <w:t xml:space="preserve">  受托人</w:t>
      </w:r>
      <w:r>
        <w:rPr>
          <w:color w:val="auto"/>
          <w:szCs w:val="21"/>
          <w:highlight w:val="none"/>
        </w:rPr>
        <w:t>:</w:t>
      </w:r>
      <w:r>
        <w:rPr>
          <w:color w:val="auto"/>
          <w:szCs w:val="21"/>
          <w:highlight w:val="none"/>
          <w:u w:val="single"/>
        </w:rPr>
        <w:t xml:space="preserve"> （全称） （盖章）</w:t>
      </w:r>
    </w:p>
    <w:p w14:paraId="6D5D7C3C">
      <w:pPr>
        <w:spacing w:line="460" w:lineRule="exact"/>
        <w:ind w:right="468"/>
        <w:jc w:val="left"/>
        <w:rPr>
          <w:color w:val="auto"/>
          <w:szCs w:val="21"/>
          <w:highlight w:val="none"/>
        </w:rPr>
      </w:pPr>
      <w:r>
        <w:rPr>
          <w:color w:val="auto"/>
          <w:szCs w:val="21"/>
          <w:highlight w:val="none"/>
        </w:rPr>
        <w:t>法定代表人或其委托代理人：</w:t>
      </w:r>
      <w:r>
        <w:rPr>
          <w:color w:val="auto"/>
          <w:szCs w:val="21"/>
          <w:highlight w:val="none"/>
          <w:u w:val="single"/>
        </w:rPr>
        <w:t>（签字）</w:t>
      </w:r>
      <w:r>
        <w:rPr>
          <w:rFonts w:hint="eastAsia"/>
          <w:color w:val="auto"/>
          <w:szCs w:val="21"/>
          <w:highlight w:val="none"/>
          <w:u w:val="single"/>
        </w:rPr>
        <w:t xml:space="preserve">   </w:t>
      </w:r>
      <w:r>
        <w:rPr>
          <w:color w:val="auto"/>
          <w:szCs w:val="21"/>
          <w:highlight w:val="none"/>
        </w:rPr>
        <w:t>法定代表人或其委托代理人：</w:t>
      </w:r>
      <w:r>
        <w:rPr>
          <w:color w:val="auto"/>
          <w:szCs w:val="21"/>
          <w:highlight w:val="none"/>
          <w:u w:val="single"/>
        </w:rPr>
        <w:t>（签字）</w:t>
      </w:r>
    </w:p>
    <w:p w14:paraId="5B74D49F">
      <w:pPr>
        <w:tabs>
          <w:tab w:val="left" w:pos="4395"/>
          <w:tab w:val="left" w:pos="4678"/>
          <w:tab w:val="left" w:pos="4820"/>
        </w:tabs>
        <w:spacing w:line="460" w:lineRule="exact"/>
        <w:ind w:firstLine="360"/>
        <w:rPr>
          <w:color w:val="auto"/>
          <w:szCs w:val="21"/>
          <w:highlight w:val="none"/>
        </w:rPr>
      </w:pPr>
      <w:r>
        <w:rPr>
          <w:color w:val="auto"/>
          <w:szCs w:val="21"/>
          <w:highlight w:val="none"/>
        </w:rPr>
        <w:t xml:space="preserve">年月日  </w:t>
      </w:r>
      <w:r>
        <w:rPr>
          <w:rFonts w:hint="eastAsia"/>
          <w:color w:val="auto"/>
          <w:szCs w:val="21"/>
          <w:highlight w:val="none"/>
        </w:rPr>
        <w:t xml:space="preserve">                                              </w:t>
      </w:r>
      <w:r>
        <w:rPr>
          <w:color w:val="auto"/>
          <w:szCs w:val="21"/>
          <w:highlight w:val="none"/>
        </w:rPr>
        <w:t xml:space="preserve"> 年月日</w:t>
      </w:r>
    </w:p>
    <w:p w14:paraId="7A933CD6">
      <w:pPr>
        <w:spacing w:line="280" w:lineRule="exact"/>
        <w:rPr>
          <w:rFonts w:ascii="宋体" w:hAnsi="宋体" w:cs="宋体"/>
          <w:color w:val="auto"/>
          <w:szCs w:val="21"/>
          <w:highlight w:val="none"/>
        </w:rPr>
      </w:pPr>
    </w:p>
    <w:p w14:paraId="0EFF015F">
      <w:pPr>
        <w:spacing w:line="280" w:lineRule="exact"/>
        <w:rPr>
          <w:b/>
          <w:color w:val="auto"/>
          <w:sz w:val="24"/>
          <w:highlight w:val="none"/>
        </w:rPr>
      </w:pPr>
    </w:p>
    <w:p w14:paraId="54E34F24">
      <w:pPr>
        <w:spacing w:line="280" w:lineRule="exact"/>
        <w:rPr>
          <w:b/>
          <w:color w:val="auto"/>
          <w:sz w:val="24"/>
          <w:highlight w:val="none"/>
        </w:rPr>
      </w:pPr>
    </w:p>
    <w:p w14:paraId="4E2E5D4A">
      <w:pPr>
        <w:spacing w:line="280" w:lineRule="exact"/>
        <w:rPr>
          <w:b/>
          <w:color w:val="auto"/>
          <w:sz w:val="24"/>
          <w:highlight w:val="none"/>
        </w:rPr>
      </w:pPr>
    </w:p>
    <w:p w14:paraId="31E2B917">
      <w:pPr>
        <w:spacing w:line="280" w:lineRule="exact"/>
        <w:rPr>
          <w:b/>
          <w:color w:val="auto"/>
          <w:sz w:val="24"/>
          <w:highlight w:val="none"/>
        </w:rPr>
      </w:pPr>
    </w:p>
    <w:p w14:paraId="75D9C3D9">
      <w:pPr>
        <w:spacing w:line="280" w:lineRule="exact"/>
        <w:rPr>
          <w:b/>
          <w:color w:val="auto"/>
          <w:sz w:val="24"/>
          <w:highlight w:val="none"/>
        </w:rPr>
      </w:pPr>
    </w:p>
    <w:p w14:paraId="795D3D49">
      <w:pPr>
        <w:spacing w:line="280" w:lineRule="exact"/>
        <w:rPr>
          <w:b/>
          <w:color w:val="auto"/>
          <w:sz w:val="24"/>
          <w:highlight w:val="none"/>
        </w:rPr>
      </w:pPr>
    </w:p>
    <w:p w14:paraId="7E5FDF41">
      <w:pPr>
        <w:spacing w:line="280" w:lineRule="exact"/>
        <w:rPr>
          <w:b/>
          <w:color w:val="auto"/>
          <w:sz w:val="24"/>
          <w:highlight w:val="none"/>
        </w:rPr>
      </w:pPr>
    </w:p>
    <w:p w14:paraId="6701C8D5">
      <w:pPr>
        <w:spacing w:line="280" w:lineRule="exact"/>
        <w:rPr>
          <w:b/>
          <w:color w:val="auto"/>
          <w:sz w:val="24"/>
          <w:highlight w:val="none"/>
        </w:rPr>
      </w:pPr>
    </w:p>
    <w:p w14:paraId="5AA13B9E">
      <w:pPr>
        <w:spacing w:line="280" w:lineRule="exact"/>
        <w:rPr>
          <w:b/>
          <w:color w:val="auto"/>
          <w:sz w:val="24"/>
          <w:highlight w:val="none"/>
        </w:rPr>
      </w:pPr>
    </w:p>
    <w:p w14:paraId="3C775EC8">
      <w:pPr>
        <w:spacing w:line="280" w:lineRule="exact"/>
        <w:rPr>
          <w:b/>
          <w:color w:val="auto"/>
          <w:sz w:val="24"/>
          <w:highlight w:val="none"/>
        </w:rPr>
      </w:pPr>
    </w:p>
    <w:p w14:paraId="3D03EFFA">
      <w:pPr>
        <w:spacing w:line="280" w:lineRule="exact"/>
        <w:rPr>
          <w:b/>
          <w:color w:val="auto"/>
          <w:sz w:val="24"/>
          <w:highlight w:val="none"/>
        </w:rPr>
      </w:pPr>
    </w:p>
    <w:p w14:paraId="7C256849">
      <w:pPr>
        <w:widowControl/>
        <w:jc w:val="left"/>
        <w:rPr>
          <w:rFonts w:eastAsia="黑体"/>
          <w:b/>
          <w:color w:val="auto"/>
          <w:sz w:val="24"/>
          <w:highlight w:val="none"/>
        </w:rPr>
      </w:pPr>
      <w:r>
        <w:rPr>
          <w:rFonts w:eastAsia="黑体"/>
          <w:b/>
          <w:color w:val="auto"/>
          <w:sz w:val="24"/>
          <w:highlight w:val="none"/>
        </w:rPr>
        <w:br w:type="page"/>
      </w:r>
    </w:p>
    <w:p w14:paraId="7C64060A">
      <w:pPr>
        <w:spacing w:line="300" w:lineRule="auto"/>
        <w:rPr>
          <w:rFonts w:eastAsia="黑体"/>
          <w:b/>
          <w:color w:val="auto"/>
          <w:sz w:val="24"/>
          <w:highlight w:val="none"/>
        </w:rPr>
      </w:pPr>
      <w:r>
        <w:rPr>
          <w:rFonts w:eastAsia="黑体"/>
          <w:b/>
          <w:color w:val="auto"/>
          <w:sz w:val="24"/>
          <w:highlight w:val="none"/>
        </w:rPr>
        <w:t>附件三： 安全生产合同</w:t>
      </w:r>
    </w:p>
    <w:p w14:paraId="338404AC">
      <w:pPr>
        <w:spacing w:after="120" w:afterLines="50" w:line="360" w:lineRule="auto"/>
        <w:ind w:firstLine="562" w:firstLineChars="200"/>
        <w:jc w:val="center"/>
        <w:rPr>
          <w:b/>
          <w:color w:val="auto"/>
          <w:sz w:val="28"/>
          <w:szCs w:val="28"/>
          <w:highlight w:val="none"/>
        </w:rPr>
      </w:pPr>
      <w:r>
        <w:rPr>
          <w:b/>
          <w:color w:val="auto"/>
          <w:sz w:val="28"/>
          <w:szCs w:val="28"/>
          <w:highlight w:val="none"/>
        </w:rPr>
        <w:t>安全生产合同</w:t>
      </w:r>
    </w:p>
    <w:p w14:paraId="7FB3D0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lang w:eastAsia="zh-CN"/>
        </w:rPr>
        <w:t>南通沿江港口公用锚地调整项目配套系船浮工程试验检测项目XCF-JC标段</w:t>
      </w:r>
      <w:r>
        <w:rPr>
          <w:rFonts w:hint="eastAsia" w:ascii="宋体" w:hAnsi="宋体" w:cs="宋体"/>
          <w:color w:val="auto"/>
          <w:szCs w:val="21"/>
          <w:highlight w:val="none"/>
        </w:rPr>
        <w:t>合同的实施过程中创造安全、高效的检测环境，切实搞好本项目的安全管理工作，本项目委托人</w:t>
      </w:r>
      <w:r>
        <w:rPr>
          <w:rFonts w:hint="eastAsia" w:ascii="宋体" w:hAnsi="宋体" w:cs="宋体"/>
          <w:color w:val="auto"/>
          <w:szCs w:val="21"/>
          <w:highlight w:val="none"/>
          <w:u w:val="single"/>
          <w:lang w:eastAsia="zh-CN"/>
        </w:rPr>
        <w:t>南通市交通公共事业发展中心</w:t>
      </w:r>
      <w:r>
        <w:rPr>
          <w:rFonts w:hint="eastAsia" w:ascii="宋体" w:hAnsi="宋体" w:cs="宋体"/>
          <w:color w:val="auto"/>
          <w:spacing w:val="18"/>
          <w:szCs w:val="21"/>
          <w:highlight w:val="none"/>
          <w:u w:val="single"/>
        </w:rPr>
        <w:t>（委托人全称）</w:t>
      </w:r>
      <w:r>
        <w:rPr>
          <w:rFonts w:hint="eastAsia" w:ascii="宋体" w:hAnsi="宋体" w:cs="宋体"/>
          <w:color w:val="auto"/>
          <w:spacing w:val="18"/>
          <w:szCs w:val="21"/>
          <w:highlight w:val="none"/>
        </w:rPr>
        <w:t>(以下简称“委托人”)</w:t>
      </w:r>
      <w:r>
        <w:rPr>
          <w:rFonts w:hint="eastAsia" w:ascii="宋体" w:hAnsi="宋体" w:cs="宋体"/>
          <w:color w:val="auto"/>
          <w:szCs w:val="21"/>
          <w:highlight w:val="none"/>
        </w:rPr>
        <w:t>与受托人</w:t>
      </w:r>
      <w:r>
        <w:rPr>
          <w:rFonts w:hint="eastAsia" w:ascii="宋体" w:hAnsi="宋体" w:cs="宋体"/>
          <w:color w:val="auto"/>
          <w:szCs w:val="21"/>
          <w:highlight w:val="none"/>
          <w:u w:val="single"/>
        </w:rPr>
        <w:t xml:space="preserve">          （受托人全称）</w:t>
      </w:r>
      <w:r>
        <w:rPr>
          <w:rFonts w:hint="eastAsia" w:ascii="宋体" w:hAnsi="宋体" w:cs="宋体"/>
          <w:color w:val="auto"/>
          <w:szCs w:val="21"/>
          <w:highlight w:val="none"/>
        </w:rPr>
        <w:t>（以下简称“受托人”）特此签订安全生产合同：</w:t>
      </w:r>
    </w:p>
    <w:p w14:paraId="4A8C03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1、委托人职责</w:t>
      </w:r>
    </w:p>
    <w:p w14:paraId="58B3FC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14:paraId="7DD61A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14:paraId="5E843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14:paraId="075101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14:paraId="7DC380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（5）组织对受托人施工现场进行安全生产检查，监督受托人及时处理发现的各种安全隐患。</w:t>
      </w:r>
    </w:p>
    <w:p w14:paraId="585C46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2、受托人职责</w:t>
      </w:r>
    </w:p>
    <w:p w14:paraId="52063F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14:paraId="18F514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7E1D0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DF49F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（4）受托人在任何时候都应采取各种合理的预防措施，防止其员工发生任何违法、违禁、暴力或妨碍治安的行为。</w:t>
      </w:r>
    </w:p>
    <w:p w14:paraId="54AC8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受托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经理必须承担管理责任。</w:t>
      </w:r>
    </w:p>
    <w:p w14:paraId="3A0175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检测人员都应熟悉消防设备的性能和使用方法；受托人不得将任何种类的爆炸物给予、易货或以其他方式转让给任何其他人，或允许、容忍上述同样行为。</w:t>
      </w:r>
    </w:p>
    <w:p w14:paraId="627BA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14:paraId="5FE206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（8）所有检测机具设备和高空作业的设备均应定期检查，并有安全员的签字记录，保证其经常处于完好状态；不合格的机具、设备和劳动保护用品严禁使用。</w:t>
      </w:r>
    </w:p>
    <w:p w14:paraId="04ECDF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（9）检测中采用新技术、新工艺、新设备、新材料时，必须制定相应的安全技术措施，检测现场必须具有相关的安全标志牌。</w:t>
      </w:r>
    </w:p>
    <w:p w14:paraId="2DBDF2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20736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（11）安全生产费用按照《公路水运工程安全生产监督管理办法》的相关规定使用和管理。</w:t>
      </w:r>
    </w:p>
    <w:p w14:paraId="2C141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3、违约责任</w:t>
      </w:r>
    </w:p>
    <w:p w14:paraId="787746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如因委托人或受托人违约造成安全事故，将依法追究责任。</w:t>
      </w:r>
    </w:p>
    <w:p w14:paraId="7E8308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4、本合同由双方法定代表人或其授权的代理人签署并加盖单位章后生效，全部工程交工验收后失效。</w:t>
      </w:r>
    </w:p>
    <w:p w14:paraId="160015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5、本合同正本二份、副本份，合同双方各执正本一份，副本份，当正本与副本的内容不一致时，以正本为准。</w:t>
      </w:r>
    </w:p>
    <w:p w14:paraId="0B74AFF1">
      <w:pPr>
        <w:spacing w:line="360" w:lineRule="auto"/>
        <w:ind w:firstLine="630" w:firstLineChars="300"/>
        <w:rPr>
          <w:rFonts w:ascii="宋体" w:hAnsi="宋体" w:cs="宋体"/>
          <w:color w:val="auto"/>
          <w:szCs w:val="21"/>
          <w:highlight w:val="none"/>
        </w:rPr>
      </w:pPr>
    </w:p>
    <w:p w14:paraId="2F064E47">
      <w:pPr>
        <w:spacing w:line="360" w:lineRule="auto"/>
        <w:rPr>
          <w:rFonts w:ascii="宋体" w:hAnsi="宋体" w:cs="宋体"/>
          <w:color w:val="auto"/>
          <w:szCs w:val="21"/>
          <w:highlight w:val="none"/>
        </w:rPr>
      </w:pPr>
      <w:r>
        <w:rPr>
          <w:rFonts w:hint="eastAsia" w:ascii="宋体" w:hAnsi="宋体" w:cs="宋体"/>
          <w:color w:val="auto"/>
          <w:szCs w:val="21"/>
          <w:highlight w:val="none"/>
        </w:rPr>
        <w:t>委托人：（盖单位章）                    受托人：（盖单位章）</w:t>
      </w:r>
    </w:p>
    <w:p w14:paraId="74E60BDB">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法定代表人或其委托代理人：（签字）      法定代表人或其委托代理人：（签字）</w:t>
      </w:r>
    </w:p>
    <w:p w14:paraId="5D3CE0A6">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年月日                                   年月日</w:t>
      </w:r>
    </w:p>
    <w:p w14:paraId="7A117378">
      <w:pPr>
        <w:spacing w:line="360" w:lineRule="auto"/>
        <w:ind w:firstLine="630" w:firstLineChars="300"/>
        <w:rPr>
          <w:rFonts w:ascii="Garamond" w:hAnsi="Garamond"/>
          <w:color w:val="auto"/>
          <w:szCs w:val="21"/>
          <w:highlight w:val="none"/>
        </w:rPr>
      </w:pPr>
    </w:p>
    <w:p w14:paraId="6158508D">
      <w:pPr>
        <w:spacing w:line="280" w:lineRule="exact"/>
        <w:rPr>
          <w:rFonts w:ascii="Garamond" w:hAnsi="Garamond"/>
          <w:color w:val="auto"/>
          <w:sz w:val="24"/>
          <w:highlight w:val="none"/>
        </w:rPr>
      </w:pPr>
    </w:p>
    <w:p w14:paraId="393B90AE">
      <w:pPr>
        <w:spacing w:line="280" w:lineRule="exact"/>
        <w:rPr>
          <w:rFonts w:ascii="Garamond" w:hAnsi="Garamond"/>
          <w:color w:val="auto"/>
          <w:sz w:val="24"/>
          <w:highlight w:val="none"/>
        </w:rPr>
      </w:pPr>
    </w:p>
    <w:p w14:paraId="43EDDEA1">
      <w:pPr>
        <w:spacing w:line="280" w:lineRule="exact"/>
        <w:rPr>
          <w:rFonts w:ascii="Garamond" w:hAnsi="Garamond"/>
          <w:color w:val="auto"/>
          <w:sz w:val="24"/>
          <w:highlight w:val="none"/>
        </w:rPr>
      </w:pPr>
    </w:p>
    <w:p w14:paraId="3249B040">
      <w:pPr>
        <w:spacing w:line="280" w:lineRule="exact"/>
        <w:rPr>
          <w:rFonts w:ascii="Garamond" w:hAnsi="Garamond"/>
          <w:color w:val="auto"/>
          <w:sz w:val="24"/>
          <w:highlight w:val="none"/>
        </w:rPr>
      </w:pPr>
    </w:p>
    <w:p w14:paraId="5395A2AA">
      <w:pPr>
        <w:spacing w:line="280" w:lineRule="exact"/>
        <w:rPr>
          <w:rFonts w:ascii="Garamond" w:hAnsi="Garamond"/>
          <w:color w:val="auto"/>
          <w:sz w:val="24"/>
          <w:highlight w:val="none"/>
        </w:rPr>
      </w:pPr>
    </w:p>
    <w:p w14:paraId="58CBB184">
      <w:pPr>
        <w:spacing w:line="280" w:lineRule="exact"/>
        <w:rPr>
          <w:rFonts w:ascii="Garamond" w:hAnsi="Garamond"/>
          <w:color w:val="auto"/>
          <w:sz w:val="24"/>
          <w:highlight w:val="none"/>
        </w:rPr>
      </w:pPr>
    </w:p>
    <w:p w14:paraId="045EE64F">
      <w:pPr>
        <w:spacing w:line="280" w:lineRule="exact"/>
        <w:rPr>
          <w:rFonts w:ascii="Garamond" w:hAnsi="Garamond"/>
          <w:color w:val="auto"/>
          <w:sz w:val="24"/>
          <w:highlight w:val="none"/>
        </w:rPr>
      </w:pPr>
    </w:p>
    <w:p w14:paraId="64FB1333">
      <w:pPr>
        <w:rPr>
          <w:rFonts w:ascii="Garamond" w:hAnsi="Garamond" w:eastAsia="黑体"/>
          <w:b/>
          <w:color w:val="auto"/>
          <w:sz w:val="24"/>
          <w:highlight w:val="none"/>
        </w:rPr>
      </w:pPr>
      <w:r>
        <w:rPr>
          <w:rFonts w:ascii="Garamond" w:hAnsi="Garamond" w:eastAsia="黑体"/>
          <w:b/>
          <w:color w:val="auto"/>
          <w:sz w:val="24"/>
          <w:highlight w:val="none"/>
        </w:rPr>
        <w:br w:type="page"/>
      </w:r>
    </w:p>
    <w:p w14:paraId="509187AA">
      <w:pPr>
        <w:spacing w:line="300" w:lineRule="auto"/>
        <w:rPr>
          <w:rFonts w:ascii="Garamond" w:hAnsi="Garamond" w:eastAsia="黑体"/>
          <w:b/>
          <w:color w:val="auto"/>
          <w:sz w:val="24"/>
          <w:highlight w:val="none"/>
        </w:rPr>
      </w:pPr>
      <w:r>
        <w:rPr>
          <w:rFonts w:ascii="Garamond" w:hAnsi="Garamond" w:eastAsia="黑体"/>
          <w:b/>
          <w:color w:val="auto"/>
          <w:sz w:val="24"/>
          <w:highlight w:val="none"/>
        </w:rPr>
        <w:t>附件</w:t>
      </w:r>
      <w:r>
        <w:rPr>
          <w:rFonts w:hint="eastAsia" w:ascii="Garamond" w:hAnsi="Garamond" w:eastAsia="黑体"/>
          <w:b/>
          <w:color w:val="auto"/>
          <w:sz w:val="24"/>
          <w:highlight w:val="none"/>
        </w:rPr>
        <w:t>四</w:t>
      </w:r>
      <w:r>
        <w:rPr>
          <w:rFonts w:ascii="Garamond" w:hAnsi="Garamond" w:eastAsia="黑体"/>
          <w:b/>
          <w:color w:val="auto"/>
          <w:sz w:val="24"/>
          <w:highlight w:val="none"/>
        </w:rPr>
        <w:t>：履约担保格式</w:t>
      </w:r>
    </w:p>
    <w:p w14:paraId="0E774967">
      <w:pPr>
        <w:spacing w:after="120" w:afterLines="50" w:line="360" w:lineRule="auto"/>
        <w:ind w:firstLine="562" w:firstLineChars="200"/>
        <w:jc w:val="center"/>
        <w:rPr>
          <w:rFonts w:ascii="Garamond" w:hAnsi="Garamond"/>
          <w:b/>
          <w:color w:val="auto"/>
          <w:sz w:val="28"/>
          <w:szCs w:val="28"/>
          <w:highlight w:val="none"/>
        </w:rPr>
      </w:pPr>
      <w:r>
        <w:rPr>
          <w:rFonts w:ascii="Garamond" w:hAnsi="Garamond"/>
          <w:b/>
          <w:color w:val="auto"/>
          <w:sz w:val="28"/>
          <w:szCs w:val="28"/>
          <w:highlight w:val="none"/>
        </w:rPr>
        <w:t>履约保函</w:t>
      </w:r>
    </w:p>
    <w:p w14:paraId="5A02053D">
      <w:pPr>
        <w:tabs>
          <w:tab w:val="left" w:pos="4680"/>
        </w:tabs>
        <w:spacing w:after="120" w:afterLines="50" w:line="360" w:lineRule="auto"/>
        <w:rPr>
          <w:rFonts w:ascii="Garamond" w:hAnsi="Garamond"/>
          <w:color w:val="auto"/>
          <w:szCs w:val="21"/>
          <w:highlight w:val="none"/>
        </w:rPr>
      </w:pPr>
      <w:r>
        <w:rPr>
          <w:rFonts w:ascii="Garamond" w:hAnsi="Garamond"/>
          <w:color w:val="auto"/>
          <w:szCs w:val="21"/>
          <w:highlight w:val="none"/>
        </w:rPr>
        <w:t>致：</w:t>
      </w:r>
      <w:r>
        <w:rPr>
          <w:rFonts w:ascii="Garamond" w:hAnsi="Garamond"/>
          <w:color w:val="auto"/>
          <w:szCs w:val="21"/>
          <w:highlight w:val="none"/>
          <w:u w:val="single"/>
        </w:rPr>
        <w:t xml:space="preserve"> （委托人全称）          </w:t>
      </w:r>
    </w:p>
    <w:p w14:paraId="3F753984">
      <w:pPr>
        <w:tabs>
          <w:tab w:val="left" w:pos="4680"/>
        </w:tabs>
        <w:spacing w:after="120" w:afterLines="50" w:line="360" w:lineRule="auto"/>
        <w:ind w:firstLine="420" w:firstLineChars="200"/>
        <w:rPr>
          <w:rFonts w:ascii="Garamond" w:hAnsi="Garamond"/>
          <w:color w:val="auto"/>
          <w:szCs w:val="21"/>
          <w:highlight w:val="none"/>
        </w:rPr>
      </w:pPr>
      <w:r>
        <w:rPr>
          <w:rFonts w:ascii="Garamond" w:hAnsi="Garamond"/>
          <w:color w:val="auto"/>
          <w:szCs w:val="21"/>
          <w:highlight w:val="none"/>
        </w:rPr>
        <w:t>鉴于</w:t>
      </w:r>
      <w:r>
        <w:rPr>
          <w:rFonts w:ascii="Garamond" w:hAnsi="Garamond"/>
          <w:color w:val="auto"/>
          <w:szCs w:val="21"/>
          <w:highlight w:val="none"/>
          <w:u w:val="single"/>
        </w:rPr>
        <w:t xml:space="preserve">  （试验检测人全称）  </w:t>
      </w:r>
      <w:r>
        <w:rPr>
          <w:rFonts w:ascii="Garamond" w:hAnsi="Garamond"/>
          <w:color w:val="auto"/>
          <w:szCs w:val="21"/>
          <w:highlight w:val="none"/>
        </w:rPr>
        <w:t>（以下称“试验检测人”）与</w:t>
      </w:r>
      <w:r>
        <w:rPr>
          <w:rFonts w:ascii="Garamond" w:hAnsi="Garamond"/>
          <w:color w:val="auto"/>
          <w:szCs w:val="21"/>
          <w:highlight w:val="none"/>
          <w:u w:val="single"/>
        </w:rPr>
        <w:t xml:space="preserve"> （委托人全称） </w:t>
      </w:r>
      <w:r>
        <w:rPr>
          <w:rFonts w:ascii="Garamond" w:hAnsi="Garamond"/>
          <w:color w:val="auto"/>
          <w:szCs w:val="21"/>
          <w:highlight w:val="none"/>
        </w:rPr>
        <w:t>（以下称“委托人”）已签订</w:t>
      </w:r>
      <w:r>
        <w:rPr>
          <w:rFonts w:ascii="Garamond" w:hAnsi="Garamond"/>
          <w:color w:val="auto"/>
          <w:szCs w:val="21"/>
          <w:highlight w:val="none"/>
          <w:u w:val="single"/>
        </w:rPr>
        <w:t xml:space="preserve">  （工程名称）</w:t>
      </w:r>
      <w:r>
        <w:rPr>
          <w:rFonts w:ascii="Garamond" w:hAnsi="Garamond"/>
          <w:color w:val="auto"/>
          <w:szCs w:val="21"/>
          <w:highlight w:val="none"/>
        </w:rPr>
        <w:t>标段的检测合同协议书，并保证按协议规定承担检测服务工作，我们愿出具保函为试验检测人提供担保，金额为人民币（大写）</w:t>
      </w:r>
      <w:r>
        <w:rPr>
          <w:rFonts w:hint="eastAsia" w:ascii="Garamond" w:hAnsi="Garamond"/>
          <w:color w:val="auto"/>
          <w:szCs w:val="21"/>
          <w:highlight w:val="none"/>
          <w:u w:val="single"/>
        </w:rPr>
        <w:t xml:space="preserve">          </w:t>
      </w:r>
      <w:r>
        <w:rPr>
          <w:rFonts w:ascii="Garamond" w:hAnsi="Garamond"/>
          <w:color w:val="auto"/>
          <w:szCs w:val="21"/>
          <w:highlight w:val="none"/>
        </w:rPr>
        <w:t>万元（¥</w:t>
      </w:r>
      <w:r>
        <w:rPr>
          <w:rFonts w:hint="eastAsia" w:ascii="Garamond" w:hAnsi="Garamond"/>
          <w:color w:val="auto"/>
          <w:szCs w:val="21"/>
          <w:highlight w:val="none"/>
          <w:u w:val="single"/>
        </w:rPr>
        <w:t xml:space="preserve">        </w:t>
      </w:r>
      <w:r>
        <w:rPr>
          <w:rFonts w:ascii="Garamond" w:hAnsi="Garamond"/>
          <w:color w:val="auto"/>
          <w:szCs w:val="21"/>
          <w:highlight w:val="none"/>
        </w:rPr>
        <w:t>）。</w:t>
      </w:r>
    </w:p>
    <w:p w14:paraId="1863FD2A">
      <w:pPr>
        <w:tabs>
          <w:tab w:val="left" w:pos="4680"/>
        </w:tabs>
        <w:spacing w:after="120" w:afterLines="50" w:line="360" w:lineRule="auto"/>
        <w:ind w:firstLine="420" w:firstLineChars="200"/>
        <w:rPr>
          <w:rFonts w:ascii="Garamond" w:hAnsi="Garamond"/>
          <w:color w:val="auto"/>
          <w:szCs w:val="21"/>
          <w:highlight w:val="none"/>
        </w:rPr>
      </w:pPr>
      <w:r>
        <w:rPr>
          <w:rFonts w:ascii="Garamond" w:hAnsi="Garamond"/>
          <w:color w:val="auto"/>
          <w:szCs w:val="21"/>
          <w:highlight w:val="none"/>
        </w:rPr>
        <w:t>本保函的义务是：我们在接到委托人提出的因试验检测人在履行协议过程中，未能履行或违背协议规定的责任和义务而要求索赔的书面通知和付款凭证后的14日内，在上述担保的限额内，向委托人支付任何数额的款项，无须委托人出具证明或陈述理由。</w:t>
      </w:r>
    </w:p>
    <w:p w14:paraId="48CBCC04">
      <w:pPr>
        <w:tabs>
          <w:tab w:val="left" w:pos="4680"/>
        </w:tabs>
        <w:spacing w:after="120" w:afterLines="50" w:line="360" w:lineRule="auto"/>
        <w:ind w:firstLine="420" w:firstLineChars="200"/>
        <w:rPr>
          <w:rFonts w:ascii="Garamond" w:hAnsi="Garamond"/>
          <w:color w:val="auto"/>
          <w:szCs w:val="21"/>
          <w:highlight w:val="none"/>
        </w:rPr>
      </w:pPr>
      <w:r>
        <w:rPr>
          <w:rFonts w:ascii="Garamond" w:hAnsi="Garamond"/>
          <w:color w:val="auto"/>
          <w:szCs w:val="21"/>
          <w:highlight w:val="none"/>
        </w:rPr>
        <w:t>在向我行提出要求前，我行将不坚持要求委托人应首先向试验检测人索要上述款项。我行还同意，任何对协议条款所作的修改和补充都不能免除我行按本保函所应承担的义务。</w:t>
      </w:r>
    </w:p>
    <w:p w14:paraId="69969387">
      <w:pPr>
        <w:tabs>
          <w:tab w:val="left" w:pos="4680"/>
        </w:tabs>
        <w:spacing w:after="120" w:afterLines="50" w:line="360" w:lineRule="auto"/>
        <w:ind w:firstLine="420" w:firstLineChars="200"/>
        <w:rPr>
          <w:rFonts w:ascii="Garamond" w:hAnsi="Garamond"/>
          <w:color w:val="auto"/>
          <w:szCs w:val="21"/>
          <w:highlight w:val="none"/>
        </w:rPr>
      </w:pPr>
      <w:r>
        <w:rPr>
          <w:rFonts w:ascii="Garamond" w:hAnsi="Garamond"/>
          <w:color w:val="auto"/>
          <w:szCs w:val="21"/>
          <w:highlight w:val="none"/>
        </w:rPr>
        <w:t>本保函自</w:t>
      </w:r>
      <w:r>
        <w:rPr>
          <w:rFonts w:ascii="Garamond" w:hAnsi="Garamond"/>
          <w:color w:val="auto"/>
          <w:szCs w:val="21"/>
          <w:highlight w:val="none"/>
          <w:u w:val="single"/>
        </w:rPr>
        <w:t>　(生效日期)　</w:t>
      </w:r>
      <w:r>
        <w:rPr>
          <w:rFonts w:ascii="Garamond" w:hAnsi="Garamond"/>
          <w:color w:val="auto"/>
          <w:szCs w:val="21"/>
          <w:highlight w:val="none"/>
        </w:rPr>
        <w:t>之日起生效，至</w:t>
      </w:r>
      <w:r>
        <w:rPr>
          <w:rFonts w:ascii="Garamond" w:hAnsi="Garamond"/>
          <w:color w:val="auto"/>
          <w:szCs w:val="21"/>
          <w:highlight w:val="none"/>
          <w:u w:val="single"/>
        </w:rPr>
        <w:t>　　(失效日期)　</w:t>
      </w:r>
      <w:r>
        <w:rPr>
          <w:rFonts w:ascii="Garamond" w:hAnsi="Garamond"/>
          <w:color w:val="auto"/>
          <w:szCs w:val="21"/>
          <w:highlight w:val="none"/>
        </w:rPr>
        <w:t>之日失效，除非你方提前终止或解除本保函。保函失效后请将本保函退回我方注销。</w:t>
      </w:r>
    </w:p>
    <w:p w14:paraId="03BAC41F">
      <w:pPr>
        <w:tabs>
          <w:tab w:val="left" w:pos="4680"/>
        </w:tabs>
        <w:spacing w:after="120" w:afterLines="50" w:line="360" w:lineRule="auto"/>
        <w:ind w:firstLine="420" w:firstLineChars="200"/>
        <w:rPr>
          <w:rFonts w:ascii="Garamond" w:hAnsi="Garamond"/>
          <w:color w:val="auto"/>
          <w:szCs w:val="21"/>
          <w:highlight w:val="none"/>
        </w:rPr>
      </w:pPr>
      <w:r>
        <w:rPr>
          <w:rFonts w:ascii="Garamond" w:hAnsi="Garamond"/>
          <w:color w:val="auto"/>
          <w:szCs w:val="21"/>
          <w:highlight w:val="none"/>
        </w:rPr>
        <w:t xml:space="preserve">                             担保银行：</w:t>
      </w:r>
      <w:r>
        <w:rPr>
          <w:rFonts w:ascii="Garamond" w:hAnsi="Garamond"/>
          <w:color w:val="auto"/>
          <w:szCs w:val="21"/>
          <w:highlight w:val="none"/>
          <w:u w:val="single"/>
        </w:rPr>
        <w:t>（全  称）（盖  章）</w:t>
      </w:r>
    </w:p>
    <w:p w14:paraId="3F72D9E0">
      <w:pPr>
        <w:tabs>
          <w:tab w:val="left" w:pos="4680"/>
        </w:tabs>
        <w:spacing w:after="120" w:afterLines="50" w:line="360" w:lineRule="auto"/>
        <w:ind w:firstLine="420" w:firstLineChars="200"/>
        <w:rPr>
          <w:rFonts w:ascii="Garamond" w:hAnsi="Garamond"/>
          <w:color w:val="auto"/>
          <w:szCs w:val="21"/>
          <w:highlight w:val="none"/>
        </w:rPr>
      </w:pPr>
    </w:p>
    <w:p w14:paraId="23D702C8">
      <w:pPr>
        <w:tabs>
          <w:tab w:val="left" w:pos="4680"/>
        </w:tabs>
        <w:spacing w:after="120" w:afterLines="50" w:line="360" w:lineRule="auto"/>
        <w:ind w:firstLine="420" w:firstLineChars="200"/>
        <w:rPr>
          <w:rFonts w:ascii="Garamond" w:hAnsi="Garamond"/>
          <w:color w:val="auto"/>
          <w:szCs w:val="21"/>
          <w:highlight w:val="none"/>
        </w:rPr>
      </w:pPr>
      <w:r>
        <w:rPr>
          <w:rFonts w:ascii="Garamond" w:hAnsi="Garamond"/>
          <w:color w:val="auto"/>
          <w:szCs w:val="21"/>
          <w:highlight w:val="none"/>
        </w:rPr>
        <w:t xml:space="preserve">                             法定代表人</w:t>
      </w:r>
    </w:p>
    <w:p w14:paraId="0BC29136">
      <w:pPr>
        <w:tabs>
          <w:tab w:val="left" w:pos="4680"/>
        </w:tabs>
        <w:spacing w:after="120" w:afterLines="50" w:line="360" w:lineRule="auto"/>
        <w:ind w:firstLine="420" w:firstLineChars="200"/>
        <w:rPr>
          <w:rFonts w:ascii="Garamond" w:hAnsi="Garamond"/>
          <w:color w:val="auto"/>
          <w:szCs w:val="21"/>
          <w:highlight w:val="none"/>
        </w:rPr>
      </w:pPr>
      <w:r>
        <w:rPr>
          <w:rFonts w:ascii="Garamond" w:hAnsi="Garamond"/>
          <w:color w:val="auto"/>
          <w:szCs w:val="21"/>
          <w:highlight w:val="none"/>
        </w:rPr>
        <w:t xml:space="preserve">                             或其授权的代理人：</w:t>
      </w:r>
      <w:r>
        <w:rPr>
          <w:rFonts w:ascii="Garamond" w:hAnsi="Garamond"/>
          <w:color w:val="auto"/>
          <w:szCs w:val="21"/>
          <w:highlight w:val="none"/>
          <w:u w:val="single"/>
        </w:rPr>
        <w:t>（签名）</w:t>
      </w:r>
    </w:p>
    <w:p w14:paraId="5795832E">
      <w:pPr>
        <w:tabs>
          <w:tab w:val="left" w:pos="4680"/>
        </w:tabs>
        <w:spacing w:after="120" w:afterLines="50" w:line="360" w:lineRule="auto"/>
        <w:ind w:firstLine="420" w:firstLineChars="200"/>
        <w:rPr>
          <w:rFonts w:ascii="Garamond" w:hAnsi="Garamond"/>
          <w:color w:val="auto"/>
          <w:szCs w:val="21"/>
          <w:highlight w:val="none"/>
        </w:rPr>
      </w:pPr>
    </w:p>
    <w:p w14:paraId="0F4A1D44">
      <w:pPr>
        <w:spacing w:line="360" w:lineRule="auto"/>
        <w:ind w:firstLine="3570" w:firstLineChars="1700"/>
        <w:rPr>
          <w:rFonts w:ascii="Garamond" w:hAnsi="Garamond"/>
          <w:color w:val="auto"/>
          <w:szCs w:val="21"/>
          <w:highlight w:val="none"/>
        </w:rPr>
      </w:pPr>
      <w:r>
        <w:rPr>
          <w:rFonts w:ascii="Garamond" w:hAnsi="Garamond"/>
          <w:color w:val="auto"/>
          <w:szCs w:val="21"/>
          <w:highlight w:val="none"/>
        </w:rPr>
        <w:t xml:space="preserve"> 日期：年月日</w:t>
      </w:r>
    </w:p>
    <w:p w14:paraId="274DC654">
      <w:pPr>
        <w:spacing w:line="360" w:lineRule="auto"/>
        <w:ind w:firstLine="4410" w:firstLineChars="2100"/>
        <w:rPr>
          <w:rFonts w:ascii="Garamond" w:hAnsi="Garamond"/>
          <w:color w:val="auto"/>
          <w:szCs w:val="21"/>
          <w:highlight w:val="none"/>
        </w:rPr>
      </w:pPr>
    </w:p>
    <w:p w14:paraId="48713D08">
      <w:pPr>
        <w:spacing w:line="360" w:lineRule="auto"/>
        <w:ind w:firstLine="4410" w:firstLineChars="2100"/>
        <w:rPr>
          <w:rFonts w:ascii="Garamond" w:hAnsi="Garamond"/>
          <w:color w:val="auto"/>
          <w:szCs w:val="21"/>
          <w:highlight w:val="none"/>
        </w:rPr>
      </w:pPr>
    </w:p>
    <w:p w14:paraId="5D0895F3">
      <w:pPr>
        <w:spacing w:line="400" w:lineRule="exact"/>
        <w:jc w:val="center"/>
        <w:rPr>
          <w:rFonts w:ascii="Garamond" w:hAnsi="Garamond"/>
          <w:b/>
          <w:bCs/>
          <w:color w:val="auto"/>
          <w:sz w:val="28"/>
          <w:szCs w:val="20"/>
          <w:highlight w:val="none"/>
        </w:rPr>
      </w:pPr>
    </w:p>
    <w:p w14:paraId="7EBB99FD">
      <w:pPr>
        <w:spacing w:line="360" w:lineRule="auto"/>
        <w:ind w:firstLine="420" w:firstLineChars="200"/>
        <w:rPr>
          <w:rFonts w:ascii="Garamond" w:hAnsi="Garamond"/>
          <w:color w:val="auto"/>
          <w:szCs w:val="21"/>
          <w:highlight w:val="none"/>
        </w:rPr>
      </w:pPr>
    </w:p>
    <w:p w14:paraId="5542BC7B">
      <w:pPr>
        <w:rPr>
          <w:rFonts w:ascii="Garamond" w:hAnsi="Garamond"/>
          <w:color w:val="auto"/>
          <w:szCs w:val="21"/>
          <w:highlight w:val="none"/>
        </w:rPr>
      </w:pPr>
      <w:r>
        <w:rPr>
          <w:rFonts w:ascii="Garamond" w:hAnsi="Garamond"/>
          <w:b/>
          <w:color w:val="auto"/>
          <w:highlight w:val="none"/>
        </w:rPr>
        <w:br w:type="page"/>
      </w:r>
    </w:p>
    <w:p w14:paraId="2C72C285">
      <w:pPr>
        <w:spacing w:line="280" w:lineRule="exact"/>
        <w:ind w:firstLine="6248" w:firstLineChars="1945"/>
        <w:rPr>
          <w:rFonts w:ascii="Garamond" w:hAnsi="Garamond"/>
          <w:b/>
          <w:color w:val="auto"/>
          <w:sz w:val="32"/>
          <w:szCs w:val="32"/>
          <w:highlight w:val="none"/>
        </w:rPr>
      </w:pPr>
    </w:p>
    <w:p w14:paraId="1B9320F1">
      <w:pPr>
        <w:spacing w:line="340" w:lineRule="exact"/>
        <w:jc w:val="right"/>
        <w:rPr>
          <w:rFonts w:ascii="Garamond" w:hAnsi="Garamond"/>
          <w:color w:val="auto"/>
          <w:sz w:val="24"/>
          <w:highlight w:val="none"/>
        </w:rPr>
      </w:pPr>
    </w:p>
    <w:p w14:paraId="659CAE60">
      <w:pPr>
        <w:spacing w:line="340" w:lineRule="exact"/>
        <w:jc w:val="right"/>
        <w:rPr>
          <w:rFonts w:ascii="Garamond" w:hAnsi="Garamond"/>
          <w:color w:val="auto"/>
          <w:sz w:val="24"/>
          <w:highlight w:val="none"/>
        </w:rPr>
      </w:pPr>
    </w:p>
    <w:p w14:paraId="27A4AD7C">
      <w:pPr>
        <w:spacing w:line="340" w:lineRule="exact"/>
        <w:jc w:val="right"/>
        <w:rPr>
          <w:rFonts w:ascii="Garamond" w:hAnsi="Garamond"/>
          <w:color w:val="auto"/>
          <w:sz w:val="24"/>
          <w:highlight w:val="none"/>
        </w:rPr>
      </w:pPr>
    </w:p>
    <w:p w14:paraId="3EEF8C81">
      <w:pPr>
        <w:spacing w:line="340" w:lineRule="exact"/>
        <w:jc w:val="right"/>
        <w:rPr>
          <w:rFonts w:ascii="Garamond" w:hAnsi="Garamond"/>
          <w:color w:val="auto"/>
          <w:sz w:val="24"/>
          <w:highlight w:val="none"/>
        </w:rPr>
      </w:pPr>
    </w:p>
    <w:p w14:paraId="057E50EF">
      <w:pPr>
        <w:spacing w:line="340" w:lineRule="exact"/>
        <w:jc w:val="right"/>
        <w:rPr>
          <w:rFonts w:ascii="Garamond" w:hAnsi="Garamond"/>
          <w:color w:val="auto"/>
          <w:sz w:val="24"/>
          <w:highlight w:val="none"/>
        </w:rPr>
      </w:pPr>
    </w:p>
    <w:p w14:paraId="35F8ECDA">
      <w:pPr>
        <w:spacing w:line="340" w:lineRule="exact"/>
        <w:jc w:val="right"/>
        <w:rPr>
          <w:rFonts w:ascii="Garamond" w:hAnsi="Garamond"/>
          <w:color w:val="auto"/>
          <w:sz w:val="24"/>
          <w:highlight w:val="none"/>
        </w:rPr>
      </w:pPr>
    </w:p>
    <w:p w14:paraId="515A07FD">
      <w:pPr>
        <w:spacing w:line="340" w:lineRule="exact"/>
        <w:jc w:val="right"/>
        <w:rPr>
          <w:rFonts w:ascii="Garamond" w:hAnsi="Garamond"/>
          <w:color w:val="auto"/>
          <w:sz w:val="24"/>
          <w:highlight w:val="none"/>
        </w:rPr>
      </w:pPr>
    </w:p>
    <w:p w14:paraId="72ECFDD2">
      <w:pPr>
        <w:spacing w:line="340" w:lineRule="exact"/>
        <w:jc w:val="right"/>
        <w:rPr>
          <w:rFonts w:ascii="Garamond" w:hAnsi="Garamond"/>
          <w:color w:val="auto"/>
          <w:sz w:val="24"/>
          <w:highlight w:val="none"/>
        </w:rPr>
      </w:pPr>
    </w:p>
    <w:p w14:paraId="57028088">
      <w:pPr>
        <w:spacing w:line="340" w:lineRule="exact"/>
        <w:jc w:val="right"/>
        <w:rPr>
          <w:rFonts w:ascii="Garamond" w:hAnsi="Garamond"/>
          <w:color w:val="auto"/>
          <w:sz w:val="24"/>
          <w:highlight w:val="none"/>
        </w:rPr>
      </w:pPr>
    </w:p>
    <w:p w14:paraId="3E9CB70F">
      <w:pPr>
        <w:spacing w:line="740" w:lineRule="exact"/>
        <w:jc w:val="center"/>
        <w:outlineLvl w:val="0"/>
        <w:rPr>
          <w:rFonts w:ascii="Garamond" w:hAnsi="Garamond"/>
          <w:b/>
          <w:color w:val="auto"/>
          <w:sz w:val="72"/>
          <w:szCs w:val="72"/>
          <w:highlight w:val="none"/>
        </w:rPr>
      </w:pPr>
      <w:bookmarkStart w:id="80" w:name="_Toc353197102"/>
      <w:r>
        <w:rPr>
          <w:rFonts w:ascii="Garamond" w:hAnsi="Garamond"/>
          <w:b/>
          <w:color w:val="auto"/>
          <w:sz w:val="72"/>
          <w:szCs w:val="72"/>
          <w:highlight w:val="none"/>
        </w:rPr>
        <w:t>第 二 卷</w:t>
      </w:r>
      <w:bookmarkEnd w:id="80"/>
    </w:p>
    <w:p w14:paraId="1372288C">
      <w:pPr>
        <w:spacing w:line="1100" w:lineRule="exact"/>
        <w:jc w:val="center"/>
        <w:rPr>
          <w:rFonts w:ascii="Garamond" w:hAnsi="Garamond"/>
          <w:b/>
          <w:color w:val="auto"/>
          <w:sz w:val="52"/>
          <w:szCs w:val="52"/>
          <w:highlight w:val="none"/>
        </w:rPr>
      </w:pPr>
    </w:p>
    <w:p w14:paraId="5868AD64">
      <w:pPr>
        <w:jc w:val="center"/>
        <w:rPr>
          <w:rFonts w:ascii="Garamond" w:hAnsi="Garamond"/>
          <w:b/>
          <w:color w:val="auto"/>
          <w:sz w:val="32"/>
          <w:szCs w:val="32"/>
          <w:highlight w:val="none"/>
        </w:rPr>
      </w:pPr>
    </w:p>
    <w:p w14:paraId="20988C82">
      <w:pPr>
        <w:spacing w:line="1100" w:lineRule="exact"/>
        <w:jc w:val="center"/>
        <w:rPr>
          <w:rFonts w:ascii="Garamond" w:hAnsi="Garamond"/>
          <w:b/>
          <w:color w:val="auto"/>
          <w:sz w:val="52"/>
          <w:szCs w:val="52"/>
          <w:highlight w:val="none"/>
        </w:rPr>
      </w:pPr>
    </w:p>
    <w:p w14:paraId="687F3EFD">
      <w:pPr>
        <w:spacing w:line="1100" w:lineRule="exact"/>
        <w:jc w:val="center"/>
        <w:rPr>
          <w:rFonts w:ascii="Garamond" w:hAnsi="Garamond"/>
          <w:b/>
          <w:color w:val="auto"/>
          <w:sz w:val="52"/>
          <w:szCs w:val="52"/>
          <w:highlight w:val="none"/>
        </w:rPr>
      </w:pPr>
    </w:p>
    <w:p w14:paraId="080EF6DC">
      <w:pPr>
        <w:spacing w:line="1100" w:lineRule="exact"/>
        <w:jc w:val="center"/>
        <w:rPr>
          <w:rFonts w:ascii="Garamond" w:hAnsi="Garamond"/>
          <w:b/>
          <w:color w:val="auto"/>
          <w:sz w:val="52"/>
          <w:szCs w:val="52"/>
          <w:highlight w:val="none"/>
        </w:rPr>
      </w:pPr>
    </w:p>
    <w:p w14:paraId="27EE67D3">
      <w:pPr>
        <w:spacing w:line="1100" w:lineRule="exact"/>
        <w:jc w:val="center"/>
        <w:rPr>
          <w:rFonts w:ascii="Garamond" w:hAnsi="Garamond"/>
          <w:b/>
          <w:color w:val="auto"/>
          <w:sz w:val="52"/>
          <w:szCs w:val="52"/>
          <w:highlight w:val="none"/>
        </w:rPr>
      </w:pPr>
    </w:p>
    <w:p w14:paraId="0901D649">
      <w:pPr>
        <w:spacing w:line="1100" w:lineRule="exact"/>
        <w:jc w:val="center"/>
        <w:rPr>
          <w:rFonts w:ascii="Garamond" w:hAnsi="Garamond"/>
          <w:b/>
          <w:color w:val="auto"/>
          <w:sz w:val="52"/>
          <w:szCs w:val="52"/>
          <w:highlight w:val="none"/>
        </w:rPr>
      </w:pPr>
    </w:p>
    <w:p w14:paraId="7228BC84">
      <w:pPr>
        <w:spacing w:line="1100" w:lineRule="exact"/>
        <w:jc w:val="center"/>
        <w:rPr>
          <w:rFonts w:ascii="Garamond" w:hAnsi="Garamond"/>
          <w:b/>
          <w:color w:val="auto"/>
          <w:sz w:val="52"/>
          <w:szCs w:val="52"/>
          <w:highlight w:val="none"/>
        </w:rPr>
      </w:pPr>
    </w:p>
    <w:p w14:paraId="3E88264B">
      <w:pPr>
        <w:spacing w:line="340" w:lineRule="exact"/>
        <w:jc w:val="right"/>
        <w:rPr>
          <w:rFonts w:ascii="Garamond" w:hAnsi="Garamond"/>
          <w:color w:val="auto"/>
          <w:sz w:val="24"/>
          <w:highlight w:val="none"/>
        </w:rPr>
      </w:pPr>
    </w:p>
    <w:p w14:paraId="1098B65F">
      <w:pPr>
        <w:spacing w:line="340" w:lineRule="exact"/>
        <w:jc w:val="right"/>
        <w:rPr>
          <w:rFonts w:ascii="Garamond" w:hAnsi="Garamond"/>
          <w:color w:val="auto"/>
          <w:sz w:val="24"/>
          <w:highlight w:val="none"/>
        </w:rPr>
      </w:pPr>
    </w:p>
    <w:p w14:paraId="47665D19">
      <w:pPr>
        <w:spacing w:line="340" w:lineRule="exact"/>
        <w:jc w:val="right"/>
        <w:rPr>
          <w:rFonts w:ascii="Garamond" w:hAnsi="Garamond"/>
          <w:color w:val="auto"/>
          <w:sz w:val="24"/>
          <w:highlight w:val="none"/>
        </w:rPr>
      </w:pPr>
    </w:p>
    <w:p w14:paraId="169B7A7B">
      <w:pPr>
        <w:spacing w:line="340" w:lineRule="exact"/>
        <w:jc w:val="right"/>
        <w:rPr>
          <w:rFonts w:ascii="Garamond" w:hAnsi="Garamond"/>
          <w:color w:val="auto"/>
          <w:sz w:val="24"/>
          <w:highlight w:val="none"/>
        </w:rPr>
      </w:pPr>
    </w:p>
    <w:p w14:paraId="1756CDF1">
      <w:pPr>
        <w:spacing w:line="340" w:lineRule="exact"/>
        <w:jc w:val="right"/>
        <w:rPr>
          <w:rFonts w:ascii="Garamond" w:hAnsi="Garamond"/>
          <w:color w:val="auto"/>
          <w:sz w:val="24"/>
          <w:highlight w:val="none"/>
        </w:rPr>
      </w:pPr>
    </w:p>
    <w:p w14:paraId="2D7C6A2D">
      <w:pPr>
        <w:pStyle w:val="3"/>
        <w:numPr>
          <w:ilvl w:val="0"/>
          <w:numId w:val="1"/>
        </w:numPr>
        <w:jc w:val="center"/>
        <w:rPr>
          <w:rFonts w:ascii="Garamond" w:hAnsi="Garamond" w:eastAsia="宋体"/>
          <w:color w:val="auto"/>
          <w:sz w:val="48"/>
          <w:szCs w:val="48"/>
          <w:highlight w:val="none"/>
        </w:rPr>
      </w:pPr>
      <w:bookmarkStart w:id="81" w:name="_Toc398192785"/>
      <w:bookmarkStart w:id="82" w:name="_Toc353197103"/>
      <w:r>
        <w:rPr>
          <w:rFonts w:ascii="Garamond" w:hAnsi="Garamond" w:eastAsia="宋体"/>
          <w:color w:val="auto"/>
          <w:sz w:val="48"/>
          <w:szCs w:val="48"/>
          <w:highlight w:val="none"/>
        </w:rPr>
        <w:t xml:space="preserve"> 工程量清单</w:t>
      </w:r>
      <w:bookmarkEnd w:id="81"/>
    </w:p>
    <w:p w14:paraId="372A44B4">
      <w:pPr>
        <w:spacing w:line="360" w:lineRule="auto"/>
        <w:jc w:val="center"/>
        <w:rPr>
          <w:rFonts w:ascii="宋体" w:hAnsi="宋体"/>
          <w:color w:val="auto"/>
          <w:sz w:val="24"/>
          <w:highlight w:val="none"/>
        </w:rPr>
      </w:pPr>
      <w:r>
        <w:rPr>
          <w:rFonts w:hint="eastAsia" w:ascii="宋体" w:hAnsi="宋体"/>
          <w:color w:val="auto"/>
          <w:sz w:val="24"/>
          <w:highlight w:val="none"/>
        </w:rPr>
        <w:t>（本项目为清单报价）</w:t>
      </w:r>
    </w:p>
    <w:p w14:paraId="79836A95">
      <w:pPr>
        <w:spacing w:line="360" w:lineRule="auto"/>
        <w:rPr>
          <w:color w:val="auto"/>
          <w:highlight w:val="none"/>
        </w:rPr>
      </w:pPr>
    </w:p>
    <w:p w14:paraId="59EC4BA8">
      <w:pPr>
        <w:rPr>
          <w:rFonts w:ascii="Garamond" w:hAnsi="Garamond"/>
          <w:color w:val="auto"/>
          <w:sz w:val="24"/>
          <w:szCs w:val="20"/>
          <w:highlight w:val="none"/>
        </w:rPr>
      </w:pPr>
    </w:p>
    <w:p w14:paraId="7FA5884A">
      <w:pPr>
        <w:pStyle w:val="2"/>
        <w:spacing w:before="120" w:after="120" w:line="600" w:lineRule="exact"/>
        <w:jc w:val="center"/>
        <w:rPr>
          <w:rFonts w:ascii="Garamond" w:hAnsi="Garamond"/>
          <w:color w:val="auto"/>
          <w:highlight w:val="none"/>
        </w:rPr>
        <w:sectPr>
          <w:pgSz w:w="11906" w:h="16838"/>
          <w:pgMar w:top="1417" w:right="1247" w:bottom="1417" w:left="1417" w:header="851" w:footer="680" w:gutter="0"/>
          <w:pgNumType w:fmt="decimalFullWidth"/>
          <w:cols w:space="0" w:num="1"/>
          <w:docGrid w:linePitch="312" w:charSpace="0"/>
        </w:sectPr>
      </w:pPr>
    </w:p>
    <w:p w14:paraId="00C46F9E">
      <w:pPr>
        <w:pStyle w:val="2"/>
        <w:spacing w:before="120" w:after="120" w:line="600" w:lineRule="exact"/>
        <w:jc w:val="center"/>
        <w:rPr>
          <w:rFonts w:ascii="Garamond" w:hAnsi="Garamond"/>
          <w:color w:val="auto"/>
          <w:sz w:val="48"/>
          <w:szCs w:val="48"/>
          <w:highlight w:val="none"/>
        </w:rPr>
      </w:pPr>
      <w:r>
        <w:rPr>
          <w:rFonts w:ascii="Garamond" w:hAnsi="Garamond"/>
          <w:color w:val="auto"/>
          <w:sz w:val="48"/>
          <w:szCs w:val="48"/>
          <w:highlight w:val="none"/>
        </w:rPr>
        <w:t>第六章 技术标准和要求</w:t>
      </w:r>
      <w:bookmarkEnd w:id="82"/>
    </w:p>
    <w:p w14:paraId="59C6D8DA">
      <w:pPr>
        <w:spacing w:line="360" w:lineRule="auto"/>
        <w:rPr>
          <w:rFonts w:ascii="宋体" w:hAnsi="宋体"/>
          <w:color w:val="auto"/>
          <w:szCs w:val="21"/>
          <w:highlight w:val="none"/>
        </w:rPr>
      </w:pPr>
    </w:p>
    <w:p w14:paraId="551F9EB7">
      <w:pPr>
        <w:spacing w:line="360" w:lineRule="auto"/>
        <w:rPr>
          <w:rFonts w:ascii="宋体" w:hAnsi="宋体"/>
          <w:color w:val="auto"/>
          <w:szCs w:val="21"/>
          <w:highlight w:val="none"/>
        </w:rPr>
      </w:pPr>
    </w:p>
    <w:p w14:paraId="411FFE81">
      <w:pPr>
        <w:spacing w:line="38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 总则</w:t>
      </w:r>
    </w:p>
    <w:p w14:paraId="37415A7D">
      <w:pPr>
        <w:pStyle w:val="147"/>
        <w:tabs>
          <w:tab w:val="left" w:pos="0"/>
        </w:tabs>
        <w:snapToGrid w:val="0"/>
        <w:spacing w:line="380" w:lineRule="exact"/>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1.1当使用于质量鉴定检测的几种标准与规范出现意义不明或不一致时，在引用标准或规范发生分歧时应按以下顺序优先考虑：</w:t>
      </w:r>
    </w:p>
    <w:p w14:paraId="07B73305">
      <w:pPr>
        <w:pStyle w:val="147"/>
        <w:numPr>
          <w:ilvl w:val="0"/>
          <w:numId w:val="2"/>
        </w:numPr>
        <w:tabs>
          <w:tab w:val="left" w:pos="0"/>
        </w:tabs>
        <w:snapToGrid w:val="0"/>
        <w:spacing w:line="38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中华人民共和国国家标准；</w:t>
      </w:r>
    </w:p>
    <w:p w14:paraId="4166C6D2">
      <w:pPr>
        <w:pStyle w:val="147"/>
        <w:numPr>
          <w:ilvl w:val="0"/>
          <w:numId w:val="2"/>
        </w:numPr>
        <w:tabs>
          <w:tab w:val="left" w:pos="0"/>
        </w:tabs>
        <w:snapToGrid w:val="0"/>
        <w:spacing w:line="38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现行的</w:t>
      </w:r>
      <w:r>
        <w:rPr>
          <w:rFonts w:hint="eastAsia" w:cs="宋体"/>
          <w:color w:val="auto"/>
          <w:sz w:val="21"/>
          <w:szCs w:val="21"/>
          <w:highlight w:val="none"/>
          <w:lang w:eastAsia="zh-CN"/>
        </w:rPr>
        <w:t>交通运输部</w:t>
      </w:r>
      <w:r>
        <w:rPr>
          <w:rFonts w:hint="eastAsia" w:ascii="宋体" w:hAnsi="宋体" w:eastAsia="宋体" w:cs="宋体"/>
          <w:color w:val="auto"/>
          <w:sz w:val="21"/>
          <w:szCs w:val="21"/>
          <w:highlight w:val="none"/>
        </w:rPr>
        <w:t>的行业标准或规范；</w:t>
      </w:r>
    </w:p>
    <w:p w14:paraId="3574ECF0">
      <w:pPr>
        <w:pStyle w:val="147"/>
        <w:numPr>
          <w:ilvl w:val="0"/>
          <w:numId w:val="2"/>
        </w:numPr>
        <w:tabs>
          <w:tab w:val="left" w:pos="0"/>
        </w:tabs>
        <w:snapToGrid w:val="0"/>
        <w:spacing w:line="38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江苏省交通运输厅的行业标准或规范；</w:t>
      </w:r>
    </w:p>
    <w:p w14:paraId="7B220581">
      <w:pPr>
        <w:pStyle w:val="147"/>
        <w:numPr>
          <w:ilvl w:val="0"/>
          <w:numId w:val="2"/>
        </w:numPr>
        <w:tabs>
          <w:tab w:val="left" w:pos="0"/>
        </w:tabs>
        <w:snapToGrid w:val="0"/>
        <w:spacing w:line="38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相关行业的标准或规范。</w:t>
      </w:r>
    </w:p>
    <w:p w14:paraId="6218FA56">
      <w:pPr>
        <w:pStyle w:val="147"/>
        <w:tabs>
          <w:tab w:val="left" w:pos="0"/>
        </w:tabs>
        <w:snapToGrid w:val="0"/>
        <w:spacing w:line="380" w:lineRule="exact"/>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所引用的标准或规范，如果目前有新颁或修改，则按新的规范、标准执行。在工程实施全过程中，所引用的标准或规范如果有修改或新颁，应由委托人决定是否采用新标准或规范，中标人应按委托人的决定执行。采用新标准、规范所增加的费用由中标人承担。</w:t>
      </w:r>
    </w:p>
    <w:p w14:paraId="79F173B6">
      <w:pPr>
        <w:spacing w:line="380" w:lineRule="exact"/>
        <w:ind w:firstLine="480"/>
        <w:rPr>
          <w:rFonts w:hint="eastAsia" w:ascii="宋体" w:hAnsi="宋体" w:eastAsia="宋体" w:cs="宋体"/>
          <w:b/>
          <w:szCs w:val="21"/>
          <w:highlight w:val="none"/>
        </w:rPr>
      </w:pPr>
      <w:r>
        <w:rPr>
          <w:rFonts w:hint="eastAsia" w:ascii="宋体" w:hAnsi="宋体" w:eastAsia="宋体" w:cs="宋体"/>
          <w:b/>
          <w:szCs w:val="21"/>
          <w:highlight w:val="none"/>
        </w:rPr>
        <w:t>2.技术要求</w:t>
      </w:r>
    </w:p>
    <w:p w14:paraId="19BFFCC6">
      <w:pPr>
        <w:spacing w:line="38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2.1试验检测人应编制详细的试验检测、测量操作规程和评定标准，经评审后才可实施。</w:t>
      </w:r>
    </w:p>
    <w:p w14:paraId="5D5E2B68">
      <w:pPr>
        <w:spacing w:line="38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2.2在接到委托人要求现场试验检测或现场测量的通知后，必须在24小时内开展试验检测或测量工作。如工地出现特殊情况，仍应根据委托人要求及时到现场。</w:t>
      </w:r>
    </w:p>
    <w:p w14:paraId="589A3E89">
      <w:pPr>
        <w:spacing w:line="38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2.3试验检测人应于每次检测完成后的2日内提供本批次试验检测结果，并满足相关要求。</w:t>
      </w:r>
    </w:p>
    <w:p w14:paraId="17380A93">
      <w:pPr>
        <w:spacing w:line="38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2.4检测报告中至少应包括以下内容：</w:t>
      </w:r>
    </w:p>
    <w:p w14:paraId="67CECB33">
      <w:pPr>
        <w:spacing w:line="38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试验检测概况：试验检测项目、检测时间、所测桩号、所用仪器、遵照规范等。</w:t>
      </w:r>
    </w:p>
    <w:p w14:paraId="032951D8">
      <w:pPr>
        <w:spacing w:line="38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试验检测结果：主要指标统计合格率、质量等级等；</w:t>
      </w:r>
    </w:p>
    <w:p w14:paraId="0BE3E7B5">
      <w:pPr>
        <w:spacing w:line="38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试验检测结论：是否有质量缺陷、何种缺陷等。</w:t>
      </w:r>
    </w:p>
    <w:p w14:paraId="13B211CD">
      <w:pPr>
        <w:spacing w:line="38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3.资料提交方式</w:t>
      </w:r>
    </w:p>
    <w:p w14:paraId="042E5981">
      <w:pPr>
        <w:spacing w:line="360" w:lineRule="auto"/>
        <w:rPr>
          <w:rFonts w:ascii="宋体" w:hAnsi="宋体"/>
          <w:color w:val="auto"/>
          <w:szCs w:val="21"/>
          <w:highlight w:val="none"/>
        </w:rPr>
      </w:pPr>
      <w:r>
        <w:rPr>
          <w:rFonts w:hint="eastAsia" w:ascii="宋体" w:hAnsi="宋体" w:eastAsia="宋体" w:cs="宋体"/>
          <w:szCs w:val="21"/>
          <w:highlight w:val="none"/>
        </w:rPr>
        <w:t>试验检测人按有关规定提交资料的报告及各类检测报告一律按正式打印文本交付外，还需将相关图片及文字资料采用光盘记录交付。试验检测人提交3份检测报告、1份电子文档。</w:t>
      </w:r>
    </w:p>
    <w:p w14:paraId="1DAB79A3">
      <w:pPr>
        <w:spacing w:line="360" w:lineRule="auto"/>
        <w:ind w:firstLine="420" w:firstLineChars="200"/>
        <w:rPr>
          <w:rFonts w:ascii="Garamond" w:hAnsi="Garamond"/>
          <w:color w:val="auto"/>
          <w:szCs w:val="21"/>
          <w:highlight w:val="none"/>
        </w:rPr>
      </w:pPr>
    </w:p>
    <w:p w14:paraId="230B2DAE">
      <w:pPr>
        <w:spacing w:line="360" w:lineRule="auto"/>
        <w:ind w:firstLine="420" w:firstLineChars="200"/>
        <w:rPr>
          <w:rFonts w:ascii="Garamond" w:hAnsi="Garamond"/>
          <w:color w:val="auto"/>
          <w:szCs w:val="21"/>
          <w:highlight w:val="none"/>
        </w:rPr>
      </w:pPr>
    </w:p>
    <w:p w14:paraId="74769C2F">
      <w:pPr>
        <w:spacing w:line="360" w:lineRule="auto"/>
        <w:ind w:firstLine="420" w:firstLineChars="200"/>
        <w:rPr>
          <w:rFonts w:ascii="Garamond" w:hAnsi="Garamond"/>
          <w:color w:val="auto"/>
          <w:szCs w:val="21"/>
          <w:highlight w:val="none"/>
        </w:rPr>
        <w:sectPr>
          <w:pgSz w:w="11906" w:h="16838"/>
          <w:pgMar w:top="1417" w:right="1247" w:bottom="1417" w:left="1417" w:header="851" w:footer="680" w:gutter="0"/>
          <w:pgNumType w:fmt="decimalFullWidth"/>
          <w:cols w:space="0" w:num="1"/>
          <w:docGrid w:linePitch="312" w:charSpace="0"/>
        </w:sectPr>
      </w:pPr>
    </w:p>
    <w:p w14:paraId="5B9C427F">
      <w:pPr>
        <w:spacing w:line="400" w:lineRule="exact"/>
        <w:ind w:firstLine="420" w:firstLineChars="200"/>
        <w:rPr>
          <w:rFonts w:ascii="Garamond" w:hAnsi="Garamond"/>
          <w:color w:val="auto"/>
          <w:highlight w:val="none"/>
        </w:rPr>
      </w:pPr>
    </w:p>
    <w:p w14:paraId="68E608BD">
      <w:pPr>
        <w:spacing w:line="400" w:lineRule="exact"/>
        <w:ind w:firstLine="420" w:firstLineChars="200"/>
        <w:rPr>
          <w:rFonts w:ascii="Garamond" w:hAnsi="Garamond"/>
          <w:color w:val="auto"/>
          <w:highlight w:val="none"/>
        </w:rPr>
      </w:pPr>
    </w:p>
    <w:p w14:paraId="3036BDC9">
      <w:pPr>
        <w:spacing w:line="400" w:lineRule="exact"/>
        <w:ind w:firstLine="420" w:firstLineChars="200"/>
        <w:rPr>
          <w:rFonts w:ascii="Garamond" w:hAnsi="Garamond"/>
          <w:color w:val="auto"/>
          <w:highlight w:val="none"/>
        </w:rPr>
      </w:pPr>
    </w:p>
    <w:p w14:paraId="62C44D3A">
      <w:pPr>
        <w:spacing w:line="400" w:lineRule="exact"/>
        <w:ind w:firstLine="420" w:firstLineChars="200"/>
        <w:rPr>
          <w:rFonts w:ascii="Garamond" w:hAnsi="Garamond"/>
          <w:color w:val="auto"/>
          <w:highlight w:val="none"/>
        </w:rPr>
      </w:pPr>
    </w:p>
    <w:p w14:paraId="20BD94C2">
      <w:pPr>
        <w:spacing w:line="400" w:lineRule="exact"/>
        <w:ind w:firstLine="420" w:firstLineChars="200"/>
        <w:rPr>
          <w:rFonts w:ascii="Garamond" w:hAnsi="Garamond"/>
          <w:color w:val="auto"/>
          <w:highlight w:val="none"/>
        </w:rPr>
      </w:pPr>
    </w:p>
    <w:p w14:paraId="64569AD7">
      <w:pPr>
        <w:spacing w:line="400" w:lineRule="exact"/>
        <w:ind w:firstLine="420" w:firstLineChars="200"/>
        <w:rPr>
          <w:rFonts w:ascii="Garamond" w:hAnsi="Garamond"/>
          <w:color w:val="auto"/>
          <w:highlight w:val="none"/>
        </w:rPr>
      </w:pPr>
    </w:p>
    <w:p w14:paraId="6422E887">
      <w:pPr>
        <w:spacing w:line="400" w:lineRule="exact"/>
        <w:ind w:firstLine="420" w:firstLineChars="200"/>
        <w:rPr>
          <w:rFonts w:ascii="Garamond" w:hAnsi="Garamond"/>
          <w:color w:val="auto"/>
          <w:highlight w:val="none"/>
        </w:rPr>
      </w:pPr>
    </w:p>
    <w:p w14:paraId="77A991C2">
      <w:pPr>
        <w:spacing w:line="400" w:lineRule="exact"/>
        <w:ind w:firstLine="420" w:firstLineChars="200"/>
        <w:rPr>
          <w:rFonts w:ascii="Garamond" w:hAnsi="Garamond"/>
          <w:color w:val="auto"/>
          <w:highlight w:val="none"/>
        </w:rPr>
      </w:pPr>
    </w:p>
    <w:p w14:paraId="28A1871A">
      <w:pPr>
        <w:spacing w:line="400" w:lineRule="exact"/>
        <w:ind w:firstLine="420" w:firstLineChars="200"/>
        <w:rPr>
          <w:rFonts w:ascii="Garamond" w:hAnsi="Garamond"/>
          <w:color w:val="auto"/>
          <w:highlight w:val="none"/>
        </w:rPr>
      </w:pPr>
    </w:p>
    <w:p w14:paraId="3EA19E5D">
      <w:pPr>
        <w:spacing w:line="740" w:lineRule="exact"/>
        <w:jc w:val="center"/>
        <w:outlineLvl w:val="0"/>
        <w:rPr>
          <w:rFonts w:ascii="Garamond" w:hAnsi="Garamond"/>
          <w:b/>
          <w:color w:val="auto"/>
          <w:sz w:val="72"/>
          <w:szCs w:val="72"/>
          <w:highlight w:val="none"/>
        </w:rPr>
      </w:pPr>
      <w:bookmarkStart w:id="83" w:name="_Toc353197104"/>
      <w:r>
        <w:rPr>
          <w:rFonts w:ascii="Garamond" w:hAnsi="Garamond"/>
          <w:b/>
          <w:color w:val="auto"/>
          <w:sz w:val="72"/>
          <w:szCs w:val="72"/>
          <w:highlight w:val="none"/>
        </w:rPr>
        <w:t>第 三 卷</w:t>
      </w:r>
      <w:bookmarkEnd w:id="83"/>
    </w:p>
    <w:p w14:paraId="735D303D">
      <w:pPr>
        <w:spacing w:line="1100" w:lineRule="exact"/>
        <w:jc w:val="center"/>
        <w:rPr>
          <w:rFonts w:ascii="Garamond" w:hAnsi="Garamond"/>
          <w:b/>
          <w:color w:val="auto"/>
          <w:sz w:val="52"/>
          <w:szCs w:val="52"/>
          <w:highlight w:val="none"/>
        </w:rPr>
      </w:pPr>
    </w:p>
    <w:p w14:paraId="51C6C5AE">
      <w:pPr>
        <w:spacing w:line="1100" w:lineRule="exact"/>
        <w:jc w:val="center"/>
        <w:rPr>
          <w:rFonts w:ascii="Garamond" w:hAnsi="Garamond"/>
          <w:b/>
          <w:color w:val="auto"/>
          <w:sz w:val="52"/>
          <w:szCs w:val="52"/>
          <w:highlight w:val="none"/>
        </w:rPr>
      </w:pPr>
    </w:p>
    <w:p w14:paraId="6D67C7DA">
      <w:pPr>
        <w:spacing w:line="1100" w:lineRule="exact"/>
        <w:jc w:val="center"/>
        <w:rPr>
          <w:rFonts w:ascii="Garamond" w:hAnsi="Garamond"/>
          <w:b/>
          <w:color w:val="auto"/>
          <w:sz w:val="52"/>
          <w:szCs w:val="52"/>
          <w:highlight w:val="none"/>
        </w:rPr>
      </w:pPr>
    </w:p>
    <w:p w14:paraId="7ECFD8F9">
      <w:pPr>
        <w:spacing w:line="1100" w:lineRule="exact"/>
        <w:jc w:val="center"/>
        <w:rPr>
          <w:rFonts w:ascii="Garamond" w:hAnsi="Garamond"/>
          <w:b/>
          <w:color w:val="auto"/>
          <w:sz w:val="52"/>
          <w:szCs w:val="52"/>
          <w:highlight w:val="none"/>
        </w:rPr>
      </w:pPr>
    </w:p>
    <w:p w14:paraId="6F14C89A">
      <w:pPr>
        <w:spacing w:line="1100" w:lineRule="exact"/>
        <w:jc w:val="center"/>
        <w:rPr>
          <w:rFonts w:ascii="Garamond" w:hAnsi="Garamond"/>
          <w:b/>
          <w:color w:val="auto"/>
          <w:sz w:val="52"/>
          <w:szCs w:val="52"/>
          <w:highlight w:val="none"/>
        </w:rPr>
      </w:pPr>
    </w:p>
    <w:p w14:paraId="4E564120">
      <w:pPr>
        <w:spacing w:line="1100" w:lineRule="exact"/>
        <w:jc w:val="center"/>
        <w:rPr>
          <w:rFonts w:ascii="Garamond" w:hAnsi="Garamond"/>
          <w:b/>
          <w:color w:val="auto"/>
          <w:sz w:val="52"/>
          <w:szCs w:val="52"/>
          <w:highlight w:val="none"/>
        </w:rPr>
      </w:pPr>
    </w:p>
    <w:p w14:paraId="160A261B">
      <w:pPr>
        <w:spacing w:line="1100" w:lineRule="exact"/>
        <w:jc w:val="center"/>
        <w:rPr>
          <w:rFonts w:ascii="Garamond" w:hAnsi="Garamond"/>
          <w:b/>
          <w:color w:val="auto"/>
          <w:sz w:val="52"/>
          <w:szCs w:val="52"/>
          <w:highlight w:val="none"/>
        </w:rPr>
      </w:pPr>
    </w:p>
    <w:p w14:paraId="3290D9A2">
      <w:pPr>
        <w:spacing w:line="1100" w:lineRule="exact"/>
        <w:jc w:val="center"/>
        <w:rPr>
          <w:rFonts w:ascii="Garamond" w:hAnsi="Garamond"/>
          <w:b/>
          <w:color w:val="auto"/>
          <w:sz w:val="52"/>
          <w:szCs w:val="52"/>
          <w:highlight w:val="none"/>
        </w:rPr>
      </w:pPr>
    </w:p>
    <w:p w14:paraId="1B1EA377">
      <w:pPr>
        <w:spacing w:line="1100" w:lineRule="exact"/>
        <w:jc w:val="center"/>
        <w:rPr>
          <w:rFonts w:ascii="Garamond" w:hAnsi="Garamond"/>
          <w:b/>
          <w:color w:val="auto"/>
          <w:sz w:val="52"/>
          <w:szCs w:val="52"/>
          <w:highlight w:val="none"/>
        </w:rPr>
      </w:pPr>
    </w:p>
    <w:p w14:paraId="7B005CB9">
      <w:pPr>
        <w:spacing w:line="1100" w:lineRule="exact"/>
        <w:jc w:val="center"/>
        <w:rPr>
          <w:rFonts w:ascii="Garamond" w:hAnsi="Garamond"/>
          <w:b/>
          <w:color w:val="auto"/>
          <w:sz w:val="52"/>
          <w:szCs w:val="52"/>
          <w:highlight w:val="none"/>
        </w:rPr>
      </w:pPr>
    </w:p>
    <w:p w14:paraId="050D67DA">
      <w:pPr>
        <w:spacing w:line="1100" w:lineRule="exact"/>
        <w:jc w:val="center"/>
        <w:rPr>
          <w:rFonts w:ascii="Garamond" w:hAnsi="Garamond"/>
          <w:b/>
          <w:color w:val="auto"/>
          <w:sz w:val="52"/>
          <w:szCs w:val="52"/>
          <w:highlight w:val="none"/>
        </w:rPr>
      </w:pPr>
    </w:p>
    <w:p w14:paraId="2C67ED1A">
      <w:pPr>
        <w:pStyle w:val="2"/>
        <w:spacing w:before="120" w:after="120" w:line="600" w:lineRule="exact"/>
        <w:jc w:val="center"/>
        <w:rPr>
          <w:rFonts w:ascii="Garamond" w:hAnsi="Garamond"/>
          <w:color w:val="auto"/>
          <w:sz w:val="48"/>
          <w:szCs w:val="48"/>
          <w:highlight w:val="none"/>
        </w:rPr>
      </w:pPr>
      <w:bookmarkStart w:id="84" w:name="_Toc353197105"/>
      <w:r>
        <w:rPr>
          <w:rFonts w:ascii="Garamond" w:hAnsi="Garamond"/>
          <w:color w:val="auto"/>
          <w:sz w:val="48"/>
          <w:szCs w:val="48"/>
          <w:highlight w:val="none"/>
        </w:rPr>
        <w:t>第七章 投标文件格式</w:t>
      </w:r>
      <w:bookmarkEnd w:id="84"/>
    </w:p>
    <w:p w14:paraId="469E655E">
      <w:pPr>
        <w:spacing w:line="360" w:lineRule="auto"/>
        <w:jc w:val="center"/>
        <w:rPr>
          <w:rFonts w:ascii="Garamond" w:hAnsi="Garamond"/>
          <w:b/>
          <w:color w:val="auto"/>
          <w:sz w:val="24"/>
          <w:highlight w:val="none"/>
        </w:rPr>
      </w:pPr>
    </w:p>
    <w:p w14:paraId="281F6191">
      <w:pPr>
        <w:spacing w:line="360" w:lineRule="auto"/>
        <w:jc w:val="center"/>
        <w:rPr>
          <w:rFonts w:ascii="Garamond" w:hAnsi="Garamond"/>
          <w:b/>
          <w:color w:val="auto"/>
          <w:sz w:val="24"/>
          <w:highlight w:val="none"/>
        </w:rPr>
      </w:pPr>
    </w:p>
    <w:p w14:paraId="2410BB51">
      <w:pPr>
        <w:spacing w:line="360" w:lineRule="auto"/>
        <w:jc w:val="center"/>
        <w:rPr>
          <w:rFonts w:ascii="Garamond" w:hAnsi="Garamond"/>
          <w:b/>
          <w:color w:val="auto"/>
          <w:sz w:val="24"/>
          <w:highlight w:val="none"/>
        </w:rPr>
      </w:pPr>
    </w:p>
    <w:p w14:paraId="5DD007E5">
      <w:pPr>
        <w:spacing w:line="360" w:lineRule="auto"/>
        <w:jc w:val="center"/>
        <w:rPr>
          <w:rFonts w:ascii="Garamond" w:hAnsi="Garamond"/>
          <w:b/>
          <w:color w:val="auto"/>
          <w:sz w:val="24"/>
          <w:highlight w:val="none"/>
        </w:rPr>
      </w:pPr>
    </w:p>
    <w:p w14:paraId="192C0B5D">
      <w:pPr>
        <w:spacing w:line="360" w:lineRule="auto"/>
        <w:jc w:val="center"/>
        <w:rPr>
          <w:rFonts w:ascii="Garamond" w:hAnsi="Garamond"/>
          <w:b/>
          <w:color w:val="auto"/>
          <w:sz w:val="24"/>
          <w:highlight w:val="none"/>
        </w:rPr>
      </w:pPr>
    </w:p>
    <w:p w14:paraId="374B71FE">
      <w:pPr>
        <w:spacing w:line="360" w:lineRule="auto"/>
        <w:jc w:val="center"/>
        <w:rPr>
          <w:rFonts w:ascii="Garamond" w:hAnsi="Garamond"/>
          <w:b/>
          <w:color w:val="auto"/>
          <w:sz w:val="24"/>
          <w:highlight w:val="none"/>
        </w:rPr>
      </w:pPr>
    </w:p>
    <w:p w14:paraId="75039242">
      <w:pPr>
        <w:spacing w:line="360" w:lineRule="auto"/>
        <w:jc w:val="center"/>
        <w:rPr>
          <w:rFonts w:ascii="Garamond" w:hAnsi="Garamond"/>
          <w:b/>
          <w:color w:val="auto"/>
          <w:sz w:val="24"/>
          <w:highlight w:val="none"/>
        </w:rPr>
      </w:pPr>
    </w:p>
    <w:p w14:paraId="7B1D246C">
      <w:pPr>
        <w:spacing w:line="360" w:lineRule="auto"/>
        <w:jc w:val="center"/>
        <w:rPr>
          <w:rFonts w:ascii="Garamond" w:hAnsi="Garamond"/>
          <w:b/>
          <w:color w:val="auto"/>
          <w:sz w:val="24"/>
          <w:highlight w:val="none"/>
        </w:rPr>
      </w:pPr>
    </w:p>
    <w:p w14:paraId="2588174B">
      <w:pPr>
        <w:spacing w:line="360" w:lineRule="auto"/>
        <w:jc w:val="center"/>
        <w:rPr>
          <w:rFonts w:ascii="Garamond" w:hAnsi="Garamond"/>
          <w:b/>
          <w:color w:val="auto"/>
          <w:sz w:val="24"/>
          <w:highlight w:val="none"/>
        </w:rPr>
      </w:pPr>
    </w:p>
    <w:p w14:paraId="498B2056">
      <w:pPr>
        <w:spacing w:line="360" w:lineRule="auto"/>
        <w:jc w:val="center"/>
        <w:rPr>
          <w:rFonts w:ascii="Garamond" w:hAnsi="Garamond"/>
          <w:b/>
          <w:color w:val="auto"/>
          <w:sz w:val="24"/>
          <w:highlight w:val="none"/>
        </w:rPr>
      </w:pPr>
    </w:p>
    <w:p w14:paraId="5B4C0028">
      <w:pPr>
        <w:spacing w:line="360" w:lineRule="auto"/>
        <w:jc w:val="center"/>
        <w:rPr>
          <w:rFonts w:ascii="Garamond" w:hAnsi="Garamond"/>
          <w:b/>
          <w:color w:val="auto"/>
          <w:sz w:val="24"/>
          <w:highlight w:val="none"/>
        </w:rPr>
      </w:pPr>
    </w:p>
    <w:p w14:paraId="7E16D652">
      <w:pPr>
        <w:spacing w:line="360" w:lineRule="auto"/>
        <w:jc w:val="center"/>
        <w:rPr>
          <w:rFonts w:ascii="Garamond" w:hAnsi="Garamond"/>
          <w:b/>
          <w:color w:val="auto"/>
          <w:sz w:val="24"/>
          <w:highlight w:val="none"/>
        </w:rPr>
      </w:pPr>
    </w:p>
    <w:p w14:paraId="60F61A54">
      <w:pPr>
        <w:spacing w:line="360" w:lineRule="auto"/>
        <w:jc w:val="center"/>
        <w:rPr>
          <w:rFonts w:ascii="Garamond" w:hAnsi="Garamond"/>
          <w:b/>
          <w:color w:val="auto"/>
          <w:sz w:val="24"/>
          <w:highlight w:val="none"/>
        </w:rPr>
      </w:pPr>
    </w:p>
    <w:p w14:paraId="12749BE0">
      <w:pPr>
        <w:spacing w:line="360" w:lineRule="auto"/>
        <w:jc w:val="center"/>
        <w:rPr>
          <w:rFonts w:ascii="Garamond" w:hAnsi="Garamond"/>
          <w:b/>
          <w:color w:val="auto"/>
          <w:sz w:val="24"/>
          <w:highlight w:val="none"/>
        </w:rPr>
      </w:pPr>
    </w:p>
    <w:p w14:paraId="13BAC3A4">
      <w:pPr>
        <w:spacing w:line="360" w:lineRule="auto"/>
        <w:jc w:val="center"/>
        <w:rPr>
          <w:rFonts w:ascii="Garamond" w:hAnsi="Garamond"/>
          <w:b/>
          <w:color w:val="auto"/>
          <w:sz w:val="24"/>
          <w:highlight w:val="none"/>
        </w:rPr>
      </w:pPr>
    </w:p>
    <w:p w14:paraId="66417779">
      <w:pPr>
        <w:spacing w:line="360" w:lineRule="auto"/>
        <w:jc w:val="center"/>
        <w:rPr>
          <w:rFonts w:ascii="Garamond" w:hAnsi="Garamond"/>
          <w:b/>
          <w:color w:val="auto"/>
          <w:sz w:val="24"/>
          <w:highlight w:val="none"/>
        </w:rPr>
      </w:pPr>
    </w:p>
    <w:p w14:paraId="289F6915">
      <w:pPr>
        <w:spacing w:line="360" w:lineRule="auto"/>
        <w:jc w:val="center"/>
        <w:rPr>
          <w:rFonts w:ascii="Garamond" w:hAnsi="Garamond"/>
          <w:b/>
          <w:color w:val="auto"/>
          <w:sz w:val="24"/>
          <w:highlight w:val="none"/>
        </w:rPr>
      </w:pPr>
    </w:p>
    <w:p w14:paraId="772408D3">
      <w:pPr>
        <w:spacing w:line="360" w:lineRule="auto"/>
        <w:jc w:val="center"/>
        <w:rPr>
          <w:rFonts w:ascii="Garamond" w:hAnsi="Garamond"/>
          <w:b/>
          <w:color w:val="auto"/>
          <w:sz w:val="24"/>
          <w:highlight w:val="none"/>
        </w:rPr>
      </w:pPr>
    </w:p>
    <w:p w14:paraId="77F83136">
      <w:pPr>
        <w:spacing w:line="360" w:lineRule="auto"/>
        <w:jc w:val="center"/>
        <w:rPr>
          <w:rFonts w:ascii="Garamond" w:hAnsi="Garamond"/>
          <w:b/>
          <w:color w:val="auto"/>
          <w:sz w:val="24"/>
          <w:highlight w:val="none"/>
        </w:rPr>
      </w:pPr>
    </w:p>
    <w:p w14:paraId="61048BC3">
      <w:pPr>
        <w:spacing w:line="360" w:lineRule="auto"/>
        <w:jc w:val="center"/>
        <w:rPr>
          <w:rFonts w:ascii="Garamond" w:hAnsi="Garamond"/>
          <w:b/>
          <w:color w:val="auto"/>
          <w:sz w:val="24"/>
          <w:highlight w:val="none"/>
        </w:rPr>
      </w:pPr>
    </w:p>
    <w:p w14:paraId="26095DA0">
      <w:pPr>
        <w:spacing w:line="360" w:lineRule="auto"/>
        <w:jc w:val="center"/>
        <w:rPr>
          <w:rFonts w:ascii="Garamond" w:hAnsi="Garamond"/>
          <w:b/>
          <w:color w:val="auto"/>
          <w:sz w:val="24"/>
          <w:highlight w:val="none"/>
        </w:rPr>
      </w:pPr>
    </w:p>
    <w:p w14:paraId="2A8F8162">
      <w:pPr>
        <w:rPr>
          <w:rFonts w:ascii="Garamond" w:hAnsi="Garamond"/>
          <w:b/>
          <w:color w:val="auto"/>
          <w:sz w:val="36"/>
          <w:szCs w:val="36"/>
          <w:highlight w:val="none"/>
        </w:rPr>
      </w:pPr>
      <w:r>
        <w:rPr>
          <w:rFonts w:ascii="Garamond" w:hAnsi="Garamond"/>
          <w:b/>
          <w:color w:val="auto"/>
          <w:sz w:val="36"/>
          <w:szCs w:val="36"/>
          <w:highlight w:val="none"/>
        </w:rPr>
        <w:br w:type="page"/>
      </w:r>
    </w:p>
    <w:p w14:paraId="44229558">
      <w:pPr>
        <w:spacing w:line="360" w:lineRule="auto"/>
        <w:jc w:val="right"/>
        <w:rPr>
          <w:rFonts w:ascii="Garamond" w:hAnsi="Garamond"/>
          <w:b/>
          <w:color w:val="auto"/>
          <w:sz w:val="36"/>
          <w:szCs w:val="36"/>
          <w:highlight w:val="none"/>
        </w:rPr>
      </w:pPr>
      <w:r>
        <w:rPr>
          <w:rFonts w:ascii="Garamond" w:hAnsi="Garamond"/>
          <w:b/>
          <w:color w:val="auto"/>
          <w:sz w:val="36"/>
          <w:szCs w:val="36"/>
          <w:highlight w:val="none"/>
        </w:rPr>
        <w:t>正/副本</w:t>
      </w:r>
    </w:p>
    <w:p w14:paraId="0A199B9B">
      <w:pPr>
        <w:spacing w:line="360" w:lineRule="auto"/>
        <w:jc w:val="center"/>
        <w:rPr>
          <w:rFonts w:hint="eastAsia" w:ascii="Garamond" w:hAnsi="Garamond" w:eastAsia="宋体"/>
          <w:b/>
          <w:color w:val="auto"/>
          <w:sz w:val="36"/>
          <w:szCs w:val="36"/>
          <w:highlight w:val="none"/>
          <w:lang w:eastAsia="zh-CN"/>
        </w:rPr>
      </w:pPr>
      <w:r>
        <w:rPr>
          <w:rFonts w:hint="eastAsia" w:ascii="Garamond" w:hAnsi="Garamond"/>
          <w:b/>
          <w:color w:val="auto"/>
          <w:sz w:val="36"/>
          <w:szCs w:val="36"/>
          <w:highlight w:val="none"/>
          <w:lang w:eastAsia="zh-CN"/>
        </w:rPr>
        <w:t>南通沿江港口公用锚地调整项目配套系船浮工程试验检测项目</w:t>
      </w:r>
    </w:p>
    <w:p w14:paraId="15E9416D">
      <w:pPr>
        <w:spacing w:line="360" w:lineRule="auto"/>
        <w:jc w:val="center"/>
        <w:rPr>
          <w:rFonts w:ascii="Garamond" w:hAnsi="Garamond"/>
          <w:b/>
          <w:color w:val="auto"/>
          <w:sz w:val="36"/>
          <w:szCs w:val="36"/>
          <w:highlight w:val="none"/>
        </w:rPr>
      </w:pPr>
      <w:r>
        <w:rPr>
          <w:rFonts w:hint="eastAsia" w:eastAsia="黑体"/>
          <w:b/>
          <w:bCs/>
          <w:color w:val="auto"/>
          <w:sz w:val="36"/>
          <w:szCs w:val="36"/>
          <w:highlight w:val="none"/>
        </w:rPr>
        <w:t>（</w:t>
      </w:r>
      <w:r>
        <w:rPr>
          <w:rFonts w:hint="eastAsia" w:eastAsia="黑体"/>
          <w:b/>
          <w:snapToGrid w:val="0"/>
          <w:color w:val="auto"/>
          <w:kern w:val="0"/>
          <w:sz w:val="36"/>
          <w:szCs w:val="36"/>
          <w:highlight w:val="none"/>
          <w:lang w:eastAsia="zh-CN"/>
        </w:rPr>
        <w:t>XCF-JC标段</w:t>
      </w:r>
      <w:r>
        <w:rPr>
          <w:rFonts w:hint="eastAsia" w:eastAsia="黑体"/>
          <w:b/>
          <w:bCs/>
          <w:color w:val="auto"/>
          <w:sz w:val="36"/>
          <w:szCs w:val="36"/>
          <w:highlight w:val="none"/>
        </w:rPr>
        <w:t>）</w:t>
      </w:r>
    </w:p>
    <w:p w14:paraId="6252627A">
      <w:pPr>
        <w:spacing w:line="1100" w:lineRule="exact"/>
        <w:jc w:val="center"/>
        <w:rPr>
          <w:rFonts w:ascii="Garamond" w:hAnsi="Garamond"/>
          <w:b/>
          <w:color w:val="auto"/>
          <w:sz w:val="52"/>
          <w:szCs w:val="52"/>
          <w:highlight w:val="none"/>
        </w:rPr>
      </w:pPr>
    </w:p>
    <w:p w14:paraId="13DA20A1">
      <w:pPr>
        <w:spacing w:line="1100" w:lineRule="exact"/>
        <w:jc w:val="center"/>
        <w:rPr>
          <w:rFonts w:ascii="Garamond" w:hAnsi="Garamond"/>
          <w:b/>
          <w:color w:val="auto"/>
          <w:sz w:val="52"/>
          <w:szCs w:val="52"/>
          <w:highlight w:val="none"/>
        </w:rPr>
      </w:pPr>
    </w:p>
    <w:p w14:paraId="56E402B1">
      <w:pPr>
        <w:spacing w:line="1100" w:lineRule="exact"/>
        <w:jc w:val="center"/>
        <w:rPr>
          <w:rFonts w:ascii="Garamond" w:hAnsi="Garamond"/>
          <w:b/>
          <w:color w:val="auto"/>
          <w:sz w:val="84"/>
          <w:szCs w:val="84"/>
          <w:highlight w:val="none"/>
        </w:rPr>
      </w:pPr>
      <w:r>
        <w:rPr>
          <w:rFonts w:ascii="Garamond" w:hAnsi="Garamond"/>
          <w:b/>
          <w:color w:val="auto"/>
          <w:sz w:val="84"/>
          <w:szCs w:val="84"/>
          <w:highlight w:val="none"/>
        </w:rPr>
        <w:t>投 标 文 件</w:t>
      </w:r>
    </w:p>
    <w:p w14:paraId="68964486">
      <w:pPr>
        <w:spacing w:line="1100" w:lineRule="exact"/>
        <w:jc w:val="center"/>
        <w:rPr>
          <w:rFonts w:ascii="Garamond" w:hAnsi="Garamond"/>
          <w:b/>
          <w:color w:val="auto"/>
          <w:sz w:val="36"/>
          <w:szCs w:val="36"/>
          <w:highlight w:val="none"/>
        </w:rPr>
      </w:pPr>
      <w:r>
        <w:rPr>
          <w:rFonts w:ascii="Garamond" w:hAnsi="Garamond"/>
          <w:b/>
          <w:color w:val="auto"/>
          <w:sz w:val="36"/>
          <w:szCs w:val="36"/>
          <w:highlight w:val="none"/>
        </w:rPr>
        <w:t>第一个信封（商务及技术文件）</w:t>
      </w:r>
    </w:p>
    <w:p w14:paraId="2119AAD3">
      <w:pPr>
        <w:spacing w:line="1100" w:lineRule="exact"/>
        <w:jc w:val="center"/>
        <w:rPr>
          <w:rFonts w:ascii="Garamond" w:hAnsi="Garamond"/>
          <w:b/>
          <w:color w:val="auto"/>
          <w:sz w:val="52"/>
          <w:szCs w:val="52"/>
          <w:highlight w:val="none"/>
        </w:rPr>
      </w:pPr>
    </w:p>
    <w:p w14:paraId="4F17CC10">
      <w:pPr>
        <w:spacing w:line="1100" w:lineRule="exact"/>
        <w:jc w:val="center"/>
        <w:rPr>
          <w:rFonts w:ascii="Garamond" w:hAnsi="Garamond"/>
          <w:b/>
          <w:color w:val="auto"/>
          <w:sz w:val="52"/>
          <w:szCs w:val="52"/>
          <w:highlight w:val="none"/>
        </w:rPr>
      </w:pPr>
    </w:p>
    <w:p w14:paraId="041E214A">
      <w:pPr>
        <w:spacing w:line="1100" w:lineRule="exact"/>
        <w:jc w:val="center"/>
        <w:rPr>
          <w:rFonts w:ascii="Garamond" w:hAnsi="Garamond"/>
          <w:b/>
          <w:color w:val="auto"/>
          <w:sz w:val="36"/>
          <w:szCs w:val="36"/>
          <w:highlight w:val="none"/>
        </w:rPr>
      </w:pPr>
      <w:r>
        <w:rPr>
          <w:rFonts w:ascii="Garamond" w:hAnsi="Garamond"/>
          <w:b/>
          <w:color w:val="auto"/>
          <w:sz w:val="36"/>
          <w:szCs w:val="36"/>
          <w:highlight w:val="none"/>
        </w:rPr>
        <w:t>投标人：__________（盖单位章）</w:t>
      </w:r>
    </w:p>
    <w:p w14:paraId="360D7F78">
      <w:pPr>
        <w:spacing w:line="1100" w:lineRule="exact"/>
        <w:jc w:val="center"/>
        <w:rPr>
          <w:rFonts w:ascii="Garamond" w:hAnsi="Garamond"/>
          <w:b/>
          <w:color w:val="auto"/>
          <w:sz w:val="36"/>
          <w:szCs w:val="36"/>
          <w:highlight w:val="none"/>
        </w:rPr>
      </w:pPr>
      <w:r>
        <w:rPr>
          <w:rFonts w:ascii="Garamond" w:hAnsi="Garamond"/>
          <w:b/>
          <w:color w:val="auto"/>
          <w:sz w:val="36"/>
          <w:szCs w:val="36"/>
          <w:highlight w:val="none"/>
        </w:rPr>
        <w:t>____年____月____日</w:t>
      </w:r>
    </w:p>
    <w:p w14:paraId="61A6DC26">
      <w:pPr>
        <w:spacing w:line="500" w:lineRule="exact"/>
        <w:jc w:val="center"/>
        <w:rPr>
          <w:rFonts w:ascii="Garamond" w:hAnsi="Garamond"/>
          <w:b/>
          <w:color w:val="auto"/>
          <w:sz w:val="32"/>
          <w:szCs w:val="32"/>
          <w:highlight w:val="none"/>
        </w:rPr>
      </w:pPr>
      <w:r>
        <w:rPr>
          <w:rFonts w:ascii="Garamond" w:hAnsi="Garamond"/>
          <w:color w:val="auto"/>
          <w:sz w:val="28"/>
          <w:szCs w:val="28"/>
          <w:highlight w:val="none"/>
        </w:rPr>
        <w:br w:type="page"/>
      </w:r>
      <w:r>
        <w:rPr>
          <w:rFonts w:ascii="Garamond" w:hAnsi="Garamond"/>
          <w:b/>
          <w:color w:val="auto"/>
          <w:sz w:val="32"/>
          <w:szCs w:val="32"/>
          <w:highlight w:val="none"/>
        </w:rPr>
        <w:t>目    录</w:t>
      </w:r>
    </w:p>
    <w:p w14:paraId="11E4FB86">
      <w:pPr>
        <w:spacing w:line="380" w:lineRule="exact"/>
        <w:ind w:firstLine="359" w:firstLineChars="171"/>
        <w:rPr>
          <w:rFonts w:ascii="Garamond" w:hAnsi="Garamond"/>
          <w:color w:val="auto"/>
          <w:highlight w:val="none"/>
        </w:rPr>
      </w:pPr>
    </w:p>
    <w:p w14:paraId="48F5656C">
      <w:pPr>
        <w:spacing w:line="380" w:lineRule="exact"/>
        <w:ind w:firstLine="420" w:firstLineChars="200"/>
        <w:rPr>
          <w:rFonts w:ascii="Garamond" w:hAnsi="Garamond"/>
          <w:color w:val="auto"/>
          <w:highlight w:val="none"/>
        </w:rPr>
      </w:pPr>
      <w:r>
        <w:rPr>
          <w:rFonts w:ascii="Garamond" w:hAnsi="Garamond"/>
          <w:color w:val="auto"/>
          <w:highlight w:val="none"/>
        </w:rPr>
        <w:t>一、投标函；</w:t>
      </w:r>
    </w:p>
    <w:p w14:paraId="04BFE003">
      <w:pPr>
        <w:spacing w:line="380" w:lineRule="exact"/>
        <w:ind w:firstLine="420" w:firstLineChars="200"/>
        <w:rPr>
          <w:rFonts w:ascii="Garamond" w:hAnsi="Garamond"/>
          <w:color w:val="auto"/>
          <w:highlight w:val="none"/>
        </w:rPr>
      </w:pPr>
      <w:r>
        <w:rPr>
          <w:rFonts w:ascii="Garamond" w:hAnsi="Garamond"/>
          <w:color w:val="auto"/>
          <w:highlight w:val="none"/>
        </w:rPr>
        <w:t>二、法定代表人身份证明及授权委托书；</w:t>
      </w:r>
    </w:p>
    <w:p w14:paraId="436E9EBB">
      <w:pPr>
        <w:spacing w:line="380" w:lineRule="exact"/>
        <w:ind w:firstLine="420" w:firstLineChars="200"/>
        <w:rPr>
          <w:rFonts w:ascii="Garamond" w:hAnsi="Garamond"/>
          <w:color w:val="auto"/>
          <w:highlight w:val="none"/>
        </w:rPr>
      </w:pPr>
      <w:r>
        <w:rPr>
          <w:rFonts w:ascii="Garamond" w:hAnsi="Garamond"/>
          <w:color w:val="auto"/>
          <w:highlight w:val="none"/>
        </w:rPr>
        <w:t>三、投标保证金；</w:t>
      </w:r>
    </w:p>
    <w:p w14:paraId="7E820D28">
      <w:pPr>
        <w:spacing w:line="380" w:lineRule="exact"/>
        <w:ind w:firstLine="420" w:firstLineChars="200"/>
        <w:rPr>
          <w:rFonts w:ascii="Garamond" w:hAnsi="Garamond"/>
          <w:color w:val="auto"/>
          <w:highlight w:val="none"/>
        </w:rPr>
      </w:pPr>
      <w:r>
        <w:rPr>
          <w:rFonts w:ascii="Garamond" w:hAnsi="Garamond"/>
          <w:color w:val="auto"/>
          <w:highlight w:val="none"/>
        </w:rPr>
        <w:t>四、</w:t>
      </w:r>
      <w:r>
        <w:rPr>
          <w:rFonts w:hint="eastAsia" w:ascii="Garamond" w:hAnsi="Garamond"/>
          <w:color w:val="auto"/>
          <w:highlight w:val="none"/>
        </w:rPr>
        <w:t>资料真实性承诺书；</w:t>
      </w:r>
    </w:p>
    <w:p w14:paraId="38FD65CE">
      <w:pPr>
        <w:spacing w:line="380" w:lineRule="exact"/>
        <w:ind w:firstLine="420" w:firstLineChars="200"/>
        <w:rPr>
          <w:rFonts w:ascii="Garamond" w:hAnsi="Garamond"/>
          <w:color w:val="auto"/>
          <w:highlight w:val="none"/>
        </w:rPr>
      </w:pPr>
      <w:r>
        <w:rPr>
          <w:rFonts w:hint="eastAsia" w:ascii="Garamond" w:hAnsi="Garamond"/>
          <w:color w:val="auto"/>
          <w:highlight w:val="none"/>
        </w:rPr>
        <w:t>五、</w:t>
      </w:r>
      <w:r>
        <w:rPr>
          <w:rFonts w:ascii="Garamond" w:hAnsi="Garamond"/>
          <w:color w:val="auto"/>
          <w:highlight w:val="none"/>
        </w:rPr>
        <w:t>检测工作大纲；</w:t>
      </w:r>
    </w:p>
    <w:p w14:paraId="09263880">
      <w:pPr>
        <w:spacing w:line="380" w:lineRule="exact"/>
        <w:ind w:firstLine="420" w:firstLineChars="200"/>
        <w:rPr>
          <w:rFonts w:ascii="Garamond" w:hAnsi="Garamond"/>
          <w:color w:val="auto"/>
          <w:highlight w:val="none"/>
        </w:rPr>
      </w:pPr>
      <w:r>
        <w:rPr>
          <w:rFonts w:hint="eastAsia" w:ascii="Garamond" w:hAnsi="Garamond"/>
          <w:color w:val="auto"/>
          <w:highlight w:val="none"/>
        </w:rPr>
        <w:t>六</w:t>
      </w:r>
      <w:r>
        <w:rPr>
          <w:rFonts w:ascii="Garamond" w:hAnsi="Garamond"/>
          <w:color w:val="auto"/>
          <w:highlight w:val="none"/>
        </w:rPr>
        <w:t>、资格审查资料；</w:t>
      </w:r>
    </w:p>
    <w:p w14:paraId="25C6C3F6">
      <w:pPr>
        <w:spacing w:line="380" w:lineRule="exact"/>
        <w:ind w:firstLine="420" w:firstLineChars="200"/>
        <w:rPr>
          <w:rFonts w:ascii="Garamond" w:hAnsi="Garamond"/>
          <w:color w:val="auto"/>
          <w:highlight w:val="none"/>
        </w:rPr>
      </w:pPr>
      <w:r>
        <w:rPr>
          <w:rFonts w:hint="eastAsia" w:ascii="Garamond" w:hAnsi="Garamond"/>
          <w:color w:val="auto"/>
          <w:highlight w:val="none"/>
        </w:rPr>
        <w:t>七</w:t>
      </w:r>
      <w:r>
        <w:rPr>
          <w:rFonts w:ascii="Garamond" w:hAnsi="Garamond"/>
          <w:color w:val="auto"/>
          <w:highlight w:val="none"/>
        </w:rPr>
        <w:t>、江苏省公路水运建设项目投标人信用承诺书；</w:t>
      </w:r>
    </w:p>
    <w:p w14:paraId="427D1563">
      <w:pPr>
        <w:spacing w:line="380" w:lineRule="exact"/>
        <w:ind w:firstLine="420" w:firstLineChars="200"/>
        <w:rPr>
          <w:rFonts w:hAnsi="宋体" w:cs="宋体"/>
          <w:color w:val="auto"/>
          <w:szCs w:val="21"/>
          <w:highlight w:val="none"/>
        </w:rPr>
      </w:pPr>
      <w:r>
        <w:rPr>
          <w:rFonts w:hint="eastAsia" w:ascii="Garamond" w:hAnsi="Garamond"/>
          <w:color w:val="auto"/>
          <w:highlight w:val="none"/>
        </w:rPr>
        <w:t>八、</w:t>
      </w:r>
      <w:r>
        <w:rPr>
          <w:rFonts w:hint="eastAsia" w:hAnsi="宋体" w:cs="宋体"/>
          <w:color w:val="auto"/>
          <w:szCs w:val="21"/>
          <w:highlight w:val="none"/>
        </w:rPr>
        <w:t>江苏公路水运建设市场主要从业人员信用承诺书；</w:t>
      </w:r>
    </w:p>
    <w:p w14:paraId="7970B55F">
      <w:pPr>
        <w:spacing w:line="380" w:lineRule="exact"/>
        <w:ind w:firstLine="420" w:firstLineChars="200"/>
        <w:rPr>
          <w:rFonts w:ascii="Garamond" w:hAnsi="Garamond"/>
          <w:color w:val="auto"/>
          <w:highlight w:val="none"/>
        </w:rPr>
      </w:pPr>
      <w:r>
        <w:rPr>
          <w:rFonts w:hint="eastAsia" w:hAnsi="宋体" w:cs="宋体"/>
          <w:color w:val="auto"/>
          <w:szCs w:val="21"/>
          <w:highlight w:val="none"/>
        </w:rPr>
        <w:t>九、</w:t>
      </w:r>
      <w:r>
        <w:rPr>
          <w:rFonts w:hint="eastAsia" w:ascii="宋体" w:hAnsi="宋体" w:cs="宋体"/>
          <w:color w:val="auto"/>
          <w:szCs w:val="21"/>
          <w:highlight w:val="none"/>
        </w:rPr>
        <w:t>承诺函；</w:t>
      </w:r>
    </w:p>
    <w:p w14:paraId="0583B6F1">
      <w:pPr>
        <w:spacing w:line="380" w:lineRule="exact"/>
        <w:ind w:firstLine="420" w:firstLineChars="200"/>
        <w:rPr>
          <w:rFonts w:ascii="Garamond" w:hAnsi="Garamond"/>
          <w:color w:val="auto"/>
          <w:highlight w:val="none"/>
        </w:rPr>
      </w:pPr>
      <w:r>
        <w:rPr>
          <w:rFonts w:hint="eastAsia" w:ascii="Garamond" w:hAnsi="Garamond"/>
          <w:color w:val="auto"/>
          <w:highlight w:val="none"/>
        </w:rPr>
        <w:t>十</w:t>
      </w:r>
      <w:r>
        <w:rPr>
          <w:rFonts w:ascii="Garamond" w:hAnsi="Garamond"/>
          <w:color w:val="auto"/>
          <w:highlight w:val="none"/>
        </w:rPr>
        <w:t>、其他材料。</w:t>
      </w:r>
    </w:p>
    <w:p w14:paraId="4D9CEA6C">
      <w:pPr>
        <w:rPr>
          <w:rFonts w:ascii="Garamond" w:hAnsi="Garamond"/>
          <w:color w:val="auto"/>
          <w:sz w:val="18"/>
          <w:szCs w:val="18"/>
          <w:highlight w:val="none"/>
        </w:rPr>
      </w:pPr>
    </w:p>
    <w:p w14:paraId="69F216C7">
      <w:pPr>
        <w:rPr>
          <w:rFonts w:ascii="Garamond" w:hAnsi="Garamond"/>
          <w:color w:val="auto"/>
          <w:sz w:val="18"/>
          <w:szCs w:val="18"/>
          <w:highlight w:val="none"/>
        </w:rPr>
      </w:pPr>
    </w:p>
    <w:p w14:paraId="70B049AF">
      <w:pPr>
        <w:rPr>
          <w:rFonts w:ascii="Garamond" w:hAnsi="Garamond"/>
          <w:color w:val="auto"/>
          <w:sz w:val="18"/>
          <w:szCs w:val="18"/>
          <w:highlight w:val="none"/>
        </w:rPr>
      </w:pPr>
    </w:p>
    <w:p w14:paraId="5E8BA19D">
      <w:pPr>
        <w:rPr>
          <w:rFonts w:ascii="Garamond" w:hAnsi="Garamond"/>
          <w:color w:val="auto"/>
          <w:sz w:val="18"/>
          <w:szCs w:val="18"/>
          <w:highlight w:val="none"/>
        </w:rPr>
      </w:pPr>
    </w:p>
    <w:p w14:paraId="64054B51">
      <w:pPr>
        <w:rPr>
          <w:rFonts w:ascii="Garamond" w:hAnsi="Garamond"/>
          <w:color w:val="auto"/>
          <w:sz w:val="18"/>
          <w:szCs w:val="18"/>
          <w:highlight w:val="none"/>
        </w:rPr>
      </w:pPr>
    </w:p>
    <w:p w14:paraId="79F06823">
      <w:pPr>
        <w:rPr>
          <w:rFonts w:ascii="Garamond" w:hAnsi="Garamond"/>
          <w:color w:val="auto"/>
          <w:sz w:val="18"/>
          <w:szCs w:val="18"/>
          <w:highlight w:val="none"/>
        </w:rPr>
      </w:pPr>
    </w:p>
    <w:p w14:paraId="502BD120">
      <w:pPr>
        <w:rPr>
          <w:rFonts w:ascii="Garamond" w:hAnsi="Garamond"/>
          <w:color w:val="auto"/>
          <w:sz w:val="18"/>
          <w:szCs w:val="18"/>
          <w:highlight w:val="none"/>
        </w:rPr>
      </w:pPr>
    </w:p>
    <w:p w14:paraId="017798A6">
      <w:pPr>
        <w:rPr>
          <w:rFonts w:ascii="Garamond" w:hAnsi="Garamond"/>
          <w:color w:val="auto"/>
          <w:sz w:val="18"/>
          <w:szCs w:val="18"/>
          <w:highlight w:val="none"/>
        </w:rPr>
      </w:pPr>
    </w:p>
    <w:p w14:paraId="117B1AD5">
      <w:pPr>
        <w:rPr>
          <w:rFonts w:ascii="Garamond" w:hAnsi="Garamond"/>
          <w:color w:val="auto"/>
          <w:sz w:val="18"/>
          <w:szCs w:val="18"/>
          <w:highlight w:val="none"/>
        </w:rPr>
      </w:pPr>
    </w:p>
    <w:p w14:paraId="1F7321D1">
      <w:pPr>
        <w:rPr>
          <w:rFonts w:ascii="Garamond" w:hAnsi="Garamond"/>
          <w:color w:val="auto"/>
          <w:sz w:val="18"/>
          <w:szCs w:val="18"/>
          <w:highlight w:val="none"/>
        </w:rPr>
      </w:pPr>
    </w:p>
    <w:p w14:paraId="7B700421">
      <w:pPr>
        <w:rPr>
          <w:rFonts w:ascii="Garamond" w:hAnsi="Garamond"/>
          <w:color w:val="auto"/>
          <w:sz w:val="18"/>
          <w:szCs w:val="18"/>
          <w:highlight w:val="none"/>
        </w:rPr>
      </w:pPr>
    </w:p>
    <w:p w14:paraId="1DA0BFD0">
      <w:pPr>
        <w:rPr>
          <w:rFonts w:ascii="Garamond" w:hAnsi="Garamond"/>
          <w:color w:val="auto"/>
          <w:sz w:val="18"/>
          <w:szCs w:val="18"/>
          <w:highlight w:val="none"/>
        </w:rPr>
      </w:pPr>
    </w:p>
    <w:p w14:paraId="7F507A89">
      <w:pPr>
        <w:rPr>
          <w:rFonts w:ascii="Garamond" w:hAnsi="Garamond"/>
          <w:color w:val="auto"/>
          <w:sz w:val="18"/>
          <w:szCs w:val="18"/>
          <w:highlight w:val="none"/>
        </w:rPr>
      </w:pPr>
    </w:p>
    <w:p w14:paraId="75371779">
      <w:pPr>
        <w:rPr>
          <w:rFonts w:ascii="Garamond" w:hAnsi="Garamond"/>
          <w:color w:val="auto"/>
          <w:sz w:val="18"/>
          <w:szCs w:val="18"/>
          <w:highlight w:val="none"/>
        </w:rPr>
      </w:pPr>
    </w:p>
    <w:p w14:paraId="340938AC">
      <w:pPr>
        <w:rPr>
          <w:rFonts w:ascii="Garamond" w:hAnsi="Garamond"/>
          <w:color w:val="auto"/>
          <w:sz w:val="18"/>
          <w:szCs w:val="18"/>
          <w:highlight w:val="none"/>
        </w:rPr>
      </w:pPr>
    </w:p>
    <w:p w14:paraId="219ED3C8">
      <w:pPr>
        <w:rPr>
          <w:rFonts w:ascii="Garamond" w:hAnsi="Garamond"/>
          <w:color w:val="auto"/>
          <w:sz w:val="18"/>
          <w:szCs w:val="18"/>
          <w:highlight w:val="none"/>
        </w:rPr>
      </w:pPr>
    </w:p>
    <w:p w14:paraId="179CD53A">
      <w:pPr>
        <w:rPr>
          <w:rFonts w:ascii="Garamond" w:hAnsi="Garamond"/>
          <w:color w:val="auto"/>
          <w:sz w:val="18"/>
          <w:szCs w:val="18"/>
          <w:highlight w:val="none"/>
        </w:rPr>
      </w:pPr>
    </w:p>
    <w:p w14:paraId="7038C9DD">
      <w:pPr>
        <w:rPr>
          <w:rFonts w:ascii="Garamond" w:hAnsi="Garamond"/>
          <w:color w:val="auto"/>
          <w:sz w:val="18"/>
          <w:szCs w:val="18"/>
          <w:highlight w:val="none"/>
        </w:rPr>
      </w:pPr>
    </w:p>
    <w:p w14:paraId="5449C1CF">
      <w:pPr>
        <w:rPr>
          <w:rFonts w:ascii="Garamond" w:hAnsi="Garamond"/>
          <w:color w:val="auto"/>
          <w:sz w:val="18"/>
          <w:szCs w:val="18"/>
          <w:highlight w:val="none"/>
        </w:rPr>
      </w:pPr>
    </w:p>
    <w:p w14:paraId="0ABAC86E">
      <w:pPr>
        <w:rPr>
          <w:rFonts w:ascii="Garamond" w:hAnsi="Garamond"/>
          <w:color w:val="auto"/>
          <w:sz w:val="18"/>
          <w:szCs w:val="18"/>
          <w:highlight w:val="none"/>
        </w:rPr>
      </w:pPr>
    </w:p>
    <w:p w14:paraId="58E79D47">
      <w:pPr>
        <w:rPr>
          <w:rFonts w:ascii="Garamond" w:hAnsi="Garamond"/>
          <w:color w:val="auto"/>
          <w:sz w:val="18"/>
          <w:szCs w:val="18"/>
          <w:highlight w:val="none"/>
        </w:rPr>
      </w:pPr>
    </w:p>
    <w:p w14:paraId="088B554B">
      <w:pPr>
        <w:rPr>
          <w:rFonts w:ascii="Garamond" w:hAnsi="Garamond"/>
          <w:color w:val="auto"/>
          <w:sz w:val="18"/>
          <w:szCs w:val="18"/>
          <w:highlight w:val="none"/>
        </w:rPr>
      </w:pPr>
    </w:p>
    <w:p w14:paraId="5D63AD6D">
      <w:pPr>
        <w:rPr>
          <w:rFonts w:ascii="Garamond" w:hAnsi="Garamond"/>
          <w:color w:val="auto"/>
          <w:sz w:val="18"/>
          <w:szCs w:val="18"/>
          <w:highlight w:val="none"/>
        </w:rPr>
      </w:pPr>
    </w:p>
    <w:p w14:paraId="755F5D50">
      <w:pPr>
        <w:rPr>
          <w:rFonts w:ascii="Garamond" w:hAnsi="Garamond"/>
          <w:color w:val="auto"/>
          <w:sz w:val="18"/>
          <w:szCs w:val="18"/>
          <w:highlight w:val="none"/>
        </w:rPr>
      </w:pPr>
    </w:p>
    <w:p w14:paraId="5BE5E1E4">
      <w:pPr>
        <w:ind w:firstLine="180" w:firstLineChars="100"/>
        <w:rPr>
          <w:rFonts w:ascii="Garamond" w:hAnsi="Garamond"/>
          <w:color w:val="auto"/>
          <w:sz w:val="18"/>
          <w:szCs w:val="18"/>
          <w:highlight w:val="none"/>
        </w:rPr>
      </w:pPr>
    </w:p>
    <w:p w14:paraId="12F9C300">
      <w:pPr>
        <w:pStyle w:val="4"/>
        <w:jc w:val="center"/>
        <w:rPr>
          <w:rFonts w:ascii="Garamond" w:hAnsi="Garamond"/>
          <w:color w:val="auto"/>
          <w:sz w:val="28"/>
          <w:szCs w:val="28"/>
          <w:highlight w:val="none"/>
        </w:rPr>
      </w:pPr>
      <w:r>
        <w:rPr>
          <w:rFonts w:ascii="Garamond" w:hAnsi="Garamond"/>
          <w:b w:val="0"/>
          <w:color w:val="auto"/>
          <w:sz w:val="24"/>
          <w:highlight w:val="none"/>
        </w:rPr>
        <w:br w:type="page"/>
      </w:r>
      <w:r>
        <w:rPr>
          <w:rFonts w:ascii="Garamond" w:hAnsi="Garamond"/>
          <w:color w:val="auto"/>
          <w:sz w:val="28"/>
          <w:szCs w:val="28"/>
          <w:highlight w:val="none"/>
        </w:rPr>
        <w:t xml:space="preserve"> 一、投标函</w:t>
      </w:r>
    </w:p>
    <w:p w14:paraId="224DC2ED">
      <w:pPr>
        <w:spacing w:line="360" w:lineRule="auto"/>
        <w:rPr>
          <w:rFonts w:ascii="Garamond" w:hAnsi="Garamond"/>
          <w:b/>
          <w:color w:val="auto"/>
          <w:szCs w:val="21"/>
          <w:highlight w:val="none"/>
        </w:rPr>
      </w:pPr>
      <w:r>
        <w:rPr>
          <w:rFonts w:hint="eastAsia" w:ascii="Garamond" w:hAnsi="Garamond"/>
          <w:b/>
          <w:color w:val="auto"/>
          <w:szCs w:val="21"/>
          <w:highlight w:val="none"/>
          <w:u w:val="single"/>
          <w:lang w:eastAsia="zh-CN"/>
        </w:rPr>
        <w:t>南通市交通公共事业发展中心</w:t>
      </w:r>
      <w:r>
        <w:rPr>
          <w:rFonts w:ascii="Garamond" w:hAnsi="Garamond"/>
          <w:b/>
          <w:color w:val="auto"/>
          <w:szCs w:val="21"/>
          <w:highlight w:val="none"/>
        </w:rPr>
        <w:t>：</w:t>
      </w:r>
    </w:p>
    <w:p w14:paraId="55950A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标段试验检测招标的全部内容（含补遗书第_____号至第____号），在考察工程现场后，愿意以投标文件第二个信封报价函中的报价和招标文件规定的服务期，按合同约定承担并完成工作。</w:t>
      </w:r>
    </w:p>
    <w:p w14:paraId="12AB5DBE">
      <w:pPr>
        <w:spacing w:line="360" w:lineRule="auto"/>
        <w:ind w:firstLine="420"/>
        <w:rPr>
          <w:rFonts w:ascii="宋体" w:hAnsi="宋体" w:cs="宋体"/>
          <w:color w:val="auto"/>
          <w:spacing w:val="8"/>
          <w:szCs w:val="21"/>
          <w:highlight w:val="none"/>
        </w:rPr>
      </w:pPr>
      <w:r>
        <w:rPr>
          <w:rFonts w:hint="eastAsia" w:ascii="宋体" w:hAnsi="宋体" w:cs="宋体"/>
          <w:color w:val="auto"/>
          <w:spacing w:val="8"/>
          <w:szCs w:val="21"/>
          <w:highlight w:val="none"/>
        </w:rPr>
        <w:t>2.我方拟投入本项目的项目负责人</w:t>
      </w:r>
      <w:r>
        <w:rPr>
          <w:rFonts w:hint="eastAsia" w:ascii="宋体" w:hAnsi="宋体" w:cs="宋体"/>
          <w:color w:val="auto"/>
          <w:spacing w:val="8"/>
          <w:szCs w:val="21"/>
          <w:highlight w:val="none"/>
          <w:lang w:val="en-GB"/>
        </w:rPr>
        <w:t>为：</w:t>
      </w:r>
      <w:r>
        <w:rPr>
          <w:rFonts w:hint="eastAsia" w:ascii="宋体" w:hAnsi="宋体" w:cs="宋体"/>
          <w:color w:val="auto"/>
          <w:spacing w:val="8"/>
          <w:szCs w:val="21"/>
          <w:highlight w:val="none"/>
          <w:u w:val="single"/>
        </w:rPr>
        <w:t xml:space="preserve">   </w:t>
      </w:r>
      <w:r>
        <w:rPr>
          <w:rFonts w:hint="eastAsia" w:ascii="宋体" w:hAnsi="宋体" w:cs="宋体"/>
          <w:color w:val="auto"/>
          <w:spacing w:val="8"/>
          <w:szCs w:val="21"/>
          <w:highlight w:val="none"/>
          <w:u w:val="single"/>
          <w:lang w:val="en-GB"/>
        </w:rPr>
        <w:t>（姓名）</w:t>
      </w:r>
      <w:r>
        <w:rPr>
          <w:rFonts w:hint="eastAsia" w:ascii="宋体" w:hAnsi="宋体" w:cs="宋体"/>
          <w:color w:val="auto"/>
          <w:spacing w:val="8"/>
          <w:szCs w:val="21"/>
          <w:highlight w:val="none"/>
          <w:u w:val="single"/>
        </w:rPr>
        <w:t xml:space="preserve">   </w:t>
      </w:r>
      <w:r>
        <w:rPr>
          <w:rFonts w:hint="eastAsia" w:ascii="宋体" w:hAnsi="宋体" w:cs="宋体"/>
          <w:color w:val="auto"/>
          <w:spacing w:val="8"/>
          <w:szCs w:val="21"/>
          <w:highlight w:val="none"/>
          <w:lang w:val="en-GB"/>
        </w:rPr>
        <w:t>，</w:t>
      </w:r>
      <w:r>
        <w:rPr>
          <w:rFonts w:hint="eastAsia" w:ascii="宋体" w:hAnsi="宋体" w:cs="宋体"/>
          <w:color w:val="auto"/>
          <w:spacing w:val="8"/>
          <w:szCs w:val="21"/>
          <w:highlight w:val="none"/>
          <w:u w:val="single"/>
          <w:lang w:val="en-GB"/>
        </w:rPr>
        <w:t>（职称）</w:t>
      </w:r>
      <w:r>
        <w:rPr>
          <w:rFonts w:hint="eastAsia" w:ascii="宋体" w:hAnsi="宋体" w:cs="宋体"/>
          <w:color w:val="auto"/>
          <w:spacing w:val="8"/>
          <w:szCs w:val="21"/>
          <w:highlight w:val="none"/>
          <w:lang w:val="en-GB"/>
        </w:rPr>
        <w:t>。</w:t>
      </w:r>
    </w:p>
    <w:p w14:paraId="069FB1EF">
      <w:pPr>
        <w:spacing w:line="360" w:lineRule="auto"/>
        <w:ind w:firstLine="420"/>
        <w:rPr>
          <w:rFonts w:ascii="宋体" w:hAnsi="宋体" w:cs="宋体"/>
          <w:color w:val="auto"/>
          <w:szCs w:val="21"/>
          <w:highlight w:val="none"/>
          <w:u w:val="single"/>
          <w:lang w:val="en-GB"/>
        </w:rPr>
      </w:pPr>
      <w:r>
        <w:rPr>
          <w:rFonts w:hint="eastAsia" w:ascii="宋体" w:hAnsi="宋体" w:cs="宋体"/>
          <w:color w:val="auto"/>
          <w:spacing w:val="8"/>
          <w:szCs w:val="21"/>
          <w:highlight w:val="none"/>
        </w:rPr>
        <w:t>3</w:t>
      </w:r>
      <w:r>
        <w:rPr>
          <w:rFonts w:hint="eastAsia" w:ascii="宋体" w:hAnsi="宋体" w:cs="宋体"/>
          <w:color w:val="auto"/>
          <w:szCs w:val="21"/>
          <w:highlight w:val="none"/>
        </w:rPr>
        <w:t>.</w:t>
      </w:r>
      <w:r>
        <w:rPr>
          <w:rFonts w:hint="eastAsia" w:ascii="宋体" w:hAnsi="宋体" w:cs="宋体"/>
          <w:color w:val="auto"/>
          <w:spacing w:val="8"/>
          <w:szCs w:val="21"/>
          <w:highlight w:val="none"/>
        </w:rPr>
        <w:t>如果贵方接受我方投标，我们保证在接到中标通知书后立即做好人员和设备进场的准备。</w:t>
      </w:r>
    </w:p>
    <w:p w14:paraId="36F6D2B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4.我方同意在从规定的递交标书之日起90个日历日内投标文件始终有效。该期限期满之前，本投标对我方将始终有约束力，并可随时被接受。</w:t>
      </w:r>
    </w:p>
    <w:p w14:paraId="0298A35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5.在合同协议书正式签署生效之前，本投标书连同你单位的中标通知书将构成我们双方之间共同遵守的文件，对双方具有约束力。</w:t>
      </w:r>
    </w:p>
    <w:p w14:paraId="2C79428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6.我方随同本投标书交纳了投标保证金。如果我方在上述投标文件有效期内撤回标书，或在收到上述中标通知后的</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天内未签署正式合同，贵方有权没收这笔保证金。</w:t>
      </w:r>
    </w:p>
    <w:p w14:paraId="0D4EF29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7.我方理解，贵方不一定接受最低标价的投标或其它任何你们可能收到的投标，同时也理解，贵方不负担我方的任何投标费用。</w:t>
      </w:r>
    </w:p>
    <w:p w14:paraId="403F019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8.下述签字人在此声明，本投标书中所提交的声明和资料在各方面都是完整、真实和准确的。</w:t>
      </w:r>
    </w:p>
    <w:p w14:paraId="263DA921">
      <w:pPr>
        <w:spacing w:line="360" w:lineRule="auto"/>
        <w:rPr>
          <w:rFonts w:ascii="Garamond" w:hAnsi="Garamond"/>
          <w:color w:val="auto"/>
          <w:szCs w:val="21"/>
          <w:highlight w:val="none"/>
        </w:rPr>
      </w:pPr>
    </w:p>
    <w:p w14:paraId="0A872C56">
      <w:pPr>
        <w:spacing w:line="360" w:lineRule="auto"/>
        <w:rPr>
          <w:rFonts w:ascii="Garamond" w:hAnsi="Garamond"/>
          <w:color w:val="auto"/>
          <w:szCs w:val="21"/>
          <w:highlight w:val="none"/>
        </w:rPr>
      </w:pPr>
    </w:p>
    <w:p w14:paraId="1E7963CD">
      <w:pPr>
        <w:wordWrap w:val="0"/>
        <w:spacing w:line="360" w:lineRule="auto"/>
        <w:jc w:val="right"/>
        <w:rPr>
          <w:rFonts w:ascii="Garamond" w:hAnsi="Garamond"/>
          <w:color w:val="auto"/>
          <w:szCs w:val="21"/>
          <w:highlight w:val="none"/>
        </w:rPr>
      </w:pPr>
      <w:r>
        <w:rPr>
          <w:rFonts w:ascii="Garamond" w:hAnsi="Garamond"/>
          <w:color w:val="auto"/>
          <w:szCs w:val="21"/>
          <w:highlight w:val="none"/>
        </w:rPr>
        <w:t>投标人：（盖单位章）</w:t>
      </w:r>
    </w:p>
    <w:p w14:paraId="3685153E">
      <w:pPr>
        <w:wordWrap w:val="0"/>
        <w:spacing w:line="360" w:lineRule="auto"/>
        <w:jc w:val="right"/>
        <w:rPr>
          <w:rFonts w:ascii="Garamond" w:hAnsi="Garamond"/>
          <w:color w:val="auto"/>
          <w:szCs w:val="21"/>
          <w:highlight w:val="none"/>
        </w:rPr>
      </w:pPr>
      <w:r>
        <w:rPr>
          <w:rFonts w:ascii="Garamond" w:hAnsi="Garamond"/>
          <w:color w:val="auto"/>
          <w:szCs w:val="21"/>
          <w:highlight w:val="none"/>
        </w:rPr>
        <w:t>法定代表人或其委托代理人：（亲笔签名）</w:t>
      </w:r>
    </w:p>
    <w:p w14:paraId="764D9B72">
      <w:pPr>
        <w:wordWrap w:val="0"/>
        <w:spacing w:line="360" w:lineRule="auto"/>
        <w:jc w:val="right"/>
        <w:rPr>
          <w:rFonts w:ascii="Garamond" w:hAnsi="Garamond"/>
          <w:color w:val="auto"/>
          <w:szCs w:val="21"/>
          <w:highlight w:val="none"/>
        </w:rPr>
      </w:pPr>
      <w:r>
        <w:rPr>
          <w:rFonts w:ascii="Garamond" w:hAnsi="Garamond"/>
          <w:color w:val="auto"/>
          <w:szCs w:val="21"/>
          <w:highlight w:val="none"/>
        </w:rPr>
        <w:t>地址：</w:t>
      </w:r>
    </w:p>
    <w:p w14:paraId="6563562D">
      <w:pPr>
        <w:wordWrap w:val="0"/>
        <w:spacing w:line="360" w:lineRule="auto"/>
        <w:jc w:val="right"/>
        <w:rPr>
          <w:rFonts w:ascii="Garamond" w:hAnsi="Garamond"/>
          <w:color w:val="auto"/>
          <w:szCs w:val="21"/>
          <w:highlight w:val="none"/>
        </w:rPr>
      </w:pPr>
      <w:r>
        <w:rPr>
          <w:rFonts w:ascii="Garamond" w:hAnsi="Garamond"/>
          <w:color w:val="auto"/>
          <w:szCs w:val="21"/>
          <w:highlight w:val="none"/>
        </w:rPr>
        <w:t>电话：</w:t>
      </w:r>
    </w:p>
    <w:p w14:paraId="661F4AD4">
      <w:pPr>
        <w:wordWrap w:val="0"/>
        <w:spacing w:line="360" w:lineRule="auto"/>
        <w:jc w:val="right"/>
        <w:rPr>
          <w:rFonts w:ascii="Garamond" w:hAnsi="Garamond"/>
          <w:color w:val="auto"/>
          <w:szCs w:val="21"/>
          <w:highlight w:val="none"/>
        </w:rPr>
      </w:pPr>
      <w:r>
        <w:rPr>
          <w:rFonts w:ascii="Garamond" w:hAnsi="Garamond"/>
          <w:color w:val="auto"/>
          <w:szCs w:val="21"/>
          <w:highlight w:val="none"/>
        </w:rPr>
        <w:t>传真：</w:t>
      </w:r>
    </w:p>
    <w:p w14:paraId="677CFDEB">
      <w:pPr>
        <w:wordWrap w:val="0"/>
        <w:spacing w:line="360" w:lineRule="auto"/>
        <w:jc w:val="right"/>
        <w:rPr>
          <w:rFonts w:ascii="Garamond" w:hAnsi="Garamond"/>
          <w:color w:val="auto"/>
          <w:szCs w:val="21"/>
          <w:highlight w:val="none"/>
        </w:rPr>
      </w:pPr>
      <w:r>
        <w:rPr>
          <w:rFonts w:ascii="Garamond" w:hAnsi="Garamond"/>
          <w:color w:val="auto"/>
          <w:szCs w:val="21"/>
          <w:highlight w:val="none"/>
        </w:rPr>
        <w:t>邮政编码：</w:t>
      </w:r>
    </w:p>
    <w:p w14:paraId="2551A2FA">
      <w:pPr>
        <w:spacing w:line="360" w:lineRule="auto"/>
        <w:ind w:firstLine="1575" w:firstLineChars="750"/>
        <w:jc w:val="right"/>
        <w:rPr>
          <w:rFonts w:ascii="Garamond" w:hAnsi="Garamond"/>
          <w:color w:val="auto"/>
          <w:szCs w:val="21"/>
          <w:highlight w:val="none"/>
        </w:rPr>
      </w:pPr>
      <w:r>
        <w:rPr>
          <w:rFonts w:ascii="Garamond" w:hAnsi="Garamond"/>
          <w:color w:val="auto"/>
          <w:szCs w:val="21"/>
          <w:highlight w:val="none"/>
        </w:rPr>
        <w:t>_______年_____月_______日</w:t>
      </w:r>
    </w:p>
    <w:p w14:paraId="7926816B">
      <w:pPr>
        <w:jc w:val="left"/>
        <w:rPr>
          <w:rFonts w:ascii="Garamond" w:hAnsi="Garamond"/>
          <w:color w:val="auto"/>
          <w:szCs w:val="21"/>
          <w:highlight w:val="none"/>
        </w:rPr>
      </w:pPr>
      <w:r>
        <w:rPr>
          <w:rFonts w:ascii="Garamond" w:hAnsi="Garamond"/>
          <w:color w:val="auto"/>
          <w:szCs w:val="21"/>
          <w:highlight w:val="none"/>
        </w:rPr>
        <w:br w:type="page"/>
      </w:r>
    </w:p>
    <w:p w14:paraId="23730C28">
      <w:pPr>
        <w:pStyle w:val="4"/>
        <w:jc w:val="center"/>
        <w:rPr>
          <w:rFonts w:ascii="Garamond" w:hAnsi="Garamond"/>
          <w:color w:val="auto"/>
          <w:sz w:val="28"/>
          <w:szCs w:val="28"/>
          <w:highlight w:val="none"/>
        </w:rPr>
      </w:pPr>
      <w:r>
        <w:rPr>
          <w:rFonts w:ascii="Garamond" w:hAnsi="Garamond"/>
          <w:color w:val="auto"/>
          <w:sz w:val="28"/>
          <w:szCs w:val="28"/>
          <w:highlight w:val="none"/>
        </w:rPr>
        <w:t>投标函附录</w:t>
      </w:r>
    </w:p>
    <w:p w14:paraId="7AB6430E">
      <w:pPr>
        <w:topLinePunct/>
        <w:spacing w:line="360" w:lineRule="auto"/>
        <w:jc w:val="left"/>
        <w:rPr>
          <w:rFonts w:ascii="宋体" w:hAnsi="宋体" w:cs="宋体"/>
          <w:color w:val="auto"/>
          <w:sz w:val="24"/>
          <w:highlight w:val="none"/>
        </w:rPr>
      </w:pPr>
      <w:r>
        <w:rPr>
          <w:rFonts w:hint="eastAsia" w:ascii="宋体" w:hAnsi="宋体" w:cs="宋体"/>
          <w:color w:val="auto"/>
          <w:sz w:val="24"/>
          <w:highlight w:val="none"/>
        </w:rPr>
        <w:t>项目名称：</w:t>
      </w:r>
    </w:p>
    <w:p w14:paraId="48D4AB1F">
      <w:pPr>
        <w:spacing w:line="19" w:lineRule="exact"/>
        <w:rPr>
          <w:rFonts w:ascii="宋体" w:hAnsi="宋体" w:cs="宋体"/>
          <w:color w:val="auto"/>
          <w:highlight w:val="none"/>
        </w:rPr>
      </w:pPr>
    </w:p>
    <w:tbl>
      <w:tblPr>
        <w:tblStyle w:val="162"/>
        <w:tblW w:w="9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2791"/>
        <w:gridCol w:w="5770"/>
      </w:tblGrid>
      <w:tr w14:paraId="5CAA7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04" w:type="dxa"/>
            <w:tcBorders>
              <w:top w:val="single" w:color="000000" w:sz="2" w:space="0"/>
              <w:bottom w:val="single" w:color="000000" w:sz="2" w:space="0"/>
            </w:tcBorders>
            <w:vAlign w:val="center"/>
          </w:tcPr>
          <w:p w14:paraId="7621902C">
            <w:pPr>
              <w:spacing w:line="360" w:lineRule="auto"/>
              <w:jc w:val="center"/>
              <w:rPr>
                <w:rFonts w:ascii="宋体" w:hAnsi="宋体" w:cs="宋体"/>
                <w:color w:val="auto"/>
                <w:szCs w:val="21"/>
                <w:highlight w:val="none"/>
              </w:rPr>
            </w:pPr>
            <w:r>
              <w:rPr>
                <w:rFonts w:ascii="宋体" w:hAnsi="宋体" w:cs="宋体"/>
                <w:color w:val="auto"/>
                <w:spacing w:val="-3"/>
                <w:szCs w:val="21"/>
                <w:highlight w:val="none"/>
              </w:rPr>
              <w:t>序</w:t>
            </w:r>
            <w:r>
              <w:rPr>
                <w:rFonts w:ascii="宋体" w:hAnsi="宋体" w:cs="宋体"/>
                <w:color w:val="auto"/>
                <w:spacing w:val="-2"/>
                <w:szCs w:val="21"/>
                <w:highlight w:val="none"/>
              </w:rPr>
              <w:t>号</w:t>
            </w:r>
          </w:p>
        </w:tc>
        <w:tc>
          <w:tcPr>
            <w:tcW w:w="2791" w:type="dxa"/>
            <w:tcBorders>
              <w:top w:val="single" w:color="000000" w:sz="2" w:space="0"/>
              <w:bottom w:val="single" w:color="000000" w:sz="2" w:space="0"/>
            </w:tcBorders>
            <w:vAlign w:val="center"/>
          </w:tcPr>
          <w:p w14:paraId="3F0D964B">
            <w:pPr>
              <w:spacing w:line="360" w:lineRule="auto"/>
              <w:jc w:val="center"/>
              <w:rPr>
                <w:rFonts w:ascii="宋体" w:hAnsi="宋体" w:cs="宋体"/>
                <w:color w:val="auto"/>
                <w:szCs w:val="21"/>
                <w:highlight w:val="none"/>
              </w:rPr>
            </w:pPr>
            <w:r>
              <w:rPr>
                <w:rFonts w:ascii="宋体" w:hAnsi="宋体" w:cs="宋体"/>
                <w:color w:val="auto"/>
                <w:spacing w:val="-3"/>
                <w:szCs w:val="21"/>
                <w:highlight w:val="none"/>
              </w:rPr>
              <w:t>事</w:t>
            </w:r>
            <w:r>
              <w:rPr>
                <w:rFonts w:ascii="宋体" w:hAnsi="宋体" w:cs="宋体"/>
                <w:color w:val="auto"/>
                <w:spacing w:val="-2"/>
                <w:szCs w:val="21"/>
                <w:highlight w:val="none"/>
              </w:rPr>
              <w:t>项</w:t>
            </w:r>
          </w:p>
        </w:tc>
        <w:tc>
          <w:tcPr>
            <w:tcW w:w="5770" w:type="dxa"/>
            <w:tcBorders>
              <w:top w:val="single" w:color="000000" w:sz="2" w:space="0"/>
              <w:bottom w:val="single" w:color="000000" w:sz="2" w:space="0"/>
            </w:tcBorders>
            <w:vAlign w:val="center"/>
          </w:tcPr>
          <w:p w14:paraId="47A53AF9">
            <w:pPr>
              <w:spacing w:line="360" w:lineRule="auto"/>
              <w:jc w:val="center"/>
              <w:rPr>
                <w:rFonts w:ascii="宋体" w:hAnsi="宋体" w:cs="宋体"/>
                <w:color w:val="auto"/>
                <w:szCs w:val="21"/>
                <w:highlight w:val="none"/>
              </w:rPr>
            </w:pPr>
            <w:r>
              <w:rPr>
                <w:rFonts w:ascii="宋体" w:hAnsi="宋体" w:cs="宋体"/>
                <w:color w:val="auto"/>
                <w:spacing w:val="-3"/>
                <w:szCs w:val="21"/>
                <w:highlight w:val="none"/>
              </w:rPr>
              <w:t>数据</w:t>
            </w:r>
          </w:p>
        </w:tc>
      </w:tr>
      <w:tr w14:paraId="2097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04" w:type="dxa"/>
            <w:tcBorders>
              <w:top w:val="single" w:color="000000" w:sz="2" w:space="0"/>
              <w:bottom w:val="single" w:color="000000" w:sz="2" w:space="0"/>
            </w:tcBorders>
            <w:vAlign w:val="center"/>
          </w:tcPr>
          <w:p w14:paraId="564A64E2">
            <w:pPr>
              <w:spacing w:line="360" w:lineRule="auto"/>
              <w:jc w:val="center"/>
              <w:rPr>
                <w:rFonts w:ascii="宋体" w:hAnsi="宋体" w:cs="宋体"/>
                <w:color w:val="auto"/>
                <w:szCs w:val="21"/>
                <w:highlight w:val="none"/>
              </w:rPr>
            </w:pPr>
            <w:r>
              <w:rPr>
                <w:rFonts w:ascii="宋体" w:hAnsi="宋体" w:cs="宋体"/>
                <w:color w:val="auto"/>
                <w:szCs w:val="21"/>
                <w:highlight w:val="none"/>
              </w:rPr>
              <w:t>1</w:t>
            </w:r>
          </w:p>
        </w:tc>
        <w:tc>
          <w:tcPr>
            <w:tcW w:w="2791" w:type="dxa"/>
            <w:tcBorders>
              <w:top w:val="single" w:color="000000" w:sz="2" w:space="0"/>
              <w:bottom w:val="single" w:color="000000" w:sz="2" w:space="0"/>
            </w:tcBorders>
            <w:vAlign w:val="center"/>
          </w:tcPr>
          <w:p w14:paraId="3D366688">
            <w:pPr>
              <w:spacing w:line="360" w:lineRule="auto"/>
              <w:jc w:val="center"/>
              <w:rPr>
                <w:rFonts w:ascii="宋体" w:hAnsi="宋体" w:cs="宋体"/>
                <w:color w:val="auto"/>
                <w:szCs w:val="21"/>
                <w:highlight w:val="none"/>
              </w:rPr>
            </w:pPr>
            <w:r>
              <w:rPr>
                <w:rFonts w:ascii="宋体" w:hAnsi="宋体" w:cs="宋体"/>
                <w:color w:val="auto"/>
                <w:spacing w:val="-2"/>
                <w:szCs w:val="21"/>
                <w:highlight w:val="none"/>
              </w:rPr>
              <w:t>投标保证</w:t>
            </w:r>
            <w:r>
              <w:rPr>
                <w:rFonts w:ascii="宋体" w:hAnsi="宋体" w:cs="宋体"/>
                <w:color w:val="auto"/>
                <w:spacing w:val="-1"/>
                <w:szCs w:val="21"/>
                <w:highlight w:val="none"/>
              </w:rPr>
              <w:t>金金额</w:t>
            </w:r>
          </w:p>
        </w:tc>
        <w:tc>
          <w:tcPr>
            <w:tcW w:w="5770" w:type="dxa"/>
            <w:tcBorders>
              <w:top w:val="single" w:color="000000" w:sz="2" w:space="0"/>
              <w:bottom w:val="single" w:color="000000" w:sz="2" w:space="0"/>
            </w:tcBorders>
            <w:vAlign w:val="center"/>
          </w:tcPr>
          <w:p w14:paraId="04C94F38">
            <w:pPr>
              <w:spacing w:line="360" w:lineRule="auto"/>
              <w:ind w:left="105" w:leftChars="50" w:right="105" w:rightChars="50"/>
              <w:rPr>
                <w:rFonts w:ascii="宋体" w:hAnsi="宋体" w:cs="宋体"/>
                <w:color w:val="auto"/>
                <w:szCs w:val="21"/>
                <w:highlight w:val="none"/>
              </w:rPr>
            </w:pPr>
            <w:r>
              <w:rPr>
                <w:rFonts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ascii="宋体" w:hAnsi="宋体" w:cs="宋体"/>
                <w:color w:val="auto"/>
                <w:szCs w:val="21"/>
                <w:highlight w:val="none"/>
              </w:rPr>
              <w:t>万元</w:t>
            </w:r>
          </w:p>
        </w:tc>
      </w:tr>
      <w:tr w14:paraId="5A0B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804" w:type="dxa"/>
            <w:tcBorders>
              <w:top w:val="single" w:color="000000" w:sz="2" w:space="0"/>
              <w:bottom w:val="single" w:color="000000" w:sz="2" w:space="0"/>
            </w:tcBorders>
            <w:vAlign w:val="center"/>
          </w:tcPr>
          <w:p w14:paraId="00B78F41">
            <w:pPr>
              <w:spacing w:line="360" w:lineRule="auto"/>
              <w:jc w:val="center"/>
              <w:rPr>
                <w:rFonts w:ascii="宋体" w:hAnsi="宋体" w:cs="宋体"/>
                <w:color w:val="auto"/>
                <w:szCs w:val="21"/>
                <w:highlight w:val="none"/>
              </w:rPr>
            </w:pPr>
            <w:r>
              <w:rPr>
                <w:rFonts w:ascii="宋体" w:hAnsi="宋体" w:cs="宋体"/>
                <w:color w:val="auto"/>
                <w:szCs w:val="21"/>
                <w:highlight w:val="none"/>
              </w:rPr>
              <w:t>2</w:t>
            </w:r>
          </w:p>
        </w:tc>
        <w:tc>
          <w:tcPr>
            <w:tcW w:w="2791" w:type="dxa"/>
            <w:tcBorders>
              <w:top w:val="single" w:color="000000" w:sz="2" w:space="0"/>
              <w:bottom w:val="single" w:color="000000" w:sz="2" w:space="0"/>
            </w:tcBorders>
            <w:vAlign w:val="center"/>
          </w:tcPr>
          <w:p w14:paraId="0954600A">
            <w:pPr>
              <w:spacing w:line="360" w:lineRule="auto"/>
              <w:jc w:val="center"/>
              <w:rPr>
                <w:rFonts w:ascii="宋体" w:hAnsi="宋体" w:cs="宋体"/>
                <w:color w:val="auto"/>
                <w:szCs w:val="21"/>
                <w:highlight w:val="none"/>
              </w:rPr>
            </w:pPr>
            <w:r>
              <w:rPr>
                <w:rFonts w:ascii="宋体" w:hAnsi="宋体" w:cs="宋体"/>
                <w:color w:val="auto"/>
                <w:spacing w:val="-2"/>
                <w:szCs w:val="21"/>
                <w:highlight w:val="none"/>
              </w:rPr>
              <w:t>履约担保的</w:t>
            </w:r>
            <w:r>
              <w:rPr>
                <w:rFonts w:ascii="宋体" w:hAnsi="宋体" w:cs="宋体"/>
                <w:color w:val="auto"/>
                <w:spacing w:val="-1"/>
                <w:szCs w:val="21"/>
                <w:highlight w:val="none"/>
              </w:rPr>
              <w:t>金额</w:t>
            </w:r>
          </w:p>
        </w:tc>
        <w:tc>
          <w:tcPr>
            <w:tcW w:w="5770" w:type="dxa"/>
            <w:tcBorders>
              <w:top w:val="single" w:color="000000" w:sz="2" w:space="0"/>
              <w:bottom w:val="single" w:color="000000" w:sz="2" w:space="0"/>
            </w:tcBorders>
            <w:vAlign w:val="center"/>
          </w:tcPr>
          <w:p w14:paraId="7E278F74">
            <w:pPr>
              <w:spacing w:line="360" w:lineRule="auto"/>
              <w:ind w:left="105" w:leftChars="50" w:right="105" w:rightChars="50"/>
              <w:rPr>
                <w:rFonts w:ascii="宋体" w:hAnsi="宋体" w:cs="宋体"/>
                <w:color w:val="auto"/>
                <w:szCs w:val="21"/>
                <w:highlight w:val="none"/>
              </w:rPr>
            </w:pPr>
            <w:r>
              <w:rPr>
                <w:rFonts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ascii="宋体" w:hAnsi="宋体" w:cs="宋体"/>
                <w:color w:val="auto"/>
                <w:szCs w:val="21"/>
                <w:highlight w:val="none"/>
              </w:rPr>
              <w:t>万元</w:t>
            </w:r>
          </w:p>
        </w:tc>
      </w:tr>
      <w:tr w14:paraId="5F05B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804" w:type="dxa"/>
            <w:tcBorders>
              <w:top w:val="single" w:color="000000" w:sz="2" w:space="0"/>
              <w:bottom w:val="single" w:color="000000" w:sz="2" w:space="0"/>
            </w:tcBorders>
            <w:vAlign w:val="center"/>
          </w:tcPr>
          <w:p w14:paraId="3DA17782">
            <w:pPr>
              <w:spacing w:line="360" w:lineRule="auto"/>
              <w:jc w:val="center"/>
              <w:rPr>
                <w:rFonts w:ascii="宋体" w:hAnsi="宋体" w:cs="宋体"/>
                <w:color w:val="auto"/>
                <w:szCs w:val="21"/>
                <w:highlight w:val="none"/>
              </w:rPr>
            </w:pPr>
          </w:p>
          <w:p w14:paraId="48EB2BBD">
            <w:pPr>
              <w:spacing w:line="360" w:lineRule="auto"/>
              <w:jc w:val="center"/>
              <w:rPr>
                <w:rFonts w:ascii="宋体" w:hAnsi="宋体" w:cs="宋体"/>
                <w:color w:val="auto"/>
                <w:szCs w:val="21"/>
                <w:highlight w:val="none"/>
              </w:rPr>
            </w:pPr>
            <w:r>
              <w:rPr>
                <w:rFonts w:ascii="宋体" w:hAnsi="宋体" w:cs="宋体"/>
                <w:color w:val="auto"/>
                <w:szCs w:val="21"/>
                <w:highlight w:val="none"/>
              </w:rPr>
              <w:t>3</w:t>
            </w:r>
          </w:p>
        </w:tc>
        <w:tc>
          <w:tcPr>
            <w:tcW w:w="2791" w:type="dxa"/>
            <w:tcBorders>
              <w:top w:val="single" w:color="000000" w:sz="2" w:space="0"/>
              <w:bottom w:val="single" w:color="000000" w:sz="2" w:space="0"/>
            </w:tcBorders>
            <w:vAlign w:val="center"/>
          </w:tcPr>
          <w:p w14:paraId="2C89EFEA">
            <w:pPr>
              <w:spacing w:line="360" w:lineRule="auto"/>
              <w:ind w:left="105" w:leftChars="50" w:right="105" w:rightChars="50"/>
              <w:jc w:val="center"/>
              <w:rPr>
                <w:rFonts w:ascii="宋体" w:hAnsi="宋体" w:cs="宋体"/>
                <w:color w:val="auto"/>
                <w:szCs w:val="21"/>
                <w:highlight w:val="none"/>
              </w:rPr>
            </w:pPr>
            <w:r>
              <w:rPr>
                <w:rFonts w:ascii="宋体" w:hAnsi="宋体" w:cs="宋体"/>
                <w:color w:val="auto"/>
                <w:szCs w:val="21"/>
                <w:highlight w:val="none"/>
              </w:rPr>
              <w:t>服务期</w:t>
            </w:r>
          </w:p>
        </w:tc>
        <w:tc>
          <w:tcPr>
            <w:tcW w:w="5770" w:type="dxa"/>
            <w:tcBorders>
              <w:top w:val="single" w:color="000000" w:sz="2" w:space="0"/>
              <w:bottom w:val="single" w:color="000000" w:sz="2" w:space="0"/>
            </w:tcBorders>
            <w:vAlign w:val="center"/>
          </w:tcPr>
          <w:p w14:paraId="17140BB1">
            <w:pPr>
              <w:spacing w:line="360" w:lineRule="auto"/>
              <w:ind w:left="105" w:leftChars="50" w:right="105" w:rightChars="50"/>
              <w:rPr>
                <w:rFonts w:ascii="宋体" w:hAnsi="宋体" w:cs="宋体"/>
                <w:color w:val="auto"/>
                <w:szCs w:val="21"/>
                <w:highlight w:val="none"/>
              </w:rPr>
            </w:pPr>
            <w:r>
              <w:rPr>
                <w:rFonts w:hint="eastAsia" w:ascii="Garamond" w:hAnsi="Garamond"/>
                <w:color w:val="auto"/>
                <w:szCs w:val="21"/>
                <w:highlight w:val="none"/>
                <w:u w:val="single"/>
                <w:lang w:val="en-US" w:eastAsia="zh-CN"/>
              </w:rPr>
              <w:t xml:space="preserve">       </w:t>
            </w:r>
            <w:r>
              <w:rPr>
                <w:rFonts w:hint="eastAsia" w:ascii="Garamond" w:hAnsi="Garamond"/>
                <w:color w:val="auto"/>
                <w:szCs w:val="21"/>
                <w:highlight w:val="none"/>
              </w:rPr>
              <w:t>。</w:t>
            </w:r>
          </w:p>
        </w:tc>
      </w:tr>
      <w:tr w14:paraId="2EE8A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04" w:type="dxa"/>
            <w:tcBorders>
              <w:top w:val="single" w:color="000000" w:sz="2" w:space="0"/>
              <w:bottom w:val="single" w:color="000000" w:sz="2" w:space="0"/>
            </w:tcBorders>
            <w:vAlign w:val="center"/>
          </w:tcPr>
          <w:p w14:paraId="1BEC0A2C">
            <w:pPr>
              <w:spacing w:line="360" w:lineRule="auto"/>
              <w:jc w:val="center"/>
              <w:rPr>
                <w:rFonts w:ascii="宋体" w:hAnsi="宋体" w:cs="宋体"/>
                <w:color w:val="auto"/>
                <w:szCs w:val="21"/>
                <w:highlight w:val="none"/>
              </w:rPr>
            </w:pPr>
            <w:r>
              <w:rPr>
                <w:rFonts w:ascii="宋体" w:hAnsi="宋体" w:cs="宋体"/>
                <w:color w:val="auto"/>
                <w:szCs w:val="21"/>
                <w:highlight w:val="none"/>
              </w:rPr>
              <w:t>4</w:t>
            </w:r>
          </w:p>
        </w:tc>
        <w:tc>
          <w:tcPr>
            <w:tcW w:w="2791" w:type="dxa"/>
            <w:tcBorders>
              <w:top w:val="single" w:color="000000" w:sz="2" w:space="0"/>
              <w:bottom w:val="single" w:color="000000" w:sz="2" w:space="0"/>
            </w:tcBorders>
            <w:vAlign w:val="center"/>
          </w:tcPr>
          <w:p w14:paraId="422FD3C6">
            <w:pPr>
              <w:spacing w:line="360" w:lineRule="auto"/>
              <w:ind w:left="105" w:leftChars="50" w:right="105" w:rightChars="50"/>
              <w:jc w:val="center"/>
              <w:rPr>
                <w:rFonts w:ascii="宋体" w:hAnsi="宋体" w:cs="宋体"/>
                <w:color w:val="auto"/>
                <w:szCs w:val="21"/>
                <w:highlight w:val="none"/>
              </w:rPr>
            </w:pPr>
            <w:r>
              <w:rPr>
                <w:rFonts w:ascii="宋体" w:hAnsi="宋体" w:cs="宋体"/>
                <w:color w:val="auto"/>
                <w:szCs w:val="21"/>
                <w:highlight w:val="none"/>
              </w:rPr>
              <w:t>预付款</w:t>
            </w:r>
          </w:p>
        </w:tc>
        <w:tc>
          <w:tcPr>
            <w:tcW w:w="5770" w:type="dxa"/>
            <w:tcBorders>
              <w:top w:val="single" w:color="000000" w:sz="2" w:space="0"/>
              <w:bottom w:val="single" w:color="000000" w:sz="2" w:space="0"/>
            </w:tcBorders>
            <w:vAlign w:val="center"/>
          </w:tcPr>
          <w:p w14:paraId="5220DDCB">
            <w:pPr>
              <w:spacing w:line="360" w:lineRule="auto"/>
              <w:ind w:left="105" w:leftChars="50" w:right="105" w:rightChars="50"/>
              <w:rPr>
                <w:rFonts w:ascii="宋体" w:hAnsi="宋体" w:cs="宋体"/>
                <w:color w:val="auto"/>
                <w:szCs w:val="21"/>
                <w:highlight w:val="none"/>
              </w:rPr>
            </w:pPr>
            <w:r>
              <w:rPr>
                <w:rFonts w:ascii="宋体" w:hAnsi="宋体" w:cs="宋体"/>
                <w:color w:val="auto"/>
                <w:szCs w:val="21"/>
                <w:highlight w:val="none"/>
              </w:rPr>
              <w:t>无</w:t>
            </w:r>
          </w:p>
        </w:tc>
      </w:tr>
      <w:tr w14:paraId="0892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804" w:type="dxa"/>
            <w:tcBorders>
              <w:top w:val="single" w:color="000000" w:sz="2" w:space="0"/>
              <w:bottom w:val="single" w:color="000000" w:sz="2" w:space="0"/>
            </w:tcBorders>
            <w:vAlign w:val="center"/>
          </w:tcPr>
          <w:p w14:paraId="3AABAE5D">
            <w:pPr>
              <w:spacing w:line="360" w:lineRule="auto"/>
              <w:jc w:val="center"/>
              <w:rPr>
                <w:rFonts w:ascii="宋体" w:hAnsi="宋体" w:cs="宋体"/>
                <w:color w:val="auto"/>
                <w:szCs w:val="21"/>
                <w:highlight w:val="none"/>
              </w:rPr>
            </w:pPr>
            <w:r>
              <w:rPr>
                <w:rFonts w:ascii="宋体" w:hAnsi="宋体" w:cs="宋体"/>
                <w:color w:val="auto"/>
                <w:szCs w:val="21"/>
                <w:highlight w:val="none"/>
              </w:rPr>
              <w:t>5</w:t>
            </w:r>
          </w:p>
        </w:tc>
        <w:tc>
          <w:tcPr>
            <w:tcW w:w="2791" w:type="dxa"/>
            <w:tcBorders>
              <w:top w:val="single" w:color="000000" w:sz="2" w:space="0"/>
              <w:bottom w:val="single" w:color="000000" w:sz="2" w:space="0"/>
            </w:tcBorders>
            <w:vAlign w:val="center"/>
          </w:tcPr>
          <w:p w14:paraId="00937D30">
            <w:pPr>
              <w:spacing w:line="360" w:lineRule="auto"/>
              <w:ind w:left="105" w:leftChars="50" w:right="105" w:rightChars="50"/>
              <w:jc w:val="center"/>
              <w:rPr>
                <w:rFonts w:ascii="宋体" w:hAnsi="宋体" w:cs="宋体"/>
                <w:color w:val="auto"/>
                <w:szCs w:val="21"/>
                <w:highlight w:val="none"/>
              </w:rPr>
            </w:pPr>
            <w:r>
              <w:rPr>
                <w:rFonts w:ascii="宋体" w:hAnsi="宋体" w:cs="宋体"/>
                <w:color w:val="auto"/>
                <w:szCs w:val="21"/>
                <w:highlight w:val="none"/>
              </w:rPr>
              <w:t>账目货币</w:t>
            </w:r>
          </w:p>
        </w:tc>
        <w:tc>
          <w:tcPr>
            <w:tcW w:w="5770" w:type="dxa"/>
            <w:tcBorders>
              <w:top w:val="single" w:color="000000" w:sz="2" w:space="0"/>
              <w:bottom w:val="single" w:color="000000" w:sz="2" w:space="0"/>
            </w:tcBorders>
            <w:vAlign w:val="center"/>
          </w:tcPr>
          <w:p w14:paraId="730E395D">
            <w:pPr>
              <w:spacing w:line="360" w:lineRule="auto"/>
              <w:ind w:left="105" w:leftChars="50" w:right="105" w:rightChars="50"/>
              <w:rPr>
                <w:rFonts w:ascii="宋体" w:hAnsi="宋体" w:cs="宋体"/>
                <w:color w:val="auto"/>
                <w:szCs w:val="21"/>
                <w:highlight w:val="none"/>
              </w:rPr>
            </w:pPr>
            <w:r>
              <w:rPr>
                <w:rFonts w:ascii="宋体" w:hAnsi="宋体" w:cs="宋体"/>
                <w:color w:val="auto"/>
                <w:szCs w:val="21"/>
                <w:highlight w:val="none"/>
              </w:rPr>
              <w:t>人民币</w:t>
            </w:r>
          </w:p>
        </w:tc>
      </w:tr>
      <w:tr w14:paraId="6C6FB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04" w:type="dxa"/>
            <w:tcBorders>
              <w:top w:val="single" w:color="000000" w:sz="2" w:space="0"/>
              <w:bottom w:val="single" w:color="000000" w:sz="2" w:space="0"/>
            </w:tcBorders>
            <w:vAlign w:val="center"/>
          </w:tcPr>
          <w:p w14:paraId="76A33987">
            <w:pPr>
              <w:spacing w:line="360" w:lineRule="auto"/>
              <w:jc w:val="center"/>
              <w:rPr>
                <w:rFonts w:ascii="宋体" w:hAnsi="宋体" w:cs="宋体"/>
                <w:color w:val="auto"/>
                <w:szCs w:val="21"/>
                <w:highlight w:val="none"/>
              </w:rPr>
            </w:pPr>
            <w:r>
              <w:rPr>
                <w:rFonts w:ascii="宋体" w:hAnsi="宋体" w:cs="宋体"/>
                <w:color w:val="auto"/>
                <w:szCs w:val="21"/>
                <w:highlight w:val="none"/>
              </w:rPr>
              <w:t>6</w:t>
            </w:r>
          </w:p>
        </w:tc>
        <w:tc>
          <w:tcPr>
            <w:tcW w:w="2791" w:type="dxa"/>
            <w:tcBorders>
              <w:top w:val="single" w:color="000000" w:sz="2" w:space="0"/>
              <w:bottom w:val="single" w:color="000000" w:sz="2" w:space="0"/>
            </w:tcBorders>
            <w:vAlign w:val="center"/>
          </w:tcPr>
          <w:p w14:paraId="15361F16">
            <w:pPr>
              <w:spacing w:line="360" w:lineRule="auto"/>
              <w:ind w:left="105" w:leftChars="50" w:right="105" w:rightChars="50"/>
              <w:jc w:val="center"/>
              <w:rPr>
                <w:rFonts w:ascii="宋体" w:hAnsi="宋体" w:cs="宋体"/>
                <w:color w:val="auto"/>
                <w:szCs w:val="21"/>
                <w:highlight w:val="none"/>
              </w:rPr>
            </w:pPr>
            <w:r>
              <w:rPr>
                <w:rFonts w:ascii="宋体" w:hAnsi="宋体" w:cs="宋体"/>
                <w:color w:val="auto"/>
                <w:szCs w:val="21"/>
                <w:highlight w:val="none"/>
              </w:rPr>
              <w:t>委托人未支付金额的利率</w:t>
            </w:r>
          </w:p>
        </w:tc>
        <w:tc>
          <w:tcPr>
            <w:tcW w:w="5770" w:type="dxa"/>
            <w:tcBorders>
              <w:top w:val="single" w:color="000000" w:sz="2" w:space="0"/>
              <w:bottom w:val="single" w:color="000000" w:sz="2" w:space="0"/>
            </w:tcBorders>
            <w:vAlign w:val="center"/>
          </w:tcPr>
          <w:p w14:paraId="53BE3390">
            <w:pPr>
              <w:spacing w:line="360" w:lineRule="auto"/>
              <w:ind w:left="105" w:leftChars="50" w:right="105" w:rightChars="50"/>
              <w:rPr>
                <w:rFonts w:ascii="宋体" w:hAnsi="宋体" w:cs="宋体"/>
                <w:color w:val="auto"/>
                <w:szCs w:val="21"/>
                <w:highlight w:val="none"/>
              </w:rPr>
            </w:pPr>
            <w:r>
              <w:rPr>
                <w:rFonts w:ascii="宋体" w:hAnsi="宋体" w:cs="宋体"/>
                <w:color w:val="auto"/>
                <w:szCs w:val="21"/>
                <w:highlight w:val="none"/>
              </w:rPr>
              <w:t>人民银行同期贷款利率</w:t>
            </w:r>
          </w:p>
        </w:tc>
      </w:tr>
    </w:tbl>
    <w:p w14:paraId="619B4DB4">
      <w:pPr>
        <w:spacing w:line="243" w:lineRule="auto"/>
        <w:rPr>
          <w:rFonts w:ascii="宋体" w:hAnsi="宋体" w:cs="宋体"/>
          <w:color w:val="auto"/>
          <w:highlight w:val="none"/>
        </w:rPr>
      </w:pPr>
    </w:p>
    <w:p w14:paraId="35062454">
      <w:pPr>
        <w:spacing w:line="243" w:lineRule="auto"/>
        <w:rPr>
          <w:rFonts w:ascii="宋体" w:hAnsi="宋体" w:cs="宋体"/>
          <w:color w:val="auto"/>
          <w:highlight w:val="none"/>
        </w:rPr>
      </w:pPr>
    </w:p>
    <w:p w14:paraId="40781D97">
      <w:pPr>
        <w:spacing w:line="244" w:lineRule="auto"/>
        <w:rPr>
          <w:rFonts w:ascii="宋体" w:hAnsi="宋体" w:cs="宋体"/>
          <w:color w:val="auto"/>
          <w:highlight w:val="none"/>
        </w:rPr>
      </w:pPr>
    </w:p>
    <w:p w14:paraId="7E2323B9">
      <w:pPr>
        <w:topLinePunct/>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投标人(盖单位公章或电子章)：</w:t>
      </w:r>
    </w:p>
    <w:p w14:paraId="616C4843">
      <w:pPr>
        <w:spacing w:line="360" w:lineRule="auto"/>
        <w:ind w:right="960"/>
        <w:rPr>
          <w:rFonts w:ascii="宋体" w:hAnsi="宋体" w:cs="宋体"/>
          <w:color w:val="auto"/>
          <w:szCs w:val="21"/>
          <w:highlight w:val="none"/>
        </w:rPr>
      </w:pPr>
      <w:r>
        <w:rPr>
          <w:rFonts w:hint="eastAsia" w:ascii="宋体" w:hAnsi="宋体" w:cs="宋体"/>
          <w:color w:val="auto"/>
          <w:szCs w:val="21"/>
          <w:highlight w:val="none"/>
        </w:rPr>
        <w:t>法定代表人(或其委托代理人)（签名）：</w:t>
      </w:r>
    </w:p>
    <w:p w14:paraId="5EC90AEE">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年   月   日</w:t>
      </w:r>
    </w:p>
    <w:p w14:paraId="4072A558">
      <w:pPr>
        <w:pStyle w:val="16"/>
        <w:rPr>
          <w:color w:val="auto"/>
          <w:highlight w:val="none"/>
        </w:rPr>
      </w:pPr>
    </w:p>
    <w:p w14:paraId="4A025733">
      <w:pPr>
        <w:spacing w:line="360" w:lineRule="auto"/>
        <w:ind w:firstLine="1575" w:firstLineChars="750"/>
        <w:jc w:val="right"/>
        <w:rPr>
          <w:rFonts w:ascii="Garamond" w:hAnsi="Garamond"/>
          <w:color w:val="auto"/>
          <w:szCs w:val="21"/>
          <w:highlight w:val="none"/>
        </w:rPr>
      </w:pPr>
    </w:p>
    <w:p w14:paraId="0ADE3044">
      <w:pPr>
        <w:spacing w:line="360" w:lineRule="auto"/>
        <w:ind w:firstLine="1575" w:firstLineChars="750"/>
        <w:jc w:val="right"/>
        <w:rPr>
          <w:rFonts w:ascii="Garamond" w:hAnsi="Garamond"/>
          <w:color w:val="auto"/>
          <w:szCs w:val="21"/>
          <w:highlight w:val="none"/>
        </w:rPr>
        <w:sectPr>
          <w:pgSz w:w="11906" w:h="16838"/>
          <w:pgMar w:top="1417" w:right="1247" w:bottom="1417" w:left="1417" w:header="851" w:footer="680" w:gutter="0"/>
          <w:pgNumType w:fmt="decimalFullWidth"/>
          <w:cols w:space="0" w:num="1"/>
          <w:docGrid w:linePitch="312" w:charSpace="0"/>
        </w:sectPr>
      </w:pPr>
    </w:p>
    <w:p w14:paraId="3D2035C2">
      <w:pPr>
        <w:pStyle w:val="4"/>
        <w:jc w:val="center"/>
        <w:rPr>
          <w:rFonts w:ascii="Garamond" w:hAnsi="Garamond"/>
          <w:color w:val="auto"/>
          <w:sz w:val="28"/>
          <w:szCs w:val="28"/>
          <w:highlight w:val="none"/>
        </w:rPr>
      </w:pPr>
      <w:r>
        <w:rPr>
          <w:rFonts w:ascii="Garamond" w:hAnsi="Garamond"/>
          <w:color w:val="auto"/>
          <w:sz w:val="28"/>
          <w:szCs w:val="28"/>
          <w:highlight w:val="none"/>
        </w:rPr>
        <w:t>二、法定代表人身份证明及授权委托书</w:t>
      </w:r>
    </w:p>
    <w:p w14:paraId="6301A98A">
      <w:pPr>
        <w:spacing w:line="360" w:lineRule="auto"/>
        <w:jc w:val="center"/>
        <w:rPr>
          <w:rFonts w:ascii="Garamond" w:hAnsi="Garamond"/>
          <w:b/>
          <w:color w:val="auto"/>
          <w:sz w:val="24"/>
          <w:highlight w:val="none"/>
        </w:rPr>
      </w:pPr>
      <w:r>
        <w:rPr>
          <w:rFonts w:ascii="Garamond" w:hAnsi="Garamond"/>
          <w:b/>
          <w:color w:val="auto"/>
          <w:sz w:val="24"/>
          <w:highlight w:val="none"/>
        </w:rPr>
        <w:t>（一）法定代表人身份证明</w:t>
      </w:r>
    </w:p>
    <w:p w14:paraId="246C31B8">
      <w:pPr>
        <w:spacing w:line="340" w:lineRule="exact"/>
        <w:jc w:val="right"/>
        <w:rPr>
          <w:rFonts w:ascii="Garamond" w:hAnsi="Garamond"/>
          <w:color w:val="auto"/>
          <w:sz w:val="24"/>
          <w:highlight w:val="none"/>
        </w:rPr>
      </w:pPr>
    </w:p>
    <w:p w14:paraId="31FEF424">
      <w:pPr>
        <w:spacing w:line="360" w:lineRule="auto"/>
        <w:rPr>
          <w:rFonts w:ascii="Garamond" w:hAnsi="Garamond"/>
          <w:color w:val="auto"/>
          <w:szCs w:val="21"/>
          <w:highlight w:val="none"/>
        </w:rPr>
      </w:pPr>
      <w:r>
        <w:rPr>
          <w:rFonts w:ascii="Garamond" w:hAnsi="Garamond"/>
          <w:color w:val="auto"/>
          <w:szCs w:val="21"/>
          <w:highlight w:val="none"/>
        </w:rPr>
        <w:t>投标人名称：_____________________</w:t>
      </w:r>
    </w:p>
    <w:p w14:paraId="62F183EC">
      <w:pPr>
        <w:spacing w:line="360" w:lineRule="auto"/>
        <w:rPr>
          <w:rFonts w:ascii="Garamond" w:hAnsi="Garamond"/>
          <w:color w:val="auto"/>
          <w:szCs w:val="21"/>
          <w:highlight w:val="none"/>
        </w:rPr>
      </w:pPr>
      <w:r>
        <w:rPr>
          <w:rFonts w:ascii="Garamond" w:hAnsi="Garamond"/>
          <w:color w:val="auto"/>
          <w:szCs w:val="21"/>
          <w:highlight w:val="none"/>
        </w:rPr>
        <w:t>单位性质：_______________________</w:t>
      </w:r>
    </w:p>
    <w:p w14:paraId="1BFAEF0C">
      <w:pPr>
        <w:spacing w:line="360" w:lineRule="auto"/>
        <w:rPr>
          <w:rFonts w:ascii="Garamond" w:hAnsi="Garamond"/>
          <w:color w:val="auto"/>
          <w:szCs w:val="21"/>
          <w:highlight w:val="none"/>
        </w:rPr>
      </w:pPr>
      <w:r>
        <w:rPr>
          <w:rFonts w:ascii="Garamond" w:hAnsi="Garamond"/>
          <w:color w:val="auto"/>
          <w:szCs w:val="21"/>
          <w:highlight w:val="none"/>
        </w:rPr>
        <w:t>地    址：_______________________</w:t>
      </w:r>
    </w:p>
    <w:p w14:paraId="5C8996F1">
      <w:pPr>
        <w:spacing w:line="360" w:lineRule="auto"/>
        <w:rPr>
          <w:rFonts w:ascii="Garamond" w:hAnsi="Garamond"/>
          <w:color w:val="auto"/>
          <w:szCs w:val="21"/>
          <w:highlight w:val="none"/>
        </w:rPr>
      </w:pPr>
      <w:r>
        <w:rPr>
          <w:rFonts w:ascii="Garamond" w:hAnsi="Garamond"/>
          <w:color w:val="auto"/>
          <w:szCs w:val="21"/>
          <w:highlight w:val="none"/>
        </w:rPr>
        <w:t>成立时间:____年___月___日</w:t>
      </w:r>
    </w:p>
    <w:p w14:paraId="03945E7F">
      <w:pPr>
        <w:spacing w:line="360" w:lineRule="auto"/>
        <w:rPr>
          <w:rFonts w:ascii="Garamond" w:hAnsi="Garamond"/>
          <w:color w:val="auto"/>
          <w:szCs w:val="21"/>
          <w:highlight w:val="none"/>
        </w:rPr>
      </w:pPr>
      <w:r>
        <w:rPr>
          <w:rFonts w:ascii="Garamond" w:hAnsi="Garamond"/>
          <w:color w:val="auto"/>
          <w:szCs w:val="21"/>
          <w:highlight w:val="none"/>
        </w:rPr>
        <w:t>经营期限：_______________________</w:t>
      </w:r>
    </w:p>
    <w:p w14:paraId="161AE049">
      <w:pPr>
        <w:spacing w:line="360" w:lineRule="auto"/>
        <w:rPr>
          <w:rFonts w:ascii="Garamond" w:hAnsi="Garamond"/>
          <w:color w:val="auto"/>
          <w:szCs w:val="21"/>
          <w:highlight w:val="none"/>
        </w:rPr>
      </w:pPr>
    </w:p>
    <w:p w14:paraId="4CBA859A">
      <w:pPr>
        <w:spacing w:line="360" w:lineRule="auto"/>
        <w:ind w:firstLine="420" w:firstLineChars="200"/>
        <w:rPr>
          <w:rFonts w:ascii="Garamond" w:hAnsi="Garamond"/>
          <w:color w:val="auto"/>
          <w:szCs w:val="21"/>
          <w:highlight w:val="none"/>
        </w:rPr>
      </w:pPr>
      <w:r>
        <w:rPr>
          <w:rFonts w:ascii="Garamond" w:hAnsi="Garamond"/>
          <w:color w:val="auto"/>
          <w:szCs w:val="21"/>
          <w:highlight w:val="none"/>
        </w:rPr>
        <w:t>姓名：</w:t>
      </w:r>
      <w:r>
        <w:rPr>
          <w:rFonts w:ascii="Garamond" w:hAnsi="Garamond"/>
          <w:color w:val="auto"/>
          <w:szCs w:val="21"/>
          <w:highlight w:val="none"/>
          <w:u w:val="single"/>
        </w:rPr>
        <w:t xml:space="preserve">  （法定代表人签名）     </w:t>
      </w:r>
      <w:r>
        <w:rPr>
          <w:rFonts w:ascii="Garamond" w:hAnsi="Garamond"/>
          <w:color w:val="auto"/>
          <w:szCs w:val="21"/>
          <w:highlight w:val="none"/>
        </w:rPr>
        <w:t>性别：____年龄：_____职务：_____系_________（投标人名称）的法定代表人。</w:t>
      </w:r>
    </w:p>
    <w:p w14:paraId="3E3317DE">
      <w:pPr>
        <w:topLinePunct/>
        <w:rPr>
          <w:rFonts w:ascii="Garamond" w:hAnsi="Garamond"/>
          <w:color w:val="auto"/>
          <w:highlight w:val="none"/>
        </w:rPr>
      </w:pPr>
      <w:r>
        <w:rPr>
          <w:rFonts w:ascii="Garamond" w:hAnsi="Garamond" w:cs="宋体"/>
          <w:color w:val="auto"/>
          <w:highlight w:val="none"/>
        </w:rPr>
        <w:t>附：</w:t>
      </w:r>
      <w:r>
        <w:rPr>
          <w:rFonts w:ascii="Garamond" w:hAnsi="Garamond"/>
          <w:b/>
          <w:bCs/>
          <w:color w:val="auto"/>
          <w:highlight w:val="none"/>
        </w:rPr>
        <w:t>法定代表人身份证</w:t>
      </w:r>
      <w:r>
        <w:rPr>
          <w:rFonts w:ascii="Garamond" w:hAnsi="Garamond"/>
          <w:b/>
          <w:color w:val="auto"/>
          <w:highlight w:val="none"/>
        </w:rPr>
        <w:t>彩色复印件或彩色扫描件</w:t>
      </w:r>
      <w:r>
        <w:rPr>
          <w:rFonts w:ascii="Garamond" w:hAnsi="Garamond"/>
          <w:b/>
          <w:bCs/>
          <w:color w:val="auto"/>
          <w:highlight w:val="none"/>
        </w:rPr>
        <w:t>。</w:t>
      </w:r>
    </w:p>
    <w:p w14:paraId="1C75DB4E">
      <w:pPr>
        <w:topLinePunct/>
        <w:rPr>
          <w:rFonts w:ascii="Garamond" w:hAnsi="Garamond"/>
          <w:color w:val="auto"/>
          <w:highlight w:val="none"/>
        </w:rPr>
      </w:pPr>
    </w:p>
    <w:p w14:paraId="7254BC85">
      <w:pPr>
        <w:spacing w:line="360" w:lineRule="auto"/>
        <w:rPr>
          <w:rFonts w:ascii="Garamond" w:hAnsi="Garamond"/>
          <w:color w:val="auto"/>
          <w:szCs w:val="21"/>
          <w:highlight w:val="none"/>
        </w:rPr>
      </w:pPr>
    </w:p>
    <w:p w14:paraId="6F5222D4">
      <w:pPr>
        <w:spacing w:line="360" w:lineRule="auto"/>
        <w:rPr>
          <w:rFonts w:ascii="Garamond" w:hAnsi="Garamond"/>
          <w:color w:val="auto"/>
          <w:szCs w:val="21"/>
          <w:highlight w:val="none"/>
        </w:rPr>
      </w:pPr>
      <w:r>
        <w:rPr>
          <w:rFonts w:ascii="Garamond" w:hAnsi="Garamond"/>
          <w:color w:val="auto"/>
          <w:szCs w:val="21"/>
          <w:highlight w:val="none"/>
        </w:rPr>
        <w:t>特此证明。</w:t>
      </w:r>
    </w:p>
    <w:p w14:paraId="6686CF7C">
      <w:pPr>
        <w:spacing w:line="360" w:lineRule="auto"/>
        <w:rPr>
          <w:rFonts w:ascii="Garamond" w:hAnsi="Garamond"/>
          <w:color w:val="auto"/>
          <w:szCs w:val="21"/>
          <w:highlight w:val="none"/>
        </w:rPr>
      </w:pPr>
    </w:p>
    <w:p w14:paraId="18AC1FCF">
      <w:pPr>
        <w:spacing w:line="360" w:lineRule="auto"/>
        <w:rPr>
          <w:rFonts w:ascii="Garamond" w:hAnsi="Garamond"/>
          <w:color w:val="auto"/>
          <w:szCs w:val="21"/>
          <w:highlight w:val="none"/>
        </w:rPr>
      </w:pPr>
    </w:p>
    <w:p w14:paraId="4C7D1D3B">
      <w:pPr>
        <w:spacing w:line="360" w:lineRule="auto"/>
        <w:jc w:val="right"/>
        <w:rPr>
          <w:rFonts w:ascii="Garamond" w:hAnsi="Garamond"/>
          <w:color w:val="auto"/>
          <w:szCs w:val="21"/>
          <w:highlight w:val="none"/>
        </w:rPr>
      </w:pPr>
      <w:r>
        <w:rPr>
          <w:rFonts w:ascii="Garamond" w:hAnsi="Garamond"/>
          <w:color w:val="auto"/>
          <w:szCs w:val="21"/>
          <w:highlight w:val="none"/>
        </w:rPr>
        <w:t>投标人：___________________（盖单位章）</w:t>
      </w:r>
    </w:p>
    <w:p w14:paraId="45115DD1">
      <w:pPr>
        <w:spacing w:line="360" w:lineRule="auto"/>
        <w:rPr>
          <w:rFonts w:ascii="Garamond" w:hAnsi="Garamond"/>
          <w:color w:val="auto"/>
          <w:szCs w:val="21"/>
          <w:highlight w:val="none"/>
        </w:rPr>
      </w:pPr>
    </w:p>
    <w:p w14:paraId="18EB9090">
      <w:pPr>
        <w:spacing w:line="360" w:lineRule="auto"/>
        <w:jc w:val="right"/>
        <w:rPr>
          <w:rFonts w:ascii="Garamond" w:hAnsi="Garamond"/>
          <w:color w:val="auto"/>
          <w:szCs w:val="21"/>
          <w:highlight w:val="none"/>
        </w:rPr>
      </w:pPr>
      <w:r>
        <w:rPr>
          <w:rFonts w:ascii="Garamond" w:hAnsi="Garamond"/>
          <w:color w:val="auto"/>
          <w:szCs w:val="21"/>
          <w:highlight w:val="none"/>
        </w:rPr>
        <w:t>______年_____月_______日</w:t>
      </w:r>
    </w:p>
    <w:p w14:paraId="49617E37">
      <w:pPr>
        <w:spacing w:line="360" w:lineRule="auto"/>
        <w:jc w:val="right"/>
        <w:rPr>
          <w:rFonts w:ascii="Garamond" w:hAnsi="Garamond"/>
          <w:color w:val="auto"/>
          <w:szCs w:val="21"/>
          <w:highlight w:val="none"/>
        </w:rPr>
      </w:pPr>
    </w:p>
    <w:p w14:paraId="3CBB4199">
      <w:pPr>
        <w:spacing w:line="360" w:lineRule="auto"/>
        <w:jc w:val="right"/>
        <w:rPr>
          <w:rFonts w:ascii="Garamond" w:hAnsi="Garamond"/>
          <w:color w:val="auto"/>
          <w:szCs w:val="21"/>
          <w:highlight w:val="none"/>
        </w:rPr>
      </w:pPr>
    </w:p>
    <w:p w14:paraId="33096173">
      <w:pPr>
        <w:spacing w:line="360" w:lineRule="auto"/>
        <w:jc w:val="right"/>
        <w:rPr>
          <w:rFonts w:ascii="Garamond" w:hAnsi="Garamond"/>
          <w:color w:val="auto"/>
          <w:szCs w:val="21"/>
          <w:highlight w:val="none"/>
        </w:rPr>
      </w:pPr>
    </w:p>
    <w:p w14:paraId="0D36AE7F">
      <w:pPr>
        <w:spacing w:line="360" w:lineRule="auto"/>
        <w:jc w:val="right"/>
        <w:rPr>
          <w:rFonts w:ascii="Garamond" w:hAnsi="Garamond"/>
          <w:color w:val="auto"/>
          <w:szCs w:val="21"/>
          <w:highlight w:val="none"/>
        </w:rPr>
      </w:pPr>
    </w:p>
    <w:p w14:paraId="17049DD3">
      <w:pPr>
        <w:spacing w:line="360" w:lineRule="auto"/>
        <w:jc w:val="right"/>
        <w:rPr>
          <w:rFonts w:ascii="Garamond" w:hAnsi="Garamond"/>
          <w:color w:val="auto"/>
          <w:szCs w:val="21"/>
          <w:highlight w:val="none"/>
        </w:rPr>
      </w:pPr>
    </w:p>
    <w:p w14:paraId="65C3BB7F">
      <w:pPr>
        <w:spacing w:line="360" w:lineRule="auto"/>
        <w:jc w:val="right"/>
        <w:rPr>
          <w:rFonts w:ascii="Garamond" w:hAnsi="Garamond"/>
          <w:color w:val="auto"/>
          <w:szCs w:val="21"/>
          <w:highlight w:val="none"/>
        </w:rPr>
      </w:pPr>
    </w:p>
    <w:p w14:paraId="1BC684E0">
      <w:pPr>
        <w:spacing w:line="400" w:lineRule="exact"/>
        <w:rPr>
          <w:rFonts w:ascii="宋体" w:hAnsi="宋体"/>
          <w:color w:val="auto"/>
          <w:szCs w:val="21"/>
          <w:highlight w:val="none"/>
        </w:rPr>
      </w:pPr>
      <w:r>
        <w:rPr>
          <w:rFonts w:hint="eastAsia" w:ascii="宋体" w:hAnsi="宋体"/>
          <w:b/>
          <w:color w:val="auto"/>
          <w:szCs w:val="21"/>
          <w:highlight w:val="none"/>
        </w:rPr>
        <w:t>注：如果由投标人的法定代表人签署投标文件，需提交法定代表人身份证明。</w:t>
      </w:r>
    </w:p>
    <w:p w14:paraId="7D6E146E">
      <w:pPr>
        <w:spacing w:line="360" w:lineRule="auto"/>
        <w:jc w:val="center"/>
        <w:rPr>
          <w:rFonts w:ascii="Garamond" w:hAnsi="Garamond"/>
          <w:b/>
          <w:color w:val="auto"/>
          <w:sz w:val="24"/>
          <w:highlight w:val="none"/>
        </w:rPr>
      </w:pPr>
    </w:p>
    <w:p w14:paraId="1D0CCD54">
      <w:pPr>
        <w:spacing w:line="360" w:lineRule="auto"/>
        <w:jc w:val="center"/>
        <w:rPr>
          <w:rFonts w:ascii="Garamond" w:hAnsi="Garamond"/>
          <w:b/>
          <w:color w:val="auto"/>
          <w:sz w:val="24"/>
          <w:highlight w:val="none"/>
        </w:rPr>
      </w:pPr>
    </w:p>
    <w:p w14:paraId="5948CC96">
      <w:pPr>
        <w:spacing w:line="360" w:lineRule="auto"/>
        <w:jc w:val="center"/>
        <w:rPr>
          <w:rFonts w:ascii="Garamond" w:hAnsi="Garamond"/>
          <w:b/>
          <w:color w:val="auto"/>
          <w:sz w:val="24"/>
          <w:highlight w:val="none"/>
        </w:rPr>
      </w:pPr>
    </w:p>
    <w:p w14:paraId="2996E166">
      <w:pPr>
        <w:widowControl/>
        <w:jc w:val="left"/>
        <w:rPr>
          <w:rFonts w:ascii="Garamond" w:hAnsi="Garamond"/>
          <w:b/>
          <w:color w:val="auto"/>
          <w:sz w:val="24"/>
          <w:highlight w:val="none"/>
        </w:rPr>
      </w:pPr>
      <w:r>
        <w:rPr>
          <w:rFonts w:ascii="Garamond" w:hAnsi="Garamond"/>
          <w:b/>
          <w:color w:val="auto"/>
          <w:sz w:val="24"/>
          <w:highlight w:val="none"/>
        </w:rPr>
        <w:br w:type="page"/>
      </w:r>
    </w:p>
    <w:p w14:paraId="165788AF">
      <w:pPr>
        <w:spacing w:line="360" w:lineRule="auto"/>
        <w:jc w:val="center"/>
        <w:rPr>
          <w:rFonts w:ascii="Garamond" w:hAnsi="Garamond"/>
          <w:b/>
          <w:color w:val="auto"/>
          <w:sz w:val="24"/>
          <w:highlight w:val="none"/>
        </w:rPr>
      </w:pPr>
      <w:r>
        <w:rPr>
          <w:rFonts w:ascii="Garamond" w:hAnsi="Garamond"/>
          <w:b/>
          <w:color w:val="auto"/>
          <w:sz w:val="24"/>
          <w:highlight w:val="none"/>
        </w:rPr>
        <w:t>（二）授权委托书</w:t>
      </w:r>
    </w:p>
    <w:p w14:paraId="1F9D6262">
      <w:pPr>
        <w:spacing w:line="340" w:lineRule="exact"/>
        <w:jc w:val="center"/>
        <w:rPr>
          <w:rFonts w:ascii="Garamond" w:hAnsi="Garamond"/>
          <w:b/>
          <w:color w:val="auto"/>
          <w:sz w:val="24"/>
          <w:highlight w:val="none"/>
        </w:rPr>
      </w:pPr>
    </w:p>
    <w:p w14:paraId="0A3FA4DA">
      <w:pPr>
        <w:spacing w:line="360" w:lineRule="auto"/>
        <w:ind w:firstLine="420" w:firstLineChars="200"/>
        <w:rPr>
          <w:rFonts w:ascii="Garamond" w:hAnsi="Garamond"/>
          <w:color w:val="auto"/>
          <w:szCs w:val="21"/>
          <w:highlight w:val="none"/>
        </w:rPr>
      </w:pPr>
      <w:r>
        <w:rPr>
          <w:rFonts w:ascii="Garamond" w:hAnsi="Garamond"/>
          <w:color w:val="auto"/>
          <w:szCs w:val="21"/>
          <w:highlight w:val="none"/>
        </w:rPr>
        <w:t>本人_____（姓名）系______（投标人名称）的法定代表人，现委托________（姓名）为我方代理人。代理人根据授权，以我方名义签署、澄清、说明、补正、递交、撤回、修改_______（项目名称）_________标段试验检测投标文件、签订合同和处理有关事宜，其法律后果由我方承担。</w:t>
      </w:r>
    </w:p>
    <w:p w14:paraId="747D2D2F">
      <w:pPr>
        <w:spacing w:line="360" w:lineRule="auto"/>
        <w:ind w:firstLine="525" w:firstLineChars="250"/>
        <w:rPr>
          <w:rFonts w:ascii="Garamond" w:hAnsi="Garamond"/>
          <w:color w:val="auto"/>
          <w:szCs w:val="21"/>
          <w:highlight w:val="none"/>
        </w:rPr>
      </w:pPr>
      <w:r>
        <w:rPr>
          <w:rFonts w:ascii="Garamond" w:hAnsi="Garamond"/>
          <w:color w:val="auto"/>
          <w:szCs w:val="21"/>
          <w:highlight w:val="none"/>
        </w:rPr>
        <w:t>委托期限：_____________</w:t>
      </w:r>
    </w:p>
    <w:p w14:paraId="4CF75A6A">
      <w:pPr>
        <w:spacing w:line="360" w:lineRule="auto"/>
        <w:ind w:firstLine="525" w:firstLineChars="250"/>
        <w:rPr>
          <w:rFonts w:ascii="Garamond" w:hAnsi="Garamond"/>
          <w:color w:val="auto"/>
          <w:szCs w:val="21"/>
          <w:highlight w:val="none"/>
        </w:rPr>
      </w:pPr>
      <w:r>
        <w:rPr>
          <w:rFonts w:ascii="Garamond" w:hAnsi="Garamond"/>
          <w:color w:val="auto"/>
          <w:szCs w:val="21"/>
          <w:highlight w:val="none"/>
        </w:rPr>
        <w:t>代理人无转委托权。</w:t>
      </w:r>
    </w:p>
    <w:p w14:paraId="2E8F2B13">
      <w:pPr>
        <w:spacing w:line="360" w:lineRule="auto"/>
        <w:ind w:firstLine="527" w:firstLineChars="250"/>
        <w:rPr>
          <w:rFonts w:ascii="Garamond" w:hAnsi="Garamond"/>
          <w:b/>
          <w:color w:val="auto"/>
          <w:szCs w:val="21"/>
          <w:highlight w:val="none"/>
        </w:rPr>
      </w:pPr>
      <w:r>
        <w:rPr>
          <w:rFonts w:ascii="Garamond" w:hAnsi="Garamond"/>
          <w:b/>
          <w:color w:val="auto"/>
          <w:szCs w:val="21"/>
          <w:highlight w:val="none"/>
        </w:rPr>
        <w:t>附：法定代表人身份证明（包括</w:t>
      </w:r>
      <w:r>
        <w:rPr>
          <w:rFonts w:ascii="Garamond" w:hAnsi="Garamond"/>
          <w:b/>
          <w:color w:val="auto"/>
          <w:highlight w:val="none"/>
        </w:rPr>
        <w:t>法定代表人身份证彩色复印件或彩色扫描件）及委托代理人身份证彩色复印件或彩色扫描件。</w:t>
      </w:r>
    </w:p>
    <w:p w14:paraId="0A6C4F14">
      <w:pPr>
        <w:spacing w:line="360" w:lineRule="auto"/>
        <w:jc w:val="center"/>
        <w:rPr>
          <w:rFonts w:ascii="Garamond" w:hAnsi="Garamond"/>
          <w:color w:val="auto"/>
          <w:szCs w:val="21"/>
          <w:highlight w:val="none"/>
        </w:rPr>
      </w:pPr>
    </w:p>
    <w:p w14:paraId="63A6A6EA">
      <w:pPr>
        <w:wordWrap w:val="0"/>
        <w:spacing w:line="360" w:lineRule="auto"/>
        <w:jc w:val="right"/>
        <w:rPr>
          <w:rFonts w:ascii="Garamond" w:hAnsi="Garamond"/>
          <w:color w:val="auto"/>
          <w:szCs w:val="21"/>
          <w:highlight w:val="none"/>
        </w:rPr>
      </w:pPr>
      <w:r>
        <w:rPr>
          <w:rFonts w:ascii="Garamond" w:hAnsi="Garamond"/>
          <w:color w:val="auto"/>
          <w:szCs w:val="21"/>
          <w:highlight w:val="none"/>
        </w:rPr>
        <w:t>投标人：（盖单位章）</w:t>
      </w:r>
    </w:p>
    <w:p w14:paraId="2A99799E">
      <w:pPr>
        <w:wordWrap w:val="0"/>
        <w:spacing w:line="360" w:lineRule="auto"/>
        <w:jc w:val="right"/>
        <w:rPr>
          <w:rFonts w:ascii="Garamond" w:hAnsi="Garamond"/>
          <w:color w:val="auto"/>
          <w:szCs w:val="21"/>
          <w:highlight w:val="none"/>
        </w:rPr>
      </w:pPr>
      <w:r>
        <w:rPr>
          <w:rFonts w:ascii="Garamond" w:hAnsi="Garamond"/>
          <w:color w:val="auto"/>
          <w:szCs w:val="21"/>
          <w:highlight w:val="none"/>
        </w:rPr>
        <w:t>法定代表人：（签名）</w:t>
      </w:r>
    </w:p>
    <w:p w14:paraId="69F89917">
      <w:pPr>
        <w:wordWrap w:val="0"/>
        <w:spacing w:line="360" w:lineRule="auto"/>
        <w:jc w:val="right"/>
        <w:rPr>
          <w:rFonts w:ascii="Garamond" w:hAnsi="Garamond"/>
          <w:color w:val="auto"/>
          <w:szCs w:val="21"/>
          <w:highlight w:val="none"/>
        </w:rPr>
      </w:pPr>
      <w:r>
        <w:rPr>
          <w:rFonts w:ascii="Garamond" w:hAnsi="Garamond"/>
          <w:color w:val="auto"/>
          <w:szCs w:val="21"/>
          <w:highlight w:val="none"/>
        </w:rPr>
        <w:t xml:space="preserve">  身份证号码：</w:t>
      </w:r>
    </w:p>
    <w:p w14:paraId="4A0C46B6">
      <w:pPr>
        <w:wordWrap w:val="0"/>
        <w:spacing w:line="360" w:lineRule="auto"/>
        <w:jc w:val="right"/>
        <w:rPr>
          <w:rFonts w:ascii="Garamond" w:hAnsi="Garamond"/>
          <w:color w:val="auto"/>
          <w:szCs w:val="21"/>
          <w:highlight w:val="none"/>
        </w:rPr>
      </w:pPr>
      <w:r>
        <w:rPr>
          <w:rFonts w:ascii="Garamond" w:hAnsi="Garamond"/>
          <w:color w:val="auto"/>
          <w:szCs w:val="21"/>
          <w:highlight w:val="none"/>
        </w:rPr>
        <w:t>委托代理人：（签名）</w:t>
      </w:r>
    </w:p>
    <w:p w14:paraId="7613954F">
      <w:pPr>
        <w:wordWrap w:val="0"/>
        <w:spacing w:line="360" w:lineRule="auto"/>
        <w:jc w:val="right"/>
        <w:rPr>
          <w:rFonts w:ascii="Garamond" w:hAnsi="Garamond"/>
          <w:color w:val="auto"/>
          <w:szCs w:val="21"/>
          <w:highlight w:val="none"/>
        </w:rPr>
      </w:pPr>
      <w:r>
        <w:rPr>
          <w:rFonts w:ascii="Garamond" w:hAnsi="Garamond"/>
          <w:color w:val="auto"/>
          <w:szCs w:val="21"/>
          <w:highlight w:val="none"/>
        </w:rPr>
        <w:t>身份证号码：</w:t>
      </w:r>
    </w:p>
    <w:p w14:paraId="4368F541">
      <w:pPr>
        <w:spacing w:line="360" w:lineRule="auto"/>
        <w:jc w:val="right"/>
        <w:rPr>
          <w:rFonts w:ascii="Garamond" w:hAnsi="Garamond"/>
          <w:color w:val="auto"/>
          <w:szCs w:val="21"/>
          <w:highlight w:val="none"/>
        </w:rPr>
      </w:pPr>
    </w:p>
    <w:p w14:paraId="469260F4">
      <w:pPr>
        <w:spacing w:line="360" w:lineRule="auto"/>
        <w:jc w:val="right"/>
        <w:rPr>
          <w:rFonts w:ascii="Garamond" w:hAnsi="Garamond"/>
          <w:color w:val="auto"/>
          <w:szCs w:val="21"/>
          <w:highlight w:val="none"/>
        </w:rPr>
      </w:pPr>
      <w:r>
        <w:rPr>
          <w:rFonts w:ascii="Garamond" w:hAnsi="Garamond"/>
          <w:color w:val="auto"/>
          <w:szCs w:val="21"/>
          <w:highlight w:val="none"/>
        </w:rPr>
        <w:t>_______年__________月________日</w:t>
      </w:r>
    </w:p>
    <w:p w14:paraId="1545CA36">
      <w:pPr>
        <w:spacing w:line="360" w:lineRule="auto"/>
        <w:jc w:val="center"/>
        <w:rPr>
          <w:rFonts w:ascii="Garamond" w:hAnsi="Garamond"/>
          <w:color w:val="auto"/>
          <w:szCs w:val="21"/>
          <w:highlight w:val="none"/>
        </w:rPr>
      </w:pPr>
    </w:p>
    <w:p w14:paraId="4B7CF561">
      <w:pPr>
        <w:spacing w:line="360" w:lineRule="auto"/>
        <w:jc w:val="center"/>
        <w:rPr>
          <w:rFonts w:ascii="Garamond" w:hAnsi="Garamond"/>
          <w:color w:val="auto"/>
          <w:szCs w:val="21"/>
          <w:highlight w:val="none"/>
        </w:rPr>
      </w:pPr>
    </w:p>
    <w:p w14:paraId="043CB003">
      <w:pPr>
        <w:spacing w:line="360" w:lineRule="auto"/>
        <w:jc w:val="center"/>
        <w:rPr>
          <w:rFonts w:ascii="Garamond" w:hAnsi="Garamond"/>
          <w:color w:val="auto"/>
          <w:szCs w:val="21"/>
          <w:highlight w:val="none"/>
        </w:rPr>
      </w:pPr>
    </w:p>
    <w:p w14:paraId="57027571">
      <w:pPr>
        <w:spacing w:line="360" w:lineRule="auto"/>
        <w:jc w:val="center"/>
        <w:rPr>
          <w:rFonts w:ascii="Garamond" w:hAnsi="Garamond"/>
          <w:color w:val="auto"/>
          <w:szCs w:val="21"/>
          <w:highlight w:val="none"/>
        </w:rPr>
      </w:pPr>
    </w:p>
    <w:p w14:paraId="2E949B8D">
      <w:pPr>
        <w:spacing w:line="360" w:lineRule="auto"/>
        <w:jc w:val="center"/>
        <w:rPr>
          <w:rFonts w:ascii="Garamond" w:hAnsi="Garamond"/>
          <w:color w:val="auto"/>
          <w:szCs w:val="21"/>
          <w:highlight w:val="none"/>
        </w:rPr>
      </w:pPr>
    </w:p>
    <w:p w14:paraId="7ED751F0">
      <w:pPr>
        <w:spacing w:line="360" w:lineRule="auto"/>
        <w:rPr>
          <w:rFonts w:ascii="Garamond" w:hAnsi="Garamond"/>
          <w:color w:val="auto"/>
          <w:szCs w:val="21"/>
          <w:highlight w:val="none"/>
        </w:rPr>
      </w:pPr>
    </w:p>
    <w:p w14:paraId="5CB27A2B">
      <w:pPr>
        <w:spacing w:line="360" w:lineRule="auto"/>
        <w:jc w:val="center"/>
        <w:rPr>
          <w:rFonts w:ascii="Garamond" w:hAnsi="Garamond"/>
          <w:color w:val="auto"/>
          <w:szCs w:val="21"/>
          <w:highlight w:val="none"/>
        </w:rPr>
      </w:pPr>
    </w:p>
    <w:p w14:paraId="40C375B2">
      <w:pPr>
        <w:spacing w:line="360" w:lineRule="auto"/>
        <w:jc w:val="center"/>
        <w:rPr>
          <w:rFonts w:ascii="Garamond" w:hAnsi="Garamond"/>
          <w:color w:val="auto"/>
          <w:szCs w:val="21"/>
          <w:highlight w:val="none"/>
        </w:rPr>
      </w:pPr>
    </w:p>
    <w:p w14:paraId="027FEAA9">
      <w:pPr>
        <w:spacing w:line="360" w:lineRule="auto"/>
        <w:jc w:val="center"/>
        <w:rPr>
          <w:rFonts w:ascii="Garamond" w:hAnsi="Garamond"/>
          <w:color w:val="auto"/>
          <w:szCs w:val="21"/>
          <w:highlight w:val="none"/>
        </w:rPr>
      </w:pPr>
    </w:p>
    <w:p w14:paraId="368EB5F5">
      <w:pPr>
        <w:spacing w:line="500" w:lineRule="exact"/>
        <w:ind w:firstLine="480"/>
        <w:rPr>
          <w:rFonts w:ascii="宋体" w:hAnsi="宋体" w:cs="宋体"/>
          <w:b/>
          <w:bCs/>
          <w:color w:val="auto"/>
          <w:highlight w:val="none"/>
          <w:u w:val="single"/>
        </w:rPr>
      </w:pPr>
      <w:r>
        <w:rPr>
          <w:rFonts w:hint="eastAsia" w:ascii="宋体" w:hAnsi="宋体" w:cs="宋体"/>
          <w:b/>
          <w:bCs/>
          <w:color w:val="auto"/>
          <w:highlight w:val="none"/>
          <w:u w:val="single"/>
        </w:rPr>
        <w:t>注：①如果由投标人法定代表人的委托代理人签署投标文件，需提交授权委托书。</w:t>
      </w:r>
    </w:p>
    <w:p w14:paraId="318F2A1D">
      <w:pPr>
        <w:spacing w:line="500" w:lineRule="exact"/>
        <w:ind w:firstLine="480"/>
        <w:rPr>
          <w:rFonts w:ascii="宋体" w:hAnsi="宋体" w:cs="宋体"/>
          <w:b/>
          <w:bCs/>
          <w:color w:val="auto"/>
          <w:highlight w:val="none"/>
          <w:u w:val="single"/>
        </w:rPr>
      </w:pPr>
      <w:r>
        <w:rPr>
          <w:rFonts w:hint="eastAsia" w:ascii="宋体" w:hAnsi="宋体" w:cs="宋体"/>
          <w:b/>
          <w:bCs/>
          <w:color w:val="auto"/>
          <w:highlight w:val="none"/>
          <w:u w:val="single"/>
        </w:rPr>
        <w:t>②委托期限可写：自本委托书签署之日起至投标有效期满。</w:t>
      </w:r>
    </w:p>
    <w:p w14:paraId="62557CCB">
      <w:pPr>
        <w:rPr>
          <w:rFonts w:ascii="Garamond" w:hAnsi="Garamond"/>
          <w:color w:val="auto"/>
          <w:sz w:val="28"/>
          <w:szCs w:val="28"/>
          <w:highlight w:val="none"/>
        </w:rPr>
      </w:pPr>
      <w:r>
        <w:rPr>
          <w:rFonts w:ascii="Garamond" w:hAnsi="Garamond"/>
          <w:color w:val="auto"/>
          <w:sz w:val="28"/>
          <w:szCs w:val="28"/>
          <w:highlight w:val="none"/>
        </w:rPr>
        <w:br w:type="page"/>
      </w:r>
    </w:p>
    <w:p w14:paraId="2C61FE32">
      <w:pPr>
        <w:pStyle w:val="3"/>
        <w:keepNext/>
        <w:keepLines/>
        <w:pageBreakBefore w:val="0"/>
        <w:widowControl w:val="0"/>
        <w:numPr>
          <w:ilvl w:val="0"/>
          <w:numId w:val="0"/>
        </w:numPr>
        <w:kinsoku/>
        <w:wordWrap/>
        <w:overflowPunct/>
        <w:topLinePunct w:val="0"/>
        <w:autoSpaceDE/>
        <w:autoSpaceDN/>
        <w:bidi w:val="0"/>
        <w:adjustRightInd/>
        <w:snapToGrid/>
        <w:spacing w:line="700" w:lineRule="exact"/>
        <w:ind w:leftChars="0"/>
        <w:jc w:val="center"/>
        <w:textAlignment w:val="auto"/>
        <w:rPr>
          <w:rFonts w:hint="eastAsia" w:ascii="宋体" w:hAnsi="宋体" w:eastAsia="宋体" w:cs="宋体"/>
          <w:b/>
          <w:bCs/>
          <w:kern w:val="2"/>
          <w:sz w:val="32"/>
          <w:szCs w:val="32"/>
          <w:highlight w:val="none"/>
          <w:lang w:val="en-US" w:eastAsia="zh-CN" w:bidi="ar-SA"/>
        </w:rPr>
      </w:pPr>
      <w:r>
        <w:rPr>
          <w:rFonts w:ascii="Garamond" w:hAnsi="Garamond"/>
          <w:color w:val="auto"/>
          <w:sz w:val="28"/>
          <w:szCs w:val="28"/>
          <w:highlight w:val="none"/>
        </w:rPr>
        <w:t>三、</w:t>
      </w:r>
      <w:r>
        <w:rPr>
          <w:rFonts w:hint="eastAsia" w:ascii="宋体" w:hAnsi="宋体" w:eastAsia="宋体" w:cs="宋体"/>
          <w:b/>
          <w:bCs/>
          <w:highlight w:val="none"/>
          <w:lang w:val="en-US" w:eastAsia="zh-CN"/>
        </w:rPr>
        <w:t>联合体协议书</w:t>
      </w:r>
    </w:p>
    <w:p w14:paraId="1CDFB16F">
      <w:pPr>
        <w:tabs>
          <w:tab w:val="left" w:pos="7920"/>
        </w:tabs>
        <w:spacing w:before="240" w:beforeLines="100" w:after="240" w:afterLines="100" w:line="360" w:lineRule="auto"/>
        <w:jc w:val="center"/>
        <w:rPr>
          <w:rFonts w:hint="eastAsia" w:ascii="宋体" w:hAnsi="宋体" w:eastAsia="宋体" w:cs="宋体"/>
          <w:b/>
          <w:sz w:val="28"/>
          <w:szCs w:val="21"/>
          <w:highlight w:val="none"/>
        </w:rPr>
      </w:pPr>
      <w:r>
        <w:rPr>
          <w:rFonts w:hint="eastAsia" w:ascii="宋体" w:hAnsi="宋体" w:eastAsia="宋体" w:cs="宋体"/>
          <w:b/>
          <w:sz w:val="28"/>
          <w:szCs w:val="21"/>
          <w:highlight w:val="none"/>
        </w:rPr>
        <w:t>（</w:t>
      </w:r>
      <w:r>
        <w:rPr>
          <w:rFonts w:ascii="宋体" w:hAnsi="宋体" w:eastAsia="宋体" w:cs="宋体"/>
          <w:b/>
          <w:bCs/>
          <w:color w:val="000000"/>
          <w:sz w:val="24"/>
          <w:szCs w:val="24"/>
          <w:highlight w:val="none"/>
        </w:rPr>
        <w:t>如采用联合体形式投标须提</w:t>
      </w:r>
      <w:r>
        <w:rPr>
          <w:rFonts w:hint="eastAsia" w:ascii="宋体" w:hAnsi="宋体" w:eastAsia="宋体" w:cs="宋体"/>
          <w:b/>
          <w:bCs/>
          <w:color w:val="000000"/>
          <w:sz w:val="24"/>
          <w:szCs w:val="24"/>
          <w:highlight w:val="none"/>
          <w:lang w:val="en-US" w:eastAsia="zh-CN"/>
        </w:rPr>
        <w:t>供</w:t>
      </w:r>
      <w:r>
        <w:rPr>
          <w:rFonts w:hint="eastAsia" w:ascii="宋体" w:hAnsi="宋体" w:eastAsia="宋体" w:cs="宋体"/>
          <w:b/>
          <w:sz w:val="28"/>
          <w:szCs w:val="21"/>
          <w:highlight w:val="none"/>
        </w:rPr>
        <w:t>）</w:t>
      </w:r>
    </w:p>
    <w:p w14:paraId="3A9D1218">
      <w:pPr>
        <w:widowControl w:val="0"/>
        <w:tabs>
          <w:tab w:val="left" w:pos="0"/>
        </w:tabs>
        <w:autoSpaceDE w:val="0"/>
        <w:autoSpaceDN w:val="0"/>
        <w:spacing w:line="360" w:lineRule="auto"/>
        <w:ind w:firstLine="480" w:firstLineChars="200"/>
        <w:rPr>
          <w:rFonts w:hint="eastAsia" w:ascii="宋体" w:hAnsi="宋体" w:eastAsia="宋体" w:cs="宋体"/>
          <w:kern w:val="21"/>
          <w:sz w:val="24"/>
          <w:szCs w:val="24"/>
          <w:highlight w:val="none"/>
          <w:lang w:val="zh-CN" w:eastAsia="zh-CN" w:bidi="zh-CN"/>
        </w:rPr>
      </w:pPr>
      <w:r>
        <w:rPr>
          <w:rFonts w:hint="eastAsia" w:ascii="宋体" w:hAnsi="宋体" w:eastAsia="宋体" w:cs="宋体"/>
          <w:kern w:val="21"/>
          <w:sz w:val="24"/>
          <w:szCs w:val="24"/>
          <w:highlight w:val="none"/>
          <w:u w:val="single"/>
          <w:lang w:val="zh-CN" w:eastAsia="zh-CN" w:bidi="zh-CN"/>
        </w:rPr>
        <w:t xml:space="preserve">               </w:t>
      </w:r>
      <w:r>
        <w:rPr>
          <w:rFonts w:hint="eastAsia" w:ascii="宋体" w:hAnsi="宋体" w:eastAsia="宋体" w:cs="宋体"/>
          <w:kern w:val="21"/>
          <w:sz w:val="24"/>
          <w:szCs w:val="24"/>
          <w:highlight w:val="none"/>
          <w:lang w:val="zh-CN" w:eastAsia="zh-CN" w:bidi="zh-CN"/>
        </w:rPr>
        <w:t>(所有成员单位名称)自愿组成</w:t>
      </w:r>
      <w:r>
        <w:rPr>
          <w:rFonts w:hint="eastAsia" w:ascii="宋体" w:hAnsi="宋体" w:eastAsia="宋体" w:cs="宋体"/>
          <w:kern w:val="21"/>
          <w:sz w:val="24"/>
          <w:szCs w:val="24"/>
          <w:highlight w:val="none"/>
          <w:u w:val="single"/>
          <w:lang w:val="en-US" w:eastAsia="zh-CN" w:bidi="zh-CN"/>
        </w:rPr>
        <w:t xml:space="preserve">                 </w:t>
      </w:r>
      <w:r>
        <w:rPr>
          <w:rFonts w:hint="eastAsia" w:ascii="宋体" w:hAnsi="宋体" w:eastAsia="宋体" w:cs="宋体"/>
          <w:kern w:val="21"/>
          <w:sz w:val="24"/>
          <w:szCs w:val="24"/>
          <w:highlight w:val="none"/>
          <w:u w:val="none"/>
          <w:lang w:val="en-US" w:eastAsia="zh-CN" w:bidi="zh-CN"/>
        </w:rPr>
        <w:t>（联合体名称）</w:t>
      </w:r>
      <w:r>
        <w:rPr>
          <w:rFonts w:hint="eastAsia" w:ascii="宋体" w:hAnsi="宋体" w:eastAsia="宋体" w:cs="宋体"/>
          <w:kern w:val="21"/>
          <w:sz w:val="24"/>
          <w:szCs w:val="24"/>
          <w:highlight w:val="none"/>
          <w:lang w:val="zh-CN" w:eastAsia="zh-CN" w:bidi="zh-CN"/>
        </w:rPr>
        <w:t>联合体，共同参加</w:t>
      </w:r>
      <w:r>
        <w:rPr>
          <w:rFonts w:hint="eastAsia" w:ascii="宋体" w:hAnsi="宋体" w:eastAsia="宋体" w:cs="宋体"/>
          <w:kern w:val="21"/>
          <w:sz w:val="24"/>
          <w:szCs w:val="24"/>
          <w:highlight w:val="none"/>
          <w:u w:val="single"/>
          <w:lang w:val="zh-CN" w:eastAsia="zh-CN" w:bidi="zh-CN"/>
        </w:rPr>
        <w:t xml:space="preserve">       </w:t>
      </w:r>
      <w:r>
        <w:rPr>
          <w:rFonts w:hint="eastAsia" w:ascii="宋体" w:hAnsi="宋体" w:eastAsia="宋体" w:cs="宋体"/>
          <w:kern w:val="21"/>
          <w:sz w:val="24"/>
          <w:szCs w:val="24"/>
          <w:highlight w:val="none"/>
          <w:u w:val="single"/>
          <w:lang w:val="en-US" w:eastAsia="zh-CN" w:bidi="zh-CN"/>
        </w:rPr>
        <w:t xml:space="preserve"> </w:t>
      </w:r>
      <w:r>
        <w:rPr>
          <w:rFonts w:hint="eastAsia" w:ascii="宋体" w:hAnsi="宋体" w:eastAsia="宋体" w:cs="宋体"/>
          <w:kern w:val="21"/>
          <w:sz w:val="24"/>
          <w:szCs w:val="24"/>
          <w:highlight w:val="none"/>
          <w:u w:val="single"/>
          <w:lang w:val="zh-CN" w:eastAsia="zh-CN" w:bidi="zh-CN"/>
        </w:rPr>
        <w:t xml:space="preserve">  </w:t>
      </w:r>
      <w:r>
        <w:rPr>
          <w:rFonts w:hint="eastAsia" w:ascii="宋体" w:hAnsi="宋体" w:eastAsia="宋体" w:cs="宋体"/>
          <w:kern w:val="21"/>
          <w:sz w:val="24"/>
          <w:szCs w:val="24"/>
          <w:highlight w:val="none"/>
          <w:u w:val="single"/>
          <w:lang w:val="en-US" w:eastAsia="zh-CN" w:bidi="zh-CN"/>
        </w:rPr>
        <w:t xml:space="preserve">         </w:t>
      </w:r>
      <w:r>
        <w:rPr>
          <w:rFonts w:hint="eastAsia" w:ascii="宋体" w:hAnsi="宋体" w:eastAsia="宋体" w:cs="宋体"/>
          <w:kern w:val="21"/>
          <w:sz w:val="24"/>
          <w:szCs w:val="24"/>
          <w:highlight w:val="none"/>
          <w:u w:val="single"/>
          <w:lang w:val="zh-CN" w:eastAsia="zh-CN" w:bidi="zh-CN"/>
        </w:rPr>
        <w:t xml:space="preserve">  </w:t>
      </w:r>
      <w:r>
        <w:rPr>
          <w:rFonts w:hint="eastAsia" w:ascii="宋体" w:hAnsi="宋体" w:eastAsia="宋体" w:cs="宋体"/>
          <w:kern w:val="21"/>
          <w:sz w:val="24"/>
          <w:szCs w:val="24"/>
          <w:highlight w:val="none"/>
          <w:lang w:val="en-US" w:eastAsia="zh-CN" w:bidi="zh-CN"/>
        </w:rPr>
        <w:t>项目</w:t>
      </w:r>
      <w:r>
        <w:rPr>
          <w:rFonts w:hint="eastAsia" w:ascii="宋体" w:hAnsi="宋体" w:eastAsia="宋体" w:cs="宋体"/>
          <w:kern w:val="21"/>
          <w:sz w:val="24"/>
          <w:szCs w:val="24"/>
          <w:highlight w:val="none"/>
          <w:lang w:val="zh-CN" w:eastAsia="zh-CN" w:bidi="zh-CN"/>
        </w:rPr>
        <w:t>投标。现就联合体投标事宜订立如下协议。</w:t>
      </w:r>
    </w:p>
    <w:p w14:paraId="068DCCEE">
      <w:pPr>
        <w:widowControl w:val="0"/>
        <w:tabs>
          <w:tab w:val="left" w:pos="0"/>
        </w:tabs>
        <w:autoSpaceDE w:val="0"/>
        <w:autoSpaceDN w:val="0"/>
        <w:spacing w:line="360" w:lineRule="auto"/>
        <w:ind w:firstLine="480" w:firstLineChars="200"/>
        <w:rPr>
          <w:rFonts w:hint="eastAsia" w:ascii="宋体" w:hAnsi="宋体" w:eastAsia="宋体" w:cs="宋体"/>
          <w:kern w:val="21"/>
          <w:sz w:val="24"/>
          <w:szCs w:val="24"/>
          <w:highlight w:val="none"/>
          <w:lang w:val="zh-CN" w:eastAsia="zh-CN" w:bidi="zh-CN"/>
        </w:rPr>
      </w:pPr>
      <w:r>
        <w:rPr>
          <w:rFonts w:hint="eastAsia" w:ascii="宋体" w:hAnsi="宋体" w:eastAsia="宋体" w:cs="宋体"/>
          <w:kern w:val="21"/>
          <w:sz w:val="24"/>
          <w:szCs w:val="24"/>
          <w:highlight w:val="none"/>
          <w:lang w:val="zh-CN" w:eastAsia="zh-CN" w:bidi="zh-CN"/>
        </w:rPr>
        <w:t>1.</w:t>
      </w:r>
      <w:r>
        <w:rPr>
          <w:rFonts w:hint="eastAsia" w:ascii="宋体" w:hAnsi="宋体" w:eastAsia="宋体" w:cs="宋体"/>
          <w:kern w:val="21"/>
          <w:sz w:val="24"/>
          <w:szCs w:val="24"/>
          <w:highlight w:val="none"/>
          <w:u w:val="single"/>
          <w:lang w:val="zh-CN" w:eastAsia="zh-CN" w:bidi="zh-CN"/>
        </w:rPr>
        <w:t xml:space="preserve">      </w:t>
      </w:r>
      <w:r>
        <w:rPr>
          <w:rFonts w:hint="eastAsia" w:ascii="宋体" w:hAnsi="宋体" w:eastAsia="宋体" w:cs="宋体"/>
          <w:kern w:val="21"/>
          <w:sz w:val="24"/>
          <w:szCs w:val="24"/>
          <w:highlight w:val="none"/>
          <w:u w:val="single"/>
          <w:lang w:val="en-US" w:eastAsia="zh-CN" w:bidi="zh-CN"/>
        </w:rPr>
        <w:t xml:space="preserve">       </w:t>
      </w:r>
      <w:r>
        <w:rPr>
          <w:rFonts w:hint="eastAsia" w:ascii="宋体" w:hAnsi="宋体" w:eastAsia="宋体" w:cs="宋体"/>
          <w:kern w:val="21"/>
          <w:sz w:val="24"/>
          <w:szCs w:val="24"/>
          <w:highlight w:val="none"/>
          <w:u w:val="single"/>
          <w:lang w:val="zh-CN" w:eastAsia="zh-CN" w:bidi="zh-CN"/>
        </w:rPr>
        <w:t xml:space="preserve">  </w:t>
      </w:r>
      <w:r>
        <w:rPr>
          <w:rFonts w:hint="eastAsia" w:ascii="宋体" w:hAnsi="宋体" w:eastAsia="宋体" w:cs="宋体"/>
          <w:kern w:val="21"/>
          <w:sz w:val="24"/>
          <w:szCs w:val="24"/>
          <w:highlight w:val="none"/>
          <w:lang w:val="zh-CN" w:eastAsia="zh-CN" w:bidi="zh-CN"/>
        </w:rPr>
        <w:t>(某成员单位名称)为</w:t>
      </w:r>
      <w:r>
        <w:rPr>
          <w:rFonts w:hint="eastAsia" w:ascii="宋体" w:hAnsi="宋体" w:eastAsia="宋体" w:cs="宋体"/>
          <w:kern w:val="21"/>
          <w:sz w:val="24"/>
          <w:szCs w:val="24"/>
          <w:highlight w:val="none"/>
          <w:u w:val="single"/>
          <w:lang w:val="zh-CN" w:eastAsia="zh-CN" w:bidi="zh-CN"/>
        </w:rPr>
        <w:t xml:space="preserve">      </w:t>
      </w:r>
      <w:r>
        <w:rPr>
          <w:rFonts w:hint="eastAsia" w:ascii="宋体" w:hAnsi="宋体" w:eastAsia="宋体" w:cs="宋体"/>
          <w:kern w:val="21"/>
          <w:sz w:val="24"/>
          <w:szCs w:val="24"/>
          <w:highlight w:val="none"/>
          <w:u w:val="single"/>
          <w:lang w:val="en-US" w:eastAsia="zh-CN" w:bidi="zh-CN"/>
        </w:rPr>
        <w:t xml:space="preserve">      </w:t>
      </w:r>
      <w:r>
        <w:rPr>
          <w:rFonts w:hint="eastAsia" w:ascii="宋体" w:hAnsi="宋体" w:eastAsia="宋体" w:cs="宋体"/>
          <w:kern w:val="21"/>
          <w:sz w:val="24"/>
          <w:szCs w:val="24"/>
          <w:highlight w:val="none"/>
          <w:u w:val="single"/>
          <w:lang w:val="zh-CN" w:eastAsia="zh-CN" w:bidi="zh-CN"/>
        </w:rPr>
        <w:t xml:space="preserve">    </w:t>
      </w:r>
      <w:r>
        <w:rPr>
          <w:rFonts w:hint="eastAsia" w:ascii="宋体" w:hAnsi="宋体" w:eastAsia="宋体" w:cs="宋体"/>
          <w:kern w:val="21"/>
          <w:sz w:val="24"/>
          <w:szCs w:val="24"/>
          <w:highlight w:val="none"/>
          <w:lang w:val="zh-CN" w:eastAsia="zh-CN" w:bidi="zh-CN"/>
        </w:rPr>
        <w:t>(联合体名称)牵头人。</w:t>
      </w:r>
    </w:p>
    <w:p w14:paraId="3F5C8C79">
      <w:pPr>
        <w:pStyle w:val="91"/>
        <w:numPr>
          <w:ilvl w:val="1"/>
          <w:numId w:val="0"/>
        </w:numPr>
        <w:tabs>
          <w:tab w:val="left" w:pos="0"/>
          <w:tab w:val="left" w:pos="1211"/>
        </w:tabs>
        <w:spacing w:line="360" w:lineRule="auto"/>
        <w:ind w:firstLine="480" w:firstLineChars="200"/>
        <w:jc w:val="left"/>
        <w:rPr>
          <w:rFonts w:hint="eastAsia" w:eastAsia="宋体"/>
          <w:kern w:val="21"/>
          <w:sz w:val="24"/>
          <w:szCs w:val="24"/>
          <w:highlight w:val="none"/>
        </w:rPr>
      </w:pPr>
      <w:r>
        <w:rPr>
          <w:rFonts w:eastAsia="宋体"/>
          <w:kern w:val="21"/>
          <w:sz w:val="24"/>
          <w:szCs w:val="24"/>
          <w:highlight w:val="none"/>
        </w:rPr>
        <w:t>2.</w:t>
      </w:r>
      <w:r>
        <w:rPr>
          <w:rFonts w:hint="eastAsia" w:eastAsia="宋体"/>
          <w:kern w:val="21"/>
          <w:sz w:val="24"/>
          <w:szCs w:val="24"/>
          <w:highlight w:val="none"/>
        </w:rPr>
        <w:t>联合体</w:t>
      </w:r>
      <w:r>
        <w:rPr>
          <w:rFonts w:hint="eastAsia" w:eastAsia="宋体"/>
          <w:kern w:val="21"/>
          <w:sz w:val="24"/>
          <w:szCs w:val="24"/>
          <w:highlight w:val="none"/>
          <w:lang w:val="en-US"/>
        </w:rPr>
        <w:t>各</w:t>
      </w:r>
      <w:r>
        <w:rPr>
          <w:rFonts w:hint="eastAsia" w:eastAsia="宋体"/>
          <w:kern w:val="21"/>
          <w:sz w:val="24"/>
          <w:szCs w:val="24"/>
          <w:highlight w:val="none"/>
        </w:rPr>
        <w:t>成员授权牵头人代表联合体参加投标活动，签署文件，提交和接受相关资料、信息及指示，进行合同谈判活动，负责合同实施阶段的组织和协调工作，以及处理与本招标项目有关的一切事宜。</w:t>
      </w:r>
    </w:p>
    <w:p w14:paraId="10578D98">
      <w:pPr>
        <w:pStyle w:val="91"/>
        <w:numPr>
          <w:ilvl w:val="1"/>
          <w:numId w:val="0"/>
        </w:numPr>
        <w:tabs>
          <w:tab w:val="left" w:pos="0"/>
          <w:tab w:val="left" w:pos="1206"/>
        </w:tabs>
        <w:spacing w:line="360" w:lineRule="auto"/>
        <w:ind w:firstLine="480" w:firstLineChars="200"/>
        <w:jc w:val="left"/>
        <w:rPr>
          <w:rFonts w:hint="eastAsia" w:eastAsia="宋体"/>
          <w:kern w:val="21"/>
          <w:sz w:val="24"/>
          <w:szCs w:val="24"/>
          <w:highlight w:val="none"/>
        </w:rPr>
      </w:pPr>
      <w:r>
        <w:rPr>
          <w:rFonts w:eastAsia="宋体"/>
          <w:kern w:val="21"/>
          <w:sz w:val="24"/>
          <w:szCs w:val="24"/>
          <w:highlight w:val="none"/>
        </w:rPr>
        <w:t>3.</w:t>
      </w:r>
      <w:r>
        <w:rPr>
          <w:rFonts w:hint="eastAsia" w:eastAsia="宋体"/>
          <w:kern w:val="21"/>
          <w:sz w:val="24"/>
          <w:szCs w:val="24"/>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58BEB482">
      <w:pPr>
        <w:pStyle w:val="91"/>
        <w:numPr>
          <w:ilvl w:val="1"/>
          <w:numId w:val="0"/>
        </w:numPr>
        <w:tabs>
          <w:tab w:val="left" w:pos="0"/>
          <w:tab w:val="left" w:pos="1296"/>
        </w:tabs>
        <w:spacing w:line="360" w:lineRule="auto"/>
        <w:ind w:firstLine="480" w:firstLineChars="200"/>
        <w:jc w:val="left"/>
        <w:rPr>
          <w:rFonts w:hint="eastAsia" w:eastAsia="宋体"/>
          <w:kern w:val="21"/>
          <w:sz w:val="24"/>
          <w:szCs w:val="24"/>
          <w:highlight w:val="none"/>
        </w:rPr>
      </w:pPr>
      <w:r>
        <w:rPr>
          <w:rFonts w:eastAsia="宋体"/>
          <w:kern w:val="21"/>
          <w:sz w:val="24"/>
          <w:szCs w:val="24"/>
          <w:highlight w:val="none"/>
        </w:rPr>
        <w:t>4.</w:t>
      </w:r>
      <w:r>
        <w:rPr>
          <w:rFonts w:hint="eastAsia" w:eastAsia="宋体"/>
          <w:kern w:val="21"/>
          <w:sz w:val="24"/>
          <w:szCs w:val="24"/>
          <w:highlight w:val="none"/>
        </w:rPr>
        <w:t>联合体各成员单位内部的职责分工如下：</w:t>
      </w:r>
    </w:p>
    <w:p w14:paraId="6F250F22">
      <w:pPr>
        <w:pStyle w:val="91"/>
        <w:numPr>
          <w:ilvl w:val="1"/>
          <w:numId w:val="0"/>
        </w:numPr>
        <w:tabs>
          <w:tab w:val="left" w:pos="0"/>
          <w:tab w:val="left" w:pos="1296"/>
        </w:tabs>
        <w:spacing w:line="360" w:lineRule="auto"/>
        <w:ind w:firstLine="480" w:firstLineChars="200"/>
        <w:jc w:val="left"/>
        <w:rPr>
          <w:rFonts w:hint="eastAsia" w:eastAsia="宋体"/>
          <w:kern w:val="21"/>
          <w:sz w:val="24"/>
          <w:szCs w:val="24"/>
          <w:highlight w:val="none"/>
        </w:rPr>
      </w:pPr>
      <w:r>
        <w:rPr>
          <w:rFonts w:hint="eastAsia" w:eastAsia="宋体"/>
          <w:kern w:val="21"/>
          <w:sz w:val="24"/>
          <w:szCs w:val="24"/>
          <w:highlight w:val="none"/>
          <w:u w:val="single"/>
        </w:rPr>
        <w:t>(牵头人名称)</w:t>
      </w:r>
      <w:r>
        <w:rPr>
          <w:rFonts w:hint="eastAsia" w:eastAsia="宋体"/>
          <w:kern w:val="21"/>
          <w:sz w:val="24"/>
          <w:szCs w:val="24"/>
          <w:highlight w:val="none"/>
        </w:rPr>
        <w:t>承担</w:t>
      </w:r>
      <w:r>
        <w:rPr>
          <w:rFonts w:hint="eastAsia" w:eastAsia="宋体"/>
          <w:kern w:val="21"/>
          <w:sz w:val="24"/>
          <w:szCs w:val="24"/>
          <w:highlight w:val="none"/>
          <w:u w:val="single"/>
        </w:rPr>
        <w:t xml:space="preserve">   </w:t>
      </w:r>
      <w:r>
        <w:rPr>
          <w:rFonts w:hint="eastAsia"/>
          <w:kern w:val="21"/>
          <w:sz w:val="24"/>
          <w:szCs w:val="24"/>
          <w:highlight w:val="none"/>
          <w:u w:val="single"/>
          <w:lang w:val="en-US" w:eastAsia="zh-CN"/>
        </w:rPr>
        <w:t xml:space="preserve">         </w:t>
      </w:r>
      <w:r>
        <w:rPr>
          <w:rFonts w:hint="eastAsia" w:eastAsia="宋体"/>
          <w:kern w:val="21"/>
          <w:sz w:val="24"/>
          <w:szCs w:val="24"/>
          <w:highlight w:val="none"/>
          <w:u w:val="single"/>
        </w:rPr>
        <w:t xml:space="preserve"> </w:t>
      </w:r>
      <w:r>
        <w:rPr>
          <w:rFonts w:hint="eastAsia" w:eastAsia="宋体"/>
          <w:kern w:val="21"/>
          <w:sz w:val="24"/>
          <w:szCs w:val="24"/>
          <w:highlight w:val="none"/>
          <w:u w:val="single"/>
        </w:rPr>
        <w:tab/>
      </w:r>
      <w:r>
        <w:rPr>
          <w:rFonts w:hint="eastAsia" w:eastAsia="宋体"/>
          <w:kern w:val="21"/>
          <w:sz w:val="24"/>
          <w:szCs w:val="24"/>
          <w:highlight w:val="none"/>
        </w:rPr>
        <w:t>专业工程，</w:t>
      </w:r>
      <w:r>
        <w:rPr>
          <w:rFonts w:hint="eastAsia"/>
          <w:kern w:val="21"/>
          <w:sz w:val="24"/>
          <w:szCs w:val="24"/>
          <w:highlight w:val="none"/>
          <w:lang w:val="en-US" w:eastAsia="zh-CN"/>
        </w:rPr>
        <w:t>服务费用</w:t>
      </w:r>
      <w:r>
        <w:rPr>
          <w:rFonts w:hint="eastAsia" w:eastAsia="宋体"/>
          <w:kern w:val="21"/>
          <w:sz w:val="24"/>
          <w:szCs w:val="24"/>
          <w:highlight w:val="none"/>
        </w:rPr>
        <w:t>占总</w:t>
      </w:r>
      <w:r>
        <w:rPr>
          <w:rFonts w:hint="eastAsia"/>
          <w:kern w:val="21"/>
          <w:sz w:val="24"/>
          <w:szCs w:val="24"/>
          <w:highlight w:val="none"/>
          <w:lang w:val="en-US" w:eastAsia="zh-CN"/>
        </w:rPr>
        <w:t>投标报价</w:t>
      </w:r>
      <w:r>
        <w:rPr>
          <w:rFonts w:hint="eastAsia" w:eastAsia="宋体"/>
          <w:kern w:val="21"/>
          <w:sz w:val="24"/>
          <w:szCs w:val="24"/>
          <w:highlight w:val="none"/>
        </w:rPr>
        <w:t>的</w:t>
      </w:r>
      <w:r>
        <w:rPr>
          <w:rFonts w:hint="eastAsia" w:eastAsia="宋体"/>
          <w:kern w:val="21"/>
          <w:sz w:val="24"/>
          <w:szCs w:val="24"/>
          <w:highlight w:val="none"/>
          <w:u w:val="single"/>
        </w:rPr>
        <w:t xml:space="preserve"> </w:t>
      </w:r>
      <w:r>
        <w:rPr>
          <w:rFonts w:hint="eastAsia"/>
          <w:kern w:val="21"/>
          <w:sz w:val="24"/>
          <w:szCs w:val="24"/>
          <w:highlight w:val="none"/>
          <w:u w:val="single"/>
          <w:lang w:val="en-US" w:eastAsia="zh-CN"/>
        </w:rPr>
        <w:t xml:space="preserve">   </w:t>
      </w:r>
      <w:r>
        <w:rPr>
          <w:rFonts w:hint="eastAsia" w:eastAsia="宋体"/>
          <w:kern w:val="21"/>
          <w:sz w:val="24"/>
          <w:szCs w:val="24"/>
          <w:highlight w:val="none"/>
          <w:u w:val="single"/>
          <w:lang w:val="en-US"/>
        </w:rPr>
        <w:t xml:space="preserve">  </w:t>
      </w:r>
      <w:r>
        <w:rPr>
          <w:rFonts w:hint="eastAsia" w:eastAsia="宋体"/>
          <w:kern w:val="21"/>
          <w:sz w:val="24"/>
          <w:szCs w:val="24"/>
          <w:highlight w:val="none"/>
        </w:rPr>
        <w:t>%；</w:t>
      </w:r>
    </w:p>
    <w:p w14:paraId="6529097F">
      <w:pPr>
        <w:pStyle w:val="91"/>
        <w:numPr>
          <w:ilvl w:val="1"/>
          <w:numId w:val="0"/>
        </w:numPr>
        <w:tabs>
          <w:tab w:val="left" w:pos="0"/>
          <w:tab w:val="left" w:pos="1296"/>
        </w:tabs>
        <w:spacing w:line="360" w:lineRule="auto"/>
        <w:ind w:firstLine="480" w:firstLineChars="200"/>
        <w:jc w:val="left"/>
        <w:rPr>
          <w:rFonts w:hint="eastAsia" w:eastAsia="宋体"/>
          <w:kern w:val="21"/>
          <w:sz w:val="24"/>
          <w:szCs w:val="24"/>
          <w:highlight w:val="none"/>
        </w:rPr>
      </w:pPr>
      <w:r>
        <w:rPr>
          <w:rFonts w:hint="eastAsia" w:eastAsia="宋体"/>
          <w:kern w:val="21"/>
          <w:sz w:val="24"/>
          <w:szCs w:val="24"/>
          <w:highlight w:val="none"/>
          <w:u w:val="single"/>
        </w:rPr>
        <w:t>(成员一名称)</w:t>
      </w:r>
      <w:r>
        <w:rPr>
          <w:rFonts w:hint="eastAsia" w:eastAsia="宋体"/>
          <w:kern w:val="21"/>
          <w:sz w:val="24"/>
          <w:szCs w:val="24"/>
          <w:highlight w:val="none"/>
        </w:rPr>
        <w:t>承担</w:t>
      </w:r>
      <w:r>
        <w:rPr>
          <w:rFonts w:hint="eastAsia" w:eastAsia="宋体"/>
          <w:kern w:val="21"/>
          <w:sz w:val="24"/>
          <w:szCs w:val="24"/>
          <w:highlight w:val="none"/>
          <w:u w:val="single"/>
        </w:rPr>
        <w:t xml:space="preserve">   </w:t>
      </w:r>
      <w:r>
        <w:rPr>
          <w:rFonts w:hint="eastAsia"/>
          <w:kern w:val="21"/>
          <w:sz w:val="24"/>
          <w:szCs w:val="24"/>
          <w:highlight w:val="none"/>
          <w:u w:val="single"/>
          <w:lang w:val="en-US" w:eastAsia="zh-CN"/>
        </w:rPr>
        <w:t xml:space="preserve">         </w:t>
      </w:r>
      <w:r>
        <w:rPr>
          <w:rFonts w:hint="eastAsia" w:eastAsia="宋体"/>
          <w:kern w:val="21"/>
          <w:sz w:val="24"/>
          <w:szCs w:val="24"/>
          <w:highlight w:val="none"/>
          <w:u w:val="single"/>
        </w:rPr>
        <w:t xml:space="preserve"> </w:t>
      </w:r>
      <w:r>
        <w:rPr>
          <w:rFonts w:hint="eastAsia" w:eastAsia="宋体"/>
          <w:kern w:val="21"/>
          <w:sz w:val="24"/>
          <w:szCs w:val="24"/>
          <w:highlight w:val="none"/>
          <w:u w:val="single"/>
        </w:rPr>
        <w:tab/>
      </w:r>
      <w:r>
        <w:rPr>
          <w:rFonts w:hint="eastAsia" w:eastAsia="宋体"/>
          <w:kern w:val="21"/>
          <w:sz w:val="24"/>
          <w:szCs w:val="24"/>
          <w:highlight w:val="none"/>
        </w:rPr>
        <w:t>专业工程，</w:t>
      </w:r>
      <w:r>
        <w:rPr>
          <w:rFonts w:hint="eastAsia" w:ascii="Times New Roman" w:eastAsia="宋体"/>
          <w:kern w:val="21"/>
          <w:sz w:val="24"/>
          <w:szCs w:val="24"/>
          <w:highlight w:val="none"/>
          <w:lang w:val="en-US" w:eastAsia="zh-CN"/>
        </w:rPr>
        <w:t>服务费用</w:t>
      </w:r>
      <w:r>
        <w:rPr>
          <w:rFonts w:hint="eastAsia" w:eastAsia="宋体"/>
          <w:kern w:val="21"/>
          <w:sz w:val="24"/>
          <w:szCs w:val="24"/>
          <w:highlight w:val="none"/>
        </w:rPr>
        <w:t>占总</w:t>
      </w:r>
      <w:r>
        <w:rPr>
          <w:rFonts w:hint="eastAsia" w:ascii="Times New Roman" w:eastAsia="宋体"/>
          <w:kern w:val="21"/>
          <w:sz w:val="24"/>
          <w:szCs w:val="24"/>
          <w:highlight w:val="none"/>
          <w:lang w:val="en-US" w:eastAsia="zh-CN"/>
        </w:rPr>
        <w:t>投标报价</w:t>
      </w:r>
      <w:r>
        <w:rPr>
          <w:rFonts w:hint="eastAsia" w:eastAsia="宋体"/>
          <w:kern w:val="21"/>
          <w:sz w:val="24"/>
          <w:szCs w:val="24"/>
          <w:highlight w:val="none"/>
        </w:rPr>
        <w:t>的</w:t>
      </w:r>
      <w:r>
        <w:rPr>
          <w:rFonts w:hint="eastAsia" w:eastAsia="宋体"/>
          <w:kern w:val="21"/>
          <w:sz w:val="24"/>
          <w:szCs w:val="24"/>
          <w:highlight w:val="none"/>
          <w:u w:val="single"/>
        </w:rPr>
        <w:t xml:space="preserve"> </w:t>
      </w:r>
      <w:r>
        <w:rPr>
          <w:rFonts w:hint="eastAsia"/>
          <w:kern w:val="21"/>
          <w:sz w:val="24"/>
          <w:szCs w:val="24"/>
          <w:highlight w:val="none"/>
          <w:u w:val="single"/>
          <w:lang w:val="en-US" w:eastAsia="zh-CN"/>
        </w:rPr>
        <w:t xml:space="preserve">     </w:t>
      </w:r>
      <w:r>
        <w:rPr>
          <w:rFonts w:hint="eastAsia" w:eastAsia="宋体"/>
          <w:kern w:val="21"/>
          <w:sz w:val="24"/>
          <w:szCs w:val="24"/>
          <w:highlight w:val="none"/>
        </w:rPr>
        <w:t>%。</w:t>
      </w:r>
    </w:p>
    <w:p w14:paraId="160A91FB">
      <w:pPr>
        <w:pStyle w:val="91"/>
        <w:numPr>
          <w:ilvl w:val="1"/>
          <w:numId w:val="0"/>
        </w:numPr>
        <w:tabs>
          <w:tab w:val="left" w:pos="0"/>
          <w:tab w:val="left" w:pos="1297"/>
        </w:tabs>
        <w:spacing w:line="360" w:lineRule="auto"/>
        <w:ind w:firstLine="480" w:firstLineChars="200"/>
        <w:jc w:val="left"/>
        <w:rPr>
          <w:rFonts w:hint="eastAsia" w:eastAsia="宋体"/>
          <w:kern w:val="21"/>
          <w:sz w:val="24"/>
          <w:szCs w:val="24"/>
          <w:highlight w:val="none"/>
        </w:rPr>
      </w:pPr>
      <w:r>
        <w:rPr>
          <w:rFonts w:eastAsia="宋体"/>
          <w:kern w:val="21"/>
          <w:sz w:val="24"/>
          <w:szCs w:val="24"/>
          <w:highlight w:val="none"/>
        </w:rPr>
        <w:t>5.</w:t>
      </w:r>
      <w:r>
        <w:rPr>
          <w:rFonts w:ascii="宋体" w:hAnsi="宋体" w:eastAsia="宋体" w:cs="宋体"/>
          <w:b w:val="0"/>
          <w:bCs w:val="0"/>
          <w:color w:val="000000"/>
          <w:sz w:val="24"/>
          <w:szCs w:val="24"/>
          <w:highlight w:val="none"/>
        </w:rPr>
        <w:t>若中标，联合体成员方的法定代表人将委托</w:t>
      </w:r>
      <w:r>
        <w:rPr>
          <w:rFonts w:hint="eastAsia" w:ascii="宋体" w:hAnsi="宋体" w:eastAsia="宋体" w:cs="宋体"/>
          <w:b w:val="0"/>
          <w:bCs w:val="0"/>
          <w:color w:val="000000"/>
          <w:sz w:val="24"/>
          <w:szCs w:val="24"/>
          <w:highlight w:val="none"/>
          <w:u w:val="single"/>
          <w:lang w:val="en-US" w:eastAsia="zh-CN"/>
        </w:rPr>
        <w:t xml:space="preserve">  （姓名）   </w:t>
      </w:r>
      <w:r>
        <w:rPr>
          <w:rFonts w:ascii="宋体" w:hAnsi="宋体" w:eastAsia="宋体" w:cs="宋体"/>
          <w:b w:val="0"/>
          <w:bCs w:val="0"/>
          <w:color w:val="000000"/>
          <w:sz w:val="24"/>
          <w:szCs w:val="24"/>
          <w:highlight w:val="none"/>
        </w:rPr>
        <w:t>为其代理人，签订合同和处理合同履行过程中的有关事宜，其法律后果由联合体成员方承担</w:t>
      </w:r>
      <w:r>
        <w:rPr>
          <w:rFonts w:hint="eastAsia" w:eastAsia="宋体"/>
          <w:kern w:val="21"/>
          <w:sz w:val="24"/>
          <w:szCs w:val="24"/>
          <w:highlight w:val="none"/>
        </w:rPr>
        <w:t>。</w:t>
      </w:r>
    </w:p>
    <w:p w14:paraId="1B459DA4">
      <w:pPr>
        <w:pStyle w:val="91"/>
        <w:numPr>
          <w:ilvl w:val="1"/>
          <w:numId w:val="0"/>
        </w:numPr>
        <w:tabs>
          <w:tab w:val="left" w:pos="0"/>
          <w:tab w:val="left" w:pos="1296"/>
        </w:tabs>
        <w:spacing w:line="360" w:lineRule="auto"/>
        <w:ind w:firstLine="480" w:firstLineChars="200"/>
        <w:jc w:val="left"/>
        <w:rPr>
          <w:rFonts w:hint="eastAsia" w:eastAsia="宋体"/>
          <w:kern w:val="21"/>
          <w:sz w:val="24"/>
          <w:szCs w:val="24"/>
          <w:highlight w:val="none"/>
        </w:rPr>
      </w:pPr>
      <w:r>
        <w:rPr>
          <w:rFonts w:eastAsia="宋体"/>
          <w:kern w:val="21"/>
          <w:sz w:val="24"/>
          <w:szCs w:val="24"/>
          <w:highlight w:val="none"/>
        </w:rPr>
        <w:t>6.</w:t>
      </w:r>
      <w:r>
        <w:rPr>
          <w:rFonts w:hint="eastAsia" w:eastAsia="宋体"/>
          <w:kern w:val="21"/>
          <w:sz w:val="24"/>
          <w:szCs w:val="24"/>
          <w:highlight w:val="none"/>
        </w:rPr>
        <w:t>本协议书自所有成员单位法定代表人签字</w:t>
      </w:r>
      <w:r>
        <w:rPr>
          <w:rFonts w:hint="eastAsia"/>
          <w:kern w:val="21"/>
          <w:sz w:val="24"/>
          <w:szCs w:val="24"/>
          <w:highlight w:val="none"/>
          <w:lang w:eastAsia="zh-CN"/>
        </w:rPr>
        <w:t>（</w:t>
      </w:r>
      <w:r>
        <w:rPr>
          <w:rFonts w:hint="eastAsia"/>
          <w:kern w:val="21"/>
          <w:sz w:val="24"/>
          <w:szCs w:val="24"/>
          <w:highlight w:val="none"/>
          <w:lang w:val="en-US" w:eastAsia="zh-CN"/>
        </w:rPr>
        <w:t>或盖章</w:t>
      </w:r>
      <w:r>
        <w:rPr>
          <w:rFonts w:hint="eastAsia"/>
          <w:kern w:val="21"/>
          <w:sz w:val="24"/>
          <w:szCs w:val="24"/>
          <w:highlight w:val="none"/>
          <w:lang w:eastAsia="zh-CN"/>
        </w:rPr>
        <w:t>）</w:t>
      </w:r>
      <w:r>
        <w:rPr>
          <w:rFonts w:hint="eastAsia" w:eastAsia="宋体"/>
          <w:kern w:val="21"/>
          <w:sz w:val="24"/>
          <w:szCs w:val="24"/>
          <w:highlight w:val="none"/>
        </w:rPr>
        <w:t>并加盖单位章之日起生效，合同履行完毕后自动失效。</w:t>
      </w:r>
    </w:p>
    <w:p w14:paraId="7BBDC79C">
      <w:pPr>
        <w:pStyle w:val="91"/>
        <w:numPr>
          <w:ilvl w:val="1"/>
          <w:numId w:val="0"/>
        </w:numPr>
        <w:tabs>
          <w:tab w:val="left" w:pos="0"/>
          <w:tab w:val="left" w:pos="1296"/>
          <w:tab w:val="left" w:pos="3330"/>
        </w:tabs>
        <w:spacing w:line="360" w:lineRule="auto"/>
        <w:ind w:firstLine="480" w:firstLineChars="200"/>
        <w:jc w:val="left"/>
        <w:rPr>
          <w:rFonts w:hint="eastAsia" w:eastAsia="宋体"/>
          <w:kern w:val="21"/>
          <w:sz w:val="24"/>
          <w:szCs w:val="24"/>
          <w:highlight w:val="none"/>
        </w:rPr>
      </w:pPr>
      <w:r>
        <w:rPr>
          <w:rFonts w:eastAsia="宋体"/>
          <w:kern w:val="21"/>
          <w:sz w:val="24"/>
          <w:szCs w:val="24"/>
          <w:highlight w:val="none"/>
        </w:rPr>
        <w:t>7.</w:t>
      </w:r>
      <w:r>
        <w:rPr>
          <w:rFonts w:hint="eastAsia" w:eastAsia="宋体"/>
          <w:kern w:val="21"/>
          <w:sz w:val="24"/>
          <w:szCs w:val="24"/>
          <w:highlight w:val="none"/>
        </w:rPr>
        <w:t>本协议书一式</w:t>
      </w:r>
      <w:r>
        <w:rPr>
          <w:rFonts w:hint="eastAsia" w:eastAsia="宋体"/>
          <w:kern w:val="21"/>
          <w:sz w:val="24"/>
          <w:szCs w:val="24"/>
          <w:highlight w:val="none"/>
          <w:u w:val="single"/>
        </w:rPr>
        <w:t xml:space="preserve"> </w:t>
      </w:r>
      <w:r>
        <w:rPr>
          <w:rFonts w:hint="eastAsia" w:eastAsia="宋体"/>
          <w:kern w:val="21"/>
          <w:sz w:val="24"/>
          <w:szCs w:val="24"/>
          <w:highlight w:val="none"/>
          <w:u w:val="single"/>
        </w:rPr>
        <w:tab/>
      </w:r>
      <w:r>
        <w:rPr>
          <w:rFonts w:hint="eastAsia" w:eastAsia="宋体"/>
          <w:kern w:val="21"/>
          <w:sz w:val="24"/>
          <w:szCs w:val="24"/>
          <w:highlight w:val="none"/>
        </w:rPr>
        <w:t>份，联合体成员和招标人各执一份。</w:t>
      </w:r>
    </w:p>
    <w:p w14:paraId="2DC03807">
      <w:pPr>
        <w:widowControl w:val="0"/>
        <w:tabs>
          <w:tab w:val="left" w:pos="0"/>
        </w:tabs>
        <w:autoSpaceDE w:val="0"/>
        <w:autoSpaceDN w:val="0"/>
        <w:spacing w:line="360" w:lineRule="auto"/>
        <w:ind w:firstLine="420" w:firstLineChars="200"/>
        <w:rPr>
          <w:rFonts w:hint="eastAsia" w:ascii="宋体" w:hAnsi="宋体" w:eastAsia="宋体" w:cs="宋体"/>
          <w:kern w:val="21"/>
          <w:sz w:val="21"/>
          <w:szCs w:val="21"/>
          <w:highlight w:val="none"/>
          <w:lang w:val="zh-CN" w:eastAsia="zh-CN" w:bidi="zh-CN"/>
        </w:rPr>
      </w:pPr>
    </w:p>
    <w:p w14:paraId="05FFB0DE">
      <w:pPr>
        <w:autoSpaceDE w:val="0"/>
        <w:autoSpaceDN w:val="0"/>
        <w:spacing w:line="360" w:lineRule="auto"/>
        <w:jc w:val="both"/>
        <w:rPr>
          <w:rFonts w:ascii="宋体" w:hAnsi="宋体" w:eastAsia="宋体" w:cs="宋体"/>
          <w:b w:val="0"/>
          <w:bCs w:val="0"/>
          <w:color w:val="000000"/>
          <w:sz w:val="24"/>
          <w:szCs w:val="24"/>
          <w:highlight w:val="none"/>
        </w:rPr>
      </w:pPr>
      <w:r>
        <w:rPr>
          <w:rFonts w:ascii="宋体" w:hAnsi="宋体" w:eastAsia="宋体" w:cs="宋体"/>
          <w:b w:val="0"/>
          <w:bCs w:val="0"/>
          <w:color w:val="000000"/>
          <w:sz w:val="24"/>
          <w:szCs w:val="24"/>
          <w:highlight w:val="none"/>
        </w:rPr>
        <w:t>联合体牵头人名称(盖单位公章或电子章)：</w:t>
      </w:r>
      <w:r>
        <w:rPr>
          <w:rFonts w:hint="eastAsia" w:ascii="宋体" w:hAnsi="宋体" w:eastAsia="宋体" w:cs="宋体"/>
          <w:b w:val="0"/>
          <w:bCs w:val="0"/>
          <w:color w:val="000000"/>
          <w:sz w:val="24"/>
          <w:szCs w:val="24"/>
          <w:highlight w:val="none"/>
          <w:u w:val="single"/>
          <w:lang w:val="en-US" w:eastAsia="zh-CN"/>
        </w:rPr>
        <w:t xml:space="preserve">                                    </w:t>
      </w:r>
      <w:r>
        <w:rPr>
          <w:rFonts w:ascii="宋体" w:hAnsi="宋体" w:eastAsia="宋体" w:cs="宋体"/>
          <w:b w:val="0"/>
          <w:bCs w:val="0"/>
          <w:color w:val="000000"/>
          <w:sz w:val="24"/>
          <w:szCs w:val="24"/>
          <w:highlight w:val="none"/>
        </w:rPr>
        <w:t xml:space="preserve"> </w:t>
      </w:r>
    </w:p>
    <w:p w14:paraId="651954C3">
      <w:pPr>
        <w:autoSpaceDE w:val="0"/>
        <w:autoSpaceDN w:val="0"/>
        <w:spacing w:line="360" w:lineRule="auto"/>
        <w:jc w:val="both"/>
        <w:rPr>
          <w:rFonts w:ascii="宋体" w:hAnsi="宋体" w:eastAsia="宋体" w:cs="宋体"/>
          <w:b w:val="0"/>
          <w:bCs w:val="0"/>
          <w:color w:val="000000"/>
          <w:sz w:val="24"/>
          <w:szCs w:val="24"/>
          <w:highlight w:val="none"/>
        </w:rPr>
      </w:pPr>
      <w:r>
        <w:rPr>
          <w:rFonts w:ascii="宋体" w:hAnsi="宋体" w:eastAsia="宋体" w:cs="宋体"/>
          <w:b w:val="0"/>
          <w:bCs w:val="0"/>
          <w:color w:val="000000"/>
          <w:sz w:val="24"/>
          <w:szCs w:val="24"/>
          <w:highlight w:val="none"/>
        </w:rPr>
        <w:t>法定代表人(亲笔签名或使用印章、签名章或其他电子制版签名）：</w:t>
      </w:r>
      <w:r>
        <w:rPr>
          <w:rFonts w:hint="eastAsia" w:ascii="宋体" w:hAnsi="宋体" w:eastAsia="宋体" w:cs="宋体"/>
          <w:b w:val="0"/>
          <w:bCs w:val="0"/>
          <w:color w:val="000000"/>
          <w:sz w:val="24"/>
          <w:szCs w:val="24"/>
          <w:highlight w:val="none"/>
          <w:u w:val="single"/>
          <w:lang w:val="en-US" w:eastAsia="zh-CN"/>
        </w:rPr>
        <w:t xml:space="preserve">               </w:t>
      </w:r>
      <w:r>
        <w:rPr>
          <w:rFonts w:ascii="宋体" w:hAnsi="宋体" w:eastAsia="宋体" w:cs="宋体"/>
          <w:b w:val="0"/>
          <w:bCs w:val="0"/>
          <w:color w:val="000000"/>
          <w:sz w:val="24"/>
          <w:szCs w:val="24"/>
          <w:highlight w:val="none"/>
        </w:rPr>
        <w:t xml:space="preserve">  </w:t>
      </w:r>
    </w:p>
    <w:p w14:paraId="34F2650E">
      <w:pPr>
        <w:autoSpaceDE w:val="0"/>
        <w:autoSpaceDN w:val="0"/>
        <w:spacing w:line="360" w:lineRule="auto"/>
        <w:jc w:val="right"/>
        <w:rPr>
          <w:rFonts w:ascii="宋体" w:hAnsi="宋体" w:eastAsia="宋体" w:cs="宋体"/>
          <w:b w:val="0"/>
          <w:bCs w:val="0"/>
          <w:color w:val="000000"/>
          <w:sz w:val="24"/>
          <w:szCs w:val="24"/>
          <w:highlight w:val="none"/>
        </w:rPr>
      </w:pPr>
    </w:p>
    <w:p w14:paraId="00F6C6FB">
      <w:pPr>
        <w:autoSpaceDE w:val="0"/>
        <w:autoSpaceDN w:val="0"/>
        <w:spacing w:line="360" w:lineRule="auto"/>
        <w:jc w:val="both"/>
        <w:rPr>
          <w:rFonts w:ascii="宋体" w:hAnsi="宋体" w:eastAsia="宋体" w:cs="宋体"/>
          <w:b w:val="0"/>
          <w:bCs w:val="0"/>
          <w:color w:val="000000"/>
          <w:sz w:val="24"/>
          <w:szCs w:val="24"/>
          <w:highlight w:val="none"/>
        </w:rPr>
      </w:pPr>
      <w:r>
        <w:rPr>
          <w:rFonts w:ascii="宋体" w:hAnsi="宋体" w:eastAsia="宋体" w:cs="宋体"/>
          <w:b w:val="0"/>
          <w:bCs w:val="0"/>
          <w:color w:val="000000"/>
          <w:sz w:val="24"/>
          <w:szCs w:val="24"/>
          <w:highlight w:val="none"/>
        </w:rPr>
        <w:t xml:space="preserve">联合体成员名称(盖单位公章或电子章)： </w:t>
      </w:r>
      <w:r>
        <w:rPr>
          <w:rFonts w:hint="eastAsia" w:ascii="宋体" w:hAnsi="宋体" w:eastAsia="宋体" w:cs="宋体"/>
          <w:b w:val="0"/>
          <w:bCs w:val="0"/>
          <w:color w:val="000000"/>
          <w:sz w:val="24"/>
          <w:szCs w:val="24"/>
          <w:highlight w:val="none"/>
          <w:u w:val="single"/>
          <w:lang w:val="en-US" w:eastAsia="zh-CN"/>
        </w:rPr>
        <w:t xml:space="preserve">                                     </w:t>
      </w:r>
      <w:r>
        <w:rPr>
          <w:rFonts w:ascii="宋体" w:hAnsi="宋体" w:eastAsia="宋体" w:cs="宋体"/>
          <w:b w:val="0"/>
          <w:bCs w:val="0"/>
          <w:color w:val="000000"/>
          <w:sz w:val="24"/>
          <w:szCs w:val="24"/>
          <w:highlight w:val="none"/>
        </w:rPr>
        <w:t xml:space="preserve"> </w:t>
      </w:r>
    </w:p>
    <w:p w14:paraId="3620DA2C">
      <w:pPr>
        <w:spacing w:line="360" w:lineRule="auto"/>
        <w:ind w:firstLine="480" w:firstLineChars="200"/>
        <w:rPr>
          <w:rFonts w:ascii="Garamond" w:hAnsi="Garamond"/>
          <w:color w:val="auto"/>
          <w:szCs w:val="21"/>
          <w:highlight w:val="none"/>
        </w:rPr>
      </w:pPr>
      <w:r>
        <w:rPr>
          <w:rFonts w:ascii="宋体" w:hAnsi="宋体" w:eastAsia="宋体" w:cs="宋体"/>
          <w:b w:val="0"/>
          <w:bCs w:val="0"/>
          <w:color w:val="000000"/>
          <w:sz w:val="24"/>
          <w:szCs w:val="24"/>
          <w:highlight w:val="none"/>
        </w:rPr>
        <w:t>法定代表人(亲笔签名或使用印章、签名章或其他电子制版签名）：</w:t>
      </w:r>
      <w:r>
        <w:rPr>
          <w:rFonts w:hint="eastAsia" w:ascii="宋体" w:hAnsi="宋体" w:eastAsia="宋体" w:cs="宋体"/>
          <w:b w:val="0"/>
          <w:bCs w:val="0"/>
          <w:color w:val="000000"/>
          <w:sz w:val="24"/>
          <w:szCs w:val="24"/>
          <w:highlight w:val="none"/>
          <w:u w:val="single"/>
          <w:lang w:val="en-US" w:eastAsia="zh-CN"/>
        </w:rPr>
        <w:t xml:space="preserve">               </w:t>
      </w:r>
      <w:r>
        <w:rPr>
          <w:rFonts w:ascii="宋体" w:hAnsi="宋体" w:eastAsia="宋体" w:cs="宋体"/>
          <w:b w:val="0"/>
          <w:bCs w:val="0"/>
          <w:color w:val="000000"/>
          <w:sz w:val="24"/>
          <w:szCs w:val="24"/>
          <w:highlight w:val="none"/>
        </w:rPr>
        <w:t xml:space="preserve"> </w:t>
      </w:r>
    </w:p>
    <w:p w14:paraId="33811CCD">
      <w:pPr>
        <w:spacing w:line="340" w:lineRule="exact"/>
        <w:ind w:right="240" w:firstLine="480"/>
        <w:jc w:val="center"/>
        <w:rPr>
          <w:rFonts w:ascii="Garamond" w:hAnsi="Garamond"/>
          <w:color w:val="auto"/>
          <w:szCs w:val="21"/>
          <w:highlight w:val="none"/>
        </w:rPr>
      </w:pPr>
    </w:p>
    <w:p w14:paraId="07B5D09F">
      <w:pPr>
        <w:pStyle w:val="3"/>
        <w:jc w:val="center"/>
        <w:rPr>
          <w:color w:val="auto"/>
          <w:highlight w:val="none"/>
        </w:rPr>
      </w:pPr>
      <w:r>
        <w:rPr>
          <w:rFonts w:ascii="Garamond" w:hAnsi="Garamond"/>
          <w:color w:val="auto"/>
          <w:szCs w:val="21"/>
          <w:highlight w:val="none"/>
        </w:rPr>
        <w:br w:type="page"/>
      </w:r>
      <w:r>
        <w:rPr>
          <w:rFonts w:ascii="Garamond" w:hAnsi="Garamond"/>
          <w:color w:val="auto"/>
          <w:sz w:val="28"/>
          <w:szCs w:val="28"/>
          <w:highlight w:val="none"/>
        </w:rPr>
        <w:t>四、</w:t>
      </w:r>
      <w:r>
        <w:rPr>
          <w:rFonts w:hint="eastAsia" w:ascii="Times New Roman" w:hAnsi="Times New Roman"/>
          <w:color w:val="auto"/>
          <w:highlight w:val="none"/>
        </w:rPr>
        <w:t>资料真实性承诺书</w:t>
      </w:r>
    </w:p>
    <w:p w14:paraId="6D04E335">
      <w:pPr>
        <w:pStyle w:val="16"/>
        <w:adjustRightInd w:val="0"/>
        <w:spacing w:line="480" w:lineRule="auto"/>
        <w:rPr>
          <w:rFonts w:hint="eastAsia" w:ascii="宋体" w:hAnsi="宋体" w:eastAsia="宋体"/>
          <w:color w:val="auto"/>
          <w:szCs w:val="21"/>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南通市交通公共事业发展中心</w:t>
      </w:r>
    </w:p>
    <w:p w14:paraId="300A6E1F">
      <w:pPr>
        <w:pStyle w:val="16"/>
        <w:adjustRightInd w:val="0"/>
        <w:spacing w:line="48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根据贵方招标公告，本签字人愿意参加</w:t>
      </w:r>
      <w:r>
        <w:rPr>
          <w:color w:val="auto"/>
          <w:szCs w:val="21"/>
          <w:highlight w:val="none"/>
          <w:u w:val="single"/>
        </w:rPr>
        <w:t xml:space="preserve">               </w:t>
      </w:r>
      <w:r>
        <w:rPr>
          <w:rFonts w:hAnsi="宋体"/>
          <w:color w:val="auto"/>
          <w:szCs w:val="21"/>
          <w:highlight w:val="none"/>
        </w:rPr>
        <w:t>（项目名称）</w:t>
      </w:r>
      <w:r>
        <w:rPr>
          <w:color w:val="auto"/>
          <w:szCs w:val="21"/>
          <w:highlight w:val="none"/>
        </w:rPr>
        <w:t xml:space="preserve"> _______</w:t>
      </w:r>
      <w:r>
        <w:rPr>
          <w:rFonts w:hAnsi="宋体"/>
          <w:color w:val="auto"/>
          <w:szCs w:val="21"/>
          <w:highlight w:val="none"/>
        </w:rPr>
        <w:t>标段的投标</w:t>
      </w:r>
      <w:r>
        <w:rPr>
          <w:rFonts w:hint="eastAsia" w:ascii="宋体" w:hAnsi="宋体" w:cs="宋体"/>
          <w:color w:val="auto"/>
          <w:szCs w:val="21"/>
          <w:highlight w:val="none"/>
        </w:rPr>
        <w:t>。我们在此承诺，此次递交的投标文件内容完整、真实、准确，你单位有权为证实我单位所递交的证明文件、资料的真实性等进行调查核实，如有虚假，我方愿接受你方对此作出的一切处罚。</w:t>
      </w:r>
    </w:p>
    <w:p w14:paraId="5439494B">
      <w:pPr>
        <w:pStyle w:val="16"/>
        <w:adjustRightInd w:val="0"/>
        <w:spacing w:line="480" w:lineRule="auto"/>
        <w:ind w:firstLine="499" w:firstLineChars="238"/>
        <w:rPr>
          <w:rFonts w:ascii="宋体" w:hAnsi="宋体"/>
          <w:color w:val="auto"/>
          <w:szCs w:val="21"/>
          <w:highlight w:val="none"/>
        </w:rPr>
      </w:pPr>
    </w:p>
    <w:p w14:paraId="77567530">
      <w:pPr>
        <w:pStyle w:val="16"/>
        <w:adjustRightInd w:val="0"/>
        <w:spacing w:line="480" w:lineRule="auto"/>
        <w:ind w:firstLine="499" w:firstLineChars="238"/>
        <w:rPr>
          <w:rFonts w:ascii="宋体" w:hAnsi="宋体"/>
          <w:color w:val="auto"/>
          <w:szCs w:val="21"/>
          <w:highlight w:val="none"/>
        </w:rPr>
      </w:pPr>
    </w:p>
    <w:p w14:paraId="13221C28">
      <w:pPr>
        <w:pStyle w:val="16"/>
        <w:adjustRightInd w:val="0"/>
        <w:spacing w:line="480" w:lineRule="auto"/>
        <w:ind w:firstLine="3542" w:firstLineChars="1687"/>
        <w:rPr>
          <w:rFonts w:ascii="宋体" w:hAnsi="宋体"/>
          <w:color w:val="auto"/>
          <w:szCs w:val="21"/>
          <w:highlight w:val="none"/>
        </w:rPr>
      </w:pPr>
      <w:r>
        <w:rPr>
          <w:rFonts w:hint="eastAsia" w:ascii="宋体" w:hAnsi="宋体" w:cs="宋体"/>
          <w:color w:val="auto"/>
          <w:szCs w:val="21"/>
          <w:highlight w:val="none"/>
        </w:rPr>
        <w:t xml:space="preserve">投 </w:t>
      </w:r>
      <w:r>
        <w:rPr>
          <w:rFonts w:ascii="宋体" w:hAnsi="宋体" w:cs="宋体"/>
          <w:color w:val="auto"/>
          <w:szCs w:val="21"/>
          <w:highlight w:val="none"/>
        </w:rPr>
        <w:t xml:space="preserve">  </w:t>
      </w:r>
      <w:r>
        <w:rPr>
          <w:rFonts w:hint="eastAsia" w:ascii="宋体" w:hAnsi="宋体" w:cs="宋体"/>
          <w:color w:val="auto"/>
          <w:szCs w:val="21"/>
          <w:highlight w:val="none"/>
        </w:rPr>
        <w:t>标</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（全称）（盖单位公章）</w:t>
      </w:r>
    </w:p>
    <w:p w14:paraId="08B068F3">
      <w:pPr>
        <w:pStyle w:val="16"/>
        <w:adjustRightInd w:val="0"/>
        <w:spacing w:line="480" w:lineRule="auto"/>
        <w:ind w:firstLine="3542" w:firstLineChars="1687"/>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亲笔签名</w:t>
      </w:r>
      <w:r>
        <w:rPr>
          <w:rFonts w:hint="eastAsia" w:ascii="宋体" w:hAnsi="宋体" w:cs="宋体"/>
          <w:color w:val="auto"/>
          <w:szCs w:val="21"/>
          <w:highlight w:val="none"/>
          <w:u w:val="single"/>
        </w:rPr>
        <w:t>）</w:t>
      </w:r>
      <w:r>
        <w:rPr>
          <w:rFonts w:ascii="宋体" w:hAnsi="宋体" w:cs="宋体"/>
          <w:color w:val="auto"/>
          <w:szCs w:val="21"/>
          <w:highlight w:val="none"/>
        </w:rPr>
        <w:t xml:space="preserve">    </w:t>
      </w:r>
    </w:p>
    <w:p w14:paraId="5D5F389C">
      <w:pPr>
        <w:pStyle w:val="16"/>
        <w:adjustRightInd w:val="0"/>
        <w:spacing w:line="480" w:lineRule="auto"/>
        <w:ind w:firstLine="3227" w:firstLineChars="1537"/>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6DF0A1F1">
      <w:pPr>
        <w:pStyle w:val="16"/>
        <w:adjustRightInd w:val="0"/>
        <w:spacing w:line="480" w:lineRule="auto"/>
        <w:rPr>
          <w:rFonts w:ascii="宋体" w:hAnsi="宋体" w:cs="宋体"/>
          <w:color w:val="auto"/>
          <w:szCs w:val="21"/>
          <w:highlight w:val="none"/>
        </w:rPr>
      </w:pPr>
      <w:r>
        <w:rPr>
          <w:rFonts w:ascii="宋体" w:hAnsi="宋体" w:eastAsia="宋体" w:cs="宋体"/>
          <w:b/>
          <w:bCs/>
          <w:color w:val="000000"/>
          <w:sz w:val="21"/>
          <w:szCs w:val="21"/>
          <w:highlight w:val="none"/>
        </w:rPr>
        <w:t>注：联合体投标的，由联合体牵头人签署。</w:t>
      </w:r>
    </w:p>
    <w:p w14:paraId="2442F2F9">
      <w:pPr>
        <w:pStyle w:val="3"/>
        <w:jc w:val="center"/>
        <w:rPr>
          <w:rFonts w:ascii="Times New Roman" w:hAnsi="Times New Roman"/>
          <w:color w:val="auto"/>
          <w:highlight w:val="none"/>
        </w:rPr>
      </w:pPr>
    </w:p>
    <w:p w14:paraId="7F138F07">
      <w:pPr>
        <w:pStyle w:val="4"/>
        <w:jc w:val="center"/>
        <w:rPr>
          <w:rFonts w:ascii="Garamond" w:hAnsi="Garamond"/>
          <w:color w:val="auto"/>
          <w:sz w:val="28"/>
          <w:szCs w:val="28"/>
          <w:highlight w:val="none"/>
        </w:rPr>
      </w:pPr>
      <w:r>
        <w:rPr>
          <w:color w:val="auto"/>
          <w:highlight w:val="none"/>
        </w:rPr>
        <w:br w:type="page"/>
      </w:r>
    </w:p>
    <w:p w14:paraId="0D123719">
      <w:pPr>
        <w:pStyle w:val="4"/>
        <w:jc w:val="center"/>
        <w:rPr>
          <w:rFonts w:ascii="Garamond" w:hAnsi="Garamond"/>
          <w:color w:val="auto"/>
          <w:sz w:val="28"/>
          <w:szCs w:val="28"/>
          <w:highlight w:val="none"/>
        </w:rPr>
      </w:pPr>
      <w:r>
        <w:rPr>
          <w:rFonts w:hint="eastAsia" w:ascii="Garamond" w:hAnsi="Garamond"/>
          <w:color w:val="auto"/>
          <w:sz w:val="28"/>
          <w:szCs w:val="28"/>
          <w:highlight w:val="none"/>
        </w:rPr>
        <w:t>五、工作大纲</w:t>
      </w:r>
    </w:p>
    <w:p w14:paraId="1B60D138">
      <w:pPr>
        <w:spacing w:line="360" w:lineRule="auto"/>
        <w:ind w:firstLine="420" w:firstLineChars="200"/>
        <w:rPr>
          <w:rFonts w:ascii="Garamond" w:hAnsi="Garamond"/>
          <w:snapToGrid w:val="0"/>
          <w:color w:val="auto"/>
          <w:kern w:val="0"/>
          <w:szCs w:val="21"/>
          <w:highlight w:val="none"/>
        </w:rPr>
      </w:pPr>
      <w:r>
        <w:rPr>
          <w:rFonts w:ascii="Garamond" w:hAnsi="Garamond"/>
          <w:snapToGrid w:val="0"/>
          <w:color w:val="auto"/>
          <w:kern w:val="0"/>
          <w:szCs w:val="21"/>
          <w:highlight w:val="none"/>
        </w:rPr>
        <w:t>具体但不限于以下内容：</w:t>
      </w:r>
    </w:p>
    <w:p w14:paraId="0678DD8C">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一）项目概述；</w:t>
      </w:r>
    </w:p>
    <w:p w14:paraId="2C9855DC">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二）对项目理解和核查背景的认识；</w:t>
      </w:r>
    </w:p>
    <w:p w14:paraId="78A4259C">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三）检测及核查工作的程序与方法；（包括但不限于以下内容）</w:t>
      </w:r>
    </w:p>
    <w:p w14:paraId="57CE47E6">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1、工作的依据，执行的有关技术规范；</w:t>
      </w:r>
    </w:p>
    <w:p w14:paraId="1C2C41C9">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2、工作的程序；</w:t>
      </w:r>
    </w:p>
    <w:p w14:paraId="6A1269B1">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3、检测及核查的内容、方法、手段；</w:t>
      </w:r>
    </w:p>
    <w:p w14:paraId="4C11A1F3">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4、检测及核查工作报告格式及内容；</w:t>
      </w:r>
    </w:p>
    <w:p w14:paraId="20A48575">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四）招标项目的特点关键技术问题、重点、难点的认识及对策措施；</w:t>
      </w:r>
    </w:p>
    <w:p w14:paraId="5FC6A413">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hint="eastAsia" w:ascii="Garamond" w:hAnsi="Garamond"/>
          <w:snapToGrid w:val="0"/>
          <w:color w:val="auto"/>
          <w:kern w:val="0"/>
          <w:sz w:val="21"/>
          <w:szCs w:val="21"/>
          <w:highlight w:val="none"/>
        </w:rPr>
        <w:t>五）拟投入检测的主要设备（包括设备性能的评价）、人员计划（人员资质、数量及投入时间）；</w:t>
      </w:r>
    </w:p>
    <w:p w14:paraId="007CBECE">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hint="eastAsia" w:ascii="Garamond" w:hAnsi="Garamond"/>
          <w:snapToGrid w:val="0"/>
          <w:color w:val="auto"/>
          <w:kern w:val="0"/>
          <w:sz w:val="21"/>
          <w:szCs w:val="21"/>
          <w:highlight w:val="none"/>
        </w:rPr>
        <w:t>六</w:t>
      </w:r>
      <w:r>
        <w:rPr>
          <w:rFonts w:ascii="Garamond" w:hAnsi="Garamond"/>
          <w:snapToGrid w:val="0"/>
          <w:color w:val="auto"/>
          <w:kern w:val="0"/>
          <w:sz w:val="21"/>
          <w:szCs w:val="21"/>
          <w:highlight w:val="none"/>
        </w:rPr>
        <w:t>）工作计划与质量管理措施</w:t>
      </w:r>
    </w:p>
    <w:p w14:paraId="1ED714FF">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1、控制工作服务的目标；</w:t>
      </w:r>
    </w:p>
    <w:p w14:paraId="428F4166">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2、保证工程质量的技术措施；</w:t>
      </w:r>
    </w:p>
    <w:p w14:paraId="3C8C1F01">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3、控制工作进度计划及保证工作进度的措施；</w:t>
      </w:r>
    </w:p>
    <w:p w14:paraId="30DFF49F">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4、控制工作质量与服务保证措施、安全生产管理措施；</w:t>
      </w:r>
    </w:p>
    <w:p w14:paraId="7748A8DB">
      <w:pPr>
        <w:pStyle w:val="147"/>
        <w:tabs>
          <w:tab w:val="left" w:pos="900"/>
        </w:tabs>
        <w:spacing w:line="360" w:lineRule="auto"/>
        <w:ind w:left="0" w:firstLine="420" w:firstLineChars="200"/>
        <w:rPr>
          <w:rFonts w:ascii="Garamond" w:hAnsi="Garamond"/>
          <w:snapToGrid w:val="0"/>
          <w:color w:val="auto"/>
          <w:kern w:val="0"/>
          <w:sz w:val="21"/>
          <w:szCs w:val="21"/>
          <w:highlight w:val="none"/>
        </w:rPr>
      </w:pPr>
      <w:r>
        <w:rPr>
          <w:rFonts w:ascii="Garamond" w:hAnsi="Garamond"/>
          <w:snapToGrid w:val="0"/>
          <w:color w:val="auto"/>
          <w:kern w:val="0"/>
          <w:sz w:val="21"/>
          <w:szCs w:val="21"/>
          <w:highlight w:val="none"/>
        </w:rPr>
        <w:t>5、配合、协调工作的要求等其它事项；</w:t>
      </w:r>
    </w:p>
    <w:p w14:paraId="16681807">
      <w:pPr>
        <w:spacing w:line="360" w:lineRule="auto"/>
        <w:ind w:firstLine="420" w:firstLineChars="200"/>
        <w:rPr>
          <w:rFonts w:ascii="Garamond" w:hAnsi="Garamond"/>
          <w:snapToGrid w:val="0"/>
          <w:color w:val="auto"/>
          <w:kern w:val="0"/>
          <w:szCs w:val="21"/>
          <w:highlight w:val="none"/>
        </w:rPr>
      </w:pPr>
      <w:r>
        <w:rPr>
          <w:rFonts w:hint="eastAsia" w:ascii="Garamond" w:hAnsi="Garamond"/>
          <w:snapToGrid w:val="0"/>
          <w:color w:val="auto"/>
          <w:kern w:val="0"/>
          <w:szCs w:val="21"/>
          <w:highlight w:val="none"/>
        </w:rPr>
        <w:t>七</w:t>
      </w:r>
      <w:r>
        <w:rPr>
          <w:rFonts w:ascii="Garamond" w:hAnsi="Garamond"/>
          <w:snapToGrid w:val="0"/>
          <w:color w:val="auto"/>
          <w:kern w:val="0"/>
          <w:szCs w:val="21"/>
          <w:highlight w:val="none"/>
        </w:rPr>
        <w:t>）后续服务的安排及保证措施</w:t>
      </w:r>
    </w:p>
    <w:p w14:paraId="7346FD88">
      <w:pPr>
        <w:spacing w:line="360" w:lineRule="auto"/>
        <w:ind w:firstLine="420" w:firstLineChars="200"/>
        <w:rPr>
          <w:rFonts w:ascii="Garamond" w:hAnsi="Garamond"/>
          <w:snapToGrid w:val="0"/>
          <w:color w:val="auto"/>
          <w:kern w:val="0"/>
          <w:szCs w:val="21"/>
          <w:highlight w:val="none"/>
        </w:rPr>
      </w:pPr>
      <w:r>
        <w:rPr>
          <w:rFonts w:hint="eastAsia" w:ascii="Garamond" w:hAnsi="Garamond"/>
          <w:snapToGrid w:val="0"/>
          <w:color w:val="auto"/>
          <w:kern w:val="0"/>
          <w:szCs w:val="21"/>
          <w:highlight w:val="none"/>
        </w:rPr>
        <w:t>八</w:t>
      </w:r>
      <w:r>
        <w:rPr>
          <w:rFonts w:ascii="Garamond" w:hAnsi="Garamond"/>
          <w:snapToGrid w:val="0"/>
          <w:color w:val="auto"/>
          <w:kern w:val="0"/>
          <w:szCs w:val="21"/>
          <w:highlight w:val="none"/>
        </w:rPr>
        <w:t>）建议及其它</w:t>
      </w:r>
    </w:p>
    <w:p w14:paraId="2E631D32">
      <w:pPr>
        <w:spacing w:before="120" w:beforeLines="50" w:line="360" w:lineRule="auto"/>
        <w:ind w:right="238" w:firstLine="945" w:firstLineChars="450"/>
        <w:rPr>
          <w:rFonts w:ascii="Garamond" w:hAnsi="Garamond"/>
          <w:color w:val="auto"/>
          <w:szCs w:val="21"/>
          <w:highlight w:val="none"/>
        </w:rPr>
      </w:pPr>
    </w:p>
    <w:p w14:paraId="403781AA">
      <w:pPr>
        <w:spacing w:line="360" w:lineRule="auto"/>
        <w:ind w:right="240" w:firstLine="480"/>
        <w:rPr>
          <w:rFonts w:ascii="Garamond" w:hAnsi="Garamond"/>
          <w:color w:val="auto"/>
          <w:szCs w:val="21"/>
          <w:highlight w:val="none"/>
        </w:rPr>
      </w:pPr>
    </w:p>
    <w:p w14:paraId="1546206C">
      <w:pPr>
        <w:spacing w:line="360" w:lineRule="auto"/>
        <w:ind w:right="240" w:firstLine="480"/>
        <w:rPr>
          <w:rFonts w:ascii="Garamond" w:hAnsi="Garamond"/>
          <w:color w:val="auto"/>
          <w:szCs w:val="21"/>
          <w:highlight w:val="none"/>
        </w:rPr>
      </w:pPr>
    </w:p>
    <w:p w14:paraId="02F88DAF">
      <w:pPr>
        <w:spacing w:line="360" w:lineRule="auto"/>
        <w:ind w:right="240" w:firstLine="480"/>
        <w:rPr>
          <w:rFonts w:ascii="Garamond" w:hAnsi="Garamond"/>
          <w:color w:val="auto"/>
          <w:szCs w:val="21"/>
          <w:highlight w:val="none"/>
        </w:rPr>
      </w:pPr>
    </w:p>
    <w:p w14:paraId="3EB7ABAB">
      <w:pPr>
        <w:spacing w:line="360" w:lineRule="auto"/>
        <w:ind w:right="240" w:firstLine="480"/>
        <w:rPr>
          <w:rFonts w:ascii="Garamond" w:hAnsi="Garamond"/>
          <w:color w:val="auto"/>
          <w:szCs w:val="21"/>
          <w:highlight w:val="none"/>
        </w:rPr>
      </w:pPr>
    </w:p>
    <w:p w14:paraId="027B2ED2">
      <w:pPr>
        <w:spacing w:line="360" w:lineRule="auto"/>
        <w:ind w:right="240" w:firstLine="480"/>
        <w:rPr>
          <w:rFonts w:ascii="Garamond" w:hAnsi="Garamond"/>
          <w:color w:val="auto"/>
          <w:szCs w:val="21"/>
          <w:highlight w:val="none"/>
        </w:rPr>
      </w:pPr>
    </w:p>
    <w:p w14:paraId="264EC4B6">
      <w:pPr>
        <w:spacing w:line="360" w:lineRule="auto"/>
        <w:ind w:right="240" w:firstLine="480"/>
        <w:rPr>
          <w:rFonts w:ascii="Garamond" w:hAnsi="Garamond"/>
          <w:color w:val="auto"/>
          <w:szCs w:val="21"/>
          <w:highlight w:val="none"/>
        </w:rPr>
      </w:pPr>
    </w:p>
    <w:p w14:paraId="3003FEEC">
      <w:pPr>
        <w:spacing w:line="360" w:lineRule="auto"/>
        <w:ind w:right="240" w:firstLine="480"/>
        <w:rPr>
          <w:rFonts w:ascii="Garamond" w:hAnsi="Garamond"/>
          <w:color w:val="auto"/>
          <w:szCs w:val="21"/>
          <w:highlight w:val="none"/>
        </w:rPr>
      </w:pPr>
    </w:p>
    <w:p w14:paraId="4B178ACC">
      <w:pPr>
        <w:spacing w:line="360" w:lineRule="auto"/>
        <w:ind w:right="240" w:firstLine="480"/>
        <w:rPr>
          <w:rFonts w:ascii="Garamond" w:hAnsi="Garamond"/>
          <w:color w:val="auto"/>
          <w:szCs w:val="21"/>
          <w:highlight w:val="none"/>
        </w:rPr>
      </w:pPr>
    </w:p>
    <w:p w14:paraId="50C237E9">
      <w:pPr>
        <w:spacing w:line="360" w:lineRule="auto"/>
        <w:ind w:right="240" w:firstLine="480"/>
        <w:rPr>
          <w:rFonts w:ascii="Garamond" w:hAnsi="Garamond"/>
          <w:color w:val="auto"/>
          <w:szCs w:val="21"/>
          <w:highlight w:val="none"/>
        </w:rPr>
      </w:pPr>
    </w:p>
    <w:p w14:paraId="52F46AFE">
      <w:pPr>
        <w:spacing w:line="360" w:lineRule="auto"/>
        <w:ind w:right="240" w:firstLine="480"/>
        <w:rPr>
          <w:rFonts w:ascii="Garamond" w:hAnsi="Garamond"/>
          <w:color w:val="auto"/>
          <w:szCs w:val="21"/>
          <w:highlight w:val="none"/>
        </w:rPr>
      </w:pPr>
    </w:p>
    <w:p w14:paraId="67168CCC">
      <w:pPr>
        <w:spacing w:line="360" w:lineRule="auto"/>
        <w:jc w:val="center"/>
        <w:rPr>
          <w:rFonts w:ascii="Garamond" w:hAnsi="Garamond"/>
          <w:b/>
          <w:color w:val="auto"/>
          <w:sz w:val="30"/>
          <w:szCs w:val="30"/>
          <w:highlight w:val="none"/>
        </w:rPr>
        <w:sectPr>
          <w:pgSz w:w="11906" w:h="16838"/>
          <w:pgMar w:top="1417" w:right="1247" w:bottom="1417" w:left="1417" w:header="851" w:footer="680" w:gutter="0"/>
          <w:pgNumType w:fmt="decimalFullWidth"/>
          <w:cols w:space="0" w:num="1"/>
          <w:docGrid w:linePitch="312" w:charSpace="0"/>
        </w:sectPr>
      </w:pPr>
    </w:p>
    <w:p w14:paraId="71D04FCC">
      <w:pPr>
        <w:pStyle w:val="4"/>
        <w:jc w:val="center"/>
        <w:rPr>
          <w:rFonts w:ascii="Garamond" w:hAnsi="Garamond"/>
          <w:color w:val="auto"/>
          <w:sz w:val="28"/>
          <w:szCs w:val="28"/>
          <w:highlight w:val="none"/>
        </w:rPr>
      </w:pPr>
      <w:r>
        <w:rPr>
          <w:rFonts w:hint="eastAsia" w:ascii="Garamond" w:hAnsi="Garamond"/>
          <w:color w:val="auto"/>
          <w:sz w:val="28"/>
          <w:szCs w:val="28"/>
          <w:highlight w:val="none"/>
        </w:rPr>
        <w:t>六</w:t>
      </w:r>
      <w:r>
        <w:rPr>
          <w:rFonts w:ascii="Garamond" w:hAnsi="Garamond"/>
          <w:color w:val="auto"/>
          <w:sz w:val="28"/>
          <w:szCs w:val="28"/>
          <w:highlight w:val="none"/>
        </w:rPr>
        <w:t>、资格审查资料</w:t>
      </w:r>
    </w:p>
    <w:p w14:paraId="66AAB091">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表1  企业信息基本表</w:t>
      </w:r>
    </w:p>
    <w:p w14:paraId="7B916AE2">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表2  企业财务信息表</w:t>
      </w:r>
    </w:p>
    <w:p w14:paraId="6670A77B">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表3  拟投入本标段主要人员情况表</w:t>
      </w:r>
    </w:p>
    <w:p w14:paraId="3A453378">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表4  拟投入本标段主要人员经历表</w:t>
      </w:r>
    </w:p>
    <w:p w14:paraId="1D789088">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表5  已建工程表</w:t>
      </w:r>
    </w:p>
    <w:p w14:paraId="363EE8DC">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表6  在建工程表</w:t>
      </w:r>
    </w:p>
    <w:p w14:paraId="3C3647FA">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表7  新中标工程表</w:t>
      </w:r>
    </w:p>
    <w:p w14:paraId="0483E5E1">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表12</w:t>
      </w:r>
      <w:r>
        <w:rPr>
          <w:rFonts w:hint="eastAsia" w:ascii="Garamond" w:hAnsi="Garamond"/>
          <w:b/>
          <w:color w:val="auto"/>
          <w:szCs w:val="21"/>
          <w:highlight w:val="none"/>
          <w:u w:val="single"/>
        </w:rPr>
        <w:t xml:space="preserve"> </w:t>
      </w:r>
      <w:r>
        <w:rPr>
          <w:rFonts w:ascii="Garamond" w:hAnsi="Garamond"/>
          <w:b/>
          <w:color w:val="auto"/>
          <w:szCs w:val="21"/>
          <w:highlight w:val="none"/>
          <w:u w:val="single"/>
        </w:rPr>
        <w:t>申请人(投标人)与其他单位存在控股、管理关系</w:t>
      </w:r>
    </w:p>
    <w:p w14:paraId="5573337E">
      <w:pPr>
        <w:numPr>
          <w:ilvl w:val="255"/>
          <w:numId w:val="0"/>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表13</w:t>
      </w:r>
      <w:r>
        <w:rPr>
          <w:rFonts w:hint="eastAsia" w:ascii="Garamond" w:hAnsi="Garamond"/>
          <w:b/>
          <w:color w:val="auto"/>
          <w:szCs w:val="21"/>
          <w:highlight w:val="none"/>
          <w:u w:val="single"/>
        </w:rPr>
        <w:t xml:space="preserve"> </w:t>
      </w:r>
      <w:r>
        <w:rPr>
          <w:rFonts w:ascii="Garamond" w:hAnsi="Garamond"/>
          <w:b/>
          <w:color w:val="auto"/>
          <w:szCs w:val="21"/>
          <w:highlight w:val="none"/>
          <w:u w:val="single"/>
        </w:rPr>
        <w:t>近年发生的诉讼及仲裁表</w:t>
      </w:r>
    </w:p>
    <w:p w14:paraId="31C65CA4">
      <w:pPr>
        <w:numPr>
          <w:ilvl w:val="255"/>
          <w:numId w:val="0"/>
        </w:numPr>
        <w:spacing w:line="360" w:lineRule="auto"/>
        <w:ind w:firstLine="422" w:firstLineChars="200"/>
        <w:jc w:val="left"/>
        <w:rPr>
          <w:rFonts w:ascii="Garamond" w:hAnsi="Garamond"/>
          <w:color w:val="auto"/>
          <w:szCs w:val="21"/>
          <w:highlight w:val="none"/>
        </w:rPr>
      </w:pPr>
      <w:r>
        <w:rPr>
          <w:rFonts w:ascii="Garamond" w:hAnsi="Garamond"/>
          <w:b/>
          <w:color w:val="auto"/>
          <w:szCs w:val="21"/>
          <w:highlight w:val="none"/>
          <w:u w:val="single"/>
        </w:rPr>
        <w:t>表14</w:t>
      </w:r>
      <w:r>
        <w:rPr>
          <w:rFonts w:hint="eastAsia" w:ascii="Garamond" w:hAnsi="Garamond"/>
          <w:b/>
          <w:color w:val="auto"/>
          <w:szCs w:val="21"/>
          <w:highlight w:val="none"/>
          <w:u w:val="single"/>
        </w:rPr>
        <w:t xml:space="preserve"> </w:t>
      </w:r>
      <w:r>
        <w:rPr>
          <w:rFonts w:ascii="Garamond" w:hAnsi="Garamond"/>
          <w:b/>
          <w:color w:val="auto"/>
          <w:szCs w:val="21"/>
          <w:highlight w:val="none"/>
          <w:u w:val="single"/>
        </w:rPr>
        <w:t>配备本标段的试验、检测仪器，办公生活及交通设施表</w:t>
      </w:r>
    </w:p>
    <w:p w14:paraId="3C090B3E">
      <w:pPr>
        <w:spacing w:line="360" w:lineRule="auto"/>
        <w:ind w:firstLine="489" w:firstLineChars="233"/>
        <w:rPr>
          <w:rFonts w:ascii="Garamond" w:hAnsi="Garamond"/>
          <w:color w:val="auto"/>
          <w:szCs w:val="21"/>
          <w:highlight w:val="none"/>
        </w:rPr>
      </w:pPr>
    </w:p>
    <w:p w14:paraId="22F20AB5">
      <w:pPr>
        <w:pStyle w:val="135"/>
        <w:spacing w:beforeLines="0" w:line="360" w:lineRule="auto"/>
        <w:ind w:firstLine="482"/>
        <w:jc w:val="both"/>
        <w:rPr>
          <w:rFonts w:ascii="Garamond" w:hAnsi="Garamond" w:eastAsia="宋体"/>
          <w:color w:val="auto"/>
          <w:sz w:val="21"/>
          <w:szCs w:val="21"/>
          <w:highlight w:val="none"/>
        </w:rPr>
      </w:pPr>
      <w:r>
        <w:rPr>
          <w:rFonts w:ascii="Garamond" w:hAnsi="Garamond" w:eastAsia="宋体"/>
          <w:color w:val="auto"/>
          <w:sz w:val="21"/>
          <w:szCs w:val="21"/>
          <w:highlight w:val="none"/>
        </w:rPr>
        <w:t>备注：</w:t>
      </w:r>
    </w:p>
    <w:p w14:paraId="65F93F50">
      <w:pPr>
        <w:numPr>
          <w:ilvl w:val="0"/>
          <w:numId w:val="3"/>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资格条件与评标办法所涉内容及其证明材料建议在江苏交通招投标信息管理系统中备案（包括单位统一社会信用代码、基本账户信息、资质信息、财务信息、投标人及拟派人员业绩、拟派人员职称、相关执业资格证书信息等均</w:t>
      </w:r>
      <w:r>
        <w:rPr>
          <w:rFonts w:hint="eastAsia" w:ascii="Garamond" w:hAnsi="Garamond"/>
          <w:b/>
          <w:color w:val="auto"/>
          <w:szCs w:val="21"/>
          <w:highlight w:val="none"/>
          <w:u w:val="single"/>
        </w:rPr>
        <w:t>建议</w:t>
      </w:r>
      <w:r>
        <w:rPr>
          <w:rFonts w:ascii="Garamond" w:hAnsi="Garamond"/>
          <w:b/>
          <w:color w:val="auto"/>
          <w:szCs w:val="21"/>
          <w:highlight w:val="none"/>
          <w:u w:val="single"/>
        </w:rPr>
        <w:t>在江苏省公路水路建设市场信用信息服务系统中备案），</w:t>
      </w:r>
      <w:r>
        <w:rPr>
          <w:rFonts w:hint="eastAsia" w:ascii="Garamond" w:hAnsi="Garamond"/>
          <w:b/>
          <w:color w:val="auto"/>
          <w:szCs w:val="21"/>
          <w:highlight w:val="none"/>
          <w:u w:val="single"/>
        </w:rPr>
        <w:t>并导出相应报表附在本页后。</w:t>
      </w:r>
    </w:p>
    <w:p w14:paraId="7617808E">
      <w:pPr>
        <w:numPr>
          <w:ilvl w:val="255"/>
          <w:numId w:val="0"/>
        </w:numPr>
        <w:spacing w:line="360" w:lineRule="auto"/>
        <w:ind w:firstLine="422" w:firstLineChars="200"/>
        <w:jc w:val="left"/>
        <w:rPr>
          <w:rFonts w:ascii="Garamond" w:hAnsi="Garamond"/>
          <w:b/>
          <w:color w:val="auto"/>
          <w:szCs w:val="21"/>
          <w:highlight w:val="none"/>
          <w:u w:val="single"/>
        </w:rPr>
      </w:pPr>
      <w:r>
        <w:rPr>
          <w:rFonts w:hint="eastAsia" w:ascii="Garamond" w:hAnsi="Garamond"/>
          <w:b/>
          <w:color w:val="auto"/>
          <w:szCs w:val="21"/>
          <w:highlight w:val="none"/>
          <w:u w:val="single"/>
        </w:rPr>
        <w:t>若</w:t>
      </w:r>
      <w:r>
        <w:rPr>
          <w:rFonts w:ascii="Garamond" w:hAnsi="Garamond"/>
          <w:b/>
          <w:color w:val="auto"/>
          <w:szCs w:val="21"/>
          <w:highlight w:val="none"/>
          <w:u w:val="single"/>
        </w:rPr>
        <w:t>未在江苏交通招投标信息管理系统中备案的信息，投标人应当按照“表1~表1</w:t>
      </w:r>
      <w:r>
        <w:rPr>
          <w:rFonts w:hint="eastAsia" w:ascii="Garamond" w:hAnsi="Garamond"/>
          <w:b/>
          <w:color w:val="auto"/>
          <w:szCs w:val="21"/>
          <w:highlight w:val="none"/>
          <w:u w:val="single"/>
        </w:rPr>
        <w:t>4</w:t>
      </w:r>
      <w:r>
        <w:rPr>
          <w:rFonts w:ascii="Garamond" w:hAnsi="Garamond"/>
          <w:b/>
          <w:color w:val="auto"/>
          <w:szCs w:val="21"/>
          <w:highlight w:val="none"/>
          <w:u w:val="single"/>
        </w:rPr>
        <w:t>”的格式填报补充材料，并在投标文件中提供</w:t>
      </w:r>
      <w:r>
        <w:rPr>
          <w:rFonts w:hint="eastAsia" w:ascii="Garamond" w:hAnsi="Garamond"/>
          <w:b/>
          <w:color w:val="auto"/>
          <w:szCs w:val="21"/>
          <w:highlight w:val="none"/>
          <w:u w:val="single"/>
        </w:rPr>
        <w:t>相应证明材料</w:t>
      </w:r>
      <w:r>
        <w:rPr>
          <w:rFonts w:hint="eastAsia"/>
          <w:color w:val="auto"/>
          <w:highlight w:val="none"/>
        </w:rPr>
        <w:t>（表5若未备案，应按照评标办法要求提供“合同和经委托人盖章确认的已完工证明材料”</w:t>
      </w:r>
      <w:r>
        <w:rPr>
          <w:rFonts w:hint="eastAsia" w:ascii="Garamond" w:hAnsi="Garamond"/>
          <w:b/>
          <w:color w:val="auto"/>
          <w:szCs w:val="21"/>
          <w:highlight w:val="none"/>
          <w:u w:val="single"/>
        </w:rPr>
        <w:t>）的原件彩色扫描件或复印件</w:t>
      </w:r>
      <w:r>
        <w:rPr>
          <w:rFonts w:ascii="Garamond" w:hAnsi="Garamond"/>
          <w:b/>
          <w:color w:val="auto"/>
          <w:szCs w:val="21"/>
          <w:highlight w:val="none"/>
          <w:u w:val="single"/>
        </w:rPr>
        <w:t>。</w:t>
      </w:r>
    </w:p>
    <w:p w14:paraId="38B43427">
      <w:pPr>
        <w:numPr>
          <w:ilvl w:val="0"/>
          <w:numId w:val="3"/>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已备案的投标人务必认真核查信息系统中《公路水路建设市场信用信息备案公示》中的内容，如发现业绩、人员信息或其它内容有异议，投标人应及时到有关交通主管部门更新江苏省公路水路建设市场信用信息服务系统中的数据。</w:t>
      </w:r>
    </w:p>
    <w:p w14:paraId="24EA73F9">
      <w:pPr>
        <w:numPr>
          <w:ilvl w:val="0"/>
          <w:numId w:val="3"/>
        </w:numPr>
        <w:spacing w:line="360" w:lineRule="auto"/>
        <w:ind w:firstLine="422" w:firstLineChars="200"/>
        <w:jc w:val="left"/>
        <w:rPr>
          <w:rFonts w:ascii="Garamond" w:hAnsi="Garamond"/>
          <w:b/>
          <w:color w:val="auto"/>
          <w:szCs w:val="21"/>
          <w:highlight w:val="none"/>
          <w:u w:val="single"/>
        </w:rPr>
      </w:pPr>
      <w:r>
        <w:rPr>
          <w:rFonts w:ascii="Garamond" w:hAnsi="Garamond"/>
          <w:b/>
          <w:color w:val="auto"/>
          <w:szCs w:val="21"/>
          <w:highlight w:val="none"/>
          <w:u w:val="single"/>
        </w:rPr>
        <w:t>上述所有附表都必须认真填写，其中表7~表1</w:t>
      </w:r>
      <w:r>
        <w:rPr>
          <w:rFonts w:hint="eastAsia" w:ascii="Garamond" w:hAnsi="Garamond"/>
          <w:b/>
          <w:color w:val="auto"/>
          <w:szCs w:val="21"/>
          <w:highlight w:val="none"/>
          <w:u w:val="single"/>
        </w:rPr>
        <w:t>4</w:t>
      </w:r>
      <w:r>
        <w:rPr>
          <w:rFonts w:ascii="Garamond" w:hAnsi="Garamond"/>
          <w:b/>
          <w:color w:val="auto"/>
          <w:szCs w:val="21"/>
          <w:highlight w:val="none"/>
          <w:u w:val="single"/>
        </w:rPr>
        <w:t>没有可填内容时须填写“无”</w:t>
      </w:r>
      <w:r>
        <w:rPr>
          <w:rFonts w:hint="eastAsia" w:ascii="Garamond" w:hAnsi="Garamond"/>
          <w:b/>
          <w:color w:val="auto"/>
          <w:szCs w:val="21"/>
          <w:highlight w:val="none"/>
          <w:u w:val="single"/>
        </w:rPr>
        <w:t>或“/”</w:t>
      </w:r>
      <w:r>
        <w:rPr>
          <w:rFonts w:ascii="Garamond" w:hAnsi="Garamond"/>
          <w:b/>
          <w:color w:val="auto"/>
          <w:szCs w:val="21"/>
          <w:highlight w:val="none"/>
          <w:u w:val="single"/>
        </w:rPr>
        <w:t>，但不得缺省该表格。否则，视为“未按招标文件规定的格式、内容填写”，不能通过“形式评审与响应性评审”。</w:t>
      </w:r>
    </w:p>
    <w:p w14:paraId="666C4CED">
      <w:pPr>
        <w:spacing w:before="120" w:beforeLines="50" w:after="120" w:afterLines="50" w:line="360" w:lineRule="auto"/>
        <w:jc w:val="center"/>
        <w:rPr>
          <w:rFonts w:ascii="Garamond" w:hAnsi="Garamond"/>
          <w:color w:val="auto"/>
          <w:sz w:val="24"/>
          <w:highlight w:val="none"/>
        </w:rPr>
      </w:pPr>
      <w:r>
        <w:rPr>
          <w:rFonts w:ascii="Garamond" w:hAnsi="Garamond"/>
          <w:color w:val="auto"/>
          <w:sz w:val="24"/>
          <w:highlight w:val="none"/>
        </w:rPr>
        <w:br w:type="page"/>
      </w:r>
    </w:p>
    <w:p w14:paraId="3BC3683D">
      <w:pPr>
        <w:pStyle w:val="5"/>
        <w:spacing w:before="120" w:beforeLines="50" w:after="120" w:afterLines="50" w:line="360" w:lineRule="auto"/>
        <w:jc w:val="center"/>
        <w:rPr>
          <w:rFonts w:ascii="Garamond" w:hAnsi="Garamond"/>
          <w:bCs w:val="0"/>
          <w:color w:val="auto"/>
          <w:sz w:val="24"/>
          <w:szCs w:val="24"/>
          <w:highlight w:val="none"/>
        </w:rPr>
      </w:pPr>
      <w:r>
        <w:rPr>
          <w:rFonts w:ascii="Garamond" w:hAnsi="Garamond"/>
          <w:bCs w:val="0"/>
          <w:color w:val="auto"/>
          <w:sz w:val="24"/>
          <w:szCs w:val="24"/>
          <w:highlight w:val="none"/>
        </w:rPr>
        <w:t>表1～表15</w:t>
      </w:r>
    </w:p>
    <w:p w14:paraId="1BDEB810">
      <w:pPr>
        <w:ind w:firstLine="480"/>
        <w:jc w:val="center"/>
        <w:rPr>
          <w:rFonts w:ascii="Garamond" w:hAnsi="Garamond"/>
          <w:color w:val="auto"/>
          <w:sz w:val="24"/>
          <w:highlight w:val="none"/>
        </w:rPr>
      </w:pPr>
      <w:r>
        <w:rPr>
          <w:rFonts w:ascii="Garamond" w:hAnsi="Garamond"/>
          <w:color w:val="auto"/>
          <w:sz w:val="24"/>
          <w:highlight w:val="none"/>
        </w:rPr>
        <w:t>表1企业信息基本表</w:t>
      </w:r>
    </w:p>
    <w:tbl>
      <w:tblPr>
        <w:tblStyle w:val="44"/>
        <w:tblW w:w="5000" w:type="pct"/>
        <w:jc w:val="center"/>
        <w:tblLayout w:type="autofit"/>
        <w:tblCellMar>
          <w:top w:w="0" w:type="dxa"/>
          <w:left w:w="0" w:type="dxa"/>
          <w:bottom w:w="0" w:type="dxa"/>
          <w:right w:w="0" w:type="dxa"/>
        </w:tblCellMar>
      </w:tblPr>
      <w:tblGrid>
        <w:gridCol w:w="1543"/>
        <w:gridCol w:w="1543"/>
        <w:gridCol w:w="1543"/>
        <w:gridCol w:w="1545"/>
        <w:gridCol w:w="1544"/>
        <w:gridCol w:w="1544"/>
      </w:tblGrid>
      <w:tr w14:paraId="32B1B070">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E4357F1">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申请人全称：</w:t>
            </w:r>
          </w:p>
        </w:tc>
        <w:tc>
          <w:tcPr>
            <w:tcW w:w="4166"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7E07D9B">
            <w:pPr>
              <w:widowControl/>
              <w:jc w:val="left"/>
              <w:rPr>
                <w:rFonts w:ascii="Garamond" w:hAnsi="Garamond" w:cs="Arial"/>
                <w:color w:val="auto"/>
                <w:szCs w:val="21"/>
                <w:highlight w:val="none"/>
              </w:rPr>
            </w:pPr>
          </w:p>
        </w:tc>
      </w:tr>
      <w:tr w14:paraId="3F5B1086">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1B5FA62">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主要业务：</w:t>
            </w:r>
          </w:p>
        </w:tc>
        <w:tc>
          <w:tcPr>
            <w:tcW w:w="4166"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7AE56E0">
            <w:pPr>
              <w:widowControl/>
              <w:jc w:val="left"/>
              <w:rPr>
                <w:rFonts w:ascii="Garamond" w:hAnsi="Garamond" w:cs="Arial"/>
                <w:color w:val="auto"/>
                <w:szCs w:val="21"/>
                <w:highlight w:val="none"/>
              </w:rPr>
            </w:pPr>
          </w:p>
        </w:tc>
      </w:tr>
      <w:tr w14:paraId="4D41E73E">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983B177">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营业范围：</w:t>
            </w:r>
          </w:p>
        </w:tc>
        <w:tc>
          <w:tcPr>
            <w:tcW w:w="4166"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2F075F0">
            <w:pPr>
              <w:widowControl/>
              <w:jc w:val="left"/>
              <w:rPr>
                <w:rFonts w:ascii="Garamond" w:hAnsi="Garamond" w:cs="Arial"/>
                <w:color w:val="auto"/>
                <w:szCs w:val="21"/>
                <w:highlight w:val="none"/>
              </w:rPr>
            </w:pPr>
          </w:p>
        </w:tc>
      </w:tr>
      <w:tr w14:paraId="599B7386">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4666183">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统一社会信用代码：</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DADC1A0">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C46727C">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注册资本(元)：</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07ED52B">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4BB5C68">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信用等级：</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8B8EACB">
            <w:pPr>
              <w:widowControl/>
              <w:jc w:val="left"/>
              <w:rPr>
                <w:rFonts w:ascii="Garamond" w:hAnsi="Garamond" w:cs="Arial"/>
                <w:color w:val="auto"/>
                <w:szCs w:val="21"/>
                <w:highlight w:val="none"/>
              </w:rPr>
            </w:pPr>
          </w:p>
        </w:tc>
      </w:tr>
      <w:tr w14:paraId="0E97F344">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7CACF86">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建立日期：</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7A5F1C7">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4725E9B">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现有职工总人数(人)：</w:t>
            </w:r>
          </w:p>
        </w:tc>
        <w:tc>
          <w:tcPr>
            <w:tcW w:w="2500"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ACABA15">
            <w:pPr>
              <w:widowControl/>
              <w:jc w:val="left"/>
              <w:rPr>
                <w:rFonts w:ascii="Garamond" w:hAnsi="Garamond" w:cs="Arial"/>
                <w:color w:val="auto"/>
                <w:szCs w:val="21"/>
                <w:highlight w:val="none"/>
              </w:rPr>
            </w:pPr>
          </w:p>
        </w:tc>
      </w:tr>
      <w:tr w14:paraId="43CFAF9B">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F38ACCE">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办公地址：</w:t>
            </w:r>
          </w:p>
        </w:tc>
        <w:tc>
          <w:tcPr>
            <w:tcW w:w="2500"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FDF3E43">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3E4869D">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邮编：</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4BF39FB">
            <w:pPr>
              <w:widowControl/>
              <w:jc w:val="left"/>
              <w:rPr>
                <w:rFonts w:ascii="Garamond" w:hAnsi="Garamond" w:cs="Arial"/>
                <w:color w:val="auto"/>
                <w:szCs w:val="21"/>
                <w:highlight w:val="none"/>
              </w:rPr>
            </w:pPr>
          </w:p>
        </w:tc>
      </w:tr>
      <w:tr w14:paraId="6DE10816">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FBEB86F">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联系电话：</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029EEA0">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ED46345">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传真：</w:t>
            </w:r>
          </w:p>
        </w:tc>
        <w:tc>
          <w:tcPr>
            <w:tcW w:w="2500"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ED0C3F7">
            <w:pPr>
              <w:widowControl/>
              <w:jc w:val="left"/>
              <w:rPr>
                <w:rFonts w:ascii="Garamond" w:hAnsi="Garamond" w:cs="Arial"/>
                <w:color w:val="auto"/>
                <w:szCs w:val="21"/>
                <w:highlight w:val="none"/>
              </w:rPr>
            </w:pPr>
          </w:p>
        </w:tc>
      </w:tr>
      <w:tr w14:paraId="5252AB81">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210F01D">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法人代表姓名：</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C78B4C3">
            <w:pPr>
              <w:widowControl/>
              <w:jc w:val="left"/>
              <w:rPr>
                <w:rFonts w:ascii="Garamond" w:hAnsi="Garamond" w:cs="宋体"/>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13A5954">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职务：</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B637701">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5D8216D">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联系电话：</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F503E16">
            <w:pPr>
              <w:widowControl/>
              <w:jc w:val="left"/>
              <w:rPr>
                <w:rFonts w:ascii="Garamond" w:hAnsi="Garamond" w:cs="Arial"/>
                <w:color w:val="auto"/>
                <w:szCs w:val="21"/>
                <w:highlight w:val="none"/>
              </w:rPr>
            </w:pPr>
          </w:p>
        </w:tc>
      </w:tr>
      <w:tr w14:paraId="1485DBE6">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0DA794C">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技术负责人姓名：</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78E529B">
            <w:pPr>
              <w:widowControl/>
              <w:jc w:val="left"/>
              <w:rPr>
                <w:rFonts w:ascii="Garamond" w:hAnsi="Garamond" w:cs="宋体"/>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17601BD">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技术负责人职务：</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5ECC869">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00A4FB2">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技术负责人电话：</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17441D7">
            <w:pPr>
              <w:widowControl/>
              <w:jc w:val="left"/>
              <w:rPr>
                <w:rFonts w:ascii="Garamond" w:hAnsi="Garamond" w:cs="Arial"/>
                <w:color w:val="auto"/>
                <w:szCs w:val="21"/>
                <w:highlight w:val="none"/>
              </w:rPr>
            </w:pPr>
          </w:p>
        </w:tc>
      </w:tr>
      <w:tr w14:paraId="2A3F3A0B">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862276D">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联系人姓名：</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A95E9D4">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160061B">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联系人职务：</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E8D86D4">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A96ECDE">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联系人电话：</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35B9975">
            <w:pPr>
              <w:widowControl/>
              <w:jc w:val="left"/>
              <w:rPr>
                <w:rFonts w:ascii="Garamond" w:hAnsi="Garamond" w:cs="Arial"/>
                <w:color w:val="auto"/>
                <w:szCs w:val="21"/>
                <w:highlight w:val="none"/>
              </w:rPr>
            </w:pPr>
          </w:p>
        </w:tc>
      </w:tr>
      <w:tr w14:paraId="2D0D90AE">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E9F1A85">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联系人邮箱：</w:t>
            </w:r>
          </w:p>
        </w:tc>
        <w:tc>
          <w:tcPr>
            <w:tcW w:w="4166"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08F25E1">
            <w:pPr>
              <w:widowControl/>
              <w:jc w:val="left"/>
              <w:rPr>
                <w:rFonts w:ascii="Garamond" w:hAnsi="Garamond" w:cs="Arial"/>
                <w:color w:val="auto"/>
                <w:szCs w:val="21"/>
                <w:highlight w:val="none"/>
              </w:rPr>
            </w:pPr>
          </w:p>
        </w:tc>
      </w:tr>
      <w:tr w14:paraId="337D1D39">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930C13E">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企业资质名称及等级：</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0536CC4">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8E59166">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企业资质证书号：</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9A7A7DE">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078354C">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企业资质有效期：</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D3A1B8A">
            <w:pPr>
              <w:widowControl/>
              <w:jc w:val="left"/>
              <w:rPr>
                <w:rFonts w:ascii="Garamond" w:hAnsi="Garamond" w:cs="Arial"/>
                <w:color w:val="auto"/>
                <w:szCs w:val="21"/>
                <w:highlight w:val="none"/>
              </w:rPr>
            </w:pPr>
          </w:p>
        </w:tc>
      </w:tr>
      <w:tr w14:paraId="42AEF752">
        <w:tblPrEx>
          <w:tblCellMar>
            <w:top w:w="0" w:type="dxa"/>
            <w:left w:w="0" w:type="dxa"/>
            <w:bottom w:w="0" w:type="dxa"/>
            <w:right w:w="0" w:type="dxa"/>
          </w:tblCellMar>
        </w:tblPrEx>
        <w:trPr>
          <w:trHeight w:val="52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FDB0156">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安全许可证证书编号：</w:t>
            </w:r>
          </w:p>
        </w:tc>
        <w:tc>
          <w:tcPr>
            <w:tcW w:w="2500"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EE0E8B2">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7677D51">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安全许可证证书有效期：</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3B7FC84">
            <w:pPr>
              <w:widowControl/>
              <w:jc w:val="left"/>
              <w:rPr>
                <w:rFonts w:ascii="Garamond" w:hAnsi="Garamond" w:cs="Arial"/>
                <w:color w:val="auto"/>
                <w:szCs w:val="21"/>
                <w:highlight w:val="none"/>
              </w:rPr>
            </w:pPr>
          </w:p>
        </w:tc>
      </w:tr>
      <w:tr w14:paraId="572EA091">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D494F04">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基本户开户行：</w:t>
            </w:r>
          </w:p>
        </w:tc>
        <w:tc>
          <w:tcPr>
            <w:tcW w:w="2500"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E00E26F">
            <w:pPr>
              <w:widowControl/>
              <w:jc w:val="left"/>
              <w:rPr>
                <w:rFonts w:ascii="Garamond" w:hAnsi="Garamond" w:cs="Arial"/>
                <w:color w:val="auto"/>
                <w:szCs w:val="21"/>
                <w:highlight w:val="none"/>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9813E11">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基本户户名：</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F54450A">
            <w:pPr>
              <w:widowControl/>
              <w:jc w:val="left"/>
              <w:rPr>
                <w:rFonts w:ascii="Garamond" w:hAnsi="Garamond" w:cs="Arial"/>
                <w:color w:val="auto"/>
                <w:szCs w:val="21"/>
                <w:highlight w:val="none"/>
              </w:rPr>
            </w:pPr>
          </w:p>
        </w:tc>
      </w:tr>
      <w:tr w14:paraId="73DA5146">
        <w:tblPrEx>
          <w:tblCellMar>
            <w:top w:w="0" w:type="dxa"/>
            <w:left w:w="0" w:type="dxa"/>
            <w:bottom w:w="0" w:type="dxa"/>
            <w:right w:w="0" w:type="dxa"/>
          </w:tblCellMar>
        </w:tblPrEx>
        <w:trPr>
          <w:trHeight w:val="260" w:hRule="atLeast"/>
          <w:jc w:val="center"/>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686DA1A">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基本户账号：</w:t>
            </w:r>
          </w:p>
        </w:tc>
        <w:tc>
          <w:tcPr>
            <w:tcW w:w="4166"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059553D">
            <w:pPr>
              <w:widowControl/>
              <w:jc w:val="left"/>
              <w:rPr>
                <w:rFonts w:ascii="Garamond" w:hAnsi="Garamond" w:cs="Arial"/>
                <w:color w:val="auto"/>
                <w:szCs w:val="21"/>
                <w:highlight w:val="none"/>
              </w:rPr>
            </w:pPr>
          </w:p>
        </w:tc>
      </w:tr>
    </w:tbl>
    <w:p w14:paraId="7E33DA10">
      <w:pPr>
        <w:rPr>
          <w:rFonts w:ascii="Garamond" w:hAnsi="Garamond"/>
          <w:color w:val="auto"/>
          <w:sz w:val="24"/>
          <w:highlight w:val="none"/>
        </w:rPr>
      </w:pPr>
    </w:p>
    <w:p w14:paraId="12F362F5">
      <w:pPr>
        <w:rPr>
          <w:rFonts w:ascii="Garamond" w:hAnsi="Garamond"/>
          <w:color w:val="auto"/>
          <w:szCs w:val="21"/>
          <w:highlight w:val="none"/>
        </w:rPr>
      </w:pPr>
    </w:p>
    <w:p w14:paraId="78CDB80A">
      <w:pPr>
        <w:rPr>
          <w:rFonts w:ascii="Garamond" w:hAnsi="Garamond"/>
          <w:b/>
          <w:bCs/>
          <w:color w:val="auto"/>
          <w:sz w:val="24"/>
          <w:highlight w:val="none"/>
          <w:u w:val="single"/>
        </w:rPr>
      </w:pPr>
    </w:p>
    <w:p w14:paraId="4FE1F030">
      <w:pPr>
        <w:rPr>
          <w:rFonts w:ascii="Garamond" w:hAnsi="Garamond"/>
          <w:b/>
          <w:bCs/>
          <w:color w:val="auto"/>
          <w:sz w:val="24"/>
          <w:highlight w:val="none"/>
          <w:u w:val="single"/>
        </w:rPr>
      </w:pPr>
    </w:p>
    <w:p w14:paraId="224B4AE4">
      <w:pPr>
        <w:pStyle w:val="5"/>
        <w:rPr>
          <w:color w:val="auto"/>
          <w:highlight w:val="none"/>
        </w:rPr>
      </w:pPr>
    </w:p>
    <w:p w14:paraId="766DE439">
      <w:pPr>
        <w:rPr>
          <w:rFonts w:ascii="Garamond" w:hAnsi="Garamond"/>
          <w:b/>
          <w:bCs/>
          <w:color w:val="auto"/>
          <w:sz w:val="24"/>
          <w:highlight w:val="none"/>
        </w:rPr>
      </w:pPr>
      <w:r>
        <w:rPr>
          <w:rFonts w:ascii="Garamond" w:hAnsi="Garamond"/>
          <w:b/>
          <w:bCs/>
          <w:color w:val="auto"/>
          <w:sz w:val="24"/>
          <w:highlight w:val="none"/>
        </w:rPr>
        <w:br w:type="page"/>
      </w:r>
    </w:p>
    <w:p w14:paraId="437C9613">
      <w:pPr>
        <w:ind w:firstLine="482"/>
        <w:jc w:val="center"/>
        <w:rPr>
          <w:rFonts w:ascii="Garamond" w:hAnsi="Garamond"/>
          <w:b/>
          <w:bCs/>
          <w:color w:val="auto"/>
          <w:sz w:val="24"/>
          <w:highlight w:val="none"/>
        </w:rPr>
      </w:pPr>
      <w:r>
        <w:rPr>
          <w:rFonts w:ascii="Garamond" w:hAnsi="Garamond"/>
          <w:b/>
          <w:bCs/>
          <w:color w:val="auto"/>
          <w:sz w:val="24"/>
          <w:highlight w:val="none"/>
        </w:rPr>
        <w:t>表2 企业财务信息表</w:t>
      </w:r>
    </w:p>
    <w:tbl>
      <w:tblPr>
        <w:tblStyle w:val="44"/>
        <w:tblW w:w="5000" w:type="pct"/>
        <w:tblInd w:w="0" w:type="dxa"/>
        <w:tblLayout w:type="autofit"/>
        <w:tblCellMar>
          <w:top w:w="0" w:type="dxa"/>
          <w:left w:w="0" w:type="dxa"/>
          <w:bottom w:w="0" w:type="dxa"/>
          <w:right w:w="0" w:type="dxa"/>
        </w:tblCellMar>
      </w:tblPr>
      <w:tblGrid>
        <w:gridCol w:w="2315"/>
        <w:gridCol w:w="2315"/>
        <w:gridCol w:w="2316"/>
        <w:gridCol w:w="2316"/>
      </w:tblGrid>
      <w:tr w14:paraId="2D94755C">
        <w:tblPrEx>
          <w:tblCellMar>
            <w:top w:w="0" w:type="dxa"/>
            <w:left w:w="0" w:type="dxa"/>
            <w:bottom w:w="0" w:type="dxa"/>
            <w:right w:w="0" w:type="dxa"/>
          </w:tblCellMar>
        </w:tblPrEx>
        <w:trPr>
          <w:trHeight w:val="52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2483E59">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(取最近年度期末数)存货－期末余额：</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CD7BFB5">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8A6F5B3">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(最近年度期初数)流动资产－期初余额：</w:t>
            </w: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841F58E">
            <w:pPr>
              <w:widowControl/>
              <w:jc w:val="left"/>
              <w:rPr>
                <w:rFonts w:ascii="Garamond" w:hAnsi="Garamond" w:cs="Arial"/>
                <w:color w:val="auto"/>
                <w:szCs w:val="21"/>
                <w:highlight w:val="none"/>
              </w:rPr>
            </w:pPr>
          </w:p>
        </w:tc>
      </w:tr>
      <w:tr w14:paraId="03EBEB86">
        <w:tblPrEx>
          <w:tblCellMar>
            <w:top w:w="0" w:type="dxa"/>
            <w:left w:w="0" w:type="dxa"/>
            <w:bottom w:w="0" w:type="dxa"/>
            <w:right w:w="0" w:type="dxa"/>
          </w:tblCellMar>
        </w:tblPrEx>
        <w:trPr>
          <w:trHeight w:val="52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2CEF374">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(最近年度期末数)流动资产－期末余额：</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DD78DC1">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F315F18">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(最近年度期初数)资产总额－期初余额：</w:t>
            </w: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9BC156E">
            <w:pPr>
              <w:widowControl/>
              <w:jc w:val="left"/>
              <w:rPr>
                <w:rFonts w:ascii="Garamond" w:hAnsi="Garamond" w:cs="Arial"/>
                <w:color w:val="auto"/>
                <w:szCs w:val="21"/>
                <w:highlight w:val="none"/>
              </w:rPr>
            </w:pPr>
          </w:p>
        </w:tc>
      </w:tr>
      <w:tr w14:paraId="13F3DF3B">
        <w:tblPrEx>
          <w:tblCellMar>
            <w:top w:w="0" w:type="dxa"/>
            <w:left w:w="0" w:type="dxa"/>
            <w:bottom w:w="0" w:type="dxa"/>
            <w:right w:w="0" w:type="dxa"/>
          </w:tblCellMar>
        </w:tblPrEx>
        <w:trPr>
          <w:trHeight w:val="52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D5D5ACA">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(最近年度期末数)资产总额－期末余额：</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C367457">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080BC16">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(最近年度期末数)流动负债－期末余额：</w:t>
            </w: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10DBBDC">
            <w:pPr>
              <w:widowControl/>
              <w:jc w:val="left"/>
              <w:rPr>
                <w:rFonts w:ascii="Garamond" w:hAnsi="Garamond" w:cs="Arial"/>
                <w:color w:val="auto"/>
                <w:szCs w:val="21"/>
                <w:highlight w:val="none"/>
              </w:rPr>
            </w:pPr>
          </w:p>
        </w:tc>
      </w:tr>
      <w:tr w14:paraId="772F1DD8">
        <w:tblPrEx>
          <w:tblCellMar>
            <w:top w:w="0" w:type="dxa"/>
            <w:left w:w="0" w:type="dxa"/>
            <w:bottom w:w="0" w:type="dxa"/>
            <w:right w:w="0" w:type="dxa"/>
          </w:tblCellMar>
        </w:tblPrEx>
        <w:trPr>
          <w:trHeight w:val="52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299F4FF">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(最近年度期末数)负债总额－期末余额：</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27B50EB">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CB01812">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(三年前期末数)所有者权益－期初余额：</w:t>
            </w: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7494360">
            <w:pPr>
              <w:widowControl/>
              <w:jc w:val="left"/>
              <w:rPr>
                <w:rFonts w:ascii="Garamond" w:hAnsi="Garamond" w:cs="Arial"/>
                <w:color w:val="auto"/>
                <w:szCs w:val="21"/>
                <w:highlight w:val="none"/>
              </w:rPr>
            </w:pPr>
          </w:p>
        </w:tc>
      </w:tr>
      <w:tr w14:paraId="5780B439">
        <w:tblPrEx>
          <w:tblCellMar>
            <w:top w:w="0" w:type="dxa"/>
            <w:left w:w="0" w:type="dxa"/>
            <w:bottom w:w="0" w:type="dxa"/>
            <w:right w:w="0" w:type="dxa"/>
          </w:tblCellMar>
        </w:tblPrEx>
        <w:trPr>
          <w:trHeight w:val="52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9AA9616">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(最近年度期初数)所有者权益－期初余额：</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ABA86C8">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61FBD91">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(最近年度期末数)所有者权益－期末余额：</w:t>
            </w: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E6BCD5D">
            <w:pPr>
              <w:widowControl/>
              <w:jc w:val="left"/>
              <w:rPr>
                <w:rFonts w:ascii="Garamond" w:hAnsi="Garamond" w:cs="Arial"/>
                <w:color w:val="auto"/>
                <w:szCs w:val="21"/>
                <w:highlight w:val="none"/>
              </w:rPr>
            </w:pPr>
          </w:p>
        </w:tc>
      </w:tr>
      <w:tr w14:paraId="30843FC6">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3DEE50E">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(三年前发生额)主营业务收入：</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F1BEE0F">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506AC55">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(最近年度发生额)主营业务收入</w:t>
            </w: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7C3EF5E">
            <w:pPr>
              <w:widowControl/>
              <w:jc w:val="left"/>
              <w:rPr>
                <w:rFonts w:ascii="Garamond" w:hAnsi="Garamond" w:cs="Arial"/>
                <w:color w:val="auto"/>
                <w:szCs w:val="21"/>
                <w:highlight w:val="none"/>
              </w:rPr>
            </w:pPr>
          </w:p>
        </w:tc>
      </w:tr>
      <w:tr w14:paraId="5FFF1B70">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F46FC98">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(最近年度发生额)主营业务利润：</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8583B5B">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5079053">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(最近年度发生额)利息支出：</w:t>
            </w: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645FCF7">
            <w:pPr>
              <w:widowControl/>
              <w:jc w:val="left"/>
              <w:rPr>
                <w:rFonts w:ascii="Garamond" w:hAnsi="Garamond" w:cs="Arial"/>
                <w:color w:val="auto"/>
                <w:szCs w:val="21"/>
                <w:highlight w:val="none"/>
              </w:rPr>
            </w:pPr>
          </w:p>
        </w:tc>
      </w:tr>
      <w:tr w14:paraId="2D0219E7">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D6A341A">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(最近年度发生额)利润总额：</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A1EB6A7">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6DB41BC">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(最近年度发生额)净利润</w:t>
            </w: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C97945C">
            <w:pPr>
              <w:widowControl/>
              <w:jc w:val="left"/>
              <w:rPr>
                <w:rFonts w:ascii="Garamond" w:hAnsi="Garamond" w:cs="Arial"/>
                <w:color w:val="auto"/>
                <w:szCs w:val="21"/>
                <w:highlight w:val="none"/>
              </w:rPr>
            </w:pPr>
          </w:p>
        </w:tc>
      </w:tr>
      <w:tr w14:paraId="412F752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FCFA29A">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(最近年度发生额)经营现金净流量：</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E4EBA29">
            <w:pPr>
              <w:widowControl/>
              <w:jc w:val="left"/>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2182DF0">
            <w:pPr>
              <w:widowControl/>
              <w:jc w:val="left"/>
              <w:textAlignment w:val="bottom"/>
              <w:rPr>
                <w:rFonts w:ascii="Garamond" w:hAnsi="Garamond" w:cs="Arial"/>
                <w:color w:val="auto"/>
                <w:szCs w:val="21"/>
                <w:highlight w:val="none"/>
              </w:rPr>
            </w:pPr>
          </w:p>
        </w:tc>
        <w:tc>
          <w:tcPr>
            <w:tcW w:w="12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D5E44F4">
            <w:pPr>
              <w:widowControl/>
              <w:jc w:val="left"/>
              <w:rPr>
                <w:rFonts w:ascii="Garamond" w:hAnsi="Garamond" w:cs="Arial"/>
                <w:color w:val="auto"/>
                <w:szCs w:val="21"/>
                <w:highlight w:val="none"/>
              </w:rPr>
            </w:pPr>
          </w:p>
        </w:tc>
      </w:tr>
    </w:tbl>
    <w:p w14:paraId="412FB400">
      <w:pPr>
        <w:ind w:firstLine="482"/>
        <w:jc w:val="center"/>
        <w:rPr>
          <w:rFonts w:ascii="Garamond" w:hAnsi="Garamond"/>
          <w:b/>
          <w:bCs/>
          <w:color w:val="auto"/>
          <w:sz w:val="24"/>
          <w:highlight w:val="none"/>
          <w:u w:val="single"/>
        </w:rPr>
      </w:pPr>
    </w:p>
    <w:p w14:paraId="791F0BAB">
      <w:pPr>
        <w:ind w:firstLine="482"/>
        <w:jc w:val="center"/>
        <w:rPr>
          <w:rFonts w:ascii="Garamond" w:hAnsi="Garamond"/>
          <w:b/>
          <w:bCs/>
          <w:color w:val="auto"/>
          <w:sz w:val="24"/>
          <w:highlight w:val="none"/>
          <w:u w:val="single"/>
        </w:rPr>
      </w:pPr>
    </w:p>
    <w:p w14:paraId="521AB89D">
      <w:pPr>
        <w:ind w:firstLine="482"/>
        <w:jc w:val="center"/>
        <w:rPr>
          <w:rFonts w:ascii="Garamond" w:hAnsi="Garamond"/>
          <w:b/>
          <w:bCs/>
          <w:color w:val="auto"/>
          <w:sz w:val="24"/>
          <w:highlight w:val="none"/>
          <w:u w:val="single"/>
        </w:rPr>
      </w:pPr>
    </w:p>
    <w:p w14:paraId="4DCFC339">
      <w:pPr>
        <w:widowControl/>
        <w:jc w:val="left"/>
        <w:rPr>
          <w:rFonts w:ascii="Garamond" w:hAnsi="Garamond"/>
          <w:b/>
          <w:bCs/>
          <w:color w:val="auto"/>
          <w:sz w:val="24"/>
          <w:highlight w:val="none"/>
        </w:rPr>
      </w:pPr>
      <w:r>
        <w:rPr>
          <w:rFonts w:ascii="Garamond" w:hAnsi="Garamond"/>
          <w:b/>
          <w:bCs/>
          <w:color w:val="auto"/>
          <w:sz w:val="24"/>
          <w:highlight w:val="none"/>
        </w:rPr>
        <w:br w:type="page"/>
      </w:r>
    </w:p>
    <w:p w14:paraId="42BE06A7">
      <w:pPr>
        <w:ind w:firstLine="482"/>
        <w:jc w:val="center"/>
        <w:rPr>
          <w:rFonts w:ascii="Garamond" w:hAnsi="Garamond"/>
          <w:b/>
          <w:bCs/>
          <w:color w:val="auto"/>
          <w:sz w:val="24"/>
          <w:highlight w:val="none"/>
        </w:rPr>
      </w:pPr>
      <w:r>
        <w:rPr>
          <w:rFonts w:ascii="Garamond" w:hAnsi="Garamond"/>
          <w:b/>
          <w:bCs/>
          <w:color w:val="auto"/>
          <w:sz w:val="24"/>
          <w:highlight w:val="none"/>
        </w:rPr>
        <w:t>表3 拟投入本标段主要人员情况表</w:t>
      </w:r>
    </w:p>
    <w:tbl>
      <w:tblPr>
        <w:tblStyle w:val="44"/>
        <w:tblW w:w="4995" w:type="pct"/>
        <w:tblInd w:w="0" w:type="dxa"/>
        <w:tblLayout w:type="autofit"/>
        <w:tblCellMar>
          <w:top w:w="0" w:type="dxa"/>
          <w:left w:w="0" w:type="dxa"/>
          <w:bottom w:w="0" w:type="dxa"/>
          <w:right w:w="0" w:type="dxa"/>
        </w:tblCellMar>
      </w:tblPr>
      <w:tblGrid>
        <w:gridCol w:w="392"/>
        <w:gridCol w:w="1218"/>
        <w:gridCol w:w="392"/>
        <w:gridCol w:w="392"/>
        <w:gridCol w:w="609"/>
        <w:gridCol w:w="609"/>
        <w:gridCol w:w="609"/>
        <w:gridCol w:w="392"/>
        <w:gridCol w:w="1220"/>
        <w:gridCol w:w="855"/>
        <w:gridCol w:w="855"/>
        <w:gridCol w:w="855"/>
        <w:gridCol w:w="855"/>
      </w:tblGrid>
      <w:tr w14:paraId="1076AFF5">
        <w:tblPrEx>
          <w:tblCellMar>
            <w:top w:w="0" w:type="dxa"/>
            <w:left w:w="0" w:type="dxa"/>
            <w:bottom w:w="0" w:type="dxa"/>
            <w:right w:w="0" w:type="dxa"/>
          </w:tblCellMar>
        </w:tblPrEx>
        <w:trPr>
          <w:trHeight w:val="260" w:hRule="atLeast"/>
        </w:trPr>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4C8FA5A">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序号</w:t>
            </w:r>
          </w:p>
        </w:tc>
        <w:tc>
          <w:tcPr>
            <w:tcW w:w="65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AC7643F">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在本项目中担任职务</w:t>
            </w: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995DD91">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姓名</w:t>
            </w: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5F56901">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年龄</w:t>
            </w: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020A14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技术职称</w:t>
            </w: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8E5469B">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职称专业</w:t>
            </w: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6526C51">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工作年限</w:t>
            </w: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8650B39">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学历</w:t>
            </w:r>
          </w:p>
        </w:tc>
        <w:tc>
          <w:tcPr>
            <w:tcW w:w="65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FBF18E5">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学历专业</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861DD2A">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执业资格名称</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13E2B55">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执业资格等级</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31EA0E9">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执业资格编号</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3FCC586">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执业资格有效期</w:t>
            </w:r>
          </w:p>
        </w:tc>
      </w:tr>
      <w:tr w14:paraId="448C85B0">
        <w:tblPrEx>
          <w:tblCellMar>
            <w:top w:w="0" w:type="dxa"/>
            <w:left w:w="0" w:type="dxa"/>
            <w:bottom w:w="0" w:type="dxa"/>
            <w:right w:w="0" w:type="dxa"/>
          </w:tblCellMar>
        </w:tblPrEx>
        <w:trPr>
          <w:trHeight w:val="2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B17DCD1">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1</w:t>
            </w:r>
          </w:p>
        </w:tc>
        <w:tc>
          <w:tcPr>
            <w:tcW w:w="65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C133536">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50B2AB9">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4C7CE40">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F8DBEBE">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C80C933">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F4FA7EB">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63A0EF7">
            <w:pPr>
              <w:widowControl/>
              <w:jc w:val="left"/>
              <w:textAlignment w:val="bottom"/>
              <w:rPr>
                <w:rFonts w:ascii="Garamond" w:hAnsi="Garamond" w:cs="Arial"/>
                <w:color w:val="auto"/>
                <w:kern w:val="0"/>
                <w:szCs w:val="21"/>
                <w:highlight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12158E4">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A5254F9">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681D507">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415B2F7">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67D9E85">
            <w:pPr>
              <w:widowControl/>
              <w:jc w:val="left"/>
              <w:textAlignment w:val="bottom"/>
              <w:rPr>
                <w:rFonts w:ascii="Garamond" w:hAnsi="Garamond" w:cs="Arial"/>
                <w:color w:val="auto"/>
                <w:kern w:val="0"/>
                <w:szCs w:val="21"/>
                <w:highlight w:val="none"/>
              </w:rPr>
            </w:pPr>
          </w:p>
        </w:tc>
      </w:tr>
      <w:tr w14:paraId="53E6A442">
        <w:tblPrEx>
          <w:tblCellMar>
            <w:top w:w="0" w:type="dxa"/>
            <w:left w:w="0" w:type="dxa"/>
            <w:bottom w:w="0" w:type="dxa"/>
            <w:right w:w="0" w:type="dxa"/>
          </w:tblCellMar>
        </w:tblPrEx>
        <w:trPr>
          <w:trHeight w:val="2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4A38F67">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2</w:t>
            </w:r>
          </w:p>
        </w:tc>
        <w:tc>
          <w:tcPr>
            <w:tcW w:w="65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9030886">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BC2A814">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3C8FD49">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9EF85F8">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F7BB429">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2C60F8D">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BD6FBE4">
            <w:pPr>
              <w:widowControl/>
              <w:jc w:val="left"/>
              <w:textAlignment w:val="bottom"/>
              <w:rPr>
                <w:rFonts w:ascii="Garamond" w:hAnsi="Garamond" w:cs="Arial"/>
                <w:color w:val="auto"/>
                <w:kern w:val="0"/>
                <w:szCs w:val="21"/>
                <w:highlight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15788DC">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B79C241">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E9FBA6C">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F0E5B54">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0AC2B69">
            <w:pPr>
              <w:widowControl/>
              <w:jc w:val="left"/>
              <w:textAlignment w:val="bottom"/>
              <w:rPr>
                <w:rFonts w:ascii="Garamond" w:hAnsi="Garamond" w:cs="Arial"/>
                <w:color w:val="auto"/>
                <w:kern w:val="0"/>
                <w:szCs w:val="21"/>
                <w:highlight w:val="none"/>
              </w:rPr>
            </w:pPr>
          </w:p>
        </w:tc>
      </w:tr>
      <w:tr w14:paraId="50C5F4E8">
        <w:tblPrEx>
          <w:tblCellMar>
            <w:top w:w="0" w:type="dxa"/>
            <w:left w:w="0" w:type="dxa"/>
            <w:bottom w:w="0" w:type="dxa"/>
            <w:right w:w="0" w:type="dxa"/>
          </w:tblCellMar>
        </w:tblPrEx>
        <w:trPr>
          <w:trHeight w:val="2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048C062">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w:t>
            </w:r>
          </w:p>
        </w:tc>
        <w:tc>
          <w:tcPr>
            <w:tcW w:w="65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E858A1D">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FB94CD1">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EB031E2">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4AC165E">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322FEB2">
            <w:pPr>
              <w:widowControl/>
              <w:jc w:val="left"/>
              <w:textAlignment w:val="bottom"/>
              <w:rPr>
                <w:rFonts w:ascii="Garamond" w:hAnsi="Garamond" w:cs="Arial"/>
                <w:color w:val="auto"/>
                <w:kern w:val="0"/>
                <w:szCs w:val="21"/>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3DDBF48">
            <w:pPr>
              <w:widowControl/>
              <w:jc w:val="left"/>
              <w:textAlignment w:val="bottom"/>
              <w:rPr>
                <w:rFonts w:ascii="Garamond" w:hAnsi="Garamond" w:cs="Arial"/>
                <w:color w:val="auto"/>
                <w:kern w:val="0"/>
                <w:szCs w:val="21"/>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B5515F9">
            <w:pPr>
              <w:widowControl/>
              <w:jc w:val="left"/>
              <w:textAlignment w:val="bottom"/>
              <w:rPr>
                <w:rFonts w:ascii="Garamond" w:hAnsi="Garamond" w:cs="Arial"/>
                <w:color w:val="auto"/>
                <w:kern w:val="0"/>
                <w:szCs w:val="21"/>
                <w:highlight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F293F76">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F002BB4">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54D8B96">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AEF035F">
            <w:pPr>
              <w:widowControl/>
              <w:jc w:val="left"/>
              <w:textAlignment w:val="bottom"/>
              <w:rPr>
                <w:rFonts w:ascii="Garamond" w:hAnsi="Garamond" w:cs="Arial"/>
                <w:color w:val="auto"/>
                <w:kern w:val="0"/>
                <w:szCs w:val="21"/>
                <w:highlight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1BE63F6">
            <w:pPr>
              <w:widowControl/>
              <w:jc w:val="left"/>
              <w:textAlignment w:val="bottom"/>
              <w:rPr>
                <w:rFonts w:ascii="Garamond" w:hAnsi="Garamond" w:cs="Arial"/>
                <w:color w:val="auto"/>
                <w:kern w:val="0"/>
                <w:szCs w:val="21"/>
                <w:highlight w:val="none"/>
              </w:rPr>
            </w:pPr>
          </w:p>
        </w:tc>
      </w:tr>
    </w:tbl>
    <w:p w14:paraId="2D5B9BC2">
      <w:pPr>
        <w:pStyle w:val="5"/>
        <w:spacing w:line="276" w:lineRule="auto"/>
        <w:jc w:val="left"/>
        <w:rPr>
          <w:color w:val="auto"/>
          <w:sz w:val="21"/>
          <w:szCs w:val="21"/>
          <w:highlight w:val="none"/>
        </w:rPr>
      </w:pPr>
      <w:r>
        <w:rPr>
          <w:rFonts w:hint="eastAsia"/>
          <w:color w:val="auto"/>
          <w:sz w:val="21"/>
          <w:szCs w:val="21"/>
          <w:highlight w:val="none"/>
        </w:rPr>
        <w:t>注：</w:t>
      </w:r>
    </w:p>
    <w:p w14:paraId="6893176A">
      <w:pPr>
        <w:ind w:firstLine="420" w:firstLineChars="200"/>
        <w:rPr>
          <w:rFonts w:ascii="宋体" w:hAnsi="宋体"/>
          <w:color w:val="auto"/>
          <w:szCs w:val="21"/>
          <w:highlight w:val="none"/>
        </w:rPr>
      </w:pPr>
      <w:r>
        <w:rPr>
          <w:rFonts w:hint="eastAsia" w:ascii="宋体" w:hAnsi="宋体"/>
          <w:color w:val="auto"/>
          <w:szCs w:val="21"/>
          <w:highlight w:val="none"/>
        </w:rPr>
        <w:t>1. 本表中所填人员应至少包括项目负责人。</w:t>
      </w:r>
    </w:p>
    <w:p w14:paraId="5FA83838">
      <w:pPr>
        <w:ind w:firstLine="420" w:firstLineChars="200"/>
        <w:rPr>
          <w:rFonts w:ascii="宋体" w:hAnsi="宋体"/>
          <w:color w:val="auto"/>
          <w:szCs w:val="21"/>
          <w:highlight w:val="none"/>
        </w:rPr>
      </w:pPr>
      <w:r>
        <w:rPr>
          <w:rFonts w:hint="eastAsia" w:ascii="宋体" w:hAnsi="宋体"/>
          <w:color w:val="auto"/>
          <w:szCs w:val="21"/>
          <w:highlight w:val="none"/>
        </w:rPr>
        <w:t>2.人员一旦确定，中标后原则上不再变更，如需变更需征得招标人同意。</w:t>
      </w:r>
    </w:p>
    <w:p w14:paraId="66A5398E">
      <w:pPr>
        <w:ind w:firstLine="482"/>
        <w:jc w:val="left"/>
        <w:rPr>
          <w:rFonts w:ascii="Garamond" w:hAnsi="Garamond"/>
          <w:b/>
          <w:bCs/>
          <w:color w:val="auto"/>
          <w:szCs w:val="21"/>
          <w:highlight w:val="none"/>
          <w:u w:val="single"/>
        </w:rPr>
      </w:pPr>
    </w:p>
    <w:p w14:paraId="43CB2776">
      <w:pPr>
        <w:widowControl/>
        <w:ind w:firstLine="482"/>
        <w:jc w:val="center"/>
        <w:rPr>
          <w:rFonts w:ascii="Garamond" w:hAnsi="Garamond"/>
          <w:b/>
          <w:bCs/>
          <w:color w:val="auto"/>
          <w:sz w:val="24"/>
          <w:highlight w:val="none"/>
          <w:u w:val="single"/>
        </w:rPr>
      </w:pPr>
    </w:p>
    <w:p w14:paraId="3125CB47">
      <w:pPr>
        <w:widowControl/>
        <w:ind w:firstLine="482"/>
        <w:jc w:val="center"/>
        <w:rPr>
          <w:rFonts w:ascii="Garamond" w:hAnsi="Garamond"/>
          <w:b/>
          <w:bCs/>
          <w:color w:val="auto"/>
          <w:sz w:val="24"/>
          <w:highlight w:val="none"/>
          <w:u w:val="single"/>
        </w:rPr>
      </w:pPr>
    </w:p>
    <w:p w14:paraId="33F803E0">
      <w:pPr>
        <w:widowControl/>
        <w:ind w:firstLine="482"/>
        <w:jc w:val="center"/>
        <w:rPr>
          <w:rFonts w:ascii="Garamond" w:hAnsi="Garamond"/>
          <w:b/>
          <w:bCs/>
          <w:color w:val="auto"/>
          <w:sz w:val="24"/>
          <w:highlight w:val="none"/>
          <w:u w:val="single"/>
        </w:rPr>
      </w:pPr>
    </w:p>
    <w:p w14:paraId="69CD38E4">
      <w:pPr>
        <w:widowControl/>
        <w:ind w:firstLine="482"/>
        <w:jc w:val="center"/>
        <w:rPr>
          <w:rFonts w:ascii="Garamond" w:hAnsi="Garamond"/>
          <w:b/>
          <w:bCs/>
          <w:color w:val="auto"/>
          <w:sz w:val="24"/>
          <w:highlight w:val="none"/>
          <w:u w:val="single"/>
        </w:rPr>
      </w:pPr>
    </w:p>
    <w:p w14:paraId="14F5B461">
      <w:pPr>
        <w:ind w:firstLine="482"/>
        <w:jc w:val="center"/>
        <w:rPr>
          <w:rFonts w:ascii="Garamond" w:hAnsi="Garamond"/>
          <w:b/>
          <w:bCs/>
          <w:color w:val="auto"/>
          <w:sz w:val="24"/>
          <w:highlight w:val="none"/>
        </w:rPr>
      </w:pPr>
    </w:p>
    <w:p w14:paraId="5E49B37A">
      <w:pPr>
        <w:ind w:firstLine="482"/>
        <w:jc w:val="center"/>
        <w:rPr>
          <w:rFonts w:ascii="Garamond" w:hAnsi="Garamond"/>
          <w:b/>
          <w:bCs/>
          <w:color w:val="auto"/>
          <w:sz w:val="24"/>
          <w:highlight w:val="none"/>
        </w:rPr>
      </w:pPr>
      <w:r>
        <w:rPr>
          <w:rFonts w:ascii="Garamond" w:hAnsi="Garamond"/>
          <w:b/>
          <w:bCs/>
          <w:color w:val="auto"/>
          <w:sz w:val="24"/>
          <w:highlight w:val="none"/>
        </w:rPr>
        <w:t>表4 拟投入本标段主要人员经历表</w:t>
      </w:r>
    </w:p>
    <w:tbl>
      <w:tblPr>
        <w:tblStyle w:val="44"/>
        <w:tblW w:w="4997" w:type="pct"/>
        <w:tblInd w:w="0" w:type="dxa"/>
        <w:tblLayout w:type="autofit"/>
        <w:tblCellMar>
          <w:top w:w="0" w:type="dxa"/>
          <w:left w:w="0" w:type="dxa"/>
          <w:bottom w:w="0" w:type="dxa"/>
          <w:right w:w="0" w:type="dxa"/>
        </w:tblCellMar>
      </w:tblPr>
      <w:tblGrid>
        <w:gridCol w:w="296"/>
        <w:gridCol w:w="596"/>
        <w:gridCol w:w="296"/>
        <w:gridCol w:w="598"/>
        <w:gridCol w:w="598"/>
        <w:gridCol w:w="598"/>
        <w:gridCol w:w="598"/>
        <w:gridCol w:w="5676"/>
      </w:tblGrid>
      <w:tr w14:paraId="2F06F2F3">
        <w:tblPrEx>
          <w:tblCellMar>
            <w:top w:w="0" w:type="dxa"/>
            <w:left w:w="0" w:type="dxa"/>
            <w:bottom w:w="0" w:type="dxa"/>
            <w:right w:w="0" w:type="dxa"/>
          </w:tblCellMar>
        </w:tblPrEx>
        <w:trPr>
          <w:trHeight w:val="520" w:hRule="atLeast"/>
        </w:trPr>
        <w:tc>
          <w:tcPr>
            <w:tcW w:w="1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0B3631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序号</w:t>
            </w: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496173E">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担任职务</w:t>
            </w:r>
          </w:p>
        </w:tc>
        <w:tc>
          <w:tcPr>
            <w:tcW w:w="1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3C9EE7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姓名</w:t>
            </w: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F42A0C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开工时间</w:t>
            </w: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78F8C47">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竣工时间</w:t>
            </w: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0EFE27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项目职务</w:t>
            </w: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77787F9">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项目名称</w:t>
            </w:r>
          </w:p>
        </w:tc>
        <w:tc>
          <w:tcPr>
            <w:tcW w:w="3065"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D04366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项目简介</w:t>
            </w:r>
          </w:p>
        </w:tc>
      </w:tr>
      <w:tr w14:paraId="5E27A68E">
        <w:tblPrEx>
          <w:tblCellMar>
            <w:top w:w="0" w:type="dxa"/>
            <w:left w:w="0" w:type="dxa"/>
            <w:bottom w:w="0" w:type="dxa"/>
            <w:right w:w="0" w:type="dxa"/>
          </w:tblCellMar>
        </w:tblPrEx>
        <w:trPr>
          <w:trHeight w:val="250" w:hRule="atLeast"/>
        </w:trPr>
        <w:tc>
          <w:tcPr>
            <w:tcW w:w="1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8FE19B1">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6E034EE">
            <w:pPr>
              <w:widowControl/>
              <w:jc w:val="left"/>
              <w:textAlignment w:val="bottom"/>
              <w:rPr>
                <w:rFonts w:ascii="Garamond" w:hAnsi="Garamond" w:cs="Arial"/>
                <w:color w:val="auto"/>
                <w:kern w:val="0"/>
                <w:szCs w:val="21"/>
                <w:highlight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317A34E">
            <w:pPr>
              <w:widowControl/>
              <w:jc w:val="left"/>
              <w:textAlignment w:val="bottom"/>
              <w:rPr>
                <w:rFonts w:ascii="Garamond" w:hAnsi="Garamond" w:cs="Arial"/>
                <w:color w:val="auto"/>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75B7B36">
            <w:pPr>
              <w:widowControl/>
              <w:jc w:val="left"/>
              <w:textAlignment w:val="bottom"/>
              <w:rPr>
                <w:rFonts w:ascii="Garamond" w:hAnsi="Garamond" w:cs="Arial"/>
                <w:color w:val="auto"/>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48F047A">
            <w:pPr>
              <w:widowControl/>
              <w:jc w:val="left"/>
              <w:textAlignment w:val="bottom"/>
              <w:rPr>
                <w:rFonts w:ascii="Garamond" w:hAnsi="Garamond" w:cs="Arial"/>
                <w:color w:val="auto"/>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69569FF">
            <w:pPr>
              <w:widowControl/>
              <w:jc w:val="left"/>
              <w:textAlignment w:val="bottom"/>
              <w:rPr>
                <w:rFonts w:ascii="Garamond" w:hAnsi="Garamond" w:cs="Arial"/>
                <w:color w:val="auto"/>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27BC81C">
            <w:pPr>
              <w:widowControl/>
              <w:jc w:val="left"/>
              <w:textAlignment w:val="bottom"/>
              <w:rPr>
                <w:rFonts w:ascii="Garamond" w:hAnsi="Garamond" w:cs="Arial"/>
                <w:color w:val="auto"/>
                <w:kern w:val="0"/>
                <w:szCs w:val="21"/>
                <w:highlight w:val="none"/>
              </w:rPr>
            </w:pPr>
          </w:p>
        </w:tc>
        <w:tc>
          <w:tcPr>
            <w:tcW w:w="3065"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CBC7A9C">
            <w:pPr>
              <w:widowControl/>
              <w:jc w:val="left"/>
              <w:textAlignment w:val="bottom"/>
              <w:rPr>
                <w:rFonts w:ascii="Garamond" w:hAnsi="Garamond" w:cs="Arial"/>
                <w:color w:val="auto"/>
                <w:kern w:val="0"/>
                <w:szCs w:val="21"/>
                <w:highlight w:val="none"/>
              </w:rPr>
            </w:pPr>
          </w:p>
        </w:tc>
      </w:tr>
      <w:tr w14:paraId="418CBDD3">
        <w:tblPrEx>
          <w:tblCellMar>
            <w:top w:w="0" w:type="dxa"/>
            <w:left w:w="0" w:type="dxa"/>
            <w:bottom w:w="0" w:type="dxa"/>
            <w:right w:w="0" w:type="dxa"/>
          </w:tblCellMar>
        </w:tblPrEx>
        <w:trPr>
          <w:trHeight w:val="250" w:hRule="atLeast"/>
        </w:trPr>
        <w:tc>
          <w:tcPr>
            <w:tcW w:w="1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4E24DE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2</w:t>
            </w: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7EB7912">
            <w:pPr>
              <w:widowControl/>
              <w:jc w:val="left"/>
              <w:textAlignment w:val="bottom"/>
              <w:rPr>
                <w:rFonts w:ascii="Garamond" w:hAnsi="Garamond" w:cs="Arial"/>
                <w:color w:val="auto"/>
                <w:kern w:val="0"/>
                <w:szCs w:val="21"/>
                <w:highlight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495FA4B">
            <w:pPr>
              <w:widowControl/>
              <w:jc w:val="left"/>
              <w:textAlignment w:val="bottom"/>
              <w:rPr>
                <w:rFonts w:ascii="Garamond" w:hAnsi="Garamond" w:cs="Arial"/>
                <w:color w:val="auto"/>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DAD637B">
            <w:pPr>
              <w:widowControl/>
              <w:jc w:val="left"/>
              <w:textAlignment w:val="bottom"/>
              <w:rPr>
                <w:rFonts w:ascii="Garamond" w:hAnsi="Garamond" w:cs="Arial"/>
                <w:color w:val="auto"/>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633B16F">
            <w:pPr>
              <w:widowControl/>
              <w:jc w:val="left"/>
              <w:textAlignment w:val="bottom"/>
              <w:rPr>
                <w:rFonts w:ascii="Garamond" w:hAnsi="Garamond" w:cs="Arial"/>
                <w:color w:val="auto"/>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502AF6F">
            <w:pPr>
              <w:widowControl/>
              <w:jc w:val="left"/>
              <w:textAlignment w:val="bottom"/>
              <w:rPr>
                <w:rFonts w:ascii="Garamond" w:hAnsi="Garamond" w:cs="Arial"/>
                <w:color w:val="auto"/>
                <w:kern w:val="0"/>
                <w:szCs w:val="21"/>
                <w:highlight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ABD2D91">
            <w:pPr>
              <w:widowControl/>
              <w:jc w:val="left"/>
              <w:textAlignment w:val="bottom"/>
              <w:rPr>
                <w:rFonts w:ascii="Garamond" w:hAnsi="Garamond" w:cs="Arial"/>
                <w:color w:val="auto"/>
                <w:kern w:val="0"/>
                <w:szCs w:val="21"/>
                <w:highlight w:val="none"/>
              </w:rPr>
            </w:pPr>
          </w:p>
        </w:tc>
        <w:tc>
          <w:tcPr>
            <w:tcW w:w="3065"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0292095">
            <w:pPr>
              <w:widowControl/>
              <w:jc w:val="left"/>
              <w:textAlignment w:val="bottom"/>
              <w:rPr>
                <w:rFonts w:ascii="Garamond" w:hAnsi="Garamond" w:cs="Arial"/>
                <w:color w:val="auto"/>
                <w:kern w:val="0"/>
                <w:szCs w:val="21"/>
                <w:highlight w:val="none"/>
              </w:rPr>
            </w:pPr>
          </w:p>
        </w:tc>
      </w:tr>
    </w:tbl>
    <w:p w14:paraId="3F2A48D8">
      <w:pPr>
        <w:widowControl/>
        <w:jc w:val="left"/>
        <w:rPr>
          <w:rFonts w:ascii="Garamond" w:hAnsi="Garamond"/>
          <w:b/>
          <w:bCs/>
          <w:color w:val="auto"/>
          <w:highlight w:val="none"/>
        </w:rPr>
      </w:pPr>
      <w:r>
        <w:rPr>
          <w:rFonts w:ascii="Garamond" w:hAnsi="Garamond"/>
          <w:b/>
          <w:bCs/>
          <w:color w:val="auto"/>
          <w:highlight w:val="none"/>
        </w:rPr>
        <w:br w:type="page"/>
      </w:r>
    </w:p>
    <w:p w14:paraId="039623F5">
      <w:pPr>
        <w:pStyle w:val="11"/>
        <w:ind w:firstLine="0"/>
        <w:jc w:val="center"/>
        <w:rPr>
          <w:rFonts w:ascii="Garamond" w:hAnsi="Garamond"/>
          <w:b/>
          <w:bCs/>
          <w:color w:val="auto"/>
          <w:highlight w:val="none"/>
          <w:u w:val="single"/>
        </w:rPr>
      </w:pPr>
      <w:r>
        <w:rPr>
          <w:rFonts w:ascii="Garamond" w:hAnsi="Garamond"/>
          <w:b/>
          <w:bCs/>
          <w:color w:val="auto"/>
          <w:highlight w:val="none"/>
          <w:u w:val="single"/>
        </w:rPr>
        <w:t>表5 已建工程表</w:t>
      </w:r>
    </w:p>
    <w:tbl>
      <w:tblPr>
        <w:tblStyle w:val="44"/>
        <w:tblW w:w="5000" w:type="pct"/>
        <w:tblInd w:w="0" w:type="dxa"/>
        <w:tblLayout w:type="autofit"/>
        <w:tblCellMar>
          <w:top w:w="0" w:type="dxa"/>
          <w:left w:w="0" w:type="dxa"/>
          <w:bottom w:w="0" w:type="dxa"/>
          <w:right w:w="0" w:type="dxa"/>
        </w:tblCellMar>
      </w:tblPr>
      <w:tblGrid>
        <w:gridCol w:w="2315"/>
        <w:gridCol w:w="2315"/>
        <w:gridCol w:w="2316"/>
        <w:gridCol w:w="219"/>
        <w:gridCol w:w="2097"/>
      </w:tblGrid>
      <w:tr w14:paraId="35218606">
        <w:tblPrEx>
          <w:tblCellMar>
            <w:top w:w="0" w:type="dxa"/>
            <w:left w:w="0" w:type="dxa"/>
            <w:bottom w:w="0" w:type="dxa"/>
            <w:right w:w="0"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B817A29">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(项目名称)</w:t>
            </w:r>
          </w:p>
        </w:tc>
      </w:tr>
      <w:tr w14:paraId="0C717401">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BE97E4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工程地点:</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2DBA010">
            <w:pPr>
              <w:widowControl/>
              <w:jc w:val="left"/>
              <w:textAlignment w:val="bottom"/>
              <w:rPr>
                <w:rFonts w:ascii="Garamond" w:hAnsi="Garamond" w:cs="Arial"/>
                <w:color w:val="auto"/>
                <w:kern w:val="0"/>
                <w:szCs w:val="21"/>
                <w:highlight w:val="none"/>
              </w:rPr>
            </w:pPr>
          </w:p>
        </w:tc>
      </w:tr>
      <w:tr w14:paraId="122684CB">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B26BA2E">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合同标段:</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C627392">
            <w:pPr>
              <w:widowControl/>
              <w:jc w:val="left"/>
              <w:textAlignment w:val="bottom"/>
              <w:rPr>
                <w:rFonts w:ascii="Garamond" w:hAnsi="Garamond" w:cs="Arial"/>
                <w:color w:val="auto"/>
                <w:kern w:val="0"/>
                <w:szCs w:val="21"/>
                <w:highlight w:val="none"/>
              </w:rPr>
            </w:pPr>
          </w:p>
        </w:tc>
      </w:tr>
      <w:tr w14:paraId="4052EFA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1CA71F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合同价(元):</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C2009BF">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FC88D4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竣工质量评定：</w:t>
            </w:r>
          </w:p>
        </w:tc>
        <w:tc>
          <w:tcPr>
            <w:tcW w:w="125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3F9D54B">
            <w:pPr>
              <w:widowControl/>
              <w:jc w:val="left"/>
              <w:textAlignment w:val="bottom"/>
              <w:rPr>
                <w:rFonts w:ascii="Garamond" w:hAnsi="Garamond" w:cs="Arial"/>
                <w:color w:val="auto"/>
                <w:kern w:val="0"/>
                <w:szCs w:val="21"/>
                <w:highlight w:val="none"/>
              </w:rPr>
            </w:pPr>
          </w:p>
        </w:tc>
      </w:tr>
      <w:tr w14:paraId="76E9F52B">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FA526B8">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项目负责人:</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63A4954">
            <w:pPr>
              <w:widowControl/>
              <w:jc w:val="left"/>
              <w:textAlignment w:val="bottom"/>
              <w:rPr>
                <w:rFonts w:ascii="Garamond" w:hAnsi="Garamond" w:cs="Arial"/>
                <w:color w:val="auto"/>
                <w:kern w:val="0"/>
                <w:szCs w:val="21"/>
                <w:highlight w:val="none"/>
              </w:rPr>
            </w:pPr>
          </w:p>
        </w:tc>
      </w:tr>
      <w:tr w14:paraId="742BE937">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684BB55">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开始时间：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BAC208F">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06C3A2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结束时间：</w:t>
            </w:r>
          </w:p>
        </w:tc>
        <w:tc>
          <w:tcPr>
            <w:tcW w:w="125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F7B8BB6">
            <w:pPr>
              <w:widowControl/>
              <w:jc w:val="left"/>
              <w:textAlignment w:val="bottom"/>
              <w:rPr>
                <w:rFonts w:ascii="Garamond" w:hAnsi="Garamond" w:cs="Arial"/>
                <w:color w:val="auto"/>
                <w:kern w:val="0"/>
                <w:szCs w:val="21"/>
                <w:highlight w:val="none"/>
              </w:rPr>
            </w:pPr>
          </w:p>
        </w:tc>
      </w:tr>
      <w:tr w14:paraId="6C800045">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77AB90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二任项目负责人:</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280F178">
            <w:pPr>
              <w:widowControl/>
              <w:jc w:val="left"/>
              <w:textAlignment w:val="bottom"/>
              <w:rPr>
                <w:rFonts w:ascii="Garamond" w:hAnsi="Garamond" w:cs="Arial"/>
                <w:color w:val="auto"/>
                <w:kern w:val="0"/>
                <w:szCs w:val="21"/>
                <w:highlight w:val="none"/>
              </w:rPr>
            </w:pPr>
          </w:p>
        </w:tc>
      </w:tr>
      <w:tr w14:paraId="1D3A2377">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1003F7E">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开始时间：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F22F050">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5BB5029">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结束时间：</w:t>
            </w:r>
          </w:p>
        </w:tc>
        <w:tc>
          <w:tcPr>
            <w:tcW w:w="125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F416B30">
            <w:pPr>
              <w:widowControl/>
              <w:jc w:val="left"/>
              <w:textAlignment w:val="bottom"/>
              <w:rPr>
                <w:rFonts w:ascii="Garamond" w:hAnsi="Garamond" w:cs="Arial"/>
                <w:color w:val="auto"/>
                <w:kern w:val="0"/>
                <w:szCs w:val="21"/>
                <w:highlight w:val="none"/>
              </w:rPr>
            </w:pPr>
          </w:p>
        </w:tc>
      </w:tr>
      <w:tr w14:paraId="0138CDA4">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EF41822">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三任项目负责人:</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67A628C">
            <w:pPr>
              <w:widowControl/>
              <w:jc w:val="left"/>
              <w:textAlignment w:val="bottom"/>
              <w:rPr>
                <w:rFonts w:ascii="Garamond" w:hAnsi="Garamond" w:cs="Arial"/>
                <w:color w:val="auto"/>
                <w:kern w:val="0"/>
                <w:szCs w:val="21"/>
                <w:highlight w:val="none"/>
              </w:rPr>
            </w:pPr>
          </w:p>
        </w:tc>
      </w:tr>
      <w:tr w14:paraId="69A83C0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0AC3A85">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开始时间：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144A449">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2B38B25">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结束时间：</w:t>
            </w:r>
          </w:p>
        </w:tc>
        <w:tc>
          <w:tcPr>
            <w:tcW w:w="125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79F95F1">
            <w:pPr>
              <w:widowControl/>
              <w:jc w:val="left"/>
              <w:textAlignment w:val="bottom"/>
              <w:rPr>
                <w:rFonts w:ascii="Garamond" w:hAnsi="Garamond" w:cs="Arial"/>
                <w:color w:val="auto"/>
                <w:kern w:val="0"/>
                <w:szCs w:val="21"/>
                <w:highlight w:val="none"/>
              </w:rPr>
            </w:pPr>
          </w:p>
        </w:tc>
      </w:tr>
      <w:tr w14:paraId="234EA3FF">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CC91423">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四任项目负责人:</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99715F6">
            <w:pPr>
              <w:widowControl/>
              <w:jc w:val="left"/>
              <w:textAlignment w:val="bottom"/>
              <w:rPr>
                <w:rFonts w:ascii="Garamond" w:hAnsi="Garamond" w:cs="Arial"/>
                <w:color w:val="auto"/>
                <w:kern w:val="0"/>
                <w:szCs w:val="21"/>
                <w:highlight w:val="none"/>
              </w:rPr>
            </w:pPr>
          </w:p>
        </w:tc>
      </w:tr>
      <w:tr w14:paraId="234B5538">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F32881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开始时间：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AC4697B">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096D296">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结束时间：</w:t>
            </w:r>
          </w:p>
        </w:tc>
        <w:tc>
          <w:tcPr>
            <w:tcW w:w="125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6075CE0">
            <w:pPr>
              <w:widowControl/>
              <w:jc w:val="left"/>
              <w:textAlignment w:val="bottom"/>
              <w:rPr>
                <w:rFonts w:ascii="Garamond" w:hAnsi="Garamond" w:cs="Arial"/>
                <w:color w:val="auto"/>
                <w:kern w:val="0"/>
                <w:szCs w:val="21"/>
                <w:highlight w:val="none"/>
              </w:rPr>
            </w:pPr>
          </w:p>
        </w:tc>
      </w:tr>
      <w:tr w14:paraId="600762DC">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61DA116">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技术负责人：</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DCA9004">
            <w:pPr>
              <w:widowControl/>
              <w:jc w:val="left"/>
              <w:textAlignment w:val="bottom"/>
              <w:rPr>
                <w:rFonts w:ascii="Garamond" w:hAnsi="Garamond" w:cs="Arial"/>
                <w:color w:val="auto"/>
                <w:kern w:val="0"/>
                <w:szCs w:val="21"/>
                <w:highlight w:val="none"/>
              </w:rPr>
            </w:pPr>
          </w:p>
        </w:tc>
      </w:tr>
      <w:tr w14:paraId="7000EC16">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3A1B70A">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承建主体队伍:</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E90EBDF">
            <w:pPr>
              <w:widowControl/>
              <w:jc w:val="left"/>
              <w:textAlignment w:val="bottom"/>
              <w:rPr>
                <w:rFonts w:ascii="Garamond" w:hAnsi="Garamond" w:cs="Arial"/>
                <w:color w:val="auto"/>
                <w:kern w:val="0"/>
                <w:szCs w:val="21"/>
                <w:highlight w:val="none"/>
              </w:rPr>
            </w:pPr>
          </w:p>
        </w:tc>
      </w:tr>
      <w:tr w14:paraId="25AF5D61">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4BC7418">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合同工期(天):</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241BB1A">
            <w:pPr>
              <w:widowControl/>
              <w:jc w:val="left"/>
              <w:textAlignment w:val="bottom"/>
              <w:rPr>
                <w:rFonts w:ascii="Garamond" w:hAnsi="Garamond" w:cs="Arial"/>
                <w:color w:val="auto"/>
                <w:kern w:val="0"/>
                <w:szCs w:val="21"/>
                <w:highlight w:val="none"/>
              </w:rPr>
            </w:pPr>
          </w:p>
        </w:tc>
        <w:tc>
          <w:tcPr>
            <w:tcW w:w="1368"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4BF7F8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合同开工日期(年、月)：</w:t>
            </w:r>
          </w:p>
        </w:tc>
        <w:tc>
          <w:tcPr>
            <w:tcW w:w="113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8573484">
            <w:pPr>
              <w:widowControl/>
              <w:jc w:val="left"/>
              <w:textAlignment w:val="bottom"/>
              <w:rPr>
                <w:rFonts w:ascii="Garamond" w:hAnsi="Garamond" w:cs="Arial"/>
                <w:color w:val="auto"/>
                <w:kern w:val="0"/>
                <w:szCs w:val="21"/>
                <w:highlight w:val="none"/>
              </w:rPr>
            </w:pPr>
          </w:p>
        </w:tc>
      </w:tr>
      <w:tr w14:paraId="71DFACF7">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7E131CB">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合同交/竣工日期(年、月):</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1045A93">
            <w:pPr>
              <w:widowControl/>
              <w:jc w:val="left"/>
              <w:textAlignment w:val="bottom"/>
              <w:rPr>
                <w:rFonts w:ascii="Garamond" w:hAnsi="Garamond" w:cs="Arial"/>
                <w:color w:val="auto"/>
                <w:kern w:val="0"/>
                <w:szCs w:val="21"/>
                <w:highlight w:val="none"/>
              </w:rPr>
            </w:pPr>
          </w:p>
        </w:tc>
        <w:tc>
          <w:tcPr>
            <w:tcW w:w="1368"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5E0902C">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是否为分包：</w:t>
            </w:r>
          </w:p>
        </w:tc>
        <w:tc>
          <w:tcPr>
            <w:tcW w:w="113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F01CDC5">
            <w:pPr>
              <w:widowControl/>
              <w:jc w:val="left"/>
              <w:textAlignment w:val="bottom"/>
              <w:rPr>
                <w:rFonts w:ascii="Garamond" w:hAnsi="Garamond" w:cs="Arial"/>
                <w:color w:val="auto"/>
                <w:kern w:val="0"/>
                <w:szCs w:val="21"/>
                <w:highlight w:val="none"/>
              </w:rPr>
            </w:pPr>
          </w:p>
        </w:tc>
      </w:tr>
      <w:tr w14:paraId="4357FA18">
        <w:tblPrEx>
          <w:tblCellMar>
            <w:top w:w="0" w:type="dxa"/>
            <w:left w:w="0" w:type="dxa"/>
            <w:bottom w:w="0" w:type="dxa"/>
            <w:right w:w="0" w:type="dxa"/>
          </w:tblCellMar>
        </w:tblPrEx>
        <w:trPr>
          <w:trHeight w:val="52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5E63B7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获奖情况(仅限部、省级以上):</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337C148">
            <w:pPr>
              <w:widowControl/>
              <w:jc w:val="left"/>
              <w:textAlignment w:val="bottom"/>
              <w:rPr>
                <w:rFonts w:ascii="Garamond" w:hAnsi="Garamond" w:cs="Arial"/>
                <w:color w:val="auto"/>
                <w:kern w:val="0"/>
                <w:szCs w:val="21"/>
                <w:highlight w:val="none"/>
              </w:rPr>
            </w:pPr>
          </w:p>
        </w:tc>
      </w:tr>
      <w:tr w14:paraId="74786A41">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B1A4AF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发包人名称:</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3526E15">
            <w:pPr>
              <w:widowControl/>
              <w:jc w:val="left"/>
              <w:textAlignment w:val="bottom"/>
              <w:rPr>
                <w:rFonts w:ascii="Garamond" w:hAnsi="Garamond" w:cs="Arial"/>
                <w:color w:val="auto"/>
                <w:kern w:val="0"/>
                <w:szCs w:val="21"/>
                <w:highlight w:val="none"/>
              </w:rPr>
            </w:pPr>
          </w:p>
        </w:tc>
      </w:tr>
      <w:tr w14:paraId="69862FF4">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A5401D5">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发包人联系人:</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29E9E83">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1DE968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联系电话:</w:t>
            </w:r>
          </w:p>
        </w:tc>
        <w:tc>
          <w:tcPr>
            <w:tcW w:w="1250" w:type="pct"/>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FCAD0A0">
            <w:pPr>
              <w:widowControl/>
              <w:jc w:val="left"/>
              <w:textAlignment w:val="bottom"/>
              <w:rPr>
                <w:rFonts w:ascii="Garamond" w:hAnsi="Garamond" w:cs="Arial"/>
                <w:color w:val="auto"/>
                <w:kern w:val="0"/>
                <w:szCs w:val="21"/>
                <w:highlight w:val="none"/>
              </w:rPr>
            </w:pPr>
          </w:p>
        </w:tc>
      </w:tr>
      <w:tr w14:paraId="6DB4250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C0BF27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工程简介:</w:t>
            </w:r>
          </w:p>
        </w:tc>
        <w:tc>
          <w:tcPr>
            <w:tcW w:w="3750" w:type="pct"/>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E813DED">
            <w:pPr>
              <w:widowControl/>
              <w:jc w:val="left"/>
              <w:textAlignment w:val="bottom"/>
              <w:rPr>
                <w:rFonts w:ascii="Garamond" w:hAnsi="Garamond" w:cs="Arial"/>
                <w:color w:val="auto"/>
                <w:kern w:val="0"/>
                <w:szCs w:val="21"/>
                <w:highlight w:val="none"/>
              </w:rPr>
            </w:pPr>
          </w:p>
        </w:tc>
      </w:tr>
    </w:tbl>
    <w:p w14:paraId="55DBB294">
      <w:pPr>
        <w:ind w:firstLine="738" w:firstLineChars="350"/>
        <w:jc w:val="center"/>
        <w:rPr>
          <w:rFonts w:ascii="Garamond" w:hAnsi="Garamond"/>
          <w:b/>
          <w:bCs/>
          <w:color w:val="auto"/>
          <w:highlight w:val="none"/>
        </w:rPr>
      </w:pPr>
      <w:r>
        <w:rPr>
          <w:rFonts w:ascii="Garamond" w:hAnsi="Garamond"/>
          <w:b/>
          <w:bCs/>
          <w:color w:val="auto"/>
          <w:highlight w:val="none"/>
        </w:rPr>
        <w:br w:type="page"/>
      </w:r>
    </w:p>
    <w:p w14:paraId="043F62AE">
      <w:pPr>
        <w:pStyle w:val="11"/>
        <w:ind w:firstLine="738" w:firstLineChars="350"/>
        <w:jc w:val="center"/>
        <w:rPr>
          <w:rFonts w:ascii="Garamond" w:hAnsi="Garamond"/>
          <w:b/>
          <w:bCs/>
          <w:color w:val="auto"/>
          <w:highlight w:val="none"/>
          <w:u w:val="single"/>
        </w:rPr>
      </w:pPr>
      <w:r>
        <w:rPr>
          <w:rFonts w:ascii="Garamond" w:hAnsi="Garamond"/>
          <w:b/>
          <w:bCs/>
          <w:color w:val="auto"/>
          <w:highlight w:val="none"/>
          <w:u w:val="single"/>
        </w:rPr>
        <w:t>表6 在建工程表</w:t>
      </w:r>
    </w:p>
    <w:tbl>
      <w:tblPr>
        <w:tblStyle w:val="44"/>
        <w:tblW w:w="5000" w:type="pct"/>
        <w:tblInd w:w="0" w:type="dxa"/>
        <w:tblLayout w:type="autofit"/>
        <w:tblCellMar>
          <w:top w:w="0" w:type="dxa"/>
          <w:left w:w="0" w:type="dxa"/>
          <w:bottom w:w="0" w:type="dxa"/>
          <w:right w:w="0" w:type="dxa"/>
        </w:tblCellMar>
      </w:tblPr>
      <w:tblGrid>
        <w:gridCol w:w="2315"/>
        <w:gridCol w:w="2315"/>
        <w:gridCol w:w="2316"/>
        <w:gridCol w:w="2316"/>
      </w:tblGrid>
      <w:tr w14:paraId="0CAF98F6">
        <w:tblPrEx>
          <w:tblCellMar>
            <w:top w:w="0" w:type="dxa"/>
            <w:left w:w="0" w:type="dxa"/>
            <w:bottom w:w="0" w:type="dxa"/>
            <w:right w:w="0" w:type="dxa"/>
          </w:tblCellMar>
        </w:tblPrEx>
        <w:trPr>
          <w:trHeight w:val="345" w:hRule="atLeast"/>
        </w:trPr>
        <w:tc>
          <w:tcPr>
            <w:tcW w:w="5000" w:type="pct"/>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2B07C6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(项目名称)</w:t>
            </w:r>
          </w:p>
        </w:tc>
      </w:tr>
      <w:tr w14:paraId="56146B2B">
        <w:tblPrEx>
          <w:tblCellMar>
            <w:top w:w="0" w:type="dxa"/>
            <w:left w:w="0" w:type="dxa"/>
            <w:bottom w:w="0" w:type="dxa"/>
            <w:right w:w="0" w:type="dxa"/>
          </w:tblCellMar>
        </w:tblPrEx>
        <w:trPr>
          <w:trHeight w:val="345" w:hRule="atLeast"/>
        </w:trPr>
        <w:tc>
          <w:tcPr>
            <w:tcW w:w="5000" w:type="pct"/>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4ADA7B9">
            <w:pPr>
              <w:widowControl/>
              <w:jc w:val="left"/>
              <w:textAlignment w:val="bottom"/>
              <w:rPr>
                <w:rFonts w:ascii="Garamond" w:hAnsi="Garamond" w:cs="Arial"/>
                <w:color w:val="auto"/>
                <w:kern w:val="0"/>
                <w:szCs w:val="21"/>
                <w:highlight w:val="none"/>
              </w:rPr>
            </w:pPr>
          </w:p>
        </w:tc>
      </w:tr>
      <w:tr w14:paraId="63159A0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FB5BF4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工程地点:</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D4A2819">
            <w:pPr>
              <w:widowControl/>
              <w:jc w:val="left"/>
              <w:textAlignment w:val="bottom"/>
              <w:rPr>
                <w:rFonts w:ascii="Garamond" w:hAnsi="Garamond" w:cs="Arial"/>
                <w:color w:val="auto"/>
                <w:kern w:val="0"/>
                <w:szCs w:val="21"/>
                <w:highlight w:val="none"/>
              </w:rPr>
            </w:pPr>
          </w:p>
        </w:tc>
      </w:tr>
      <w:tr w14:paraId="1082C457">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1227F3F">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合同标段:</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61FA08A">
            <w:pPr>
              <w:widowControl/>
              <w:jc w:val="left"/>
              <w:textAlignment w:val="bottom"/>
              <w:rPr>
                <w:rFonts w:ascii="Garamond" w:hAnsi="Garamond" w:cs="Arial"/>
                <w:color w:val="auto"/>
                <w:kern w:val="0"/>
                <w:szCs w:val="21"/>
                <w:highlight w:val="none"/>
              </w:rPr>
            </w:pPr>
          </w:p>
        </w:tc>
      </w:tr>
      <w:tr w14:paraId="5BD2FC7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14BA481">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合同价(元):</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0E50AB4">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9535BA1">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剩余工作量(元)：</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26F85FF">
            <w:pPr>
              <w:widowControl/>
              <w:jc w:val="left"/>
              <w:textAlignment w:val="bottom"/>
              <w:rPr>
                <w:rFonts w:ascii="Garamond" w:hAnsi="Garamond" w:cs="Arial"/>
                <w:color w:val="auto"/>
                <w:kern w:val="0"/>
                <w:szCs w:val="21"/>
                <w:highlight w:val="none"/>
              </w:rPr>
            </w:pPr>
          </w:p>
        </w:tc>
      </w:tr>
      <w:tr w14:paraId="41EC7D5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224EA72">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项目负责人:</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6E5F710">
            <w:pPr>
              <w:widowControl/>
              <w:jc w:val="left"/>
              <w:textAlignment w:val="bottom"/>
              <w:rPr>
                <w:rFonts w:ascii="Garamond" w:hAnsi="Garamond" w:cs="Arial"/>
                <w:color w:val="auto"/>
                <w:kern w:val="0"/>
                <w:szCs w:val="21"/>
                <w:highlight w:val="none"/>
              </w:rPr>
            </w:pPr>
          </w:p>
        </w:tc>
      </w:tr>
      <w:tr w14:paraId="7EDD448D">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3486D71">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开始时间：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A4A6379">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2C0C38E">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结束时间：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BCA114B">
            <w:pPr>
              <w:widowControl/>
              <w:jc w:val="left"/>
              <w:textAlignment w:val="bottom"/>
              <w:rPr>
                <w:rFonts w:ascii="Garamond" w:hAnsi="Garamond" w:cs="Arial"/>
                <w:color w:val="auto"/>
                <w:kern w:val="0"/>
                <w:szCs w:val="21"/>
                <w:highlight w:val="none"/>
              </w:rPr>
            </w:pPr>
          </w:p>
        </w:tc>
      </w:tr>
      <w:tr w14:paraId="5E795CE6">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FF666B8">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二任项目负责人:</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5B30F68">
            <w:pPr>
              <w:widowControl/>
              <w:jc w:val="left"/>
              <w:textAlignment w:val="bottom"/>
              <w:rPr>
                <w:rFonts w:ascii="Garamond" w:hAnsi="Garamond" w:cs="Arial"/>
                <w:color w:val="auto"/>
                <w:kern w:val="0"/>
                <w:szCs w:val="21"/>
                <w:highlight w:val="none"/>
              </w:rPr>
            </w:pPr>
          </w:p>
        </w:tc>
      </w:tr>
      <w:tr w14:paraId="0E5BC470">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ACB50AE">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开始时间：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AEA82B5">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D04D3E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结束时间：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FAAD29A">
            <w:pPr>
              <w:widowControl/>
              <w:jc w:val="left"/>
              <w:textAlignment w:val="bottom"/>
              <w:rPr>
                <w:rFonts w:ascii="Garamond" w:hAnsi="Garamond" w:cs="Arial"/>
                <w:color w:val="auto"/>
                <w:kern w:val="0"/>
                <w:szCs w:val="21"/>
                <w:highlight w:val="none"/>
              </w:rPr>
            </w:pPr>
          </w:p>
        </w:tc>
      </w:tr>
      <w:tr w14:paraId="6C57B06A">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36D8CB6">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三任项目负责人:</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4805AE1">
            <w:pPr>
              <w:widowControl/>
              <w:jc w:val="left"/>
              <w:textAlignment w:val="bottom"/>
              <w:rPr>
                <w:rFonts w:ascii="Garamond" w:hAnsi="Garamond" w:cs="Arial"/>
                <w:color w:val="auto"/>
                <w:kern w:val="0"/>
                <w:szCs w:val="21"/>
                <w:highlight w:val="none"/>
              </w:rPr>
            </w:pPr>
          </w:p>
        </w:tc>
      </w:tr>
      <w:tr w14:paraId="4CAF5D99">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DBAF3A8">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开始时间：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425EA7E">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3AD9A4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结束时间：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772A766">
            <w:pPr>
              <w:widowControl/>
              <w:jc w:val="left"/>
              <w:textAlignment w:val="bottom"/>
              <w:rPr>
                <w:rFonts w:ascii="Garamond" w:hAnsi="Garamond" w:cs="Arial"/>
                <w:color w:val="auto"/>
                <w:kern w:val="0"/>
                <w:szCs w:val="21"/>
                <w:highlight w:val="none"/>
              </w:rPr>
            </w:pPr>
          </w:p>
        </w:tc>
      </w:tr>
      <w:tr w14:paraId="0579798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8F55DA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四任项目负责人:</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4A66765">
            <w:pPr>
              <w:widowControl/>
              <w:jc w:val="left"/>
              <w:textAlignment w:val="bottom"/>
              <w:rPr>
                <w:rFonts w:ascii="Garamond" w:hAnsi="Garamond" w:cs="Arial"/>
                <w:color w:val="auto"/>
                <w:kern w:val="0"/>
                <w:szCs w:val="21"/>
                <w:highlight w:val="none"/>
              </w:rPr>
            </w:pPr>
          </w:p>
        </w:tc>
      </w:tr>
      <w:tr w14:paraId="5174ACD1">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C6FB342">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开始时间：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ACC6D39">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DF9713F">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结束时间：</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689D4D9">
            <w:pPr>
              <w:widowControl/>
              <w:jc w:val="left"/>
              <w:textAlignment w:val="bottom"/>
              <w:rPr>
                <w:rFonts w:ascii="Garamond" w:hAnsi="Garamond" w:cs="Arial"/>
                <w:color w:val="auto"/>
                <w:kern w:val="0"/>
                <w:szCs w:val="21"/>
                <w:highlight w:val="none"/>
              </w:rPr>
            </w:pPr>
          </w:p>
        </w:tc>
      </w:tr>
      <w:tr w14:paraId="4A34F8D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D99E2CF">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技术负责人：</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3B23FCB">
            <w:pPr>
              <w:widowControl/>
              <w:jc w:val="left"/>
              <w:textAlignment w:val="bottom"/>
              <w:rPr>
                <w:rFonts w:ascii="Garamond" w:hAnsi="Garamond" w:cs="Arial"/>
                <w:color w:val="auto"/>
                <w:kern w:val="0"/>
                <w:szCs w:val="21"/>
                <w:highlight w:val="none"/>
              </w:rPr>
            </w:pPr>
          </w:p>
        </w:tc>
      </w:tr>
      <w:tr w14:paraId="6FB6953E">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F6C96C2">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承建主体队伍:</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556C8BA">
            <w:pPr>
              <w:widowControl/>
              <w:jc w:val="left"/>
              <w:textAlignment w:val="bottom"/>
              <w:rPr>
                <w:rFonts w:ascii="Garamond" w:hAnsi="Garamond" w:cs="Arial"/>
                <w:color w:val="auto"/>
                <w:kern w:val="0"/>
                <w:szCs w:val="21"/>
                <w:highlight w:val="none"/>
              </w:rPr>
            </w:pPr>
          </w:p>
        </w:tc>
      </w:tr>
      <w:tr w14:paraId="56B53286">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D9FADC7">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合同工期(天):</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3F18256">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DF2B47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开工日期(年、月)：</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2A7627B">
            <w:pPr>
              <w:widowControl/>
              <w:jc w:val="left"/>
              <w:textAlignment w:val="bottom"/>
              <w:rPr>
                <w:rFonts w:ascii="Garamond" w:hAnsi="Garamond" w:cs="Arial"/>
                <w:color w:val="auto"/>
                <w:kern w:val="0"/>
                <w:szCs w:val="21"/>
                <w:highlight w:val="none"/>
              </w:rPr>
            </w:pPr>
          </w:p>
        </w:tc>
      </w:tr>
      <w:tr w14:paraId="0F295FAC">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308513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预期交/竣工日期(年、月):</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8FB4330">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0F40AD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工程形象度：</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1C893FA">
            <w:pPr>
              <w:widowControl/>
              <w:jc w:val="left"/>
              <w:textAlignment w:val="bottom"/>
              <w:rPr>
                <w:rFonts w:ascii="Garamond" w:hAnsi="Garamond" w:cs="Arial"/>
                <w:color w:val="auto"/>
                <w:kern w:val="0"/>
                <w:szCs w:val="21"/>
                <w:highlight w:val="none"/>
              </w:rPr>
            </w:pPr>
          </w:p>
        </w:tc>
      </w:tr>
      <w:tr w14:paraId="56943063">
        <w:tblPrEx>
          <w:tblCellMar>
            <w:top w:w="0" w:type="dxa"/>
            <w:left w:w="0" w:type="dxa"/>
            <w:bottom w:w="0" w:type="dxa"/>
            <w:right w:w="0" w:type="dxa"/>
          </w:tblCellMar>
        </w:tblPrEx>
        <w:trPr>
          <w:trHeight w:val="52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644B76B">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获奖情况(仅限部、省级以上):</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1024C7F">
            <w:pPr>
              <w:widowControl/>
              <w:jc w:val="left"/>
              <w:textAlignment w:val="bottom"/>
              <w:rPr>
                <w:rFonts w:ascii="Garamond" w:hAnsi="Garamond" w:cs="Arial"/>
                <w:color w:val="auto"/>
                <w:kern w:val="0"/>
                <w:szCs w:val="21"/>
                <w:highlight w:val="none"/>
              </w:rPr>
            </w:pPr>
          </w:p>
        </w:tc>
      </w:tr>
      <w:tr w14:paraId="65BF4431">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67AB1E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发包人名称:</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977FEEA">
            <w:pPr>
              <w:widowControl/>
              <w:jc w:val="left"/>
              <w:textAlignment w:val="bottom"/>
              <w:rPr>
                <w:rFonts w:ascii="Garamond" w:hAnsi="Garamond" w:cs="Arial"/>
                <w:color w:val="auto"/>
                <w:kern w:val="0"/>
                <w:szCs w:val="21"/>
                <w:highlight w:val="none"/>
              </w:rPr>
            </w:pPr>
          </w:p>
        </w:tc>
      </w:tr>
      <w:tr w14:paraId="0A1E1D93">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05FCC6C">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发包人联系人:</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DD4C156">
            <w:pPr>
              <w:widowControl/>
              <w:jc w:val="left"/>
              <w:textAlignment w:val="bottom"/>
              <w:rPr>
                <w:rFonts w:ascii="Garamond" w:hAnsi="Garamond" w:cs="Arial"/>
                <w:color w:val="auto"/>
                <w:kern w:val="0"/>
                <w:szCs w:val="21"/>
                <w:highlight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2DC91D4">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联系电话:</w:t>
            </w:r>
          </w:p>
        </w:tc>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1F4D418">
            <w:pPr>
              <w:widowControl/>
              <w:jc w:val="left"/>
              <w:textAlignment w:val="bottom"/>
              <w:rPr>
                <w:rFonts w:ascii="Garamond" w:hAnsi="Garamond" w:cs="Arial"/>
                <w:color w:val="auto"/>
                <w:kern w:val="0"/>
                <w:szCs w:val="21"/>
                <w:highlight w:val="none"/>
              </w:rPr>
            </w:pPr>
          </w:p>
        </w:tc>
      </w:tr>
      <w:tr w14:paraId="5CB4F337">
        <w:tblPrEx>
          <w:tblCellMar>
            <w:top w:w="0" w:type="dxa"/>
            <w:left w:w="0" w:type="dxa"/>
            <w:bottom w:w="0" w:type="dxa"/>
            <w:right w:w="0" w:type="dxa"/>
          </w:tblCellMar>
        </w:tblPrEx>
        <w:trPr>
          <w:trHeight w:val="260" w:hRule="atLeast"/>
        </w:trPr>
        <w:tc>
          <w:tcPr>
            <w:tcW w:w="125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EAA0B02">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工程简介:</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536CB52">
            <w:pPr>
              <w:widowControl/>
              <w:jc w:val="left"/>
              <w:textAlignment w:val="bottom"/>
              <w:rPr>
                <w:rFonts w:ascii="Garamond" w:hAnsi="Garamond" w:cs="Arial"/>
                <w:color w:val="auto"/>
                <w:kern w:val="0"/>
                <w:szCs w:val="21"/>
                <w:highlight w:val="none"/>
              </w:rPr>
            </w:pPr>
          </w:p>
        </w:tc>
      </w:tr>
    </w:tbl>
    <w:p w14:paraId="4CCE47B6">
      <w:pPr>
        <w:pStyle w:val="11"/>
        <w:ind w:firstLine="738" w:firstLineChars="350"/>
        <w:jc w:val="center"/>
        <w:rPr>
          <w:rFonts w:ascii="Garamond" w:hAnsi="Garamond"/>
          <w:b/>
          <w:bCs/>
          <w:color w:val="auto"/>
          <w:highlight w:val="none"/>
          <w:u w:val="single"/>
        </w:rPr>
      </w:pPr>
    </w:p>
    <w:p w14:paraId="21E41DEF">
      <w:pPr>
        <w:pStyle w:val="11"/>
        <w:ind w:firstLine="738" w:firstLineChars="350"/>
        <w:rPr>
          <w:rFonts w:ascii="Garamond" w:hAnsi="Garamond"/>
          <w:b/>
          <w:bCs/>
          <w:color w:val="auto"/>
          <w:highlight w:val="none"/>
          <w:u w:val="single"/>
        </w:rPr>
      </w:pPr>
    </w:p>
    <w:p w14:paraId="2158CECB">
      <w:pPr>
        <w:widowControl/>
        <w:jc w:val="left"/>
        <w:rPr>
          <w:rFonts w:ascii="Garamond" w:hAnsi="Garamond"/>
          <w:b/>
          <w:bCs/>
          <w:color w:val="auto"/>
          <w:sz w:val="24"/>
          <w:highlight w:val="none"/>
        </w:rPr>
      </w:pPr>
      <w:r>
        <w:rPr>
          <w:rFonts w:ascii="Garamond" w:hAnsi="Garamond"/>
          <w:b/>
          <w:bCs/>
          <w:color w:val="auto"/>
          <w:sz w:val="24"/>
          <w:highlight w:val="none"/>
        </w:rPr>
        <w:br w:type="page"/>
      </w:r>
    </w:p>
    <w:p w14:paraId="072CFCD4">
      <w:pPr>
        <w:widowControl/>
        <w:ind w:firstLine="482"/>
        <w:jc w:val="center"/>
        <w:rPr>
          <w:rFonts w:ascii="Garamond" w:hAnsi="Garamond"/>
          <w:b/>
          <w:bCs/>
          <w:color w:val="auto"/>
          <w:sz w:val="24"/>
          <w:highlight w:val="none"/>
          <w:u w:val="single"/>
        </w:rPr>
      </w:pPr>
      <w:r>
        <w:rPr>
          <w:rFonts w:ascii="Garamond" w:hAnsi="Garamond"/>
          <w:b/>
          <w:bCs/>
          <w:color w:val="auto"/>
          <w:sz w:val="24"/>
          <w:highlight w:val="none"/>
          <w:u w:val="single"/>
        </w:rPr>
        <w:t>表7 新中标工程表</w:t>
      </w:r>
    </w:p>
    <w:tbl>
      <w:tblPr>
        <w:tblStyle w:val="44"/>
        <w:tblW w:w="4997" w:type="pct"/>
        <w:tblInd w:w="0" w:type="dxa"/>
        <w:tblLayout w:type="autofit"/>
        <w:tblCellMar>
          <w:top w:w="0" w:type="dxa"/>
          <w:left w:w="0" w:type="dxa"/>
          <w:bottom w:w="0" w:type="dxa"/>
          <w:right w:w="0" w:type="dxa"/>
        </w:tblCellMar>
      </w:tblPr>
      <w:tblGrid>
        <w:gridCol w:w="340"/>
        <w:gridCol w:w="681"/>
        <w:gridCol w:w="682"/>
        <w:gridCol w:w="965"/>
        <w:gridCol w:w="852"/>
        <w:gridCol w:w="1193"/>
        <w:gridCol w:w="852"/>
        <w:gridCol w:w="1419"/>
        <w:gridCol w:w="2272"/>
      </w:tblGrid>
      <w:tr w14:paraId="48F38738">
        <w:tblPrEx>
          <w:tblCellMar>
            <w:top w:w="0" w:type="dxa"/>
            <w:left w:w="0" w:type="dxa"/>
            <w:bottom w:w="0" w:type="dxa"/>
            <w:right w:w="0" w:type="dxa"/>
          </w:tblCellMar>
        </w:tblPrEx>
        <w:trPr>
          <w:trHeight w:val="2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3BFAA1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54898E8">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项目名称</w:t>
            </w:r>
          </w:p>
        </w:tc>
        <w:tc>
          <w:tcPr>
            <w:tcW w:w="36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216D6C0">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工程类型</w:t>
            </w:r>
          </w:p>
        </w:tc>
        <w:tc>
          <w:tcPr>
            <w:tcW w:w="52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68CE678">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中标金额(元)</w:t>
            </w:r>
          </w:p>
        </w:tc>
        <w:tc>
          <w:tcPr>
            <w:tcW w:w="4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C471FCD">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项目负责人</w:t>
            </w:r>
          </w:p>
        </w:tc>
        <w:tc>
          <w:tcPr>
            <w:tcW w:w="64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2E0982B">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项目技术负责人</w:t>
            </w:r>
          </w:p>
        </w:tc>
        <w:tc>
          <w:tcPr>
            <w:tcW w:w="4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E72B7D3">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发包人单位</w:t>
            </w:r>
          </w:p>
        </w:tc>
        <w:tc>
          <w:tcPr>
            <w:tcW w:w="76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EB5916B">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发包人联系人/电话</w:t>
            </w:r>
          </w:p>
        </w:tc>
        <w:tc>
          <w:tcPr>
            <w:tcW w:w="122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94E092E">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备注</w:t>
            </w:r>
          </w:p>
        </w:tc>
      </w:tr>
      <w:tr w14:paraId="7CDED0C4">
        <w:tblPrEx>
          <w:tblCellMar>
            <w:top w:w="0" w:type="dxa"/>
            <w:left w:w="0" w:type="dxa"/>
            <w:bottom w:w="0" w:type="dxa"/>
            <w:right w:w="0" w:type="dxa"/>
          </w:tblCellMar>
        </w:tblPrEx>
        <w:trPr>
          <w:trHeight w:val="2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A1E3B58">
            <w:pPr>
              <w:widowControl/>
              <w:jc w:val="left"/>
              <w:textAlignment w:val="bottom"/>
              <w:rPr>
                <w:rFonts w:ascii="Garamond" w:hAnsi="Garamond" w:cs="Arial"/>
                <w:color w:val="auto"/>
                <w:kern w:val="0"/>
                <w:szCs w:val="21"/>
                <w:highlight w:val="none"/>
              </w:rPr>
            </w:pPr>
            <w:r>
              <w:rPr>
                <w:rFonts w:ascii="Garamond" w:hAnsi="Garamond" w:cs="Arial"/>
                <w:color w:val="auto"/>
                <w:kern w:val="0"/>
                <w:szCs w:val="21"/>
                <w:highlight w:val="none"/>
              </w:rPr>
              <w:t>1</w:t>
            </w:r>
          </w:p>
        </w:tc>
        <w:tc>
          <w:tcPr>
            <w:tcW w:w="36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8AA99E7">
            <w:pPr>
              <w:widowControl/>
              <w:jc w:val="left"/>
              <w:textAlignment w:val="bottom"/>
              <w:rPr>
                <w:rFonts w:ascii="Garamond" w:hAnsi="Garamond" w:cs="Arial"/>
                <w:color w:val="auto"/>
                <w:kern w:val="0"/>
                <w:szCs w:val="21"/>
                <w:highlight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140AD12">
            <w:pPr>
              <w:widowControl/>
              <w:jc w:val="left"/>
              <w:textAlignment w:val="bottom"/>
              <w:rPr>
                <w:rFonts w:ascii="Garamond" w:hAnsi="Garamond" w:cs="Arial"/>
                <w:color w:val="auto"/>
                <w:kern w:val="0"/>
                <w:szCs w:val="21"/>
                <w:highlight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A8CEB08">
            <w:pPr>
              <w:widowControl/>
              <w:jc w:val="left"/>
              <w:textAlignment w:val="bottom"/>
              <w:rPr>
                <w:rFonts w:ascii="Garamond" w:hAnsi="Garamond" w:cs="Arial"/>
                <w:color w:val="auto"/>
                <w:kern w:val="0"/>
                <w:szCs w:val="21"/>
                <w:highlight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4566D25">
            <w:pPr>
              <w:widowControl/>
              <w:jc w:val="left"/>
              <w:textAlignment w:val="bottom"/>
              <w:rPr>
                <w:rFonts w:ascii="Garamond" w:hAnsi="Garamond" w:cs="Arial"/>
                <w:color w:val="auto"/>
                <w:kern w:val="0"/>
                <w:szCs w:val="21"/>
                <w:highlight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ADAAD21">
            <w:pPr>
              <w:widowControl/>
              <w:jc w:val="left"/>
              <w:textAlignment w:val="bottom"/>
              <w:rPr>
                <w:rFonts w:ascii="Garamond" w:hAnsi="Garamond" w:cs="Arial"/>
                <w:color w:val="auto"/>
                <w:kern w:val="0"/>
                <w:szCs w:val="21"/>
                <w:highlight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1E245DE8">
            <w:pPr>
              <w:widowControl/>
              <w:jc w:val="left"/>
              <w:textAlignment w:val="bottom"/>
              <w:rPr>
                <w:rFonts w:ascii="Garamond" w:hAnsi="Garamond" w:cs="Arial"/>
                <w:color w:val="auto"/>
                <w:kern w:val="0"/>
                <w:szCs w:val="21"/>
                <w:highlight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1674A22">
            <w:pPr>
              <w:widowControl/>
              <w:jc w:val="left"/>
              <w:textAlignment w:val="bottom"/>
              <w:rPr>
                <w:rFonts w:ascii="Garamond" w:hAnsi="Garamond" w:cs="Arial"/>
                <w:color w:val="auto"/>
                <w:kern w:val="0"/>
                <w:szCs w:val="21"/>
                <w:highlight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9D380C4">
            <w:pPr>
              <w:widowControl/>
              <w:jc w:val="left"/>
              <w:textAlignment w:val="bottom"/>
              <w:rPr>
                <w:rFonts w:ascii="Garamond" w:hAnsi="Garamond" w:cs="Arial"/>
                <w:color w:val="auto"/>
                <w:kern w:val="0"/>
                <w:szCs w:val="21"/>
                <w:highlight w:val="none"/>
              </w:rPr>
            </w:pPr>
          </w:p>
        </w:tc>
      </w:tr>
    </w:tbl>
    <w:p w14:paraId="5AC481A6">
      <w:pPr>
        <w:widowControl/>
        <w:ind w:firstLine="482"/>
        <w:jc w:val="center"/>
        <w:rPr>
          <w:rFonts w:ascii="Garamond" w:hAnsi="Garamond"/>
          <w:b/>
          <w:bCs/>
          <w:color w:val="auto"/>
          <w:sz w:val="24"/>
          <w:highlight w:val="none"/>
          <w:u w:val="single"/>
        </w:rPr>
      </w:pPr>
    </w:p>
    <w:p w14:paraId="6AC64820">
      <w:pPr>
        <w:widowControl/>
        <w:ind w:firstLine="482"/>
        <w:jc w:val="center"/>
        <w:rPr>
          <w:rFonts w:ascii="Garamond" w:hAnsi="Garamond"/>
          <w:b/>
          <w:bCs/>
          <w:color w:val="auto"/>
          <w:sz w:val="24"/>
          <w:highlight w:val="none"/>
          <w:u w:val="single"/>
        </w:rPr>
      </w:pPr>
    </w:p>
    <w:p w14:paraId="57A66B2D">
      <w:pPr>
        <w:widowControl/>
        <w:ind w:firstLine="482"/>
        <w:jc w:val="center"/>
        <w:rPr>
          <w:rFonts w:ascii="Garamond" w:hAnsi="Garamond"/>
          <w:b/>
          <w:bCs/>
          <w:color w:val="auto"/>
          <w:sz w:val="24"/>
          <w:highlight w:val="none"/>
          <w:u w:val="single"/>
        </w:rPr>
      </w:pPr>
    </w:p>
    <w:p w14:paraId="05A340FA">
      <w:pPr>
        <w:widowControl/>
        <w:ind w:firstLine="482"/>
        <w:jc w:val="center"/>
        <w:rPr>
          <w:rFonts w:ascii="Garamond" w:hAnsi="Garamond"/>
          <w:b/>
          <w:bCs/>
          <w:color w:val="auto"/>
          <w:sz w:val="24"/>
          <w:highlight w:val="none"/>
          <w:u w:val="single"/>
        </w:rPr>
      </w:pPr>
    </w:p>
    <w:p w14:paraId="38B95CD3">
      <w:pPr>
        <w:widowControl/>
        <w:ind w:firstLine="482"/>
        <w:jc w:val="center"/>
        <w:rPr>
          <w:rFonts w:ascii="Garamond" w:hAnsi="Garamond"/>
          <w:b/>
          <w:bCs/>
          <w:color w:val="auto"/>
          <w:sz w:val="24"/>
          <w:highlight w:val="none"/>
          <w:u w:val="single"/>
        </w:rPr>
      </w:pPr>
    </w:p>
    <w:p w14:paraId="519A51AA">
      <w:pPr>
        <w:widowControl/>
        <w:ind w:firstLine="482"/>
        <w:jc w:val="center"/>
        <w:rPr>
          <w:rFonts w:ascii="Garamond" w:hAnsi="Garamond"/>
          <w:b/>
          <w:bCs/>
          <w:color w:val="auto"/>
          <w:sz w:val="24"/>
          <w:highlight w:val="none"/>
          <w:u w:val="single"/>
        </w:rPr>
      </w:pPr>
    </w:p>
    <w:p w14:paraId="744F6142">
      <w:pPr>
        <w:widowControl/>
        <w:jc w:val="left"/>
        <w:rPr>
          <w:rFonts w:ascii="Garamond" w:hAnsi="Garamond"/>
          <w:b/>
          <w:bCs/>
          <w:color w:val="auto"/>
          <w:sz w:val="24"/>
          <w:highlight w:val="none"/>
          <w:u w:val="single"/>
        </w:rPr>
      </w:pPr>
    </w:p>
    <w:p w14:paraId="4D9EC258">
      <w:pPr>
        <w:widowControl/>
        <w:jc w:val="left"/>
        <w:rPr>
          <w:rFonts w:ascii="Garamond" w:hAnsi="Garamond"/>
          <w:b/>
          <w:bCs/>
          <w:color w:val="auto"/>
          <w:sz w:val="24"/>
          <w:highlight w:val="none"/>
          <w:u w:val="single"/>
        </w:rPr>
      </w:pPr>
    </w:p>
    <w:p w14:paraId="2BE30697">
      <w:pPr>
        <w:widowControl/>
        <w:jc w:val="left"/>
        <w:rPr>
          <w:rFonts w:ascii="Garamond" w:hAnsi="Garamond"/>
          <w:b/>
          <w:bCs/>
          <w:color w:val="auto"/>
          <w:sz w:val="24"/>
          <w:highlight w:val="none"/>
          <w:u w:val="single"/>
        </w:rPr>
      </w:pPr>
    </w:p>
    <w:p w14:paraId="0B592C96">
      <w:pPr>
        <w:widowControl/>
        <w:jc w:val="left"/>
        <w:rPr>
          <w:rFonts w:ascii="Garamond" w:hAnsi="Garamond"/>
          <w:b/>
          <w:bCs/>
          <w:color w:val="auto"/>
          <w:sz w:val="24"/>
          <w:highlight w:val="none"/>
          <w:u w:val="single"/>
        </w:rPr>
      </w:pPr>
    </w:p>
    <w:p w14:paraId="556864B8">
      <w:pPr>
        <w:widowControl/>
        <w:jc w:val="left"/>
        <w:rPr>
          <w:rFonts w:ascii="Garamond" w:hAnsi="Garamond"/>
          <w:b/>
          <w:bCs/>
          <w:color w:val="auto"/>
          <w:sz w:val="24"/>
          <w:highlight w:val="none"/>
          <w:u w:val="single"/>
        </w:rPr>
      </w:pPr>
    </w:p>
    <w:p w14:paraId="5974C210">
      <w:pPr>
        <w:widowControl/>
        <w:jc w:val="left"/>
        <w:rPr>
          <w:rFonts w:ascii="Garamond" w:hAnsi="Garamond"/>
          <w:b/>
          <w:bCs/>
          <w:color w:val="auto"/>
          <w:sz w:val="24"/>
          <w:highlight w:val="none"/>
          <w:u w:val="single"/>
        </w:rPr>
      </w:pPr>
    </w:p>
    <w:p w14:paraId="60DF9DEF">
      <w:pPr>
        <w:widowControl/>
        <w:ind w:firstLine="482"/>
        <w:jc w:val="left"/>
        <w:rPr>
          <w:rFonts w:ascii="Garamond" w:hAnsi="Garamond"/>
          <w:b/>
          <w:bCs/>
          <w:color w:val="auto"/>
          <w:sz w:val="24"/>
          <w:highlight w:val="none"/>
          <w:u w:val="single"/>
        </w:rPr>
      </w:pPr>
    </w:p>
    <w:p w14:paraId="37E160CB">
      <w:pPr>
        <w:widowControl/>
        <w:jc w:val="left"/>
        <w:rPr>
          <w:rFonts w:ascii="Garamond" w:hAnsi="Garamond"/>
          <w:b/>
          <w:bCs/>
          <w:color w:val="auto"/>
          <w:sz w:val="24"/>
          <w:highlight w:val="none"/>
        </w:rPr>
      </w:pPr>
      <w:r>
        <w:rPr>
          <w:rFonts w:ascii="Garamond" w:hAnsi="Garamond"/>
          <w:b/>
          <w:bCs/>
          <w:color w:val="auto"/>
          <w:sz w:val="24"/>
          <w:highlight w:val="none"/>
        </w:rPr>
        <w:br w:type="page"/>
      </w:r>
    </w:p>
    <w:p w14:paraId="009A5C93">
      <w:pPr>
        <w:widowControl/>
        <w:ind w:firstLine="482"/>
        <w:jc w:val="left"/>
        <w:rPr>
          <w:rFonts w:ascii="Garamond" w:hAnsi="Garamond"/>
          <w:b/>
          <w:bCs/>
          <w:color w:val="auto"/>
          <w:sz w:val="24"/>
          <w:highlight w:val="none"/>
          <w:u w:val="single"/>
        </w:rPr>
      </w:pPr>
    </w:p>
    <w:p w14:paraId="0C13F8AF">
      <w:pPr>
        <w:widowControl/>
        <w:ind w:firstLine="482"/>
        <w:jc w:val="center"/>
        <w:rPr>
          <w:rFonts w:ascii="Garamond" w:hAnsi="Garamond"/>
          <w:b/>
          <w:bCs/>
          <w:color w:val="auto"/>
          <w:sz w:val="24"/>
          <w:highlight w:val="none"/>
          <w:u w:val="single"/>
        </w:rPr>
      </w:pPr>
      <w:r>
        <w:rPr>
          <w:rFonts w:ascii="Garamond" w:hAnsi="Garamond"/>
          <w:b/>
          <w:bCs/>
          <w:color w:val="auto"/>
          <w:sz w:val="24"/>
          <w:highlight w:val="none"/>
          <w:u w:val="single"/>
        </w:rPr>
        <w:t>表12 申请人(投标人)与其他单位存在控股、管理关系</w:t>
      </w:r>
    </w:p>
    <w:tbl>
      <w:tblPr>
        <w:tblStyle w:val="44"/>
        <w:tblW w:w="8799" w:type="dxa"/>
        <w:tblInd w:w="0" w:type="dxa"/>
        <w:tblLayout w:type="autofit"/>
        <w:tblCellMar>
          <w:top w:w="0" w:type="dxa"/>
          <w:left w:w="0" w:type="dxa"/>
          <w:bottom w:w="0" w:type="dxa"/>
          <w:right w:w="0" w:type="dxa"/>
        </w:tblCellMar>
      </w:tblPr>
      <w:tblGrid>
        <w:gridCol w:w="660"/>
        <w:gridCol w:w="5390"/>
        <w:gridCol w:w="2749"/>
      </w:tblGrid>
      <w:tr w14:paraId="5E83C5B0">
        <w:tblPrEx>
          <w:tblCellMar>
            <w:top w:w="0" w:type="dxa"/>
            <w:left w:w="0" w:type="dxa"/>
            <w:bottom w:w="0" w:type="dxa"/>
            <w:right w:w="0" w:type="dxa"/>
          </w:tblCellMar>
        </w:tblPrEx>
        <w:trPr>
          <w:trHeight w:val="2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F6BE284">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序号</w:t>
            </w:r>
          </w:p>
        </w:tc>
        <w:tc>
          <w:tcPr>
            <w:tcW w:w="53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70F5632">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控股、管理申请人/投标人的单位名称</w:t>
            </w:r>
          </w:p>
        </w:tc>
        <w:tc>
          <w:tcPr>
            <w:tcW w:w="274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5F13210A">
            <w:pPr>
              <w:widowControl/>
              <w:jc w:val="left"/>
              <w:textAlignment w:val="bottom"/>
              <w:rPr>
                <w:rFonts w:ascii="Garamond" w:hAnsi="Garamond" w:cs="Arial"/>
                <w:color w:val="auto"/>
                <w:szCs w:val="21"/>
                <w:highlight w:val="none"/>
              </w:rPr>
            </w:pPr>
            <w:r>
              <w:rPr>
                <w:rFonts w:ascii="Garamond" w:hAnsi="Garamond" w:cs="Arial"/>
                <w:color w:val="auto"/>
                <w:kern w:val="0"/>
                <w:szCs w:val="21"/>
                <w:highlight w:val="none"/>
              </w:rPr>
              <w:t>控股、管理关系情况说明</w:t>
            </w:r>
          </w:p>
        </w:tc>
      </w:tr>
      <w:tr w14:paraId="548E5281">
        <w:tblPrEx>
          <w:tblCellMar>
            <w:top w:w="0" w:type="dxa"/>
            <w:left w:w="0" w:type="dxa"/>
            <w:bottom w:w="0" w:type="dxa"/>
            <w:right w:w="0" w:type="dxa"/>
          </w:tblCellMar>
        </w:tblPrEx>
        <w:trPr>
          <w:trHeight w:val="2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00557DEB">
            <w:pPr>
              <w:widowControl/>
              <w:ind w:firstLine="400"/>
              <w:jc w:val="left"/>
              <w:textAlignment w:val="bottom"/>
              <w:rPr>
                <w:rFonts w:ascii="Garamond" w:hAnsi="Garamond" w:cs="Arial"/>
                <w:color w:val="auto"/>
                <w:szCs w:val="21"/>
                <w:highlight w:val="none"/>
              </w:rPr>
            </w:pPr>
            <w:r>
              <w:rPr>
                <w:rFonts w:ascii="Garamond" w:hAnsi="Garamond" w:cs="Arial"/>
                <w:color w:val="auto"/>
                <w:kern w:val="0"/>
                <w:szCs w:val="21"/>
                <w:highlight w:val="none"/>
              </w:rPr>
              <w:t>1</w:t>
            </w:r>
          </w:p>
        </w:tc>
        <w:tc>
          <w:tcPr>
            <w:tcW w:w="53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F00F2D4">
            <w:pPr>
              <w:widowControl/>
              <w:ind w:firstLine="400"/>
              <w:jc w:val="left"/>
              <w:textAlignment w:val="bottom"/>
              <w:rPr>
                <w:rFonts w:ascii="Garamond" w:hAnsi="Garamond" w:cs="Arial"/>
                <w:color w:val="auto"/>
                <w:szCs w:val="21"/>
                <w:highlight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C6ED715">
            <w:pPr>
              <w:widowControl/>
              <w:ind w:firstLine="400"/>
              <w:jc w:val="left"/>
              <w:textAlignment w:val="bottom"/>
              <w:rPr>
                <w:rFonts w:ascii="Garamond" w:hAnsi="Garamond" w:cs="Arial"/>
                <w:color w:val="auto"/>
                <w:szCs w:val="21"/>
                <w:highlight w:val="none"/>
              </w:rPr>
            </w:pPr>
          </w:p>
        </w:tc>
      </w:tr>
    </w:tbl>
    <w:p w14:paraId="1E79CCD1">
      <w:pPr>
        <w:ind w:firstLine="482"/>
        <w:jc w:val="center"/>
        <w:rPr>
          <w:rFonts w:ascii="Garamond" w:hAnsi="Garamond"/>
          <w:b/>
          <w:bCs/>
          <w:color w:val="auto"/>
          <w:sz w:val="24"/>
          <w:highlight w:val="none"/>
          <w:u w:val="single"/>
        </w:rPr>
      </w:pPr>
    </w:p>
    <w:p w14:paraId="1D215F9F">
      <w:pPr>
        <w:ind w:firstLine="482"/>
        <w:jc w:val="center"/>
        <w:rPr>
          <w:rFonts w:ascii="Garamond" w:hAnsi="Garamond"/>
          <w:b/>
          <w:bCs/>
          <w:color w:val="auto"/>
          <w:sz w:val="24"/>
          <w:highlight w:val="none"/>
          <w:u w:val="single"/>
        </w:rPr>
      </w:pPr>
    </w:p>
    <w:p w14:paraId="4C5881CC">
      <w:pPr>
        <w:ind w:firstLine="482"/>
        <w:jc w:val="center"/>
        <w:rPr>
          <w:rFonts w:ascii="Garamond" w:hAnsi="Garamond"/>
          <w:b/>
          <w:bCs/>
          <w:color w:val="auto"/>
          <w:sz w:val="24"/>
          <w:highlight w:val="none"/>
          <w:u w:val="single"/>
        </w:rPr>
      </w:pPr>
    </w:p>
    <w:p w14:paraId="0BE00EF3">
      <w:pPr>
        <w:widowControl/>
        <w:jc w:val="left"/>
        <w:rPr>
          <w:rFonts w:ascii="Garamond" w:hAnsi="Garamond"/>
          <w:b/>
          <w:bCs/>
          <w:color w:val="auto"/>
          <w:sz w:val="24"/>
          <w:highlight w:val="none"/>
        </w:rPr>
      </w:pPr>
      <w:r>
        <w:rPr>
          <w:rFonts w:ascii="Garamond" w:hAnsi="Garamond"/>
          <w:b/>
          <w:bCs/>
          <w:color w:val="auto"/>
          <w:sz w:val="24"/>
          <w:highlight w:val="none"/>
        </w:rPr>
        <w:br w:type="page"/>
      </w:r>
    </w:p>
    <w:p w14:paraId="60E8DB1F">
      <w:pPr>
        <w:ind w:firstLine="482"/>
        <w:jc w:val="center"/>
        <w:rPr>
          <w:rFonts w:ascii="Garamond" w:hAnsi="Garamond"/>
          <w:b/>
          <w:bCs/>
          <w:color w:val="auto"/>
          <w:sz w:val="24"/>
          <w:highlight w:val="none"/>
          <w:u w:val="single"/>
        </w:rPr>
      </w:pPr>
      <w:r>
        <w:rPr>
          <w:rFonts w:ascii="Garamond" w:hAnsi="Garamond"/>
          <w:b/>
          <w:bCs/>
          <w:color w:val="auto"/>
          <w:sz w:val="24"/>
          <w:highlight w:val="none"/>
          <w:u w:val="single"/>
        </w:rPr>
        <w:t>表13 近年发生的诉讼及仲裁表</w:t>
      </w:r>
    </w:p>
    <w:tbl>
      <w:tblPr>
        <w:tblStyle w:val="44"/>
        <w:tblW w:w="8799" w:type="dxa"/>
        <w:tblInd w:w="0" w:type="dxa"/>
        <w:tblLayout w:type="autofit"/>
        <w:tblCellMar>
          <w:top w:w="0" w:type="dxa"/>
          <w:left w:w="0" w:type="dxa"/>
          <w:bottom w:w="0" w:type="dxa"/>
          <w:right w:w="0" w:type="dxa"/>
        </w:tblCellMar>
      </w:tblPr>
      <w:tblGrid>
        <w:gridCol w:w="776"/>
        <w:gridCol w:w="1864"/>
        <w:gridCol w:w="6159"/>
      </w:tblGrid>
      <w:tr w14:paraId="7422C0B7">
        <w:tblPrEx>
          <w:tblCellMar>
            <w:top w:w="0" w:type="dxa"/>
            <w:left w:w="0" w:type="dxa"/>
            <w:bottom w:w="0" w:type="dxa"/>
            <w:right w:w="0"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61A96798">
            <w:pPr>
              <w:widowControl/>
              <w:jc w:val="center"/>
              <w:textAlignment w:val="bottom"/>
              <w:rPr>
                <w:rFonts w:ascii="Garamond" w:hAnsi="Garamond" w:cs="Arial"/>
                <w:color w:val="auto"/>
                <w:szCs w:val="21"/>
                <w:highlight w:val="none"/>
              </w:rPr>
            </w:pPr>
            <w:r>
              <w:rPr>
                <w:rFonts w:ascii="Garamond" w:hAnsi="Garamond" w:cs="Arial"/>
                <w:color w:val="auto"/>
                <w:kern w:val="0"/>
                <w:szCs w:val="21"/>
                <w:highlight w:val="none"/>
              </w:rPr>
              <w:t>序号</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A85A2D3">
            <w:pPr>
              <w:widowControl/>
              <w:jc w:val="center"/>
              <w:textAlignment w:val="bottom"/>
              <w:rPr>
                <w:rFonts w:ascii="Garamond" w:hAnsi="Garamond" w:cs="Arial"/>
                <w:color w:val="auto"/>
                <w:szCs w:val="21"/>
                <w:highlight w:val="none"/>
              </w:rPr>
            </w:pPr>
            <w:r>
              <w:rPr>
                <w:rFonts w:ascii="Garamond" w:hAnsi="Garamond" w:cs="Arial"/>
                <w:color w:val="auto"/>
                <w:kern w:val="0"/>
                <w:szCs w:val="21"/>
                <w:highlight w:val="none"/>
              </w:rPr>
              <w:t>项目</w:t>
            </w:r>
          </w:p>
        </w:tc>
        <w:tc>
          <w:tcPr>
            <w:tcW w:w="615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37093C76">
            <w:pPr>
              <w:widowControl/>
              <w:jc w:val="center"/>
              <w:textAlignment w:val="bottom"/>
              <w:rPr>
                <w:rFonts w:ascii="Garamond" w:hAnsi="Garamond" w:cs="Arial"/>
                <w:color w:val="auto"/>
                <w:szCs w:val="21"/>
                <w:highlight w:val="none"/>
              </w:rPr>
            </w:pPr>
            <w:r>
              <w:rPr>
                <w:rFonts w:ascii="Garamond" w:hAnsi="Garamond" w:cs="Arial"/>
                <w:color w:val="auto"/>
                <w:kern w:val="0"/>
                <w:szCs w:val="21"/>
                <w:highlight w:val="none"/>
              </w:rPr>
              <w:t>申请人/投标人情况说明</w:t>
            </w:r>
          </w:p>
        </w:tc>
      </w:tr>
      <w:tr w14:paraId="4B69043A">
        <w:tblPrEx>
          <w:tblCellMar>
            <w:top w:w="0" w:type="dxa"/>
            <w:left w:w="0" w:type="dxa"/>
            <w:bottom w:w="0" w:type="dxa"/>
            <w:right w:w="0"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2F89DADF">
            <w:pPr>
              <w:widowControl/>
              <w:ind w:firstLine="400"/>
              <w:jc w:val="left"/>
              <w:textAlignment w:val="bottom"/>
              <w:rPr>
                <w:rFonts w:ascii="Garamond" w:hAnsi="Garamond" w:cs="Arial"/>
                <w:color w:val="auto"/>
                <w:szCs w:val="21"/>
                <w:highlight w:val="none"/>
              </w:rPr>
            </w:pPr>
            <w:r>
              <w:rPr>
                <w:rFonts w:ascii="Garamond" w:hAnsi="Garamond" w:cs="Arial"/>
                <w:color w:val="auto"/>
                <w:kern w:val="0"/>
                <w:szCs w:val="21"/>
                <w:highlight w:val="none"/>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790ABA99">
            <w:pPr>
              <w:widowControl/>
              <w:ind w:firstLine="400"/>
              <w:jc w:val="left"/>
              <w:textAlignment w:val="bottom"/>
              <w:rPr>
                <w:rFonts w:ascii="Garamond" w:hAnsi="Garamond" w:cs="Arial"/>
                <w:color w:val="auto"/>
                <w:szCs w:val="21"/>
                <w:highlight w:val="none"/>
              </w:rPr>
            </w:pPr>
          </w:p>
        </w:tc>
        <w:tc>
          <w:tcPr>
            <w:tcW w:w="615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14:paraId="4665D8ED">
            <w:pPr>
              <w:widowControl/>
              <w:ind w:firstLine="400"/>
              <w:jc w:val="left"/>
              <w:textAlignment w:val="bottom"/>
              <w:rPr>
                <w:rFonts w:ascii="Garamond" w:hAnsi="Garamond" w:cs="Arial"/>
                <w:color w:val="auto"/>
                <w:szCs w:val="21"/>
                <w:highlight w:val="none"/>
              </w:rPr>
            </w:pPr>
          </w:p>
        </w:tc>
      </w:tr>
    </w:tbl>
    <w:p w14:paraId="4BAB7E9E">
      <w:pPr>
        <w:pStyle w:val="5"/>
        <w:spacing w:line="240" w:lineRule="auto"/>
        <w:jc w:val="left"/>
        <w:rPr>
          <w:color w:val="auto"/>
          <w:sz w:val="21"/>
          <w:szCs w:val="21"/>
          <w:highlight w:val="none"/>
        </w:rPr>
      </w:pPr>
      <w:r>
        <w:rPr>
          <w:rFonts w:hint="eastAsia"/>
          <w:color w:val="auto"/>
          <w:sz w:val="21"/>
          <w:szCs w:val="21"/>
          <w:highlight w:val="none"/>
        </w:rPr>
        <w:t>注：</w:t>
      </w:r>
    </w:p>
    <w:p w14:paraId="6BB058CB">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本表后附投标人须知规定年份以来发生的可能对承担本项目产生重大影响的判决、裁决等有关法律文书扫描件（如有）。</w:t>
      </w:r>
    </w:p>
    <w:p w14:paraId="1F19B4F9">
      <w:pPr>
        <w:ind w:firstLine="482"/>
        <w:jc w:val="center"/>
        <w:rPr>
          <w:rFonts w:ascii="Garamond" w:hAnsi="Garamond"/>
          <w:b/>
          <w:bCs/>
          <w:color w:val="auto"/>
          <w:sz w:val="24"/>
          <w:highlight w:val="none"/>
          <w:u w:val="single"/>
        </w:rPr>
      </w:pPr>
    </w:p>
    <w:p w14:paraId="393D42F3">
      <w:pPr>
        <w:ind w:firstLine="482"/>
        <w:jc w:val="center"/>
        <w:rPr>
          <w:rFonts w:ascii="Garamond" w:hAnsi="Garamond"/>
          <w:b/>
          <w:bCs/>
          <w:color w:val="auto"/>
          <w:sz w:val="24"/>
          <w:highlight w:val="none"/>
          <w:u w:val="single"/>
        </w:rPr>
      </w:pPr>
    </w:p>
    <w:p w14:paraId="52A568F2">
      <w:pPr>
        <w:widowControl/>
        <w:jc w:val="left"/>
        <w:rPr>
          <w:rFonts w:ascii="Garamond" w:hAnsi="Garamond"/>
          <w:b/>
          <w:bCs/>
          <w:color w:val="auto"/>
          <w:sz w:val="24"/>
          <w:highlight w:val="none"/>
        </w:rPr>
      </w:pPr>
      <w:r>
        <w:rPr>
          <w:rFonts w:ascii="Garamond" w:hAnsi="Garamond"/>
          <w:b/>
          <w:bCs/>
          <w:color w:val="auto"/>
          <w:sz w:val="24"/>
          <w:highlight w:val="none"/>
        </w:rPr>
        <w:br w:type="page"/>
      </w:r>
    </w:p>
    <w:p w14:paraId="65223793">
      <w:pPr>
        <w:widowControl/>
        <w:ind w:firstLine="482"/>
        <w:jc w:val="center"/>
        <w:rPr>
          <w:rFonts w:ascii="Garamond" w:hAnsi="Garamond"/>
          <w:b/>
          <w:bCs/>
          <w:color w:val="auto"/>
          <w:sz w:val="24"/>
          <w:highlight w:val="none"/>
          <w:u w:val="single"/>
        </w:rPr>
      </w:pPr>
      <w:r>
        <w:rPr>
          <w:rFonts w:ascii="Garamond" w:hAnsi="Garamond"/>
          <w:b/>
          <w:bCs/>
          <w:color w:val="auto"/>
          <w:sz w:val="24"/>
          <w:highlight w:val="none"/>
          <w:u w:val="single"/>
        </w:rPr>
        <w:t>表1</w:t>
      </w:r>
      <w:r>
        <w:rPr>
          <w:rFonts w:hint="eastAsia" w:ascii="Garamond" w:hAnsi="Garamond"/>
          <w:b/>
          <w:bCs/>
          <w:color w:val="auto"/>
          <w:sz w:val="24"/>
          <w:highlight w:val="none"/>
          <w:u w:val="single"/>
        </w:rPr>
        <w:t>4配备本标段的试验、检测仪器，办公生活及交通设施表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2"/>
        <w:gridCol w:w="992"/>
        <w:gridCol w:w="1276"/>
        <w:gridCol w:w="567"/>
        <w:gridCol w:w="425"/>
        <w:gridCol w:w="426"/>
        <w:gridCol w:w="425"/>
        <w:gridCol w:w="850"/>
        <w:gridCol w:w="993"/>
        <w:gridCol w:w="532"/>
      </w:tblGrid>
      <w:tr w14:paraId="6B2C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5863A787">
            <w:pPr>
              <w:widowControl/>
              <w:jc w:val="center"/>
              <w:rPr>
                <w:rFonts w:ascii="Garamond" w:hAnsi="Garamond"/>
                <w:b/>
                <w:bCs/>
                <w:color w:val="auto"/>
                <w:szCs w:val="21"/>
                <w:highlight w:val="none"/>
                <w:u w:val="single"/>
              </w:rPr>
            </w:pPr>
            <w:r>
              <w:rPr>
                <w:rFonts w:ascii="Garamond" w:hAnsi="Garamond" w:cs="Arial"/>
                <w:color w:val="auto"/>
                <w:kern w:val="0"/>
                <w:szCs w:val="21"/>
                <w:highlight w:val="none"/>
              </w:rPr>
              <w:t>序号</w:t>
            </w:r>
          </w:p>
        </w:tc>
        <w:tc>
          <w:tcPr>
            <w:tcW w:w="2062" w:type="dxa"/>
            <w:vAlign w:val="center"/>
          </w:tcPr>
          <w:p w14:paraId="54356C78">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仪器、设备与设施名称</w:t>
            </w:r>
          </w:p>
        </w:tc>
        <w:tc>
          <w:tcPr>
            <w:tcW w:w="992" w:type="dxa"/>
            <w:vAlign w:val="center"/>
          </w:tcPr>
          <w:p w14:paraId="3146469F">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型号、产地</w:t>
            </w:r>
          </w:p>
        </w:tc>
        <w:tc>
          <w:tcPr>
            <w:tcW w:w="1276" w:type="dxa"/>
            <w:vAlign w:val="center"/>
          </w:tcPr>
          <w:p w14:paraId="3F4B5350">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用途、功能规格</w:t>
            </w:r>
          </w:p>
        </w:tc>
        <w:tc>
          <w:tcPr>
            <w:tcW w:w="567" w:type="dxa"/>
            <w:vAlign w:val="center"/>
          </w:tcPr>
          <w:p w14:paraId="4D72BDE7">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合计</w:t>
            </w:r>
          </w:p>
        </w:tc>
        <w:tc>
          <w:tcPr>
            <w:tcW w:w="425" w:type="dxa"/>
            <w:vAlign w:val="center"/>
          </w:tcPr>
          <w:p w14:paraId="7EBE0170">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自有</w:t>
            </w:r>
          </w:p>
        </w:tc>
        <w:tc>
          <w:tcPr>
            <w:tcW w:w="426" w:type="dxa"/>
            <w:vAlign w:val="center"/>
          </w:tcPr>
          <w:p w14:paraId="79A73368">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租赁</w:t>
            </w:r>
          </w:p>
        </w:tc>
        <w:tc>
          <w:tcPr>
            <w:tcW w:w="425" w:type="dxa"/>
            <w:vAlign w:val="center"/>
          </w:tcPr>
          <w:p w14:paraId="572CA84E">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新购</w:t>
            </w:r>
          </w:p>
        </w:tc>
        <w:tc>
          <w:tcPr>
            <w:tcW w:w="850" w:type="dxa"/>
            <w:vAlign w:val="center"/>
          </w:tcPr>
          <w:p w14:paraId="7FBD6CD2">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设备寿命（年）</w:t>
            </w:r>
          </w:p>
        </w:tc>
        <w:tc>
          <w:tcPr>
            <w:tcW w:w="993" w:type="dxa"/>
            <w:vAlign w:val="center"/>
          </w:tcPr>
          <w:p w14:paraId="2185F3F3">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已使用年限（年）</w:t>
            </w:r>
          </w:p>
        </w:tc>
        <w:tc>
          <w:tcPr>
            <w:tcW w:w="532" w:type="dxa"/>
            <w:vAlign w:val="center"/>
          </w:tcPr>
          <w:p w14:paraId="746E5F94">
            <w:pPr>
              <w:widowControl/>
              <w:jc w:val="center"/>
              <w:textAlignment w:val="bottom"/>
              <w:rPr>
                <w:rFonts w:ascii="Arial" w:hAnsi="Arial" w:cs="Arial"/>
                <w:color w:val="auto"/>
                <w:szCs w:val="21"/>
                <w:highlight w:val="none"/>
              </w:rPr>
            </w:pPr>
            <w:r>
              <w:rPr>
                <w:rFonts w:ascii="Arial" w:hAnsi="Arial" w:cs="Arial"/>
                <w:color w:val="auto"/>
                <w:kern w:val="0"/>
                <w:szCs w:val="21"/>
                <w:highlight w:val="none"/>
              </w:rPr>
              <w:t>备注</w:t>
            </w:r>
          </w:p>
        </w:tc>
      </w:tr>
      <w:tr w14:paraId="4ED3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1CCD98A1">
            <w:pPr>
              <w:widowControl/>
              <w:jc w:val="center"/>
              <w:rPr>
                <w:rFonts w:ascii="Garamond" w:hAnsi="Garamond"/>
                <w:b/>
                <w:bCs/>
                <w:color w:val="auto"/>
                <w:szCs w:val="21"/>
                <w:highlight w:val="none"/>
                <w:u w:val="single"/>
              </w:rPr>
            </w:pPr>
          </w:p>
        </w:tc>
        <w:tc>
          <w:tcPr>
            <w:tcW w:w="2062" w:type="dxa"/>
          </w:tcPr>
          <w:p w14:paraId="0ECE9506">
            <w:pPr>
              <w:widowControl/>
              <w:jc w:val="center"/>
              <w:rPr>
                <w:rFonts w:ascii="Garamond" w:hAnsi="Garamond"/>
                <w:b/>
                <w:bCs/>
                <w:color w:val="auto"/>
                <w:szCs w:val="21"/>
                <w:highlight w:val="none"/>
                <w:u w:val="single"/>
              </w:rPr>
            </w:pPr>
          </w:p>
        </w:tc>
        <w:tc>
          <w:tcPr>
            <w:tcW w:w="992" w:type="dxa"/>
          </w:tcPr>
          <w:p w14:paraId="5B202DB5">
            <w:pPr>
              <w:widowControl/>
              <w:jc w:val="center"/>
              <w:rPr>
                <w:rFonts w:ascii="Garamond" w:hAnsi="Garamond"/>
                <w:b/>
                <w:bCs/>
                <w:color w:val="auto"/>
                <w:szCs w:val="21"/>
                <w:highlight w:val="none"/>
                <w:u w:val="single"/>
              </w:rPr>
            </w:pPr>
          </w:p>
        </w:tc>
        <w:tc>
          <w:tcPr>
            <w:tcW w:w="1276" w:type="dxa"/>
          </w:tcPr>
          <w:p w14:paraId="453A6B4E">
            <w:pPr>
              <w:widowControl/>
              <w:jc w:val="center"/>
              <w:rPr>
                <w:rFonts w:ascii="Garamond" w:hAnsi="Garamond"/>
                <w:b/>
                <w:bCs/>
                <w:color w:val="auto"/>
                <w:szCs w:val="21"/>
                <w:highlight w:val="none"/>
                <w:u w:val="single"/>
              </w:rPr>
            </w:pPr>
          </w:p>
        </w:tc>
        <w:tc>
          <w:tcPr>
            <w:tcW w:w="567" w:type="dxa"/>
          </w:tcPr>
          <w:p w14:paraId="7D3A9AF1">
            <w:pPr>
              <w:widowControl/>
              <w:jc w:val="center"/>
              <w:rPr>
                <w:rFonts w:ascii="Garamond" w:hAnsi="Garamond"/>
                <w:b/>
                <w:bCs/>
                <w:color w:val="auto"/>
                <w:szCs w:val="21"/>
                <w:highlight w:val="none"/>
                <w:u w:val="single"/>
              </w:rPr>
            </w:pPr>
          </w:p>
        </w:tc>
        <w:tc>
          <w:tcPr>
            <w:tcW w:w="425" w:type="dxa"/>
          </w:tcPr>
          <w:p w14:paraId="11FF6EC2">
            <w:pPr>
              <w:widowControl/>
              <w:jc w:val="center"/>
              <w:rPr>
                <w:rFonts w:ascii="Garamond" w:hAnsi="Garamond"/>
                <w:b/>
                <w:bCs/>
                <w:color w:val="auto"/>
                <w:szCs w:val="21"/>
                <w:highlight w:val="none"/>
                <w:u w:val="single"/>
              </w:rPr>
            </w:pPr>
          </w:p>
        </w:tc>
        <w:tc>
          <w:tcPr>
            <w:tcW w:w="426" w:type="dxa"/>
          </w:tcPr>
          <w:p w14:paraId="7FB8FF0D">
            <w:pPr>
              <w:widowControl/>
              <w:jc w:val="center"/>
              <w:rPr>
                <w:rFonts w:ascii="Garamond" w:hAnsi="Garamond"/>
                <w:b/>
                <w:bCs/>
                <w:color w:val="auto"/>
                <w:szCs w:val="21"/>
                <w:highlight w:val="none"/>
                <w:u w:val="single"/>
              </w:rPr>
            </w:pPr>
          </w:p>
        </w:tc>
        <w:tc>
          <w:tcPr>
            <w:tcW w:w="425" w:type="dxa"/>
          </w:tcPr>
          <w:p w14:paraId="0FF1D3E9">
            <w:pPr>
              <w:widowControl/>
              <w:jc w:val="center"/>
              <w:rPr>
                <w:rFonts w:ascii="Garamond" w:hAnsi="Garamond"/>
                <w:b/>
                <w:bCs/>
                <w:color w:val="auto"/>
                <w:szCs w:val="21"/>
                <w:highlight w:val="none"/>
                <w:u w:val="single"/>
              </w:rPr>
            </w:pPr>
          </w:p>
        </w:tc>
        <w:tc>
          <w:tcPr>
            <w:tcW w:w="850" w:type="dxa"/>
          </w:tcPr>
          <w:p w14:paraId="65B47E5F">
            <w:pPr>
              <w:widowControl/>
              <w:jc w:val="center"/>
              <w:rPr>
                <w:rFonts w:ascii="Garamond" w:hAnsi="Garamond"/>
                <w:b/>
                <w:bCs/>
                <w:color w:val="auto"/>
                <w:szCs w:val="21"/>
                <w:highlight w:val="none"/>
                <w:u w:val="single"/>
              </w:rPr>
            </w:pPr>
          </w:p>
        </w:tc>
        <w:tc>
          <w:tcPr>
            <w:tcW w:w="993" w:type="dxa"/>
          </w:tcPr>
          <w:p w14:paraId="05860D96">
            <w:pPr>
              <w:widowControl/>
              <w:jc w:val="center"/>
              <w:rPr>
                <w:rFonts w:ascii="Garamond" w:hAnsi="Garamond"/>
                <w:b/>
                <w:bCs/>
                <w:color w:val="auto"/>
                <w:szCs w:val="21"/>
                <w:highlight w:val="none"/>
                <w:u w:val="single"/>
              </w:rPr>
            </w:pPr>
          </w:p>
        </w:tc>
        <w:tc>
          <w:tcPr>
            <w:tcW w:w="532" w:type="dxa"/>
          </w:tcPr>
          <w:p w14:paraId="27382CC0">
            <w:pPr>
              <w:widowControl/>
              <w:jc w:val="center"/>
              <w:rPr>
                <w:rFonts w:ascii="Garamond" w:hAnsi="Garamond"/>
                <w:b/>
                <w:bCs/>
                <w:color w:val="auto"/>
                <w:szCs w:val="21"/>
                <w:highlight w:val="none"/>
                <w:u w:val="single"/>
              </w:rPr>
            </w:pPr>
          </w:p>
        </w:tc>
      </w:tr>
      <w:tr w14:paraId="0CCE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21633580">
            <w:pPr>
              <w:widowControl/>
              <w:jc w:val="center"/>
              <w:rPr>
                <w:rFonts w:ascii="Garamond" w:hAnsi="Garamond"/>
                <w:b/>
                <w:bCs/>
                <w:color w:val="auto"/>
                <w:szCs w:val="21"/>
                <w:highlight w:val="none"/>
                <w:u w:val="single"/>
              </w:rPr>
            </w:pPr>
          </w:p>
        </w:tc>
        <w:tc>
          <w:tcPr>
            <w:tcW w:w="2062" w:type="dxa"/>
          </w:tcPr>
          <w:p w14:paraId="5D7488A3">
            <w:pPr>
              <w:widowControl/>
              <w:jc w:val="center"/>
              <w:rPr>
                <w:rFonts w:ascii="Garamond" w:hAnsi="Garamond"/>
                <w:b/>
                <w:bCs/>
                <w:color w:val="auto"/>
                <w:szCs w:val="21"/>
                <w:highlight w:val="none"/>
                <w:u w:val="single"/>
              </w:rPr>
            </w:pPr>
          </w:p>
        </w:tc>
        <w:tc>
          <w:tcPr>
            <w:tcW w:w="992" w:type="dxa"/>
          </w:tcPr>
          <w:p w14:paraId="53A532AE">
            <w:pPr>
              <w:widowControl/>
              <w:jc w:val="center"/>
              <w:rPr>
                <w:rFonts w:ascii="Garamond" w:hAnsi="Garamond"/>
                <w:b/>
                <w:bCs/>
                <w:color w:val="auto"/>
                <w:szCs w:val="21"/>
                <w:highlight w:val="none"/>
                <w:u w:val="single"/>
              </w:rPr>
            </w:pPr>
          </w:p>
        </w:tc>
        <w:tc>
          <w:tcPr>
            <w:tcW w:w="1276" w:type="dxa"/>
          </w:tcPr>
          <w:p w14:paraId="4756A512">
            <w:pPr>
              <w:widowControl/>
              <w:jc w:val="center"/>
              <w:rPr>
                <w:rFonts w:ascii="Garamond" w:hAnsi="Garamond"/>
                <w:b/>
                <w:bCs/>
                <w:color w:val="auto"/>
                <w:szCs w:val="21"/>
                <w:highlight w:val="none"/>
                <w:u w:val="single"/>
              </w:rPr>
            </w:pPr>
          </w:p>
        </w:tc>
        <w:tc>
          <w:tcPr>
            <w:tcW w:w="567" w:type="dxa"/>
          </w:tcPr>
          <w:p w14:paraId="7E94C399">
            <w:pPr>
              <w:widowControl/>
              <w:jc w:val="center"/>
              <w:rPr>
                <w:rFonts w:ascii="Garamond" w:hAnsi="Garamond"/>
                <w:b/>
                <w:bCs/>
                <w:color w:val="auto"/>
                <w:szCs w:val="21"/>
                <w:highlight w:val="none"/>
                <w:u w:val="single"/>
              </w:rPr>
            </w:pPr>
          </w:p>
        </w:tc>
        <w:tc>
          <w:tcPr>
            <w:tcW w:w="425" w:type="dxa"/>
          </w:tcPr>
          <w:p w14:paraId="5B3D9AB3">
            <w:pPr>
              <w:widowControl/>
              <w:jc w:val="center"/>
              <w:rPr>
                <w:rFonts w:ascii="Garamond" w:hAnsi="Garamond"/>
                <w:b/>
                <w:bCs/>
                <w:color w:val="auto"/>
                <w:szCs w:val="21"/>
                <w:highlight w:val="none"/>
                <w:u w:val="single"/>
              </w:rPr>
            </w:pPr>
          </w:p>
        </w:tc>
        <w:tc>
          <w:tcPr>
            <w:tcW w:w="426" w:type="dxa"/>
          </w:tcPr>
          <w:p w14:paraId="5D5F24A4">
            <w:pPr>
              <w:widowControl/>
              <w:jc w:val="center"/>
              <w:rPr>
                <w:rFonts w:ascii="Garamond" w:hAnsi="Garamond"/>
                <w:b/>
                <w:bCs/>
                <w:color w:val="auto"/>
                <w:szCs w:val="21"/>
                <w:highlight w:val="none"/>
                <w:u w:val="single"/>
              </w:rPr>
            </w:pPr>
          </w:p>
        </w:tc>
        <w:tc>
          <w:tcPr>
            <w:tcW w:w="425" w:type="dxa"/>
          </w:tcPr>
          <w:p w14:paraId="1CC1ED2F">
            <w:pPr>
              <w:widowControl/>
              <w:jc w:val="center"/>
              <w:rPr>
                <w:rFonts w:ascii="Garamond" w:hAnsi="Garamond"/>
                <w:b/>
                <w:bCs/>
                <w:color w:val="auto"/>
                <w:szCs w:val="21"/>
                <w:highlight w:val="none"/>
                <w:u w:val="single"/>
              </w:rPr>
            </w:pPr>
          </w:p>
        </w:tc>
        <w:tc>
          <w:tcPr>
            <w:tcW w:w="850" w:type="dxa"/>
          </w:tcPr>
          <w:p w14:paraId="09B3C1BF">
            <w:pPr>
              <w:widowControl/>
              <w:jc w:val="center"/>
              <w:rPr>
                <w:rFonts w:ascii="Garamond" w:hAnsi="Garamond"/>
                <w:b/>
                <w:bCs/>
                <w:color w:val="auto"/>
                <w:szCs w:val="21"/>
                <w:highlight w:val="none"/>
                <w:u w:val="single"/>
              </w:rPr>
            </w:pPr>
          </w:p>
        </w:tc>
        <w:tc>
          <w:tcPr>
            <w:tcW w:w="993" w:type="dxa"/>
          </w:tcPr>
          <w:p w14:paraId="3736086C">
            <w:pPr>
              <w:widowControl/>
              <w:jc w:val="center"/>
              <w:rPr>
                <w:rFonts w:ascii="Garamond" w:hAnsi="Garamond"/>
                <w:b/>
                <w:bCs/>
                <w:color w:val="auto"/>
                <w:szCs w:val="21"/>
                <w:highlight w:val="none"/>
                <w:u w:val="single"/>
              </w:rPr>
            </w:pPr>
          </w:p>
        </w:tc>
        <w:tc>
          <w:tcPr>
            <w:tcW w:w="532" w:type="dxa"/>
          </w:tcPr>
          <w:p w14:paraId="30E1E67D">
            <w:pPr>
              <w:widowControl/>
              <w:jc w:val="center"/>
              <w:rPr>
                <w:rFonts w:ascii="Garamond" w:hAnsi="Garamond"/>
                <w:b/>
                <w:bCs/>
                <w:color w:val="auto"/>
                <w:szCs w:val="21"/>
                <w:highlight w:val="none"/>
                <w:u w:val="single"/>
              </w:rPr>
            </w:pPr>
          </w:p>
        </w:tc>
      </w:tr>
      <w:tr w14:paraId="68FB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42D8088C">
            <w:pPr>
              <w:widowControl/>
              <w:jc w:val="center"/>
              <w:rPr>
                <w:rFonts w:ascii="Garamond" w:hAnsi="Garamond"/>
                <w:b/>
                <w:bCs/>
                <w:color w:val="auto"/>
                <w:szCs w:val="21"/>
                <w:highlight w:val="none"/>
                <w:u w:val="single"/>
              </w:rPr>
            </w:pPr>
          </w:p>
        </w:tc>
        <w:tc>
          <w:tcPr>
            <w:tcW w:w="2062" w:type="dxa"/>
          </w:tcPr>
          <w:p w14:paraId="69110FBB">
            <w:pPr>
              <w:widowControl/>
              <w:jc w:val="center"/>
              <w:rPr>
                <w:rFonts w:ascii="Garamond" w:hAnsi="Garamond"/>
                <w:b/>
                <w:bCs/>
                <w:color w:val="auto"/>
                <w:szCs w:val="21"/>
                <w:highlight w:val="none"/>
                <w:u w:val="single"/>
              </w:rPr>
            </w:pPr>
          </w:p>
        </w:tc>
        <w:tc>
          <w:tcPr>
            <w:tcW w:w="992" w:type="dxa"/>
          </w:tcPr>
          <w:p w14:paraId="40798443">
            <w:pPr>
              <w:widowControl/>
              <w:jc w:val="center"/>
              <w:rPr>
                <w:rFonts w:ascii="Garamond" w:hAnsi="Garamond"/>
                <w:b/>
                <w:bCs/>
                <w:color w:val="auto"/>
                <w:szCs w:val="21"/>
                <w:highlight w:val="none"/>
                <w:u w:val="single"/>
              </w:rPr>
            </w:pPr>
          </w:p>
        </w:tc>
        <w:tc>
          <w:tcPr>
            <w:tcW w:w="1276" w:type="dxa"/>
          </w:tcPr>
          <w:p w14:paraId="5ADACEB4">
            <w:pPr>
              <w:widowControl/>
              <w:jc w:val="center"/>
              <w:rPr>
                <w:rFonts w:ascii="Garamond" w:hAnsi="Garamond"/>
                <w:b/>
                <w:bCs/>
                <w:color w:val="auto"/>
                <w:szCs w:val="21"/>
                <w:highlight w:val="none"/>
                <w:u w:val="single"/>
              </w:rPr>
            </w:pPr>
          </w:p>
        </w:tc>
        <w:tc>
          <w:tcPr>
            <w:tcW w:w="567" w:type="dxa"/>
          </w:tcPr>
          <w:p w14:paraId="4F0CE75F">
            <w:pPr>
              <w:widowControl/>
              <w:jc w:val="center"/>
              <w:rPr>
                <w:rFonts w:ascii="Garamond" w:hAnsi="Garamond"/>
                <w:b/>
                <w:bCs/>
                <w:color w:val="auto"/>
                <w:szCs w:val="21"/>
                <w:highlight w:val="none"/>
                <w:u w:val="single"/>
              </w:rPr>
            </w:pPr>
          </w:p>
        </w:tc>
        <w:tc>
          <w:tcPr>
            <w:tcW w:w="425" w:type="dxa"/>
          </w:tcPr>
          <w:p w14:paraId="6C7E39D6">
            <w:pPr>
              <w:widowControl/>
              <w:jc w:val="center"/>
              <w:rPr>
                <w:rFonts w:ascii="Garamond" w:hAnsi="Garamond"/>
                <w:b/>
                <w:bCs/>
                <w:color w:val="auto"/>
                <w:szCs w:val="21"/>
                <w:highlight w:val="none"/>
                <w:u w:val="single"/>
              </w:rPr>
            </w:pPr>
          </w:p>
        </w:tc>
        <w:tc>
          <w:tcPr>
            <w:tcW w:w="426" w:type="dxa"/>
          </w:tcPr>
          <w:p w14:paraId="5E462332">
            <w:pPr>
              <w:widowControl/>
              <w:jc w:val="center"/>
              <w:rPr>
                <w:rFonts w:ascii="Garamond" w:hAnsi="Garamond"/>
                <w:b/>
                <w:bCs/>
                <w:color w:val="auto"/>
                <w:szCs w:val="21"/>
                <w:highlight w:val="none"/>
                <w:u w:val="single"/>
              </w:rPr>
            </w:pPr>
          </w:p>
        </w:tc>
        <w:tc>
          <w:tcPr>
            <w:tcW w:w="425" w:type="dxa"/>
          </w:tcPr>
          <w:p w14:paraId="797FBB09">
            <w:pPr>
              <w:widowControl/>
              <w:jc w:val="center"/>
              <w:rPr>
                <w:rFonts w:ascii="Garamond" w:hAnsi="Garamond"/>
                <w:b/>
                <w:bCs/>
                <w:color w:val="auto"/>
                <w:szCs w:val="21"/>
                <w:highlight w:val="none"/>
                <w:u w:val="single"/>
              </w:rPr>
            </w:pPr>
          </w:p>
        </w:tc>
        <w:tc>
          <w:tcPr>
            <w:tcW w:w="850" w:type="dxa"/>
          </w:tcPr>
          <w:p w14:paraId="3C3EDE9A">
            <w:pPr>
              <w:widowControl/>
              <w:jc w:val="center"/>
              <w:rPr>
                <w:rFonts w:ascii="Garamond" w:hAnsi="Garamond"/>
                <w:b/>
                <w:bCs/>
                <w:color w:val="auto"/>
                <w:szCs w:val="21"/>
                <w:highlight w:val="none"/>
                <w:u w:val="single"/>
              </w:rPr>
            </w:pPr>
          </w:p>
        </w:tc>
        <w:tc>
          <w:tcPr>
            <w:tcW w:w="993" w:type="dxa"/>
          </w:tcPr>
          <w:p w14:paraId="62054ADC">
            <w:pPr>
              <w:widowControl/>
              <w:jc w:val="center"/>
              <w:rPr>
                <w:rFonts w:ascii="Garamond" w:hAnsi="Garamond"/>
                <w:b/>
                <w:bCs/>
                <w:color w:val="auto"/>
                <w:szCs w:val="21"/>
                <w:highlight w:val="none"/>
                <w:u w:val="single"/>
              </w:rPr>
            </w:pPr>
          </w:p>
        </w:tc>
        <w:tc>
          <w:tcPr>
            <w:tcW w:w="532" w:type="dxa"/>
          </w:tcPr>
          <w:p w14:paraId="42B3484A">
            <w:pPr>
              <w:widowControl/>
              <w:jc w:val="center"/>
              <w:rPr>
                <w:rFonts w:ascii="Garamond" w:hAnsi="Garamond"/>
                <w:b/>
                <w:bCs/>
                <w:color w:val="auto"/>
                <w:szCs w:val="21"/>
                <w:highlight w:val="none"/>
                <w:u w:val="single"/>
              </w:rPr>
            </w:pPr>
          </w:p>
        </w:tc>
      </w:tr>
      <w:tr w14:paraId="1538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67EEF935">
            <w:pPr>
              <w:widowControl/>
              <w:jc w:val="center"/>
              <w:rPr>
                <w:rFonts w:ascii="Garamond" w:hAnsi="Garamond"/>
                <w:b/>
                <w:bCs/>
                <w:color w:val="auto"/>
                <w:szCs w:val="21"/>
                <w:highlight w:val="none"/>
                <w:u w:val="single"/>
              </w:rPr>
            </w:pPr>
          </w:p>
        </w:tc>
        <w:tc>
          <w:tcPr>
            <w:tcW w:w="2062" w:type="dxa"/>
          </w:tcPr>
          <w:p w14:paraId="648B77A6">
            <w:pPr>
              <w:widowControl/>
              <w:jc w:val="center"/>
              <w:rPr>
                <w:rFonts w:ascii="Garamond" w:hAnsi="Garamond"/>
                <w:b/>
                <w:bCs/>
                <w:color w:val="auto"/>
                <w:szCs w:val="21"/>
                <w:highlight w:val="none"/>
                <w:u w:val="single"/>
              </w:rPr>
            </w:pPr>
          </w:p>
        </w:tc>
        <w:tc>
          <w:tcPr>
            <w:tcW w:w="992" w:type="dxa"/>
          </w:tcPr>
          <w:p w14:paraId="1E4346DC">
            <w:pPr>
              <w:widowControl/>
              <w:jc w:val="center"/>
              <w:rPr>
                <w:rFonts w:ascii="Garamond" w:hAnsi="Garamond"/>
                <w:b/>
                <w:bCs/>
                <w:color w:val="auto"/>
                <w:szCs w:val="21"/>
                <w:highlight w:val="none"/>
                <w:u w:val="single"/>
              </w:rPr>
            </w:pPr>
          </w:p>
        </w:tc>
        <w:tc>
          <w:tcPr>
            <w:tcW w:w="1276" w:type="dxa"/>
          </w:tcPr>
          <w:p w14:paraId="1E076D4F">
            <w:pPr>
              <w:widowControl/>
              <w:jc w:val="center"/>
              <w:rPr>
                <w:rFonts w:ascii="Garamond" w:hAnsi="Garamond"/>
                <w:b/>
                <w:bCs/>
                <w:color w:val="auto"/>
                <w:szCs w:val="21"/>
                <w:highlight w:val="none"/>
                <w:u w:val="single"/>
              </w:rPr>
            </w:pPr>
          </w:p>
        </w:tc>
        <w:tc>
          <w:tcPr>
            <w:tcW w:w="567" w:type="dxa"/>
          </w:tcPr>
          <w:p w14:paraId="7C8AA2CD">
            <w:pPr>
              <w:widowControl/>
              <w:jc w:val="center"/>
              <w:rPr>
                <w:rFonts w:ascii="Garamond" w:hAnsi="Garamond"/>
                <w:b/>
                <w:bCs/>
                <w:color w:val="auto"/>
                <w:szCs w:val="21"/>
                <w:highlight w:val="none"/>
                <w:u w:val="single"/>
              </w:rPr>
            </w:pPr>
          </w:p>
        </w:tc>
        <w:tc>
          <w:tcPr>
            <w:tcW w:w="425" w:type="dxa"/>
          </w:tcPr>
          <w:p w14:paraId="5BCB26C9">
            <w:pPr>
              <w:widowControl/>
              <w:jc w:val="center"/>
              <w:rPr>
                <w:rFonts w:ascii="Garamond" w:hAnsi="Garamond"/>
                <w:b/>
                <w:bCs/>
                <w:color w:val="auto"/>
                <w:szCs w:val="21"/>
                <w:highlight w:val="none"/>
                <w:u w:val="single"/>
              </w:rPr>
            </w:pPr>
          </w:p>
        </w:tc>
        <w:tc>
          <w:tcPr>
            <w:tcW w:w="426" w:type="dxa"/>
          </w:tcPr>
          <w:p w14:paraId="14088260">
            <w:pPr>
              <w:widowControl/>
              <w:jc w:val="center"/>
              <w:rPr>
                <w:rFonts w:ascii="Garamond" w:hAnsi="Garamond"/>
                <w:b/>
                <w:bCs/>
                <w:color w:val="auto"/>
                <w:szCs w:val="21"/>
                <w:highlight w:val="none"/>
                <w:u w:val="single"/>
              </w:rPr>
            </w:pPr>
          </w:p>
        </w:tc>
        <w:tc>
          <w:tcPr>
            <w:tcW w:w="425" w:type="dxa"/>
          </w:tcPr>
          <w:p w14:paraId="466BF23F">
            <w:pPr>
              <w:widowControl/>
              <w:jc w:val="center"/>
              <w:rPr>
                <w:rFonts w:ascii="Garamond" w:hAnsi="Garamond"/>
                <w:b/>
                <w:bCs/>
                <w:color w:val="auto"/>
                <w:szCs w:val="21"/>
                <w:highlight w:val="none"/>
                <w:u w:val="single"/>
              </w:rPr>
            </w:pPr>
          </w:p>
        </w:tc>
        <w:tc>
          <w:tcPr>
            <w:tcW w:w="850" w:type="dxa"/>
          </w:tcPr>
          <w:p w14:paraId="5BDE59B4">
            <w:pPr>
              <w:widowControl/>
              <w:jc w:val="center"/>
              <w:rPr>
                <w:rFonts w:ascii="Garamond" w:hAnsi="Garamond"/>
                <w:b/>
                <w:bCs/>
                <w:color w:val="auto"/>
                <w:szCs w:val="21"/>
                <w:highlight w:val="none"/>
                <w:u w:val="single"/>
              </w:rPr>
            </w:pPr>
          </w:p>
        </w:tc>
        <w:tc>
          <w:tcPr>
            <w:tcW w:w="993" w:type="dxa"/>
          </w:tcPr>
          <w:p w14:paraId="4813EA94">
            <w:pPr>
              <w:widowControl/>
              <w:jc w:val="center"/>
              <w:rPr>
                <w:rFonts w:ascii="Garamond" w:hAnsi="Garamond"/>
                <w:b/>
                <w:bCs/>
                <w:color w:val="auto"/>
                <w:szCs w:val="21"/>
                <w:highlight w:val="none"/>
                <w:u w:val="single"/>
              </w:rPr>
            </w:pPr>
          </w:p>
        </w:tc>
        <w:tc>
          <w:tcPr>
            <w:tcW w:w="532" w:type="dxa"/>
          </w:tcPr>
          <w:p w14:paraId="0F26E975">
            <w:pPr>
              <w:widowControl/>
              <w:jc w:val="center"/>
              <w:rPr>
                <w:rFonts w:ascii="Garamond" w:hAnsi="Garamond"/>
                <w:b/>
                <w:bCs/>
                <w:color w:val="auto"/>
                <w:szCs w:val="21"/>
                <w:highlight w:val="none"/>
                <w:u w:val="single"/>
              </w:rPr>
            </w:pPr>
          </w:p>
        </w:tc>
      </w:tr>
      <w:tr w14:paraId="64D2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6E5B2950">
            <w:pPr>
              <w:widowControl/>
              <w:jc w:val="center"/>
              <w:rPr>
                <w:rFonts w:ascii="Garamond" w:hAnsi="Garamond"/>
                <w:b/>
                <w:bCs/>
                <w:color w:val="auto"/>
                <w:szCs w:val="21"/>
                <w:highlight w:val="none"/>
                <w:u w:val="single"/>
              </w:rPr>
            </w:pPr>
          </w:p>
        </w:tc>
        <w:tc>
          <w:tcPr>
            <w:tcW w:w="2062" w:type="dxa"/>
          </w:tcPr>
          <w:p w14:paraId="1C3DBB1C">
            <w:pPr>
              <w:widowControl/>
              <w:jc w:val="center"/>
              <w:rPr>
                <w:rFonts w:ascii="Garamond" w:hAnsi="Garamond"/>
                <w:b/>
                <w:bCs/>
                <w:color w:val="auto"/>
                <w:szCs w:val="21"/>
                <w:highlight w:val="none"/>
                <w:u w:val="single"/>
              </w:rPr>
            </w:pPr>
          </w:p>
        </w:tc>
        <w:tc>
          <w:tcPr>
            <w:tcW w:w="992" w:type="dxa"/>
          </w:tcPr>
          <w:p w14:paraId="6687DABC">
            <w:pPr>
              <w:widowControl/>
              <w:jc w:val="center"/>
              <w:rPr>
                <w:rFonts w:ascii="Garamond" w:hAnsi="Garamond"/>
                <w:b/>
                <w:bCs/>
                <w:color w:val="auto"/>
                <w:szCs w:val="21"/>
                <w:highlight w:val="none"/>
                <w:u w:val="single"/>
              </w:rPr>
            </w:pPr>
          </w:p>
        </w:tc>
        <w:tc>
          <w:tcPr>
            <w:tcW w:w="1276" w:type="dxa"/>
          </w:tcPr>
          <w:p w14:paraId="5D05D6CF">
            <w:pPr>
              <w:widowControl/>
              <w:jc w:val="center"/>
              <w:rPr>
                <w:rFonts w:ascii="Garamond" w:hAnsi="Garamond"/>
                <w:b/>
                <w:bCs/>
                <w:color w:val="auto"/>
                <w:szCs w:val="21"/>
                <w:highlight w:val="none"/>
                <w:u w:val="single"/>
              </w:rPr>
            </w:pPr>
          </w:p>
        </w:tc>
        <w:tc>
          <w:tcPr>
            <w:tcW w:w="567" w:type="dxa"/>
          </w:tcPr>
          <w:p w14:paraId="6228D32F">
            <w:pPr>
              <w:widowControl/>
              <w:jc w:val="center"/>
              <w:rPr>
                <w:rFonts w:ascii="Garamond" w:hAnsi="Garamond"/>
                <w:b/>
                <w:bCs/>
                <w:color w:val="auto"/>
                <w:szCs w:val="21"/>
                <w:highlight w:val="none"/>
                <w:u w:val="single"/>
              </w:rPr>
            </w:pPr>
          </w:p>
        </w:tc>
        <w:tc>
          <w:tcPr>
            <w:tcW w:w="425" w:type="dxa"/>
          </w:tcPr>
          <w:p w14:paraId="40EC6DF8">
            <w:pPr>
              <w:widowControl/>
              <w:jc w:val="center"/>
              <w:rPr>
                <w:rFonts w:ascii="Garamond" w:hAnsi="Garamond"/>
                <w:b/>
                <w:bCs/>
                <w:color w:val="auto"/>
                <w:szCs w:val="21"/>
                <w:highlight w:val="none"/>
                <w:u w:val="single"/>
              </w:rPr>
            </w:pPr>
          </w:p>
        </w:tc>
        <w:tc>
          <w:tcPr>
            <w:tcW w:w="426" w:type="dxa"/>
          </w:tcPr>
          <w:p w14:paraId="3ECEAC8E">
            <w:pPr>
              <w:widowControl/>
              <w:jc w:val="center"/>
              <w:rPr>
                <w:rFonts w:ascii="Garamond" w:hAnsi="Garamond"/>
                <w:b/>
                <w:bCs/>
                <w:color w:val="auto"/>
                <w:szCs w:val="21"/>
                <w:highlight w:val="none"/>
                <w:u w:val="single"/>
              </w:rPr>
            </w:pPr>
          </w:p>
        </w:tc>
        <w:tc>
          <w:tcPr>
            <w:tcW w:w="425" w:type="dxa"/>
          </w:tcPr>
          <w:p w14:paraId="5DA49B2D">
            <w:pPr>
              <w:widowControl/>
              <w:jc w:val="center"/>
              <w:rPr>
                <w:rFonts w:ascii="Garamond" w:hAnsi="Garamond"/>
                <w:b/>
                <w:bCs/>
                <w:color w:val="auto"/>
                <w:szCs w:val="21"/>
                <w:highlight w:val="none"/>
                <w:u w:val="single"/>
              </w:rPr>
            </w:pPr>
          </w:p>
        </w:tc>
        <w:tc>
          <w:tcPr>
            <w:tcW w:w="850" w:type="dxa"/>
          </w:tcPr>
          <w:p w14:paraId="3682D674">
            <w:pPr>
              <w:widowControl/>
              <w:jc w:val="center"/>
              <w:rPr>
                <w:rFonts w:ascii="Garamond" w:hAnsi="Garamond"/>
                <w:b/>
                <w:bCs/>
                <w:color w:val="auto"/>
                <w:szCs w:val="21"/>
                <w:highlight w:val="none"/>
                <w:u w:val="single"/>
              </w:rPr>
            </w:pPr>
          </w:p>
        </w:tc>
        <w:tc>
          <w:tcPr>
            <w:tcW w:w="993" w:type="dxa"/>
          </w:tcPr>
          <w:p w14:paraId="698F4A75">
            <w:pPr>
              <w:widowControl/>
              <w:jc w:val="center"/>
              <w:rPr>
                <w:rFonts w:ascii="Garamond" w:hAnsi="Garamond"/>
                <w:b/>
                <w:bCs/>
                <w:color w:val="auto"/>
                <w:szCs w:val="21"/>
                <w:highlight w:val="none"/>
                <w:u w:val="single"/>
              </w:rPr>
            </w:pPr>
          </w:p>
        </w:tc>
        <w:tc>
          <w:tcPr>
            <w:tcW w:w="532" w:type="dxa"/>
          </w:tcPr>
          <w:p w14:paraId="185C293E">
            <w:pPr>
              <w:widowControl/>
              <w:jc w:val="center"/>
              <w:rPr>
                <w:rFonts w:ascii="Garamond" w:hAnsi="Garamond"/>
                <w:b/>
                <w:bCs/>
                <w:color w:val="auto"/>
                <w:szCs w:val="21"/>
                <w:highlight w:val="none"/>
                <w:u w:val="single"/>
              </w:rPr>
            </w:pPr>
          </w:p>
        </w:tc>
      </w:tr>
      <w:tr w14:paraId="73B2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4F929AE4">
            <w:pPr>
              <w:widowControl/>
              <w:jc w:val="center"/>
              <w:rPr>
                <w:rFonts w:ascii="Garamond" w:hAnsi="Garamond"/>
                <w:b/>
                <w:bCs/>
                <w:color w:val="auto"/>
                <w:szCs w:val="21"/>
                <w:highlight w:val="none"/>
                <w:u w:val="single"/>
              </w:rPr>
            </w:pPr>
          </w:p>
        </w:tc>
        <w:tc>
          <w:tcPr>
            <w:tcW w:w="2062" w:type="dxa"/>
          </w:tcPr>
          <w:p w14:paraId="50FAB60D">
            <w:pPr>
              <w:widowControl/>
              <w:jc w:val="center"/>
              <w:rPr>
                <w:rFonts w:ascii="Garamond" w:hAnsi="Garamond"/>
                <w:b/>
                <w:bCs/>
                <w:color w:val="auto"/>
                <w:szCs w:val="21"/>
                <w:highlight w:val="none"/>
                <w:u w:val="single"/>
              </w:rPr>
            </w:pPr>
          </w:p>
        </w:tc>
        <w:tc>
          <w:tcPr>
            <w:tcW w:w="992" w:type="dxa"/>
          </w:tcPr>
          <w:p w14:paraId="0E5A3799">
            <w:pPr>
              <w:widowControl/>
              <w:jc w:val="center"/>
              <w:rPr>
                <w:rFonts w:ascii="Garamond" w:hAnsi="Garamond"/>
                <w:b/>
                <w:bCs/>
                <w:color w:val="auto"/>
                <w:szCs w:val="21"/>
                <w:highlight w:val="none"/>
                <w:u w:val="single"/>
              </w:rPr>
            </w:pPr>
          </w:p>
        </w:tc>
        <w:tc>
          <w:tcPr>
            <w:tcW w:w="1276" w:type="dxa"/>
          </w:tcPr>
          <w:p w14:paraId="4E80E037">
            <w:pPr>
              <w:widowControl/>
              <w:jc w:val="center"/>
              <w:rPr>
                <w:rFonts w:ascii="Garamond" w:hAnsi="Garamond"/>
                <w:b/>
                <w:bCs/>
                <w:color w:val="auto"/>
                <w:szCs w:val="21"/>
                <w:highlight w:val="none"/>
                <w:u w:val="single"/>
              </w:rPr>
            </w:pPr>
          </w:p>
        </w:tc>
        <w:tc>
          <w:tcPr>
            <w:tcW w:w="567" w:type="dxa"/>
          </w:tcPr>
          <w:p w14:paraId="4CC54202">
            <w:pPr>
              <w:widowControl/>
              <w:jc w:val="center"/>
              <w:rPr>
                <w:rFonts w:ascii="Garamond" w:hAnsi="Garamond"/>
                <w:b/>
                <w:bCs/>
                <w:color w:val="auto"/>
                <w:szCs w:val="21"/>
                <w:highlight w:val="none"/>
                <w:u w:val="single"/>
              </w:rPr>
            </w:pPr>
          </w:p>
        </w:tc>
        <w:tc>
          <w:tcPr>
            <w:tcW w:w="425" w:type="dxa"/>
          </w:tcPr>
          <w:p w14:paraId="7AC6ED5A">
            <w:pPr>
              <w:widowControl/>
              <w:jc w:val="center"/>
              <w:rPr>
                <w:rFonts w:ascii="Garamond" w:hAnsi="Garamond"/>
                <w:b/>
                <w:bCs/>
                <w:color w:val="auto"/>
                <w:szCs w:val="21"/>
                <w:highlight w:val="none"/>
                <w:u w:val="single"/>
              </w:rPr>
            </w:pPr>
          </w:p>
        </w:tc>
        <w:tc>
          <w:tcPr>
            <w:tcW w:w="426" w:type="dxa"/>
          </w:tcPr>
          <w:p w14:paraId="4ACBB1EA">
            <w:pPr>
              <w:widowControl/>
              <w:jc w:val="center"/>
              <w:rPr>
                <w:rFonts w:ascii="Garamond" w:hAnsi="Garamond"/>
                <w:b/>
                <w:bCs/>
                <w:color w:val="auto"/>
                <w:szCs w:val="21"/>
                <w:highlight w:val="none"/>
                <w:u w:val="single"/>
              </w:rPr>
            </w:pPr>
          </w:p>
        </w:tc>
        <w:tc>
          <w:tcPr>
            <w:tcW w:w="425" w:type="dxa"/>
          </w:tcPr>
          <w:p w14:paraId="5CE24FAC">
            <w:pPr>
              <w:widowControl/>
              <w:jc w:val="center"/>
              <w:rPr>
                <w:rFonts w:ascii="Garamond" w:hAnsi="Garamond"/>
                <w:b/>
                <w:bCs/>
                <w:color w:val="auto"/>
                <w:szCs w:val="21"/>
                <w:highlight w:val="none"/>
                <w:u w:val="single"/>
              </w:rPr>
            </w:pPr>
          </w:p>
        </w:tc>
        <w:tc>
          <w:tcPr>
            <w:tcW w:w="850" w:type="dxa"/>
          </w:tcPr>
          <w:p w14:paraId="017A02FD">
            <w:pPr>
              <w:widowControl/>
              <w:jc w:val="center"/>
              <w:rPr>
                <w:rFonts w:ascii="Garamond" w:hAnsi="Garamond"/>
                <w:b/>
                <w:bCs/>
                <w:color w:val="auto"/>
                <w:szCs w:val="21"/>
                <w:highlight w:val="none"/>
                <w:u w:val="single"/>
              </w:rPr>
            </w:pPr>
          </w:p>
        </w:tc>
        <w:tc>
          <w:tcPr>
            <w:tcW w:w="993" w:type="dxa"/>
          </w:tcPr>
          <w:p w14:paraId="5ADE0E15">
            <w:pPr>
              <w:widowControl/>
              <w:jc w:val="center"/>
              <w:rPr>
                <w:rFonts w:ascii="Garamond" w:hAnsi="Garamond"/>
                <w:b/>
                <w:bCs/>
                <w:color w:val="auto"/>
                <w:szCs w:val="21"/>
                <w:highlight w:val="none"/>
                <w:u w:val="single"/>
              </w:rPr>
            </w:pPr>
          </w:p>
        </w:tc>
        <w:tc>
          <w:tcPr>
            <w:tcW w:w="532" w:type="dxa"/>
          </w:tcPr>
          <w:p w14:paraId="37EB2AFD">
            <w:pPr>
              <w:widowControl/>
              <w:jc w:val="center"/>
              <w:rPr>
                <w:rFonts w:ascii="Garamond" w:hAnsi="Garamond"/>
                <w:b/>
                <w:bCs/>
                <w:color w:val="auto"/>
                <w:szCs w:val="21"/>
                <w:highlight w:val="none"/>
                <w:u w:val="single"/>
              </w:rPr>
            </w:pPr>
          </w:p>
        </w:tc>
      </w:tr>
      <w:tr w14:paraId="4FE1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3DB6D1B9">
            <w:pPr>
              <w:widowControl/>
              <w:jc w:val="center"/>
              <w:rPr>
                <w:rFonts w:ascii="Garamond" w:hAnsi="Garamond"/>
                <w:b/>
                <w:bCs/>
                <w:color w:val="auto"/>
                <w:szCs w:val="21"/>
                <w:highlight w:val="none"/>
                <w:u w:val="single"/>
              </w:rPr>
            </w:pPr>
          </w:p>
        </w:tc>
        <w:tc>
          <w:tcPr>
            <w:tcW w:w="2062" w:type="dxa"/>
          </w:tcPr>
          <w:p w14:paraId="671AC816">
            <w:pPr>
              <w:widowControl/>
              <w:jc w:val="center"/>
              <w:rPr>
                <w:rFonts w:ascii="Garamond" w:hAnsi="Garamond"/>
                <w:b/>
                <w:bCs/>
                <w:color w:val="auto"/>
                <w:szCs w:val="21"/>
                <w:highlight w:val="none"/>
                <w:u w:val="single"/>
              </w:rPr>
            </w:pPr>
          </w:p>
        </w:tc>
        <w:tc>
          <w:tcPr>
            <w:tcW w:w="992" w:type="dxa"/>
          </w:tcPr>
          <w:p w14:paraId="06BF2140">
            <w:pPr>
              <w:widowControl/>
              <w:jc w:val="center"/>
              <w:rPr>
                <w:rFonts w:ascii="Garamond" w:hAnsi="Garamond"/>
                <w:b/>
                <w:bCs/>
                <w:color w:val="auto"/>
                <w:szCs w:val="21"/>
                <w:highlight w:val="none"/>
                <w:u w:val="single"/>
              </w:rPr>
            </w:pPr>
          </w:p>
        </w:tc>
        <w:tc>
          <w:tcPr>
            <w:tcW w:w="1276" w:type="dxa"/>
          </w:tcPr>
          <w:p w14:paraId="40BC1874">
            <w:pPr>
              <w:widowControl/>
              <w:jc w:val="center"/>
              <w:rPr>
                <w:rFonts w:ascii="Garamond" w:hAnsi="Garamond"/>
                <w:b/>
                <w:bCs/>
                <w:color w:val="auto"/>
                <w:szCs w:val="21"/>
                <w:highlight w:val="none"/>
                <w:u w:val="single"/>
              </w:rPr>
            </w:pPr>
          </w:p>
        </w:tc>
        <w:tc>
          <w:tcPr>
            <w:tcW w:w="567" w:type="dxa"/>
          </w:tcPr>
          <w:p w14:paraId="09577DB4">
            <w:pPr>
              <w:widowControl/>
              <w:jc w:val="center"/>
              <w:rPr>
                <w:rFonts w:ascii="Garamond" w:hAnsi="Garamond"/>
                <w:b/>
                <w:bCs/>
                <w:color w:val="auto"/>
                <w:szCs w:val="21"/>
                <w:highlight w:val="none"/>
                <w:u w:val="single"/>
              </w:rPr>
            </w:pPr>
          </w:p>
        </w:tc>
        <w:tc>
          <w:tcPr>
            <w:tcW w:w="425" w:type="dxa"/>
          </w:tcPr>
          <w:p w14:paraId="147D589B">
            <w:pPr>
              <w:widowControl/>
              <w:jc w:val="center"/>
              <w:rPr>
                <w:rFonts w:ascii="Garamond" w:hAnsi="Garamond"/>
                <w:b/>
                <w:bCs/>
                <w:color w:val="auto"/>
                <w:szCs w:val="21"/>
                <w:highlight w:val="none"/>
                <w:u w:val="single"/>
              </w:rPr>
            </w:pPr>
          </w:p>
        </w:tc>
        <w:tc>
          <w:tcPr>
            <w:tcW w:w="426" w:type="dxa"/>
          </w:tcPr>
          <w:p w14:paraId="27C5DEA0">
            <w:pPr>
              <w:widowControl/>
              <w:jc w:val="center"/>
              <w:rPr>
                <w:rFonts w:ascii="Garamond" w:hAnsi="Garamond"/>
                <w:b/>
                <w:bCs/>
                <w:color w:val="auto"/>
                <w:szCs w:val="21"/>
                <w:highlight w:val="none"/>
                <w:u w:val="single"/>
              </w:rPr>
            </w:pPr>
          </w:p>
        </w:tc>
        <w:tc>
          <w:tcPr>
            <w:tcW w:w="425" w:type="dxa"/>
          </w:tcPr>
          <w:p w14:paraId="4C171B4E">
            <w:pPr>
              <w:widowControl/>
              <w:jc w:val="center"/>
              <w:rPr>
                <w:rFonts w:ascii="Garamond" w:hAnsi="Garamond"/>
                <w:b/>
                <w:bCs/>
                <w:color w:val="auto"/>
                <w:szCs w:val="21"/>
                <w:highlight w:val="none"/>
                <w:u w:val="single"/>
              </w:rPr>
            </w:pPr>
          </w:p>
        </w:tc>
        <w:tc>
          <w:tcPr>
            <w:tcW w:w="850" w:type="dxa"/>
          </w:tcPr>
          <w:p w14:paraId="3AC83894">
            <w:pPr>
              <w:widowControl/>
              <w:jc w:val="center"/>
              <w:rPr>
                <w:rFonts w:ascii="Garamond" w:hAnsi="Garamond"/>
                <w:b/>
                <w:bCs/>
                <w:color w:val="auto"/>
                <w:szCs w:val="21"/>
                <w:highlight w:val="none"/>
                <w:u w:val="single"/>
              </w:rPr>
            </w:pPr>
          </w:p>
        </w:tc>
        <w:tc>
          <w:tcPr>
            <w:tcW w:w="993" w:type="dxa"/>
          </w:tcPr>
          <w:p w14:paraId="346DCC8F">
            <w:pPr>
              <w:widowControl/>
              <w:jc w:val="center"/>
              <w:rPr>
                <w:rFonts w:ascii="Garamond" w:hAnsi="Garamond"/>
                <w:b/>
                <w:bCs/>
                <w:color w:val="auto"/>
                <w:szCs w:val="21"/>
                <w:highlight w:val="none"/>
                <w:u w:val="single"/>
              </w:rPr>
            </w:pPr>
          </w:p>
        </w:tc>
        <w:tc>
          <w:tcPr>
            <w:tcW w:w="532" w:type="dxa"/>
          </w:tcPr>
          <w:p w14:paraId="3F6F2ACD">
            <w:pPr>
              <w:widowControl/>
              <w:jc w:val="center"/>
              <w:rPr>
                <w:rFonts w:ascii="Garamond" w:hAnsi="Garamond"/>
                <w:b/>
                <w:bCs/>
                <w:color w:val="auto"/>
                <w:szCs w:val="21"/>
                <w:highlight w:val="none"/>
                <w:u w:val="single"/>
              </w:rPr>
            </w:pPr>
          </w:p>
        </w:tc>
      </w:tr>
      <w:tr w14:paraId="5A83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534CB917">
            <w:pPr>
              <w:widowControl/>
              <w:jc w:val="center"/>
              <w:rPr>
                <w:rFonts w:ascii="Garamond" w:hAnsi="Garamond"/>
                <w:b/>
                <w:bCs/>
                <w:color w:val="auto"/>
                <w:szCs w:val="21"/>
                <w:highlight w:val="none"/>
                <w:u w:val="single"/>
              </w:rPr>
            </w:pPr>
          </w:p>
        </w:tc>
        <w:tc>
          <w:tcPr>
            <w:tcW w:w="2062" w:type="dxa"/>
          </w:tcPr>
          <w:p w14:paraId="3C2AC6D6">
            <w:pPr>
              <w:widowControl/>
              <w:jc w:val="center"/>
              <w:rPr>
                <w:rFonts w:ascii="Garamond" w:hAnsi="Garamond"/>
                <w:b/>
                <w:bCs/>
                <w:color w:val="auto"/>
                <w:szCs w:val="21"/>
                <w:highlight w:val="none"/>
                <w:u w:val="single"/>
              </w:rPr>
            </w:pPr>
          </w:p>
        </w:tc>
        <w:tc>
          <w:tcPr>
            <w:tcW w:w="992" w:type="dxa"/>
          </w:tcPr>
          <w:p w14:paraId="623C83EA">
            <w:pPr>
              <w:widowControl/>
              <w:jc w:val="center"/>
              <w:rPr>
                <w:rFonts w:ascii="Garamond" w:hAnsi="Garamond"/>
                <w:b/>
                <w:bCs/>
                <w:color w:val="auto"/>
                <w:szCs w:val="21"/>
                <w:highlight w:val="none"/>
                <w:u w:val="single"/>
              </w:rPr>
            </w:pPr>
          </w:p>
        </w:tc>
        <w:tc>
          <w:tcPr>
            <w:tcW w:w="1276" w:type="dxa"/>
          </w:tcPr>
          <w:p w14:paraId="139F961C">
            <w:pPr>
              <w:widowControl/>
              <w:jc w:val="center"/>
              <w:rPr>
                <w:rFonts w:ascii="Garamond" w:hAnsi="Garamond"/>
                <w:b/>
                <w:bCs/>
                <w:color w:val="auto"/>
                <w:szCs w:val="21"/>
                <w:highlight w:val="none"/>
                <w:u w:val="single"/>
              </w:rPr>
            </w:pPr>
          </w:p>
        </w:tc>
        <w:tc>
          <w:tcPr>
            <w:tcW w:w="567" w:type="dxa"/>
          </w:tcPr>
          <w:p w14:paraId="0C6EED58">
            <w:pPr>
              <w:widowControl/>
              <w:jc w:val="center"/>
              <w:rPr>
                <w:rFonts w:ascii="Garamond" w:hAnsi="Garamond"/>
                <w:b/>
                <w:bCs/>
                <w:color w:val="auto"/>
                <w:szCs w:val="21"/>
                <w:highlight w:val="none"/>
                <w:u w:val="single"/>
              </w:rPr>
            </w:pPr>
          </w:p>
        </w:tc>
        <w:tc>
          <w:tcPr>
            <w:tcW w:w="425" w:type="dxa"/>
          </w:tcPr>
          <w:p w14:paraId="56776FF0">
            <w:pPr>
              <w:widowControl/>
              <w:jc w:val="center"/>
              <w:rPr>
                <w:rFonts w:ascii="Garamond" w:hAnsi="Garamond"/>
                <w:b/>
                <w:bCs/>
                <w:color w:val="auto"/>
                <w:szCs w:val="21"/>
                <w:highlight w:val="none"/>
                <w:u w:val="single"/>
              </w:rPr>
            </w:pPr>
          </w:p>
        </w:tc>
        <w:tc>
          <w:tcPr>
            <w:tcW w:w="426" w:type="dxa"/>
          </w:tcPr>
          <w:p w14:paraId="3010A4D5">
            <w:pPr>
              <w:widowControl/>
              <w:jc w:val="center"/>
              <w:rPr>
                <w:rFonts w:ascii="Garamond" w:hAnsi="Garamond"/>
                <w:b/>
                <w:bCs/>
                <w:color w:val="auto"/>
                <w:szCs w:val="21"/>
                <w:highlight w:val="none"/>
                <w:u w:val="single"/>
              </w:rPr>
            </w:pPr>
          </w:p>
        </w:tc>
        <w:tc>
          <w:tcPr>
            <w:tcW w:w="425" w:type="dxa"/>
          </w:tcPr>
          <w:p w14:paraId="3BDA3516">
            <w:pPr>
              <w:widowControl/>
              <w:jc w:val="center"/>
              <w:rPr>
                <w:rFonts w:ascii="Garamond" w:hAnsi="Garamond"/>
                <w:b/>
                <w:bCs/>
                <w:color w:val="auto"/>
                <w:szCs w:val="21"/>
                <w:highlight w:val="none"/>
                <w:u w:val="single"/>
              </w:rPr>
            </w:pPr>
          </w:p>
        </w:tc>
        <w:tc>
          <w:tcPr>
            <w:tcW w:w="850" w:type="dxa"/>
          </w:tcPr>
          <w:p w14:paraId="44768185">
            <w:pPr>
              <w:widowControl/>
              <w:jc w:val="center"/>
              <w:rPr>
                <w:rFonts w:ascii="Garamond" w:hAnsi="Garamond"/>
                <w:b/>
                <w:bCs/>
                <w:color w:val="auto"/>
                <w:szCs w:val="21"/>
                <w:highlight w:val="none"/>
                <w:u w:val="single"/>
              </w:rPr>
            </w:pPr>
          </w:p>
        </w:tc>
        <w:tc>
          <w:tcPr>
            <w:tcW w:w="993" w:type="dxa"/>
          </w:tcPr>
          <w:p w14:paraId="2952AD45">
            <w:pPr>
              <w:widowControl/>
              <w:jc w:val="center"/>
              <w:rPr>
                <w:rFonts w:ascii="Garamond" w:hAnsi="Garamond"/>
                <w:b/>
                <w:bCs/>
                <w:color w:val="auto"/>
                <w:szCs w:val="21"/>
                <w:highlight w:val="none"/>
                <w:u w:val="single"/>
              </w:rPr>
            </w:pPr>
          </w:p>
        </w:tc>
        <w:tc>
          <w:tcPr>
            <w:tcW w:w="532" w:type="dxa"/>
          </w:tcPr>
          <w:p w14:paraId="719BB698">
            <w:pPr>
              <w:widowControl/>
              <w:jc w:val="center"/>
              <w:rPr>
                <w:rFonts w:ascii="Garamond" w:hAnsi="Garamond"/>
                <w:b/>
                <w:bCs/>
                <w:color w:val="auto"/>
                <w:szCs w:val="21"/>
                <w:highlight w:val="none"/>
                <w:u w:val="single"/>
              </w:rPr>
            </w:pPr>
          </w:p>
        </w:tc>
      </w:tr>
      <w:tr w14:paraId="6BE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7951DCD0">
            <w:pPr>
              <w:widowControl/>
              <w:jc w:val="center"/>
              <w:rPr>
                <w:rFonts w:ascii="Garamond" w:hAnsi="Garamond"/>
                <w:b/>
                <w:bCs/>
                <w:color w:val="auto"/>
                <w:szCs w:val="21"/>
                <w:highlight w:val="none"/>
                <w:u w:val="single"/>
              </w:rPr>
            </w:pPr>
          </w:p>
        </w:tc>
        <w:tc>
          <w:tcPr>
            <w:tcW w:w="2062" w:type="dxa"/>
          </w:tcPr>
          <w:p w14:paraId="729DC36D">
            <w:pPr>
              <w:widowControl/>
              <w:jc w:val="center"/>
              <w:rPr>
                <w:rFonts w:ascii="Garamond" w:hAnsi="Garamond"/>
                <w:b/>
                <w:bCs/>
                <w:color w:val="auto"/>
                <w:szCs w:val="21"/>
                <w:highlight w:val="none"/>
                <w:u w:val="single"/>
              </w:rPr>
            </w:pPr>
          </w:p>
        </w:tc>
        <w:tc>
          <w:tcPr>
            <w:tcW w:w="992" w:type="dxa"/>
          </w:tcPr>
          <w:p w14:paraId="7874184B">
            <w:pPr>
              <w:widowControl/>
              <w:jc w:val="center"/>
              <w:rPr>
                <w:rFonts w:ascii="Garamond" w:hAnsi="Garamond"/>
                <w:b/>
                <w:bCs/>
                <w:color w:val="auto"/>
                <w:szCs w:val="21"/>
                <w:highlight w:val="none"/>
                <w:u w:val="single"/>
              </w:rPr>
            </w:pPr>
          </w:p>
        </w:tc>
        <w:tc>
          <w:tcPr>
            <w:tcW w:w="1276" w:type="dxa"/>
          </w:tcPr>
          <w:p w14:paraId="4F451BDA">
            <w:pPr>
              <w:widowControl/>
              <w:jc w:val="center"/>
              <w:rPr>
                <w:rFonts w:ascii="Garamond" w:hAnsi="Garamond"/>
                <w:b/>
                <w:bCs/>
                <w:color w:val="auto"/>
                <w:szCs w:val="21"/>
                <w:highlight w:val="none"/>
                <w:u w:val="single"/>
              </w:rPr>
            </w:pPr>
          </w:p>
        </w:tc>
        <w:tc>
          <w:tcPr>
            <w:tcW w:w="567" w:type="dxa"/>
          </w:tcPr>
          <w:p w14:paraId="6050925E">
            <w:pPr>
              <w:widowControl/>
              <w:jc w:val="center"/>
              <w:rPr>
                <w:rFonts w:ascii="Garamond" w:hAnsi="Garamond"/>
                <w:b/>
                <w:bCs/>
                <w:color w:val="auto"/>
                <w:szCs w:val="21"/>
                <w:highlight w:val="none"/>
                <w:u w:val="single"/>
              </w:rPr>
            </w:pPr>
          </w:p>
        </w:tc>
        <w:tc>
          <w:tcPr>
            <w:tcW w:w="425" w:type="dxa"/>
          </w:tcPr>
          <w:p w14:paraId="179019C0">
            <w:pPr>
              <w:widowControl/>
              <w:jc w:val="center"/>
              <w:rPr>
                <w:rFonts w:ascii="Garamond" w:hAnsi="Garamond"/>
                <w:b/>
                <w:bCs/>
                <w:color w:val="auto"/>
                <w:szCs w:val="21"/>
                <w:highlight w:val="none"/>
                <w:u w:val="single"/>
              </w:rPr>
            </w:pPr>
          </w:p>
        </w:tc>
        <w:tc>
          <w:tcPr>
            <w:tcW w:w="426" w:type="dxa"/>
          </w:tcPr>
          <w:p w14:paraId="20BFCCE0">
            <w:pPr>
              <w:widowControl/>
              <w:jc w:val="center"/>
              <w:rPr>
                <w:rFonts w:ascii="Garamond" w:hAnsi="Garamond"/>
                <w:b/>
                <w:bCs/>
                <w:color w:val="auto"/>
                <w:szCs w:val="21"/>
                <w:highlight w:val="none"/>
                <w:u w:val="single"/>
              </w:rPr>
            </w:pPr>
          </w:p>
        </w:tc>
        <w:tc>
          <w:tcPr>
            <w:tcW w:w="425" w:type="dxa"/>
          </w:tcPr>
          <w:p w14:paraId="66AD00A4">
            <w:pPr>
              <w:widowControl/>
              <w:jc w:val="center"/>
              <w:rPr>
                <w:rFonts w:ascii="Garamond" w:hAnsi="Garamond"/>
                <w:b/>
                <w:bCs/>
                <w:color w:val="auto"/>
                <w:szCs w:val="21"/>
                <w:highlight w:val="none"/>
                <w:u w:val="single"/>
              </w:rPr>
            </w:pPr>
          </w:p>
        </w:tc>
        <w:tc>
          <w:tcPr>
            <w:tcW w:w="850" w:type="dxa"/>
          </w:tcPr>
          <w:p w14:paraId="6DE70746">
            <w:pPr>
              <w:widowControl/>
              <w:jc w:val="center"/>
              <w:rPr>
                <w:rFonts w:ascii="Garamond" w:hAnsi="Garamond"/>
                <w:b/>
                <w:bCs/>
                <w:color w:val="auto"/>
                <w:szCs w:val="21"/>
                <w:highlight w:val="none"/>
                <w:u w:val="single"/>
              </w:rPr>
            </w:pPr>
          </w:p>
        </w:tc>
        <w:tc>
          <w:tcPr>
            <w:tcW w:w="993" w:type="dxa"/>
          </w:tcPr>
          <w:p w14:paraId="58B006B4">
            <w:pPr>
              <w:widowControl/>
              <w:jc w:val="center"/>
              <w:rPr>
                <w:rFonts w:ascii="Garamond" w:hAnsi="Garamond"/>
                <w:b/>
                <w:bCs/>
                <w:color w:val="auto"/>
                <w:szCs w:val="21"/>
                <w:highlight w:val="none"/>
                <w:u w:val="single"/>
              </w:rPr>
            </w:pPr>
          </w:p>
        </w:tc>
        <w:tc>
          <w:tcPr>
            <w:tcW w:w="532" w:type="dxa"/>
          </w:tcPr>
          <w:p w14:paraId="5BCCB333">
            <w:pPr>
              <w:widowControl/>
              <w:jc w:val="center"/>
              <w:rPr>
                <w:rFonts w:ascii="Garamond" w:hAnsi="Garamond"/>
                <w:b/>
                <w:bCs/>
                <w:color w:val="auto"/>
                <w:szCs w:val="21"/>
                <w:highlight w:val="none"/>
                <w:u w:val="single"/>
              </w:rPr>
            </w:pPr>
          </w:p>
        </w:tc>
      </w:tr>
    </w:tbl>
    <w:p w14:paraId="35009A85">
      <w:pPr>
        <w:widowControl/>
        <w:ind w:firstLine="482"/>
        <w:jc w:val="center"/>
        <w:rPr>
          <w:rFonts w:ascii="Garamond" w:hAnsi="Garamond"/>
          <w:b/>
          <w:bCs/>
          <w:color w:val="auto"/>
          <w:sz w:val="24"/>
          <w:highlight w:val="none"/>
          <w:u w:val="single"/>
        </w:rPr>
      </w:pPr>
    </w:p>
    <w:p w14:paraId="51684C7C">
      <w:pPr>
        <w:snapToGrid w:val="0"/>
        <w:spacing w:line="360" w:lineRule="auto"/>
        <w:rPr>
          <w:rFonts w:ascii="Garamond" w:hAnsi="Garamond"/>
          <w:b/>
          <w:bCs/>
          <w:color w:val="auto"/>
          <w:highlight w:val="none"/>
          <w:u w:val="single"/>
        </w:rPr>
      </w:pPr>
    </w:p>
    <w:p w14:paraId="14A07C0C">
      <w:pPr>
        <w:snapToGrid w:val="0"/>
        <w:spacing w:line="360" w:lineRule="auto"/>
        <w:rPr>
          <w:rFonts w:ascii="Garamond" w:hAnsi="Garamond"/>
          <w:color w:val="auto"/>
          <w:sz w:val="18"/>
          <w:szCs w:val="18"/>
          <w:highlight w:val="none"/>
        </w:rPr>
      </w:pPr>
    </w:p>
    <w:p w14:paraId="27DDA2C3">
      <w:pPr>
        <w:snapToGrid w:val="0"/>
        <w:spacing w:line="360" w:lineRule="auto"/>
        <w:rPr>
          <w:rFonts w:ascii="Garamond" w:hAnsi="Garamond"/>
          <w:color w:val="auto"/>
          <w:sz w:val="18"/>
          <w:szCs w:val="18"/>
          <w:highlight w:val="none"/>
        </w:rPr>
      </w:pPr>
    </w:p>
    <w:p w14:paraId="48A0AACE">
      <w:pPr>
        <w:snapToGrid w:val="0"/>
        <w:spacing w:line="360" w:lineRule="auto"/>
        <w:rPr>
          <w:rFonts w:ascii="Garamond" w:hAnsi="Garamond"/>
          <w:color w:val="auto"/>
          <w:sz w:val="18"/>
          <w:szCs w:val="18"/>
          <w:highlight w:val="none"/>
        </w:rPr>
      </w:pPr>
    </w:p>
    <w:p w14:paraId="51584049">
      <w:pPr>
        <w:snapToGrid w:val="0"/>
        <w:spacing w:line="360" w:lineRule="auto"/>
        <w:rPr>
          <w:rFonts w:ascii="Garamond" w:hAnsi="Garamond"/>
          <w:color w:val="auto"/>
          <w:sz w:val="18"/>
          <w:szCs w:val="18"/>
          <w:highlight w:val="none"/>
        </w:rPr>
      </w:pPr>
    </w:p>
    <w:p w14:paraId="558E8002">
      <w:pPr>
        <w:snapToGrid w:val="0"/>
        <w:spacing w:line="360" w:lineRule="auto"/>
        <w:rPr>
          <w:rFonts w:ascii="Garamond" w:hAnsi="Garamond"/>
          <w:color w:val="auto"/>
          <w:sz w:val="18"/>
          <w:szCs w:val="18"/>
          <w:highlight w:val="none"/>
        </w:rPr>
      </w:pPr>
    </w:p>
    <w:p w14:paraId="626D2CD8">
      <w:pPr>
        <w:snapToGrid w:val="0"/>
        <w:spacing w:line="360" w:lineRule="auto"/>
        <w:rPr>
          <w:rFonts w:ascii="Garamond" w:hAnsi="Garamond"/>
          <w:color w:val="auto"/>
          <w:sz w:val="18"/>
          <w:szCs w:val="18"/>
          <w:highlight w:val="none"/>
        </w:rPr>
      </w:pPr>
    </w:p>
    <w:p w14:paraId="5418DE76">
      <w:pPr>
        <w:snapToGrid w:val="0"/>
        <w:spacing w:line="360" w:lineRule="auto"/>
        <w:rPr>
          <w:rFonts w:ascii="Garamond" w:hAnsi="Garamond"/>
          <w:color w:val="auto"/>
          <w:sz w:val="18"/>
          <w:szCs w:val="18"/>
          <w:highlight w:val="none"/>
        </w:rPr>
      </w:pPr>
    </w:p>
    <w:p w14:paraId="02EB481E">
      <w:pPr>
        <w:snapToGrid w:val="0"/>
        <w:spacing w:line="360" w:lineRule="auto"/>
        <w:rPr>
          <w:rFonts w:ascii="Garamond" w:hAnsi="Garamond"/>
          <w:color w:val="auto"/>
          <w:sz w:val="18"/>
          <w:szCs w:val="18"/>
          <w:highlight w:val="none"/>
        </w:rPr>
      </w:pPr>
    </w:p>
    <w:p w14:paraId="5FCACFE0">
      <w:pPr>
        <w:widowControl/>
        <w:jc w:val="left"/>
        <w:rPr>
          <w:rFonts w:ascii="Garamond" w:hAnsi="Garamond"/>
          <w:b/>
          <w:bCs/>
          <w:color w:val="auto"/>
          <w:sz w:val="28"/>
          <w:szCs w:val="28"/>
          <w:highlight w:val="none"/>
        </w:rPr>
      </w:pPr>
      <w:r>
        <w:rPr>
          <w:rFonts w:ascii="Garamond" w:hAnsi="Garamond"/>
          <w:color w:val="auto"/>
          <w:sz w:val="28"/>
          <w:szCs w:val="28"/>
          <w:highlight w:val="none"/>
        </w:rPr>
        <w:br w:type="page"/>
      </w:r>
    </w:p>
    <w:p w14:paraId="1974B44E">
      <w:pPr>
        <w:pStyle w:val="4"/>
        <w:jc w:val="center"/>
        <w:rPr>
          <w:rFonts w:ascii="Garamond" w:hAnsi="Garamond"/>
          <w:color w:val="auto"/>
          <w:highlight w:val="none"/>
        </w:rPr>
      </w:pPr>
      <w:r>
        <w:rPr>
          <w:rFonts w:hint="eastAsia" w:ascii="Garamond" w:hAnsi="Garamond"/>
          <w:color w:val="auto"/>
          <w:sz w:val="28"/>
          <w:szCs w:val="28"/>
          <w:highlight w:val="none"/>
        </w:rPr>
        <w:t>七</w:t>
      </w:r>
      <w:r>
        <w:rPr>
          <w:rFonts w:ascii="Garamond" w:hAnsi="Garamond"/>
          <w:color w:val="auto"/>
          <w:sz w:val="28"/>
          <w:szCs w:val="28"/>
          <w:highlight w:val="none"/>
        </w:rPr>
        <w:t>、江苏省公路水运建设项目投标人信用承诺书</w:t>
      </w:r>
    </w:p>
    <w:p w14:paraId="26914F8A">
      <w:pPr>
        <w:spacing w:line="560" w:lineRule="exact"/>
        <w:rPr>
          <w:rFonts w:hint="eastAsia" w:ascii="Garamond" w:hAnsi="Garamond" w:eastAsia="宋体" w:cs="宋体"/>
          <w:color w:val="auto"/>
          <w:spacing w:val="-5"/>
          <w:highlight w:val="none"/>
          <w:lang w:eastAsia="zh-CN"/>
        </w:rPr>
      </w:pPr>
      <w:r>
        <w:rPr>
          <w:rFonts w:ascii="Garamond" w:hAnsi="Garamond" w:cs="宋体"/>
          <w:color w:val="auto"/>
          <w:spacing w:val="-5"/>
          <w:highlight w:val="none"/>
        </w:rPr>
        <w:t>致：</w:t>
      </w:r>
      <w:r>
        <w:rPr>
          <w:rFonts w:hint="eastAsia" w:ascii="Garamond" w:hAnsi="Garamond" w:cs="宋体"/>
          <w:color w:val="auto"/>
          <w:spacing w:val="-5"/>
          <w:highlight w:val="none"/>
          <w:u w:val="single"/>
          <w:lang w:eastAsia="zh-CN"/>
        </w:rPr>
        <w:t>南通市交通公共事业发展中心</w:t>
      </w:r>
    </w:p>
    <w:p w14:paraId="19C4F2D8">
      <w:pPr>
        <w:spacing w:line="560" w:lineRule="exact"/>
        <w:ind w:firstLine="400" w:firstLineChars="200"/>
        <w:rPr>
          <w:rFonts w:ascii="Garamond" w:hAnsi="Garamond" w:cs="宋体"/>
          <w:color w:val="auto"/>
          <w:spacing w:val="-5"/>
          <w:highlight w:val="none"/>
        </w:rPr>
      </w:pPr>
      <w:r>
        <w:rPr>
          <w:rFonts w:ascii="Garamond" w:hAnsi="Garamond" w:cs="宋体"/>
          <w:color w:val="auto"/>
          <w:spacing w:val="-5"/>
          <w:highlight w:val="none"/>
        </w:rPr>
        <w:t>我单位自愿参加</w:t>
      </w:r>
      <w:r>
        <w:rPr>
          <w:rFonts w:hint="eastAsia" w:ascii="Garamond" w:hAnsi="Garamond" w:cs="宋体"/>
          <w:color w:val="auto"/>
          <w:spacing w:val="-5"/>
          <w:highlight w:val="none"/>
          <w:u w:val="single"/>
        </w:rPr>
        <w:t xml:space="preserve">          </w:t>
      </w:r>
      <w:r>
        <w:rPr>
          <w:rFonts w:ascii="Garamond" w:hAnsi="Garamond" w:cs="宋体"/>
          <w:color w:val="auto"/>
          <w:spacing w:val="-5"/>
          <w:highlight w:val="none"/>
          <w:u w:val="single"/>
        </w:rPr>
        <w:t>项目</w:t>
      </w:r>
      <w:r>
        <w:rPr>
          <w:rFonts w:hint="eastAsia" w:ascii="Garamond" w:hAnsi="Garamond" w:cs="宋体"/>
          <w:color w:val="auto"/>
          <w:spacing w:val="-5"/>
          <w:highlight w:val="none"/>
          <w:u w:val="single"/>
        </w:rPr>
        <w:t xml:space="preserve">     </w:t>
      </w:r>
      <w:r>
        <w:rPr>
          <w:rFonts w:ascii="Garamond" w:hAnsi="Garamond" w:cs="宋体"/>
          <w:color w:val="auto"/>
          <w:spacing w:val="-5"/>
          <w:highlight w:val="none"/>
          <w:u w:val="single"/>
        </w:rPr>
        <w:t>标段</w:t>
      </w:r>
      <w:r>
        <w:rPr>
          <w:rFonts w:ascii="Garamond" w:hAnsi="Garamond" w:cs="宋体"/>
          <w:color w:val="auto"/>
          <w:spacing w:val="-5"/>
          <w:highlight w:val="none"/>
        </w:rPr>
        <w:t>的投标活动，并郑重承诺：</w:t>
      </w:r>
    </w:p>
    <w:p w14:paraId="4785AA0E">
      <w:pPr>
        <w:numPr>
          <w:ilvl w:val="0"/>
          <w:numId w:val="4"/>
        </w:numPr>
        <w:spacing w:line="560" w:lineRule="exact"/>
        <w:ind w:left="0" w:firstLine="400" w:firstLineChars="200"/>
        <w:rPr>
          <w:rFonts w:ascii="宋体" w:hAnsi="宋体" w:cs="宋体"/>
          <w:color w:val="auto"/>
          <w:spacing w:val="-5"/>
          <w:highlight w:val="none"/>
        </w:rPr>
      </w:pPr>
      <w:r>
        <w:rPr>
          <w:rFonts w:hint="eastAsia" w:ascii="宋体" w:hAnsi="宋体" w:cs="宋体"/>
          <w:color w:val="auto"/>
          <w:spacing w:val="-5"/>
          <w:highlight w:val="none"/>
        </w:rPr>
        <w:t>在本项目的投标活动中遵守国家法律法规和交通运输行业有关规定，遵循公开、公平、公正和诚信原则。</w:t>
      </w:r>
    </w:p>
    <w:p w14:paraId="4FD1D587">
      <w:pPr>
        <w:numPr>
          <w:ilvl w:val="0"/>
          <w:numId w:val="4"/>
        </w:numPr>
        <w:spacing w:line="560" w:lineRule="exact"/>
        <w:ind w:left="0" w:firstLine="400" w:firstLineChars="200"/>
        <w:rPr>
          <w:rFonts w:ascii="宋体" w:hAnsi="宋体" w:cs="宋体"/>
          <w:color w:val="auto"/>
          <w:spacing w:val="-5"/>
          <w:highlight w:val="none"/>
        </w:rPr>
      </w:pPr>
      <w:r>
        <w:rPr>
          <w:rFonts w:hint="eastAsia" w:ascii="宋体" w:hAnsi="宋体" w:cs="宋体"/>
          <w:color w:val="auto"/>
          <w:spacing w:val="-5"/>
          <w:highlight w:val="none"/>
        </w:rPr>
        <w:t>投标文件中所有内容均为我单位真实意愿表达，相关信息真实有效。</w:t>
      </w:r>
    </w:p>
    <w:p w14:paraId="1D91E281">
      <w:pPr>
        <w:numPr>
          <w:ilvl w:val="0"/>
          <w:numId w:val="4"/>
        </w:numPr>
        <w:spacing w:line="560" w:lineRule="exact"/>
        <w:ind w:left="0" w:firstLine="400" w:firstLineChars="200"/>
        <w:rPr>
          <w:rFonts w:ascii="宋体" w:hAnsi="宋体" w:cs="宋体"/>
          <w:color w:val="auto"/>
          <w:spacing w:val="-5"/>
          <w:highlight w:val="none"/>
        </w:rPr>
      </w:pPr>
      <w:r>
        <w:rPr>
          <w:rFonts w:hint="eastAsia" w:ascii="宋体" w:hAnsi="宋体" w:cs="宋体"/>
          <w:color w:val="auto"/>
          <w:spacing w:val="-5"/>
          <w:highlight w:val="none"/>
        </w:rPr>
        <w:t>无弄虚作假，无围标串标行为。</w:t>
      </w:r>
    </w:p>
    <w:p w14:paraId="05468F87">
      <w:pPr>
        <w:numPr>
          <w:ilvl w:val="0"/>
          <w:numId w:val="4"/>
        </w:numPr>
        <w:spacing w:line="560" w:lineRule="exact"/>
        <w:ind w:left="0" w:firstLine="400" w:firstLineChars="200"/>
        <w:rPr>
          <w:rFonts w:ascii="宋体" w:hAnsi="宋体" w:cs="宋体"/>
          <w:color w:val="auto"/>
          <w:spacing w:val="-5"/>
          <w:highlight w:val="none"/>
        </w:rPr>
      </w:pPr>
      <w:r>
        <w:rPr>
          <w:rFonts w:hint="eastAsia" w:ascii="宋体" w:hAnsi="宋体" w:cs="宋体"/>
          <w:color w:val="auto"/>
          <w:spacing w:val="-5"/>
          <w:highlight w:val="none"/>
        </w:rPr>
        <w:t>若我方中标，在合同履行过程中严格执行有关法律、法规、规章和规范性文件的规定，不转包和违法分包。</w:t>
      </w:r>
    </w:p>
    <w:p w14:paraId="68CE46F5">
      <w:pPr>
        <w:numPr>
          <w:ilvl w:val="0"/>
          <w:numId w:val="4"/>
        </w:numPr>
        <w:spacing w:line="560" w:lineRule="exact"/>
        <w:ind w:left="0" w:firstLine="400" w:firstLineChars="200"/>
        <w:rPr>
          <w:rFonts w:ascii="宋体" w:hAnsi="宋体" w:cs="宋体"/>
          <w:color w:val="auto"/>
          <w:spacing w:val="-5"/>
          <w:highlight w:val="none"/>
        </w:rPr>
      </w:pPr>
      <w:r>
        <w:rPr>
          <w:rFonts w:hint="eastAsia" w:ascii="宋体" w:hAnsi="宋体" w:cs="宋体"/>
          <w:color w:val="auto"/>
          <w:spacing w:val="-5"/>
          <w:highlight w:val="none"/>
        </w:rPr>
        <w:t>我方如有违背承诺，愿意接受国家和交通运输主管部门依法进行的处罚，以及按照信用管理规定记入相关责任主体和责任人信用档案，同时在交通运输行业和政府相关信用网站公开。</w:t>
      </w:r>
    </w:p>
    <w:p w14:paraId="2CDD4FBC">
      <w:pPr>
        <w:spacing w:line="560" w:lineRule="exact"/>
        <w:ind w:firstLine="3800" w:firstLineChars="1900"/>
        <w:rPr>
          <w:rFonts w:ascii="宋体" w:hAnsi="宋体" w:cs="宋体"/>
          <w:color w:val="auto"/>
          <w:spacing w:val="-5"/>
          <w:highlight w:val="none"/>
        </w:rPr>
      </w:pPr>
    </w:p>
    <w:p w14:paraId="68BD86F9">
      <w:pPr>
        <w:spacing w:line="360" w:lineRule="auto"/>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b/>
          <w:color w:val="auto"/>
          <w:spacing w:val="-2"/>
          <w:highlight w:val="none"/>
          <w:u w:val="single"/>
        </w:rPr>
        <w:t>（盖单位公章）</w:t>
      </w:r>
      <w:r>
        <w:rPr>
          <w:rFonts w:hint="eastAsia" w:ascii="宋体" w:hAnsi="宋体" w:cs="宋体"/>
          <w:color w:val="auto"/>
          <w:highlight w:val="none"/>
        </w:rPr>
        <w:t>：</w:t>
      </w:r>
    </w:p>
    <w:p w14:paraId="6B2CCBD0">
      <w:pPr>
        <w:spacing w:line="360" w:lineRule="auto"/>
        <w:rPr>
          <w:rFonts w:ascii="宋体" w:hAnsi="宋体" w:cs="宋体"/>
          <w:color w:val="auto"/>
          <w:highlight w:val="none"/>
        </w:rPr>
      </w:pPr>
      <w:r>
        <w:rPr>
          <w:rFonts w:hint="eastAsia" w:ascii="宋体" w:hAnsi="宋体" w:cs="宋体"/>
          <w:color w:val="auto"/>
          <w:szCs w:val="21"/>
          <w:highlight w:val="none"/>
        </w:rPr>
        <w:t>法定代表人或其委托代理人</w:t>
      </w:r>
      <w:bookmarkStart w:id="85" w:name="_Hlk43818110"/>
      <w:r>
        <w:rPr>
          <w:rFonts w:hint="eastAsia" w:ascii="宋体" w:hAnsi="宋体" w:cs="宋体"/>
          <w:color w:val="auto"/>
          <w:highlight w:val="none"/>
          <w:u w:val="single"/>
        </w:rPr>
        <w:t>（</w:t>
      </w:r>
      <w:r>
        <w:rPr>
          <w:rFonts w:hint="eastAsia" w:ascii="宋体" w:hAnsi="宋体" w:cs="宋体"/>
          <w:b/>
          <w:color w:val="auto"/>
          <w:spacing w:val="-2"/>
          <w:highlight w:val="none"/>
          <w:u w:val="single"/>
        </w:rPr>
        <w:t>亲笔签名或签名章</w:t>
      </w:r>
      <w:r>
        <w:rPr>
          <w:rFonts w:hint="eastAsia" w:ascii="宋体" w:hAnsi="宋体" w:cs="宋体"/>
          <w:color w:val="auto"/>
          <w:highlight w:val="none"/>
          <w:u w:val="single"/>
        </w:rPr>
        <w:t>）</w:t>
      </w:r>
      <w:bookmarkEnd w:id="85"/>
      <w:r>
        <w:rPr>
          <w:rFonts w:hint="eastAsia" w:ascii="宋体" w:hAnsi="宋体" w:cs="宋体"/>
          <w:color w:val="auto"/>
          <w:szCs w:val="21"/>
          <w:highlight w:val="none"/>
        </w:rPr>
        <w:t>：</w:t>
      </w:r>
    </w:p>
    <w:p w14:paraId="5E183918">
      <w:pPr>
        <w:spacing w:line="300" w:lineRule="exact"/>
        <w:rPr>
          <w:rFonts w:hint="eastAsia" w:ascii="宋体" w:hAnsi="宋体" w:cs="宋体"/>
          <w:color w:val="auto"/>
          <w:highlight w:val="none"/>
        </w:rPr>
      </w:pPr>
      <w:r>
        <w:rPr>
          <w:rFonts w:hint="eastAsia" w:ascii="宋体" w:hAnsi="宋体" w:cs="宋体"/>
          <w:color w:val="auto"/>
          <w:highlight w:val="none"/>
        </w:rPr>
        <w:t xml:space="preserve">日期：年月日   </w:t>
      </w:r>
    </w:p>
    <w:p w14:paraId="2688AB14">
      <w:pPr>
        <w:spacing w:line="300" w:lineRule="exact"/>
        <w:rPr>
          <w:rFonts w:hint="eastAsia" w:ascii="宋体" w:hAnsi="宋体" w:cs="宋体"/>
          <w:color w:val="auto"/>
          <w:highlight w:val="none"/>
        </w:rPr>
      </w:pPr>
    </w:p>
    <w:p w14:paraId="11A4F657">
      <w:pPr>
        <w:spacing w:line="300" w:lineRule="exact"/>
        <w:rPr>
          <w:rFonts w:ascii="宋体" w:hAnsi="宋体" w:cs="宋体"/>
          <w:color w:val="auto"/>
          <w:highlight w:val="none"/>
        </w:rPr>
        <w:sectPr>
          <w:pgSz w:w="11906" w:h="16838"/>
          <w:pgMar w:top="1417" w:right="1247" w:bottom="1417" w:left="1417" w:header="851" w:footer="680" w:gutter="0"/>
          <w:pgNumType w:fmt="decimalFullWidth"/>
          <w:cols w:space="0" w:num="1"/>
          <w:docGrid w:linePitch="312" w:charSpace="0"/>
        </w:sectPr>
      </w:pPr>
      <w:r>
        <w:rPr>
          <w:rFonts w:ascii="宋体" w:hAnsi="宋体" w:eastAsia="宋体" w:cs="宋体"/>
          <w:b/>
          <w:bCs/>
          <w:color w:val="000000"/>
          <w:sz w:val="21"/>
          <w:szCs w:val="21"/>
          <w:highlight w:val="none"/>
        </w:rPr>
        <w:t>注：联合体投标的，由联合体牵头人签署。</w:t>
      </w:r>
    </w:p>
    <w:p w14:paraId="7BC947E1">
      <w:pPr>
        <w:pStyle w:val="4"/>
        <w:jc w:val="center"/>
        <w:rPr>
          <w:rFonts w:ascii="Garamond" w:hAnsi="Garamond"/>
          <w:color w:val="auto"/>
          <w:sz w:val="28"/>
          <w:szCs w:val="28"/>
          <w:highlight w:val="none"/>
        </w:rPr>
      </w:pPr>
      <w:bookmarkStart w:id="86" w:name="_Toc10940"/>
      <w:bookmarkStart w:id="87" w:name="_Toc25711"/>
      <w:r>
        <w:rPr>
          <w:rFonts w:hint="eastAsia" w:ascii="Garamond" w:hAnsi="Garamond"/>
          <w:color w:val="auto"/>
          <w:sz w:val="28"/>
          <w:szCs w:val="28"/>
          <w:highlight w:val="none"/>
        </w:rPr>
        <w:t>八</w:t>
      </w:r>
      <w:r>
        <w:rPr>
          <w:rFonts w:ascii="Garamond" w:hAnsi="Garamond"/>
          <w:color w:val="auto"/>
          <w:sz w:val="28"/>
          <w:szCs w:val="28"/>
          <w:highlight w:val="none"/>
        </w:rPr>
        <w:t>、江苏公路水运建设市场主要从业人员信用承诺书</w:t>
      </w:r>
      <w:bookmarkEnd w:id="86"/>
      <w:bookmarkEnd w:id="87"/>
    </w:p>
    <w:p w14:paraId="70342E93">
      <w:pPr>
        <w:spacing w:line="560" w:lineRule="exact"/>
        <w:ind w:firstLine="400" w:firstLineChars="200"/>
        <w:rPr>
          <w:rFonts w:ascii="Garamond" w:hAnsi="Garamond" w:cs="宋体"/>
          <w:color w:val="auto"/>
          <w:spacing w:val="-5"/>
          <w:highlight w:val="none"/>
        </w:rPr>
      </w:pPr>
    </w:p>
    <w:p w14:paraId="2A28FF83">
      <w:pPr>
        <w:spacing w:line="560" w:lineRule="exact"/>
        <w:rPr>
          <w:rFonts w:ascii="Garamond" w:hAnsi="Garamond" w:cs="宋体"/>
          <w:color w:val="auto"/>
          <w:spacing w:val="-5"/>
          <w:highlight w:val="none"/>
        </w:rPr>
      </w:pPr>
      <w:r>
        <w:rPr>
          <w:rFonts w:ascii="Garamond" w:hAnsi="Garamond" w:cs="宋体"/>
          <w:color w:val="auto"/>
          <w:spacing w:val="-5"/>
          <w:highlight w:val="none"/>
        </w:rPr>
        <w:t>本人自愿申请参加江苏省公路水运工程主要从业人员信用评价，在此郑重承诺：</w:t>
      </w:r>
    </w:p>
    <w:p w14:paraId="16379E41">
      <w:pPr>
        <w:numPr>
          <w:ilvl w:val="0"/>
          <w:numId w:val="5"/>
        </w:numPr>
        <w:spacing w:line="560" w:lineRule="exact"/>
        <w:ind w:left="0" w:firstLine="400" w:firstLineChars="200"/>
        <w:rPr>
          <w:rFonts w:ascii="Garamond" w:hAnsi="Garamond" w:cs="宋体"/>
          <w:color w:val="auto"/>
          <w:spacing w:val="-5"/>
          <w:highlight w:val="none"/>
        </w:rPr>
      </w:pPr>
      <w:r>
        <w:rPr>
          <w:rFonts w:ascii="Garamond" w:hAnsi="Garamond" w:cs="宋体"/>
          <w:color w:val="auto"/>
          <w:spacing w:val="-5"/>
          <w:highlight w:val="none"/>
        </w:rPr>
        <w:t>在厅建设市场信用系统中录入的有关本人信用信息均由本人亲自确认，所有信息都是真实、准确的。</w:t>
      </w:r>
    </w:p>
    <w:p w14:paraId="53BBACDA">
      <w:pPr>
        <w:numPr>
          <w:ilvl w:val="0"/>
          <w:numId w:val="5"/>
        </w:numPr>
        <w:spacing w:line="560" w:lineRule="exact"/>
        <w:ind w:left="0" w:firstLine="400" w:firstLineChars="200"/>
        <w:rPr>
          <w:rFonts w:ascii="Garamond" w:hAnsi="Garamond" w:cs="宋体"/>
          <w:color w:val="auto"/>
          <w:spacing w:val="-5"/>
          <w:highlight w:val="none"/>
        </w:rPr>
      </w:pPr>
      <w:r>
        <w:rPr>
          <w:rFonts w:ascii="Garamond" w:hAnsi="Garamond" w:cs="宋体"/>
          <w:color w:val="auto"/>
          <w:spacing w:val="-5"/>
          <w:highlight w:val="none"/>
        </w:rPr>
        <w:t>按照国家和省交通运输主管部门有关规定要求，及时更新和完善信用信息系统中相关信息。</w:t>
      </w:r>
    </w:p>
    <w:p w14:paraId="71E69191">
      <w:pPr>
        <w:numPr>
          <w:ilvl w:val="0"/>
          <w:numId w:val="5"/>
        </w:numPr>
        <w:spacing w:line="560" w:lineRule="exact"/>
        <w:ind w:left="0" w:firstLine="400" w:firstLineChars="200"/>
        <w:rPr>
          <w:rFonts w:ascii="Garamond" w:hAnsi="Garamond" w:cs="宋体"/>
          <w:color w:val="auto"/>
          <w:spacing w:val="-5"/>
          <w:highlight w:val="none"/>
        </w:rPr>
      </w:pPr>
      <w:r>
        <w:rPr>
          <w:rFonts w:ascii="Garamond" w:hAnsi="Garamond" w:cs="宋体"/>
          <w:color w:val="auto"/>
          <w:spacing w:val="-5"/>
          <w:highlight w:val="none"/>
        </w:rPr>
        <w:t>同意依法在省交通运输主管部门网站和信用交通江苏网站公示、公布相关信用信息，接受社会监督。</w:t>
      </w:r>
    </w:p>
    <w:p w14:paraId="4EAAAB2B">
      <w:pPr>
        <w:numPr>
          <w:ilvl w:val="0"/>
          <w:numId w:val="5"/>
        </w:numPr>
        <w:spacing w:line="560" w:lineRule="exact"/>
        <w:ind w:left="0" w:firstLine="400" w:firstLineChars="200"/>
        <w:rPr>
          <w:rFonts w:ascii="Garamond" w:hAnsi="Garamond" w:cs="宋体"/>
          <w:color w:val="auto"/>
          <w:spacing w:val="-5"/>
          <w:highlight w:val="none"/>
        </w:rPr>
      </w:pPr>
      <w:r>
        <w:rPr>
          <w:rFonts w:ascii="Garamond" w:hAnsi="Garamond" w:cs="宋体"/>
          <w:color w:val="auto"/>
          <w:spacing w:val="-5"/>
          <w:highlight w:val="none"/>
        </w:rPr>
        <w:t>同意政府相关行政主管部门、招标人及工程建设管理工作有关单位因工作需要，依法对本人信用信息进行查询。</w:t>
      </w:r>
    </w:p>
    <w:p w14:paraId="0C38F6E1">
      <w:pPr>
        <w:numPr>
          <w:ilvl w:val="0"/>
          <w:numId w:val="5"/>
        </w:numPr>
        <w:spacing w:line="560" w:lineRule="exact"/>
        <w:ind w:left="0" w:firstLine="400" w:firstLineChars="200"/>
        <w:rPr>
          <w:rFonts w:ascii="Garamond" w:hAnsi="Garamond" w:cs="宋体"/>
          <w:color w:val="auto"/>
          <w:spacing w:val="-5"/>
          <w:highlight w:val="none"/>
        </w:rPr>
      </w:pPr>
      <w:r>
        <w:rPr>
          <w:rFonts w:ascii="Garamond" w:hAnsi="Garamond" w:cs="宋体"/>
          <w:color w:val="auto"/>
          <w:spacing w:val="-5"/>
          <w:highlight w:val="none"/>
        </w:rPr>
        <w:t>如有违背承诺，愿意接受国家和交通运输主管部门依法进行的处罚，以及按照信用管理规定记入本人信用档案，同时在交通运输行业和政府相关信用网站公开。</w:t>
      </w:r>
    </w:p>
    <w:p w14:paraId="2EE414BD">
      <w:pPr>
        <w:spacing w:line="560" w:lineRule="exact"/>
        <w:ind w:firstLine="400" w:firstLineChars="200"/>
        <w:rPr>
          <w:rFonts w:ascii="Garamond" w:hAnsi="Garamond" w:cs="宋体"/>
          <w:color w:val="auto"/>
          <w:spacing w:val="-5"/>
          <w:highlight w:val="none"/>
        </w:rPr>
      </w:pPr>
    </w:p>
    <w:p w14:paraId="093C9523">
      <w:pPr>
        <w:spacing w:line="560" w:lineRule="exact"/>
        <w:ind w:firstLine="1900" w:firstLineChars="950"/>
        <w:jc w:val="center"/>
        <w:rPr>
          <w:rFonts w:ascii="Garamond" w:hAnsi="Garamond" w:cs="宋体"/>
          <w:color w:val="auto"/>
          <w:spacing w:val="-5"/>
          <w:highlight w:val="none"/>
          <w:u w:val="single"/>
        </w:rPr>
      </w:pPr>
      <w:r>
        <w:rPr>
          <w:rFonts w:ascii="Garamond" w:hAnsi="Garamond" w:cs="宋体"/>
          <w:color w:val="auto"/>
          <w:spacing w:val="-5"/>
          <w:highlight w:val="none"/>
        </w:rPr>
        <w:t>承诺人：</w:t>
      </w:r>
      <w:r>
        <w:rPr>
          <w:rFonts w:ascii="Garamond" w:hAnsi="Garamond" w:cs="宋体"/>
          <w:color w:val="auto"/>
          <w:highlight w:val="none"/>
          <w:u w:val="single"/>
        </w:rPr>
        <w:t>（</w:t>
      </w:r>
      <w:r>
        <w:rPr>
          <w:rFonts w:ascii="Garamond" w:hAnsi="Garamond" w:eastAsia="黑体" w:cs="黑体"/>
          <w:b/>
          <w:color w:val="auto"/>
          <w:spacing w:val="-2"/>
          <w:highlight w:val="none"/>
          <w:u w:val="single"/>
        </w:rPr>
        <w:t>亲笔签名</w:t>
      </w:r>
      <w:r>
        <w:rPr>
          <w:rFonts w:ascii="Garamond" w:hAnsi="Garamond" w:cs="宋体"/>
          <w:color w:val="auto"/>
          <w:highlight w:val="none"/>
          <w:u w:val="single"/>
        </w:rPr>
        <w:t>）</w:t>
      </w:r>
    </w:p>
    <w:p w14:paraId="6A465201">
      <w:pPr>
        <w:spacing w:line="560" w:lineRule="exact"/>
        <w:ind w:firstLine="1900" w:firstLineChars="950"/>
        <w:jc w:val="center"/>
        <w:rPr>
          <w:rFonts w:ascii="Garamond" w:hAnsi="Garamond" w:cs="宋体"/>
          <w:color w:val="auto"/>
          <w:highlight w:val="none"/>
        </w:rPr>
      </w:pPr>
      <w:r>
        <w:rPr>
          <w:rFonts w:ascii="Garamond" w:hAnsi="Garamond" w:cs="宋体"/>
          <w:color w:val="auto"/>
          <w:spacing w:val="-5"/>
          <w:highlight w:val="none"/>
        </w:rPr>
        <w:t>年月日</w:t>
      </w:r>
    </w:p>
    <w:p w14:paraId="69BBD94F">
      <w:pPr>
        <w:spacing w:line="300" w:lineRule="exact"/>
        <w:ind w:firstLine="4200" w:firstLineChars="1750"/>
        <w:rPr>
          <w:rFonts w:ascii="Garamond" w:hAnsi="Garamond" w:cs="宋体"/>
          <w:color w:val="auto"/>
          <w:sz w:val="24"/>
          <w:highlight w:val="none"/>
        </w:rPr>
      </w:pPr>
    </w:p>
    <w:p w14:paraId="4D4CACCE">
      <w:pPr>
        <w:spacing w:line="300" w:lineRule="exact"/>
        <w:rPr>
          <w:rFonts w:ascii="Garamond" w:hAnsi="Garamond" w:cs="宋体"/>
          <w:color w:val="auto"/>
          <w:sz w:val="24"/>
          <w:highlight w:val="none"/>
        </w:rPr>
      </w:pPr>
    </w:p>
    <w:p w14:paraId="73F5AC77">
      <w:pPr>
        <w:spacing w:line="560" w:lineRule="exact"/>
        <w:rPr>
          <w:rFonts w:ascii="Garamond" w:hAnsi="Garamond"/>
          <w:color w:val="auto"/>
          <w:spacing w:val="-5"/>
          <w:szCs w:val="21"/>
          <w:highlight w:val="none"/>
        </w:rPr>
      </w:pPr>
      <w:r>
        <w:rPr>
          <w:rFonts w:ascii="Garamond" w:hAnsi="Garamond" w:cs="宋体"/>
          <w:b/>
          <w:bCs/>
          <w:color w:val="auto"/>
          <w:highlight w:val="none"/>
        </w:rPr>
        <w:t>注：本承诺书主要从业人员为拟投入本项目的项目负责人，需由拟投入本项目的项目负责人在签名处</w:t>
      </w:r>
      <w:r>
        <w:rPr>
          <w:rFonts w:ascii="Garamond" w:hAnsi="Garamond" w:cs="宋体"/>
          <w:b/>
          <w:bCs/>
          <w:color w:val="auto"/>
          <w:highlight w:val="none"/>
          <w:u w:val="single"/>
        </w:rPr>
        <w:t>亲笔签名</w:t>
      </w:r>
      <w:r>
        <w:rPr>
          <w:rFonts w:ascii="Garamond" w:hAnsi="Garamond" w:cs="宋体"/>
          <w:b/>
          <w:bCs/>
          <w:color w:val="auto"/>
          <w:highlight w:val="none"/>
        </w:rPr>
        <w:t>。</w:t>
      </w:r>
    </w:p>
    <w:p w14:paraId="148134C0">
      <w:pPr>
        <w:spacing w:line="560" w:lineRule="exact"/>
        <w:rPr>
          <w:rFonts w:ascii="Garamond" w:hAnsi="Garamond"/>
          <w:color w:val="auto"/>
          <w:spacing w:val="-5"/>
          <w:szCs w:val="21"/>
          <w:highlight w:val="none"/>
        </w:rPr>
      </w:pPr>
    </w:p>
    <w:p w14:paraId="5D59AD46">
      <w:pPr>
        <w:spacing w:line="560" w:lineRule="exact"/>
        <w:rPr>
          <w:rFonts w:ascii="Garamond" w:hAnsi="Garamond"/>
          <w:color w:val="auto"/>
          <w:spacing w:val="-5"/>
          <w:szCs w:val="21"/>
          <w:highlight w:val="none"/>
        </w:rPr>
      </w:pPr>
    </w:p>
    <w:p w14:paraId="08B0BEA9">
      <w:pPr>
        <w:spacing w:line="560" w:lineRule="exact"/>
        <w:rPr>
          <w:rFonts w:ascii="Garamond" w:hAnsi="Garamond"/>
          <w:color w:val="auto"/>
          <w:spacing w:val="-5"/>
          <w:szCs w:val="21"/>
          <w:highlight w:val="none"/>
        </w:rPr>
      </w:pPr>
    </w:p>
    <w:p w14:paraId="73C7B079">
      <w:pPr>
        <w:spacing w:line="560" w:lineRule="exact"/>
        <w:rPr>
          <w:rFonts w:ascii="Garamond" w:hAnsi="Garamond"/>
          <w:color w:val="auto"/>
          <w:spacing w:val="-5"/>
          <w:szCs w:val="21"/>
          <w:highlight w:val="none"/>
        </w:rPr>
      </w:pPr>
    </w:p>
    <w:p w14:paraId="56A26024">
      <w:pPr>
        <w:spacing w:line="560" w:lineRule="exact"/>
        <w:rPr>
          <w:rFonts w:ascii="Garamond" w:hAnsi="Garamond"/>
          <w:color w:val="auto"/>
          <w:spacing w:val="-5"/>
          <w:szCs w:val="21"/>
          <w:highlight w:val="none"/>
        </w:rPr>
      </w:pPr>
    </w:p>
    <w:p w14:paraId="33CA8A01">
      <w:pPr>
        <w:spacing w:line="560" w:lineRule="exact"/>
        <w:rPr>
          <w:rFonts w:ascii="Garamond" w:hAnsi="Garamond"/>
          <w:color w:val="auto"/>
          <w:spacing w:val="-5"/>
          <w:szCs w:val="21"/>
          <w:highlight w:val="none"/>
        </w:rPr>
      </w:pPr>
    </w:p>
    <w:p w14:paraId="168DE05E">
      <w:pPr>
        <w:pStyle w:val="3"/>
        <w:jc w:val="center"/>
        <w:rPr>
          <w:rFonts w:ascii="Times New Roman" w:hAnsi="Times New Roman"/>
          <w:color w:val="auto"/>
          <w:highlight w:val="none"/>
        </w:rPr>
      </w:pPr>
      <w:r>
        <w:rPr>
          <w:rFonts w:hint="eastAsia" w:ascii="Garamond" w:hAnsi="Garamond"/>
          <w:color w:val="auto"/>
          <w:sz w:val="28"/>
          <w:szCs w:val="28"/>
          <w:highlight w:val="none"/>
        </w:rPr>
        <w:t>九、</w:t>
      </w:r>
      <w:r>
        <w:rPr>
          <w:rFonts w:ascii="Garamond" w:hAnsi="Garamond"/>
          <w:color w:val="auto"/>
          <w:sz w:val="28"/>
          <w:szCs w:val="28"/>
          <w:highlight w:val="none"/>
        </w:rPr>
        <w:t>承诺函</w:t>
      </w:r>
    </w:p>
    <w:p w14:paraId="7771B1E0">
      <w:pPr>
        <w:spacing w:line="480" w:lineRule="auto"/>
        <w:ind w:right="238"/>
        <w:rPr>
          <w:rFonts w:ascii="宋体" w:hAnsi="宋体" w:cs="宋体"/>
          <w:color w:val="auto"/>
          <w:szCs w:val="21"/>
          <w:highlight w:val="none"/>
        </w:rPr>
      </w:pPr>
      <w:r>
        <w:rPr>
          <w:rFonts w:hint="eastAsia" w:ascii="宋体" w:hAnsi="宋体" w:cs="宋体"/>
          <w:color w:val="auto"/>
          <w:szCs w:val="21"/>
          <w:highlight w:val="none"/>
        </w:rPr>
        <w:t>_____________（招标人名称）：</w:t>
      </w:r>
    </w:p>
    <w:p w14:paraId="398370C2">
      <w:pPr>
        <w:spacing w:line="480" w:lineRule="auto"/>
        <w:ind w:right="238" w:firstLine="420" w:firstLineChars="200"/>
        <w:rPr>
          <w:rFonts w:ascii="宋体" w:hAnsi="宋体" w:cs="宋体"/>
          <w:b/>
          <w:color w:val="auto"/>
          <w:szCs w:val="21"/>
          <w:highlight w:val="none"/>
        </w:rPr>
      </w:pPr>
      <w:r>
        <w:rPr>
          <w:rFonts w:hint="eastAsia" w:ascii="宋体" w:hAnsi="宋体" w:cs="宋体"/>
          <w:color w:val="auto"/>
          <w:szCs w:val="21"/>
          <w:highlight w:val="none"/>
        </w:rPr>
        <w:t>我方参加了______（项目名称）______标段试验检测投标，若我方中标，我方在此承诺：</w:t>
      </w:r>
    </w:p>
    <w:p w14:paraId="26FC309E">
      <w:pPr>
        <w:spacing w:line="480" w:lineRule="auto"/>
        <w:ind w:right="238" w:firstLine="420" w:firstLineChars="200"/>
        <w:rPr>
          <w:rFonts w:ascii="宋体" w:hAnsi="宋体" w:cs="宋体"/>
          <w:color w:val="auto"/>
          <w:szCs w:val="21"/>
          <w:highlight w:val="none"/>
        </w:rPr>
      </w:pPr>
      <w:r>
        <w:rPr>
          <w:rFonts w:hint="eastAsia" w:ascii="宋体" w:hAnsi="宋体" w:cs="宋体"/>
          <w:color w:val="auto"/>
          <w:szCs w:val="21"/>
          <w:highlight w:val="none"/>
        </w:rPr>
        <w:t>若本项目招标文件未要求我方在投标文件中填报派驻本标段的其他主要管理人员和技术人员及主要试验检测设备，在招标人向我方发出中标通知书之前，我方将按照合同附件提出的最低要求填报派驻本标段的其他主要管理人员和技术人员及主要试验检测设备，在经招标人审批后作为派驻本标段的项目管理机构主要人员和主要设备且不进行更换。</w:t>
      </w:r>
    </w:p>
    <w:p w14:paraId="3011264A">
      <w:pPr>
        <w:spacing w:line="480" w:lineRule="auto"/>
        <w:ind w:right="238" w:firstLine="525" w:firstLineChars="250"/>
        <w:rPr>
          <w:rFonts w:hint="eastAsia" w:ascii="宋体" w:hAnsi="宋体" w:cs="宋体"/>
          <w:color w:val="auto"/>
          <w:szCs w:val="21"/>
          <w:highlight w:val="none"/>
        </w:rPr>
      </w:pPr>
      <w:r>
        <w:rPr>
          <w:rFonts w:hint="eastAsia" w:ascii="宋体" w:hAnsi="宋体" w:cs="宋体"/>
          <w:color w:val="auto"/>
          <w:szCs w:val="21"/>
          <w:highlight w:val="none"/>
        </w:rPr>
        <w:t xml:space="preserve"> 若我方已按本项目招标文件要求在投标文件中填报派驻本标段的其他主要管理人员和技术人员及主要试验检测设备，我方将严格按照在投标文件中填报的其他主要管理人员和技术人员及主要试验检测设备组织进场检测，且不进行更换。</w:t>
      </w:r>
    </w:p>
    <w:p w14:paraId="32D3357D">
      <w:pPr>
        <w:spacing w:line="480" w:lineRule="auto"/>
        <w:ind w:right="238" w:firstLine="525" w:firstLineChars="2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若我单位承诺非</w:t>
      </w:r>
      <w:r>
        <w:rPr>
          <w:rFonts w:hint="eastAsia" w:ascii="宋体" w:hAnsi="宋体" w:cs="宋体"/>
          <w:color w:val="auto"/>
          <w:szCs w:val="21"/>
          <w:highlight w:val="none"/>
        </w:rPr>
        <w:t>承担南通沿江港口公用锚地调整项目配套系船浮工程施工、监理工作的单位，或与以上单位有隶属或投资参股关系可能影响服务质量或公正性的单位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亦非</w:t>
      </w:r>
      <w:r>
        <w:rPr>
          <w:rFonts w:hint="eastAsia" w:ascii="宋体" w:hAnsi="宋体" w:cs="宋体"/>
          <w:color w:val="auto"/>
          <w:szCs w:val="21"/>
          <w:highlight w:val="none"/>
        </w:rPr>
        <w:t>南通沿江港口公用锚地调整项目配套系船浮工程施工、监理、质监部门等单位提供本项目的检测服务的</w:t>
      </w:r>
      <w:r>
        <w:rPr>
          <w:rFonts w:hint="eastAsia" w:ascii="宋体" w:hAnsi="宋体" w:cs="宋体"/>
          <w:color w:val="auto"/>
          <w:szCs w:val="21"/>
          <w:highlight w:val="none"/>
          <w:lang w:val="en-US" w:eastAsia="zh-CN"/>
        </w:rPr>
        <w:t>单位</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如我单位有上述情况视为我单位自动放弃中标资格，并承担招标人相应损失。</w:t>
      </w:r>
    </w:p>
    <w:p w14:paraId="126253E3">
      <w:pPr>
        <w:spacing w:line="480" w:lineRule="auto"/>
        <w:ind w:right="238" w:firstLine="480"/>
        <w:rPr>
          <w:rFonts w:ascii="宋体" w:hAnsi="宋体" w:cs="宋体"/>
          <w:color w:val="auto"/>
          <w:szCs w:val="21"/>
          <w:highlight w:val="none"/>
        </w:rPr>
      </w:pPr>
      <w:r>
        <w:rPr>
          <w:rFonts w:hint="eastAsia" w:ascii="宋体" w:hAnsi="宋体" w:cs="宋体"/>
          <w:color w:val="auto"/>
          <w:szCs w:val="21"/>
          <w:highlight w:val="none"/>
        </w:rPr>
        <w:t xml:space="preserve"> 如我方违背了上述承诺，本项目招标人有权取消我方的中标资格，并由招标人将我方的违约行为上报省级交通主管部门，作为不良记录纳入江苏省公路水运建设市场信用信息管理系统。</w:t>
      </w:r>
    </w:p>
    <w:p w14:paraId="7421590B">
      <w:pPr>
        <w:spacing w:line="360" w:lineRule="auto"/>
        <w:ind w:right="238" w:firstLine="480"/>
        <w:rPr>
          <w:rFonts w:ascii="宋体" w:hAnsi="宋体" w:cs="宋体"/>
          <w:color w:val="auto"/>
          <w:szCs w:val="21"/>
          <w:highlight w:val="none"/>
        </w:rPr>
      </w:pPr>
    </w:p>
    <w:p w14:paraId="48A0F15C">
      <w:pPr>
        <w:spacing w:line="360" w:lineRule="auto"/>
        <w:ind w:right="238" w:firstLine="480"/>
        <w:rPr>
          <w:rFonts w:ascii="宋体" w:hAnsi="宋体" w:cs="宋体"/>
          <w:color w:val="auto"/>
          <w:szCs w:val="21"/>
          <w:highlight w:val="none"/>
        </w:rPr>
      </w:pPr>
    </w:p>
    <w:p w14:paraId="6B990EF5">
      <w:pPr>
        <w:spacing w:line="360" w:lineRule="auto"/>
        <w:ind w:right="238" w:firstLine="480"/>
        <w:rPr>
          <w:rFonts w:ascii="宋体" w:hAnsi="宋体" w:cs="宋体"/>
          <w:color w:val="auto"/>
          <w:szCs w:val="21"/>
          <w:highlight w:val="none"/>
        </w:rPr>
      </w:pPr>
    </w:p>
    <w:p w14:paraId="1CD1D37E">
      <w:pPr>
        <w:spacing w:line="360" w:lineRule="auto"/>
        <w:ind w:right="658" w:firstLine="480"/>
        <w:rPr>
          <w:rFonts w:ascii="宋体" w:hAnsi="宋体" w:cs="宋体"/>
          <w:color w:val="auto"/>
          <w:szCs w:val="21"/>
          <w:highlight w:val="none"/>
        </w:rPr>
      </w:pPr>
      <w:r>
        <w:rPr>
          <w:rFonts w:hint="eastAsia" w:ascii="宋体" w:hAnsi="宋体" w:cs="宋体"/>
          <w:color w:val="auto"/>
          <w:szCs w:val="21"/>
          <w:highlight w:val="none"/>
        </w:rPr>
        <w:t>投标人：_____________________（</w:t>
      </w:r>
      <w:r>
        <w:rPr>
          <w:rFonts w:hint="eastAsia" w:ascii="Garamond" w:hAnsi="Garamond" w:eastAsia="黑体" w:cs="黑体"/>
          <w:b/>
          <w:color w:val="auto"/>
          <w:spacing w:val="-2"/>
          <w:highlight w:val="none"/>
          <w:u w:val="single"/>
        </w:rPr>
        <w:t>盖单位章</w:t>
      </w:r>
      <w:r>
        <w:rPr>
          <w:rFonts w:hint="eastAsia" w:ascii="宋体" w:hAnsi="宋体" w:cs="宋体"/>
          <w:color w:val="auto"/>
          <w:szCs w:val="21"/>
          <w:highlight w:val="none"/>
        </w:rPr>
        <w:t>）</w:t>
      </w:r>
    </w:p>
    <w:p w14:paraId="5E8B67C1">
      <w:pPr>
        <w:spacing w:line="360" w:lineRule="auto"/>
        <w:ind w:right="133" w:firstLine="48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ascii="Garamond" w:hAnsi="Garamond" w:eastAsia="黑体" w:cs="黑体"/>
          <w:b/>
          <w:color w:val="auto"/>
          <w:spacing w:val="-2"/>
          <w:highlight w:val="none"/>
          <w:u w:val="single"/>
        </w:rPr>
        <w:t>亲笔签名</w:t>
      </w:r>
      <w:r>
        <w:rPr>
          <w:rFonts w:hint="eastAsia" w:ascii="宋体" w:hAnsi="宋体" w:cs="宋体"/>
          <w:color w:val="auto"/>
          <w:szCs w:val="21"/>
          <w:highlight w:val="none"/>
        </w:rPr>
        <w:t>）：______________</w:t>
      </w:r>
    </w:p>
    <w:p w14:paraId="3A953274">
      <w:pPr>
        <w:spacing w:line="360" w:lineRule="auto"/>
        <w:ind w:right="238" w:firstLine="480"/>
        <w:rPr>
          <w:rFonts w:hint="eastAsia" w:ascii="宋体" w:hAnsi="宋体" w:cs="宋体"/>
          <w:color w:val="auto"/>
          <w:szCs w:val="21"/>
          <w:highlight w:val="none"/>
        </w:rPr>
      </w:pPr>
      <w:r>
        <w:rPr>
          <w:rFonts w:hint="eastAsia" w:ascii="宋体" w:hAnsi="宋体" w:cs="宋体"/>
          <w:color w:val="auto"/>
          <w:szCs w:val="21"/>
          <w:highlight w:val="none"/>
        </w:rPr>
        <w:t>________年 _______月 ________日</w:t>
      </w:r>
    </w:p>
    <w:p w14:paraId="2784B1C4">
      <w:pPr>
        <w:spacing w:line="360" w:lineRule="auto"/>
        <w:ind w:right="238" w:firstLine="480"/>
        <w:rPr>
          <w:rFonts w:hint="eastAsia" w:ascii="宋体" w:hAnsi="宋体" w:cs="宋体"/>
          <w:color w:val="auto"/>
          <w:szCs w:val="21"/>
          <w:highlight w:val="none"/>
        </w:rPr>
      </w:pPr>
    </w:p>
    <w:p w14:paraId="4B107276">
      <w:pPr>
        <w:spacing w:line="360" w:lineRule="auto"/>
        <w:ind w:right="238" w:firstLine="480"/>
        <w:rPr>
          <w:rFonts w:hint="eastAsia" w:ascii="宋体" w:hAnsi="宋体" w:cs="宋体"/>
          <w:color w:val="auto"/>
          <w:szCs w:val="21"/>
          <w:highlight w:val="none"/>
        </w:rPr>
      </w:pPr>
      <w:r>
        <w:rPr>
          <w:rFonts w:ascii="宋体" w:hAnsi="宋体" w:eastAsia="宋体" w:cs="宋体"/>
          <w:b/>
          <w:bCs/>
          <w:color w:val="000000"/>
          <w:sz w:val="21"/>
          <w:szCs w:val="21"/>
          <w:highlight w:val="none"/>
        </w:rPr>
        <w:t>注：联合体投标的，由联合体牵头人签署。</w:t>
      </w:r>
    </w:p>
    <w:p w14:paraId="0FFD6963">
      <w:pPr>
        <w:spacing w:line="360" w:lineRule="auto"/>
        <w:ind w:right="238" w:firstLine="480"/>
        <w:jc w:val="left"/>
        <w:rPr>
          <w:rFonts w:ascii="宋体" w:hAnsi="宋体" w:cs="宋体"/>
          <w:color w:val="auto"/>
          <w:szCs w:val="21"/>
          <w:highlight w:val="none"/>
        </w:rPr>
      </w:pPr>
    </w:p>
    <w:p w14:paraId="7476A9BC">
      <w:pPr>
        <w:spacing w:line="360" w:lineRule="auto"/>
        <w:ind w:right="238" w:firstLine="480"/>
        <w:jc w:val="left"/>
        <w:rPr>
          <w:rFonts w:ascii="宋体" w:hAnsi="宋体" w:cs="宋体"/>
          <w:color w:val="auto"/>
          <w:szCs w:val="21"/>
          <w:highlight w:val="none"/>
        </w:rPr>
      </w:pPr>
    </w:p>
    <w:p w14:paraId="56BBE9C2">
      <w:pPr>
        <w:spacing w:line="360" w:lineRule="auto"/>
        <w:ind w:right="238" w:firstLine="480"/>
        <w:jc w:val="left"/>
        <w:rPr>
          <w:rFonts w:ascii="宋体" w:hAnsi="宋体" w:cs="宋体"/>
          <w:color w:val="auto"/>
          <w:szCs w:val="21"/>
          <w:highlight w:val="none"/>
        </w:rPr>
      </w:pPr>
    </w:p>
    <w:p w14:paraId="571A0D52">
      <w:pPr>
        <w:spacing w:line="360" w:lineRule="auto"/>
        <w:ind w:right="238" w:firstLine="480"/>
        <w:jc w:val="left"/>
        <w:rPr>
          <w:rFonts w:ascii="宋体" w:hAnsi="宋体" w:cs="宋体"/>
          <w:color w:val="auto"/>
          <w:szCs w:val="21"/>
          <w:highlight w:val="none"/>
        </w:rPr>
      </w:pPr>
    </w:p>
    <w:p w14:paraId="1A72B8E1">
      <w:pPr>
        <w:spacing w:line="360" w:lineRule="auto"/>
        <w:ind w:right="238" w:firstLine="480"/>
        <w:jc w:val="left"/>
        <w:rPr>
          <w:rFonts w:ascii="宋体" w:hAnsi="宋体" w:cs="宋体"/>
          <w:color w:val="auto"/>
          <w:szCs w:val="21"/>
          <w:highlight w:val="none"/>
        </w:rPr>
      </w:pPr>
    </w:p>
    <w:p w14:paraId="46C8CBEE">
      <w:pPr>
        <w:pStyle w:val="4"/>
        <w:jc w:val="center"/>
        <w:rPr>
          <w:rFonts w:ascii="Garamond" w:hAnsi="Garamond"/>
          <w:color w:val="auto"/>
          <w:sz w:val="28"/>
          <w:szCs w:val="28"/>
          <w:highlight w:val="none"/>
        </w:rPr>
      </w:pPr>
    </w:p>
    <w:p w14:paraId="17360241">
      <w:pPr>
        <w:rPr>
          <w:rFonts w:ascii="Garamond" w:hAnsi="Garamond"/>
          <w:color w:val="auto"/>
          <w:sz w:val="28"/>
          <w:szCs w:val="28"/>
          <w:highlight w:val="none"/>
        </w:rPr>
      </w:pPr>
      <w:r>
        <w:rPr>
          <w:rFonts w:hint="eastAsia" w:ascii="Garamond" w:hAnsi="Garamond"/>
          <w:color w:val="auto"/>
          <w:sz w:val="28"/>
          <w:szCs w:val="28"/>
          <w:highlight w:val="none"/>
        </w:rPr>
        <w:br w:type="page"/>
      </w:r>
    </w:p>
    <w:p w14:paraId="6083734B">
      <w:pPr>
        <w:pStyle w:val="4"/>
        <w:jc w:val="center"/>
        <w:rPr>
          <w:rFonts w:ascii="Garamond" w:hAnsi="Garamond"/>
          <w:color w:val="auto"/>
          <w:sz w:val="28"/>
          <w:szCs w:val="28"/>
          <w:highlight w:val="none"/>
        </w:rPr>
      </w:pPr>
      <w:r>
        <w:rPr>
          <w:rFonts w:hint="eastAsia" w:ascii="Garamond" w:hAnsi="Garamond"/>
          <w:color w:val="auto"/>
          <w:sz w:val="28"/>
          <w:szCs w:val="28"/>
          <w:highlight w:val="none"/>
        </w:rPr>
        <w:t>十</w:t>
      </w:r>
      <w:r>
        <w:rPr>
          <w:rFonts w:ascii="Garamond" w:hAnsi="Garamond"/>
          <w:color w:val="auto"/>
          <w:sz w:val="28"/>
          <w:szCs w:val="28"/>
          <w:highlight w:val="none"/>
        </w:rPr>
        <w:t>、其他材料</w:t>
      </w:r>
    </w:p>
    <w:p w14:paraId="53634250">
      <w:pPr>
        <w:spacing w:line="360" w:lineRule="auto"/>
        <w:jc w:val="center"/>
        <w:rPr>
          <w:color w:val="auto"/>
          <w:szCs w:val="21"/>
          <w:highlight w:val="none"/>
        </w:rPr>
      </w:pPr>
      <w:r>
        <w:rPr>
          <w:color w:val="auto"/>
          <w:szCs w:val="21"/>
          <w:highlight w:val="none"/>
        </w:rPr>
        <w:t>（投标人认为有必要提供给评标委员会的）</w:t>
      </w:r>
    </w:p>
    <w:p w14:paraId="2B188C81">
      <w:pPr>
        <w:rPr>
          <w:color w:val="auto"/>
          <w:highlight w:val="none"/>
        </w:rPr>
      </w:pPr>
    </w:p>
    <w:p w14:paraId="47D9D4E0">
      <w:pPr>
        <w:spacing w:line="360" w:lineRule="auto"/>
        <w:jc w:val="center"/>
        <w:rPr>
          <w:rFonts w:ascii="Garamond" w:hAnsi="Garamond"/>
          <w:color w:val="auto"/>
          <w:szCs w:val="21"/>
          <w:highlight w:val="none"/>
        </w:rPr>
        <w:sectPr>
          <w:pgSz w:w="11906" w:h="16838"/>
          <w:pgMar w:top="1417" w:right="1247" w:bottom="1417" w:left="1417" w:header="851" w:footer="680" w:gutter="0"/>
          <w:pgNumType w:fmt="decimalFullWidth"/>
          <w:cols w:space="0" w:num="1"/>
          <w:docGrid w:linePitch="312" w:charSpace="0"/>
        </w:sectPr>
      </w:pPr>
    </w:p>
    <w:p w14:paraId="79621EA1">
      <w:pPr>
        <w:spacing w:line="360" w:lineRule="auto"/>
        <w:jc w:val="right"/>
        <w:rPr>
          <w:rFonts w:ascii="Garamond" w:hAnsi="Garamond"/>
          <w:b/>
          <w:color w:val="auto"/>
          <w:sz w:val="36"/>
          <w:szCs w:val="36"/>
          <w:highlight w:val="none"/>
        </w:rPr>
      </w:pPr>
      <w:r>
        <w:rPr>
          <w:rFonts w:ascii="Garamond" w:hAnsi="Garamond"/>
          <w:b/>
          <w:color w:val="auto"/>
          <w:sz w:val="36"/>
          <w:szCs w:val="36"/>
          <w:highlight w:val="none"/>
        </w:rPr>
        <w:t>正/副本</w:t>
      </w:r>
    </w:p>
    <w:p w14:paraId="5B497015">
      <w:pPr>
        <w:spacing w:line="360" w:lineRule="auto"/>
        <w:jc w:val="center"/>
        <w:rPr>
          <w:rFonts w:hint="eastAsia" w:ascii="Garamond" w:hAnsi="Garamond" w:eastAsia="宋体"/>
          <w:b/>
          <w:color w:val="auto"/>
          <w:sz w:val="36"/>
          <w:szCs w:val="36"/>
          <w:highlight w:val="none"/>
          <w:lang w:eastAsia="zh-CN"/>
        </w:rPr>
      </w:pPr>
      <w:r>
        <w:rPr>
          <w:rFonts w:hint="eastAsia" w:ascii="Garamond" w:hAnsi="Garamond"/>
          <w:b/>
          <w:color w:val="auto"/>
          <w:sz w:val="36"/>
          <w:szCs w:val="36"/>
          <w:highlight w:val="none"/>
          <w:lang w:eastAsia="zh-CN"/>
        </w:rPr>
        <w:t>南通沿江港口公用锚地调整项目配套系船浮工程试验检测项目</w:t>
      </w:r>
    </w:p>
    <w:p w14:paraId="52005338">
      <w:pPr>
        <w:spacing w:line="360" w:lineRule="auto"/>
        <w:jc w:val="center"/>
        <w:rPr>
          <w:rFonts w:ascii="Garamond" w:hAnsi="Garamond"/>
          <w:b/>
          <w:color w:val="auto"/>
          <w:sz w:val="36"/>
          <w:szCs w:val="36"/>
          <w:highlight w:val="none"/>
        </w:rPr>
      </w:pPr>
      <w:r>
        <w:rPr>
          <w:rFonts w:hint="eastAsia" w:eastAsia="黑体"/>
          <w:b/>
          <w:bCs/>
          <w:color w:val="auto"/>
          <w:sz w:val="36"/>
          <w:szCs w:val="36"/>
          <w:highlight w:val="none"/>
        </w:rPr>
        <w:t>（</w:t>
      </w:r>
      <w:r>
        <w:rPr>
          <w:rFonts w:hint="eastAsia" w:eastAsia="黑体"/>
          <w:b/>
          <w:snapToGrid w:val="0"/>
          <w:color w:val="auto"/>
          <w:kern w:val="0"/>
          <w:sz w:val="36"/>
          <w:szCs w:val="36"/>
          <w:highlight w:val="none"/>
          <w:lang w:eastAsia="zh-CN"/>
        </w:rPr>
        <w:t>XCF-JC标段</w:t>
      </w:r>
      <w:r>
        <w:rPr>
          <w:rFonts w:hint="eastAsia" w:eastAsia="黑体"/>
          <w:b/>
          <w:bCs/>
          <w:color w:val="auto"/>
          <w:sz w:val="36"/>
          <w:szCs w:val="36"/>
          <w:highlight w:val="none"/>
        </w:rPr>
        <w:t>）</w:t>
      </w:r>
    </w:p>
    <w:p w14:paraId="530EC981">
      <w:pPr>
        <w:spacing w:line="1100" w:lineRule="exact"/>
        <w:jc w:val="center"/>
        <w:rPr>
          <w:rFonts w:ascii="Garamond" w:hAnsi="Garamond"/>
          <w:b/>
          <w:color w:val="auto"/>
          <w:sz w:val="36"/>
          <w:szCs w:val="36"/>
          <w:highlight w:val="none"/>
        </w:rPr>
      </w:pPr>
    </w:p>
    <w:p w14:paraId="7F544261">
      <w:pPr>
        <w:spacing w:line="1100" w:lineRule="exact"/>
        <w:jc w:val="center"/>
        <w:rPr>
          <w:rFonts w:ascii="Garamond" w:hAnsi="Garamond"/>
          <w:b/>
          <w:color w:val="auto"/>
          <w:sz w:val="52"/>
          <w:szCs w:val="52"/>
          <w:highlight w:val="none"/>
        </w:rPr>
      </w:pPr>
    </w:p>
    <w:p w14:paraId="7E67B8AC">
      <w:pPr>
        <w:spacing w:line="1100" w:lineRule="exact"/>
        <w:jc w:val="center"/>
        <w:rPr>
          <w:rFonts w:ascii="Garamond" w:hAnsi="Garamond"/>
          <w:b/>
          <w:color w:val="auto"/>
          <w:sz w:val="84"/>
          <w:szCs w:val="84"/>
          <w:highlight w:val="none"/>
        </w:rPr>
      </w:pPr>
      <w:r>
        <w:rPr>
          <w:rFonts w:ascii="Garamond" w:hAnsi="Garamond"/>
          <w:b/>
          <w:color w:val="auto"/>
          <w:sz w:val="84"/>
          <w:szCs w:val="84"/>
          <w:highlight w:val="none"/>
        </w:rPr>
        <w:t>投 标 文 件</w:t>
      </w:r>
    </w:p>
    <w:p w14:paraId="7D1768A1">
      <w:pPr>
        <w:spacing w:line="1100" w:lineRule="exact"/>
        <w:jc w:val="center"/>
        <w:rPr>
          <w:rFonts w:ascii="Garamond" w:hAnsi="Garamond"/>
          <w:b/>
          <w:color w:val="auto"/>
          <w:sz w:val="36"/>
          <w:szCs w:val="36"/>
          <w:highlight w:val="none"/>
        </w:rPr>
      </w:pPr>
      <w:r>
        <w:rPr>
          <w:rFonts w:ascii="Garamond" w:hAnsi="Garamond"/>
          <w:b/>
          <w:color w:val="auto"/>
          <w:sz w:val="36"/>
          <w:szCs w:val="36"/>
          <w:highlight w:val="none"/>
        </w:rPr>
        <w:t>第二个信封（投标报价及工程量清单）</w:t>
      </w:r>
    </w:p>
    <w:p w14:paraId="0629FD48">
      <w:pPr>
        <w:spacing w:line="1100" w:lineRule="exact"/>
        <w:jc w:val="center"/>
        <w:rPr>
          <w:rFonts w:ascii="Garamond" w:hAnsi="Garamond"/>
          <w:b/>
          <w:color w:val="auto"/>
          <w:sz w:val="52"/>
          <w:szCs w:val="52"/>
          <w:highlight w:val="none"/>
        </w:rPr>
      </w:pPr>
    </w:p>
    <w:p w14:paraId="6A449D48">
      <w:pPr>
        <w:spacing w:line="1100" w:lineRule="exact"/>
        <w:jc w:val="center"/>
        <w:rPr>
          <w:rFonts w:ascii="Garamond" w:hAnsi="Garamond"/>
          <w:b/>
          <w:color w:val="auto"/>
          <w:sz w:val="52"/>
          <w:szCs w:val="52"/>
          <w:highlight w:val="none"/>
        </w:rPr>
      </w:pPr>
    </w:p>
    <w:p w14:paraId="03F6EFAE">
      <w:pPr>
        <w:spacing w:line="1100" w:lineRule="exact"/>
        <w:jc w:val="center"/>
        <w:rPr>
          <w:rFonts w:ascii="Garamond" w:hAnsi="Garamond"/>
          <w:b/>
          <w:color w:val="auto"/>
          <w:sz w:val="36"/>
          <w:szCs w:val="36"/>
          <w:highlight w:val="none"/>
        </w:rPr>
      </w:pPr>
      <w:r>
        <w:rPr>
          <w:rFonts w:ascii="Garamond" w:hAnsi="Garamond"/>
          <w:b/>
          <w:color w:val="auto"/>
          <w:sz w:val="36"/>
          <w:szCs w:val="36"/>
          <w:highlight w:val="none"/>
        </w:rPr>
        <w:t>投标人：__________（盖单位章）</w:t>
      </w:r>
    </w:p>
    <w:p w14:paraId="46862E06">
      <w:pPr>
        <w:spacing w:line="1100" w:lineRule="exact"/>
        <w:jc w:val="center"/>
        <w:rPr>
          <w:rFonts w:ascii="Garamond" w:hAnsi="Garamond"/>
          <w:b/>
          <w:color w:val="auto"/>
          <w:sz w:val="36"/>
          <w:szCs w:val="36"/>
          <w:highlight w:val="none"/>
        </w:rPr>
      </w:pPr>
      <w:r>
        <w:rPr>
          <w:rFonts w:ascii="Garamond" w:hAnsi="Garamond"/>
          <w:b/>
          <w:color w:val="auto"/>
          <w:sz w:val="36"/>
          <w:szCs w:val="36"/>
          <w:highlight w:val="none"/>
        </w:rPr>
        <w:t>____年____月____日</w:t>
      </w:r>
    </w:p>
    <w:p w14:paraId="16A5859E">
      <w:pPr>
        <w:pStyle w:val="3"/>
        <w:spacing w:before="0" w:after="0" w:line="360" w:lineRule="auto"/>
        <w:ind w:firstLine="720" w:firstLineChars="224"/>
        <w:rPr>
          <w:rFonts w:ascii="Garamond" w:hAnsi="Garamond" w:eastAsia="宋体"/>
          <w:color w:val="auto"/>
          <w:highlight w:val="none"/>
        </w:rPr>
        <w:sectPr>
          <w:pgSz w:w="11906" w:h="16838"/>
          <w:pgMar w:top="1417" w:right="1247" w:bottom="1417" w:left="1417" w:header="851" w:footer="680" w:gutter="0"/>
          <w:pgNumType w:fmt="decimalFullWidth"/>
          <w:cols w:space="0" w:num="1"/>
          <w:docGrid w:linePitch="312" w:charSpace="0"/>
        </w:sectPr>
      </w:pPr>
    </w:p>
    <w:p w14:paraId="31859851">
      <w:pPr>
        <w:spacing w:line="400" w:lineRule="exact"/>
        <w:jc w:val="center"/>
        <w:rPr>
          <w:rFonts w:ascii="Garamond" w:hAnsi="Garamond"/>
          <w:b/>
          <w:color w:val="auto"/>
          <w:sz w:val="32"/>
          <w:szCs w:val="32"/>
          <w:highlight w:val="none"/>
        </w:rPr>
      </w:pPr>
      <w:r>
        <w:rPr>
          <w:rFonts w:ascii="Garamond" w:hAnsi="Garamond"/>
          <w:b/>
          <w:color w:val="auto"/>
          <w:sz w:val="32"/>
          <w:szCs w:val="32"/>
          <w:highlight w:val="none"/>
        </w:rPr>
        <w:t>目    录</w:t>
      </w:r>
    </w:p>
    <w:p w14:paraId="1D632307">
      <w:pPr>
        <w:spacing w:line="360" w:lineRule="auto"/>
        <w:rPr>
          <w:rFonts w:ascii="Garamond" w:hAnsi="Garamond"/>
          <w:color w:val="auto"/>
          <w:highlight w:val="none"/>
        </w:rPr>
      </w:pPr>
      <w:r>
        <w:rPr>
          <w:rFonts w:ascii="Garamond" w:hAnsi="Garamond"/>
          <w:color w:val="auto"/>
          <w:highlight w:val="none"/>
        </w:rPr>
        <w:t xml:space="preserve">    一、报价函</w:t>
      </w:r>
    </w:p>
    <w:p w14:paraId="2E596704">
      <w:pPr>
        <w:spacing w:line="360" w:lineRule="auto"/>
        <w:ind w:firstLine="420" w:firstLineChars="200"/>
        <w:rPr>
          <w:rFonts w:ascii="Garamond" w:hAnsi="Garamond"/>
          <w:color w:val="auto"/>
          <w:highlight w:val="none"/>
        </w:rPr>
        <w:sectPr>
          <w:pgSz w:w="11906" w:h="16838"/>
          <w:pgMar w:top="1417" w:right="1247" w:bottom="1417" w:left="1417" w:header="851" w:footer="680" w:gutter="0"/>
          <w:pgNumType w:fmt="decimalFullWidth"/>
          <w:cols w:space="0" w:num="1"/>
          <w:docGrid w:linePitch="312" w:charSpace="0"/>
        </w:sectPr>
      </w:pPr>
      <w:r>
        <w:rPr>
          <w:rFonts w:hint="eastAsia" w:ascii="Garamond" w:hAnsi="Garamond"/>
          <w:color w:val="auto"/>
          <w:highlight w:val="none"/>
        </w:rPr>
        <w:t>二、报价清单</w:t>
      </w:r>
    </w:p>
    <w:p w14:paraId="1F821741">
      <w:pPr>
        <w:pStyle w:val="154"/>
        <w:spacing w:before="120" w:beforeLines="50" w:after="120" w:afterLines="50" w:line="360" w:lineRule="auto"/>
        <w:outlineLvl w:val="2"/>
        <w:rPr>
          <w:rFonts w:ascii="Garamond" w:hAnsi="Garamond" w:eastAsia="宋体"/>
          <w:color w:val="auto"/>
          <w:sz w:val="28"/>
          <w:szCs w:val="28"/>
          <w:highlight w:val="none"/>
        </w:rPr>
      </w:pPr>
      <w:r>
        <w:rPr>
          <w:rFonts w:ascii="Garamond" w:hAnsi="Garamond" w:eastAsia="宋体"/>
          <w:color w:val="auto"/>
          <w:sz w:val="28"/>
          <w:szCs w:val="28"/>
          <w:highlight w:val="none"/>
        </w:rPr>
        <w:t>一、报价函</w:t>
      </w:r>
    </w:p>
    <w:p w14:paraId="4FF86B8A">
      <w:pPr>
        <w:spacing w:line="360" w:lineRule="auto"/>
        <w:rPr>
          <w:rFonts w:ascii="Garamond" w:hAnsi="Garamond"/>
          <w:color w:val="auto"/>
          <w:szCs w:val="21"/>
          <w:highlight w:val="none"/>
        </w:rPr>
      </w:pPr>
      <w:r>
        <w:rPr>
          <w:rFonts w:hint="eastAsia" w:ascii="Garamond" w:hAnsi="Garamond"/>
          <w:b/>
          <w:color w:val="auto"/>
          <w:szCs w:val="21"/>
          <w:highlight w:val="none"/>
          <w:u w:val="single"/>
          <w:lang w:eastAsia="zh-CN"/>
        </w:rPr>
        <w:t>南通市交通公共事业发展中心</w:t>
      </w:r>
      <w:r>
        <w:rPr>
          <w:rFonts w:ascii="Garamond" w:hAnsi="Garamond"/>
          <w:b/>
          <w:color w:val="auto"/>
          <w:szCs w:val="21"/>
          <w:highlight w:val="none"/>
        </w:rPr>
        <w:t>：</w:t>
      </w:r>
    </w:p>
    <w:p w14:paraId="1AD24805">
      <w:pPr>
        <w:spacing w:line="360" w:lineRule="auto"/>
        <w:ind w:firstLine="420" w:firstLineChars="200"/>
        <w:rPr>
          <w:rFonts w:ascii="Garamond" w:hAnsi="Garamond"/>
          <w:color w:val="auto"/>
          <w:szCs w:val="21"/>
          <w:highlight w:val="none"/>
        </w:rPr>
      </w:pPr>
      <w:r>
        <w:rPr>
          <w:rFonts w:ascii="Garamond" w:hAnsi="Garamond"/>
          <w:color w:val="auto"/>
          <w:szCs w:val="21"/>
          <w:highlight w:val="none"/>
        </w:rPr>
        <w:t>我方已仔细研究</w:t>
      </w:r>
      <w:r>
        <w:rPr>
          <w:rFonts w:hint="eastAsia" w:ascii="Garamond" w:hAnsi="Garamond"/>
          <w:color w:val="auto"/>
          <w:szCs w:val="21"/>
          <w:highlight w:val="none"/>
          <w:u w:val="single"/>
        </w:rPr>
        <w:t xml:space="preserve">                   </w:t>
      </w:r>
      <w:r>
        <w:rPr>
          <w:rFonts w:ascii="Garamond" w:hAnsi="Garamond"/>
          <w:color w:val="auto"/>
          <w:szCs w:val="21"/>
          <w:highlight w:val="none"/>
        </w:rPr>
        <w:t>（项目名称）</w:t>
      </w:r>
      <w:r>
        <w:rPr>
          <w:rFonts w:hint="eastAsia" w:ascii="Garamond" w:hAnsi="Garamond"/>
          <w:color w:val="auto"/>
          <w:szCs w:val="21"/>
          <w:highlight w:val="none"/>
          <w:u w:val="single"/>
        </w:rPr>
        <w:t xml:space="preserve">     </w:t>
      </w:r>
      <w:r>
        <w:rPr>
          <w:rFonts w:ascii="Garamond" w:hAnsi="Garamond"/>
          <w:color w:val="auto"/>
          <w:szCs w:val="21"/>
          <w:highlight w:val="none"/>
        </w:rPr>
        <w:t>标段招标</w:t>
      </w:r>
      <w:r>
        <w:rPr>
          <w:rFonts w:hint="eastAsia" w:ascii="Garamond" w:hAnsi="Garamond"/>
          <w:color w:val="auto"/>
          <w:szCs w:val="21"/>
          <w:highlight w:val="none"/>
        </w:rPr>
        <w:t>文件</w:t>
      </w:r>
      <w:r>
        <w:rPr>
          <w:rFonts w:ascii="Garamond" w:hAnsi="Garamond"/>
          <w:color w:val="auto"/>
          <w:szCs w:val="21"/>
          <w:highlight w:val="none"/>
        </w:rPr>
        <w:t>的全部内容（含补遗书第_____号至第____号），在考察工程现场后，愿意以</w:t>
      </w:r>
      <w:r>
        <w:rPr>
          <w:rFonts w:ascii="Garamond" w:hAnsi="Garamond"/>
          <w:color w:val="auto"/>
          <w:szCs w:val="21"/>
          <w:highlight w:val="none"/>
          <w:u w:val="single"/>
        </w:rPr>
        <w:t>大写     （小写：    ）</w:t>
      </w:r>
      <w:r>
        <w:rPr>
          <w:rFonts w:ascii="Garamond" w:hAnsi="Garamond"/>
          <w:color w:val="auto"/>
          <w:szCs w:val="21"/>
          <w:highlight w:val="none"/>
        </w:rPr>
        <w:t>的</w:t>
      </w:r>
      <w:r>
        <w:rPr>
          <w:rFonts w:hint="eastAsia" w:ascii="Garamond" w:hAnsi="Garamond"/>
          <w:color w:val="auto"/>
          <w:szCs w:val="21"/>
          <w:highlight w:val="none"/>
        </w:rPr>
        <w:t>投标总报价</w:t>
      </w:r>
      <w:r>
        <w:rPr>
          <w:rFonts w:ascii="Garamond" w:hAnsi="Garamond"/>
          <w:color w:val="auto"/>
          <w:szCs w:val="21"/>
          <w:highlight w:val="none"/>
        </w:rPr>
        <w:t>，按合同约定承担并完成全部工作。</w:t>
      </w:r>
    </w:p>
    <w:p w14:paraId="2A53A94C">
      <w:pPr>
        <w:spacing w:after="120" w:afterLines="50" w:line="360" w:lineRule="exact"/>
        <w:ind w:firstLine="420" w:firstLineChars="200"/>
        <w:rPr>
          <w:rFonts w:ascii="Garamond" w:hAnsi="Garamond"/>
          <w:color w:val="auto"/>
          <w:szCs w:val="21"/>
          <w:highlight w:val="none"/>
        </w:rPr>
      </w:pPr>
      <w:r>
        <w:rPr>
          <w:rFonts w:ascii="Garamond" w:hAnsi="Garamond"/>
          <w:color w:val="auto"/>
          <w:szCs w:val="21"/>
          <w:highlight w:val="none"/>
        </w:rPr>
        <w:t>我们理解，贵方不一定接受最低标价的投标或其他任何投标。同时也理解，你方不负担我方的任何投标费用。</w:t>
      </w:r>
    </w:p>
    <w:p w14:paraId="42B8713B">
      <w:pPr>
        <w:spacing w:line="360" w:lineRule="auto"/>
        <w:ind w:firstLine="420" w:firstLineChars="200"/>
        <w:rPr>
          <w:rFonts w:ascii="Garamond" w:hAnsi="Garamond"/>
          <w:color w:val="auto"/>
          <w:szCs w:val="21"/>
          <w:highlight w:val="none"/>
        </w:rPr>
      </w:pPr>
    </w:p>
    <w:p w14:paraId="48404A56">
      <w:pPr>
        <w:spacing w:line="360" w:lineRule="auto"/>
        <w:rPr>
          <w:rFonts w:ascii="Garamond" w:hAnsi="Garamond"/>
          <w:color w:val="auto"/>
          <w:szCs w:val="21"/>
          <w:highlight w:val="none"/>
        </w:rPr>
      </w:pPr>
    </w:p>
    <w:p w14:paraId="6FF7ECAC">
      <w:pPr>
        <w:spacing w:line="360" w:lineRule="auto"/>
        <w:rPr>
          <w:rFonts w:ascii="Garamond" w:hAnsi="Garamond"/>
          <w:color w:val="auto"/>
          <w:szCs w:val="21"/>
          <w:highlight w:val="none"/>
        </w:rPr>
      </w:pPr>
    </w:p>
    <w:p w14:paraId="2767FD5A">
      <w:pPr>
        <w:wordWrap w:val="0"/>
        <w:spacing w:line="360" w:lineRule="auto"/>
        <w:jc w:val="right"/>
        <w:rPr>
          <w:rFonts w:ascii="Garamond" w:hAnsi="Garamond"/>
          <w:color w:val="auto"/>
          <w:szCs w:val="21"/>
          <w:highlight w:val="none"/>
        </w:rPr>
      </w:pPr>
      <w:r>
        <w:rPr>
          <w:rFonts w:ascii="Garamond" w:hAnsi="Garamond"/>
          <w:color w:val="auto"/>
          <w:szCs w:val="21"/>
          <w:highlight w:val="none"/>
        </w:rPr>
        <w:t>投标人：（盖单位章）</w:t>
      </w:r>
    </w:p>
    <w:p w14:paraId="3EAA4164">
      <w:pPr>
        <w:wordWrap w:val="0"/>
        <w:spacing w:line="360" w:lineRule="auto"/>
        <w:jc w:val="right"/>
        <w:rPr>
          <w:rFonts w:ascii="Garamond" w:hAnsi="Garamond"/>
          <w:color w:val="auto"/>
          <w:szCs w:val="21"/>
          <w:highlight w:val="none"/>
        </w:rPr>
      </w:pPr>
      <w:r>
        <w:rPr>
          <w:rFonts w:ascii="Garamond" w:hAnsi="Garamond"/>
          <w:color w:val="auto"/>
          <w:szCs w:val="21"/>
          <w:highlight w:val="none"/>
        </w:rPr>
        <w:t>法定代表人或其委托代理人：（亲笔签名）</w:t>
      </w:r>
    </w:p>
    <w:p w14:paraId="16936F8A">
      <w:pPr>
        <w:wordWrap w:val="0"/>
        <w:spacing w:line="360" w:lineRule="auto"/>
        <w:jc w:val="right"/>
        <w:rPr>
          <w:rFonts w:ascii="Garamond" w:hAnsi="Garamond"/>
          <w:color w:val="auto"/>
          <w:szCs w:val="21"/>
          <w:highlight w:val="none"/>
        </w:rPr>
      </w:pPr>
      <w:r>
        <w:rPr>
          <w:rFonts w:ascii="Garamond" w:hAnsi="Garamond"/>
          <w:color w:val="auto"/>
          <w:szCs w:val="21"/>
          <w:highlight w:val="none"/>
        </w:rPr>
        <w:t>地址：</w:t>
      </w:r>
    </w:p>
    <w:p w14:paraId="0B8A1961">
      <w:pPr>
        <w:wordWrap w:val="0"/>
        <w:spacing w:line="360" w:lineRule="auto"/>
        <w:jc w:val="right"/>
        <w:rPr>
          <w:rFonts w:ascii="Garamond" w:hAnsi="Garamond"/>
          <w:color w:val="auto"/>
          <w:szCs w:val="21"/>
          <w:highlight w:val="none"/>
        </w:rPr>
      </w:pPr>
      <w:r>
        <w:rPr>
          <w:rFonts w:ascii="Garamond" w:hAnsi="Garamond"/>
          <w:color w:val="auto"/>
          <w:szCs w:val="21"/>
          <w:highlight w:val="none"/>
        </w:rPr>
        <w:t>电话：</w:t>
      </w:r>
    </w:p>
    <w:p w14:paraId="5B6D6AA4">
      <w:pPr>
        <w:wordWrap w:val="0"/>
        <w:spacing w:line="360" w:lineRule="auto"/>
        <w:jc w:val="right"/>
        <w:rPr>
          <w:rFonts w:ascii="Garamond" w:hAnsi="Garamond"/>
          <w:color w:val="auto"/>
          <w:szCs w:val="21"/>
          <w:highlight w:val="none"/>
        </w:rPr>
      </w:pPr>
      <w:r>
        <w:rPr>
          <w:rFonts w:ascii="Garamond" w:hAnsi="Garamond"/>
          <w:color w:val="auto"/>
          <w:szCs w:val="21"/>
          <w:highlight w:val="none"/>
        </w:rPr>
        <w:t>传真：</w:t>
      </w:r>
    </w:p>
    <w:p w14:paraId="5DC35B5C">
      <w:pPr>
        <w:wordWrap w:val="0"/>
        <w:spacing w:line="360" w:lineRule="auto"/>
        <w:jc w:val="right"/>
        <w:rPr>
          <w:rFonts w:ascii="Garamond" w:hAnsi="Garamond"/>
          <w:color w:val="auto"/>
          <w:szCs w:val="21"/>
          <w:highlight w:val="none"/>
        </w:rPr>
      </w:pPr>
      <w:r>
        <w:rPr>
          <w:rFonts w:ascii="Garamond" w:hAnsi="Garamond"/>
          <w:color w:val="auto"/>
          <w:szCs w:val="21"/>
          <w:highlight w:val="none"/>
        </w:rPr>
        <w:t>邮政编码：</w:t>
      </w:r>
    </w:p>
    <w:p w14:paraId="06B1CEA6">
      <w:pPr>
        <w:spacing w:line="360" w:lineRule="auto"/>
        <w:ind w:firstLine="1575" w:firstLineChars="750"/>
        <w:jc w:val="right"/>
        <w:rPr>
          <w:rFonts w:ascii="Garamond" w:hAnsi="Garamond"/>
          <w:color w:val="auto"/>
          <w:szCs w:val="21"/>
          <w:highlight w:val="none"/>
        </w:rPr>
      </w:pPr>
      <w:r>
        <w:rPr>
          <w:rFonts w:ascii="Garamond" w:hAnsi="Garamond"/>
          <w:color w:val="auto"/>
          <w:szCs w:val="21"/>
          <w:highlight w:val="none"/>
        </w:rPr>
        <w:t>_______年_____月_______日</w:t>
      </w:r>
    </w:p>
    <w:p w14:paraId="027681BA">
      <w:pPr>
        <w:spacing w:line="360" w:lineRule="auto"/>
        <w:jc w:val="center"/>
        <w:rPr>
          <w:rFonts w:ascii="Garamond" w:hAnsi="Garamond"/>
          <w:b/>
          <w:bCs/>
          <w:snapToGrid w:val="0"/>
          <w:color w:val="auto"/>
          <w:kern w:val="0"/>
          <w:sz w:val="32"/>
          <w:highlight w:val="none"/>
        </w:rPr>
      </w:pPr>
    </w:p>
    <w:p w14:paraId="7108E1F6">
      <w:pPr>
        <w:widowControl/>
        <w:jc w:val="left"/>
        <w:rPr>
          <w:rFonts w:ascii="Garamond" w:hAnsi="Garamond"/>
          <w:b/>
          <w:bCs/>
          <w:snapToGrid w:val="0"/>
          <w:color w:val="auto"/>
          <w:kern w:val="0"/>
          <w:sz w:val="32"/>
          <w:highlight w:val="none"/>
        </w:rPr>
      </w:pPr>
      <w:r>
        <w:rPr>
          <w:rFonts w:ascii="Garamond" w:hAnsi="Garamond"/>
          <w:b/>
          <w:bCs/>
          <w:snapToGrid w:val="0"/>
          <w:color w:val="auto"/>
          <w:kern w:val="0"/>
          <w:sz w:val="32"/>
          <w:highlight w:val="none"/>
        </w:rPr>
        <w:br w:type="page"/>
      </w:r>
    </w:p>
    <w:p w14:paraId="0D4C6090">
      <w:pPr>
        <w:keepNext/>
        <w:keepLines/>
        <w:numPr>
          <w:ilvl w:val="2"/>
          <w:numId w:val="0"/>
        </w:numPr>
        <w:spacing w:line="400" w:lineRule="exact"/>
        <w:jc w:val="center"/>
        <w:outlineLvl w:val="2"/>
        <w:rPr>
          <w:rFonts w:ascii="Garamond" w:hAnsi="Garamond" w:eastAsia="黑体" w:cs="宋体"/>
          <w:color w:val="auto"/>
          <w:sz w:val="28"/>
          <w:szCs w:val="28"/>
          <w:highlight w:val="none"/>
        </w:rPr>
      </w:pPr>
      <w:r>
        <w:rPr>
          <w:rFonts w:hint="eastAsia" w:ascii="Garamond" w:hAnsi="Garamond" w:eastAsia="黑体" w:cs="宋体"/>
          <w:color w:val="auto"/>
          <w:sz w:val="28"/>
          <w:szCs w:val="28"/>
          <w:highlight w:val="none"/>
        </w:rPr>
        <w:t>二</w:t>
      </w:r>
      <w:r>
        <w:rPr>
          <w:rFonts w:ascii="Garamond" w:hAnsi="Garamond" w:eastAsia="黑体" w:cs="宋体"/>
          <w:color w:val="auto"/>
          <w:sz w:val="28"/>
          <w:szCs w:val="28"/>
          <w:highlight w:val="none"/>
        </w:rPr>
        <w:t>、</w:t>
      </w:r>
      <w:r>
        <w:rPr>
          <w:rFonts w:hint="eastAsia" w:ascii="Garamond" w:hAnsi="Garamond" w:eastAsia="黑体" w:cs="宋体"/>
          <w:color w:val="auto"/>
          <w:sz w:val="28"/>
          <w:szCs w:val="28"/>
          <w:highlight w:val="none"/>
        </w:rPr>
        <w:t>报价清单（格式自拟）</w:t>
      </w:r>
    </w:p>
    <w:p w14:paraId="2021B0DC">
      <w:pPr>
        <w:pStyle w:val="16"/>
        <w:rPr>
          <w:color w:val="auto"/>
          <w:highlight w:val="none"/>
        </w:rPr>
      </w:pPr>
    </w:p>
    <w:p w14:paraId="3ACCD5C8">
      <w:pPr>
        <w:rPr>
          <w:color w:val="auto"/>
          <w:highlight w:val="none"/>
        </w:rPr>
      </w:pPr>
      <w:r>
        <w:rPr>
          <w:color w:val="auto"/>
          <w:highlight w:val="none"/>
        </w:rPr>
        <w:t>项目名称：</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tbl>
      <w:tblPr>
        <w:tblStyle w:val="44"/>
        <w:tblpPr w:leftFromText="180" w:rightFromText="180" w:vertAnchor="text" w:horzAnchor="margin" w:tblpXSpec="center" w:tblpY="525"/>
        <w:tblW w:w="4853" w:type="pct"/>
        <w:tblInd w:w="0" w:type="dxa"/>
        <w:tblLayout w:type="autofit"/>
        <w:tblCellMar>
          <w:top w:w="0" w:type="dxa"/>
          <w:left w:w="108" w:type="dxa"/>
          <w:bottom w:w="0" w:type="dxa"/>
          <w:right w:w="108" w:type="dxa"/>
        </w:tblCellMar>
      </w:tblPr>
      <w:tblGrid>
        <w:gridCol w:w="676"/>
        <w:gridCol w:w="1276"/>
        <w:gridCol w:w="2267"/>
        <w:gridCol w:w="2124"/>
        <w:gridCol w:w="1561"/>
        <w:gridCol w:w="1276"/>
      </w:tblGrid>
      <w:tr w14:paraId="50E4092D">
        <w:tblPrEx>
          <w:tblCellMar>
            <w:top w:w="0" w:type="dxa"/>
            <w:left w:w="108" w:type="dxa"/>
            <w:bottom w:w="0" w:type="dxa"/>
            <w:right w:w="108" w:type="dxa"/>
          </w:tblCellMar>
        </w:tblPrEx>
        <w:trPr>
          <w:trHeight w:val="320" w:hRule="atLeast"/>
        </w:trPr>
        <w:tc>
          <w:tcPr>
            <w:tcW w:w="368" w:type="pct"/>
            <w:vMerge w:val="restart"/>
            <w:tcBorders>
              <w:top w:val="single" w:color="auto" w:sz="4" w:space="0"/>
              <w:left w:val="single" w:color="auto" w:sz="4" w:space="0"/>
              <w:bottom w:val="single" w:color="auto" w:sz="4" w:space="0"/>
              <w:right w:val="single" w:color="auto" w:sz="4" w:space="0"/>
            </w:tcBorders>
            <w:vAlign w:val="center"/>
          </w:tcPr>
          <w:p w14:paraId="3D3ACCE5">
            <w:pPr>
              <w:jc w:val="center"/>
              <w:rPr>
                <w:color w:val="auto"/>
                <w:highlight w:val="none"/>
              </w:rPr>
            </w:pPr>
          </w:p>
        </w:tc>
        <w:tc>
          <w:tcPr>
            <w:tcW w:w="695" w:type="pct"/>
            <w:vMerge w:val="restart"/>
            <w:tcBorders>
              <w:top w:val="single" w:color="auto" w:sz="4" w:space="0"/>
              <w:left w:val="single" w:color="auto" w:sz="4" w:space="0"/>
              <w:bottom w:val="single" w:color="auto" w:sz="4" w:space="0"/>
              <w:right w:val="single" w:color="auto" w:sz="4" w:space="0"/>
            </w:tcBorders>
            <w:vAlign w:val="center"/>
          </w:tcPr>
          <w:p w14:paraId="5F7B9F56">
            <w:pPr>
              <w:jc w:val="center"/>
              <w:rPr>
                <w:color w:val="auto"/>
                <w:highlight w:val="none"/>
              </w:rPr>
            </w:pPr>
          </w:p>
        </w:tc>
        <w:tc>
          <w:tcPr>
            <w:tcW w:w="1235" w:type="pct"/>
            <w:vMerge w:val="restart"/>
            <w:tcBorders>
              <w:top w:val="single" w:color="auto" w:sz="4" w:space="0"/>
              <w:left w:val="single" w:color="auto" w:sz="4" w:space="0"/>
              <w:bottom w:val="single" w:color="auto" w:sz="4" w:space="0"/>
              <w:right w:val="single" w:color="auto" w:sz="4" w:space="0"/>
            </w:tcBorders>
            <w:vAlign w:val="center"/>
          </w:tcPr>
          <w:p w14:paraId="17D31240">
            <w:pPr>
              <w:jc w:val="center"/>
              <w:rPr>
                <w:color w:val="auto"/>
                <w:highlight w:val="none"/>
              </w:rPr>
            </w:pPr>
          </w:p>
        </w:tc>
        <w:tc>
          <w:tcPr>
            <w:tcW w:w="1157" w:type="pct"/>
            <w:vMerge w:val="restart"/>
            <w:tcBorders>
              <w:top w:val="single" w:color="auto" w:sz="4" w:space="0"/>
              <w:left w:val="single" w:color="auto" w:sz="4" w:space="0"/>
              <w:bottom w:val="single" w:color="auto" w:sz="4" w:space="0"/>
              <w:right w:val="single" w:color="auto" w:sz="4" w:space="0"/>
            </w:tcBorders>
            <w:vAlign w:val="center"/>
          </w:tcPr>
          <w:p w14:paraId="4E7C4037">
            <w:pPr>
              <w:jc w:val="center"/>
              <w:rPr>
                <w:color w:val="auto"/>
                <w:highlight w:val="none"/>
              </w:rPr>
            </w:pPr>
          </w:p>
        </w:tc>
        <w:tc>
          <w:tcPr>
            <w:tcW w:w="850" w:type="pct"/>
            <w:vMerge w:val="restart"/>
            <w:tcBorders>
              <w:top w:val="single" w:color="auto" w:sz="4" w:space="0"/>
              <w:left w:val="single" w:color="auto" w:sz="4" w:space="0"/>
              <w:bottom w:val="single" w:color="auto" w:sz="4" w:space="0"/>
              <w:right w:val="single" w:color="auto" w:sz="4" w:space="0"/>
            </w:tcBorders>
            <w:vAlign w:val="center"/>
          </w:tcPr>
          <w:p w14:paraId="43E2F5DB">
            <w:pPr>
              <w:jc w:val="center"/>
              <w:rPr>
                <w:color w:val="auto"/>
                <w:highlight w:val="none"/>
              </w:rPr>
            </w:pPr>
          </w:p>
        </w:tc>
        <w:tc>
          <w:tcPr>
            <w:tcW w:w="695" w:type="pct"/>
            <w:vMerge w:val="restart"/>
            <w:tcBorders>
              <w:top w:val="single" w:color="auto" w:sz="4" w:space="0"/>
              <w:left w:val="single" w:color="auto" w:sz="4" w:space="0"/>
              <w:bottom w:val="single" w:color="auto" w:sz="4" w:space="0"/>
              <w:right w:val="single" w:color="auto" w:sz="4" w:space="0"/>
            </w:tcBorders>
            <w:vAlign w:val="center"/>
          </w:tcPr>
          <w:p w14:paraId="76B48F65">
            <w:pPr>
              <w:jc w:val="center"/>
              <w:rPr>
                <w:color w:val="auto"/>
                <w:highlight w:val="none"/>
              </w:rPr>
            </w:pPr>
          </w:p>
        </w:tc>
      </w:tr>
      <w:tr w14:paraId="33E6EE13">
        <w:tblPrEx>
          <w:tblCellMar>
            <w:top w:w="0" w:type="dxa"/>
            <w:left w:w="108" w:type="dxa"/>
            <w:bottom w:w="0" w:type="dxa"/>
            <w:right w:w="108" w:type="dxa"/>
          </w:tblCellMar>
        </w:tblPrEx>
        <w:trPr>
          <w:trHeight w:val="320" w:hRule="atLeast"/>
        </w:trPr>
        <w:tc>
          <w:tcPr>
            <w:tcW w:w="368" w:type="pct"/>
            <w:vMerge w:val="continue"/>
            <w:tcBorders>
              <w:top w:val="single" w:color="auto" w:sz="4" w:space="0"/>
              <w:left w:val="single" w:color="auto" w:sz="4" w:space="0"/>
              <w:bottom w:val="single" w:color="auto" w:sz="4" w:space="0"/>
              <w:right w:val="single" w:color="auto" w:sz="4" w:space="0"/>
            </w:tcBorders>
            <w:vAlign w:val="center"/>
          </w:tcPr>
          <w:p w14:paraId="5DBBA50B">
            <w:pPr>
              <w:jc w:val="center"/>
              <w:rPr>
                <w:color w:val="auto"/>
                <w:highlight w:val="none"/>
              </w:rPr>
            </w:pPr>
          </w:p>
        </w:tc>
        <w:tc>
          <w:tcPr>
            <w:tcW w:w="695" w:type="pct"/>
            <w:vMerge w:val="continue"/>
            <w:tcBorders>
              <w:top w:val="single" w:color="auto" w:sz="4" w:space="0"/>
              <w:left w:val="single" w:color="auto" w:sz="4" w:space="0"/>
              <w:bottom w:val="single" w:color="auto" w:sz="4" w:space="0"/>
              <w:right w:val="single" w:color="auto" w:sz="4" w:space="0"/>
            </w:tcBorders>
            <w:vAlign w:val="center"/>
          </w:tcPr>
          <w:p w14:paraId="6B73D55A">
            <w:pPr>
              <w:jc w:val="center"/>
              <w:rPr>
                <w:color w:val="auto"/>
                <w:highlight w:val="none"/>
              </w:rPr>
            </w:pPr>
          </w:p>
        </w:tc>
        <w:tc>
          <w:tcPr>
            <w:tcW w:w="1235" w:type="pct"/>
            <w:vMerge w:val="continue"/>
            <w:tcBorders>
              <w:top w:val="single" w:color="auto" w:sz="4" w:space="0"/>
              <w:left w:val="single" w:color="auto" w:sz="4" w:space="0"/>
              <w:bottom w:val="single" w:color="auto" w:sz="4" w:space="0"/>
              <w:right w:val="single" w:color="auto" w:sz="4" w:space="0"/>
            </w:tcBorders>
            <w:vAlign w:val="center"/>
          </w:tcPr>
          <w:p w14:paraId="78C053BF">
            <w:pPr>
              <w:jc w:val="center"/>
              <w:rPr>
                <w:color w:val="auto"/>
                <w:highlight w:val="none"/>
              </w:rPr>
            </w:pPr>
          </w:p>
        </w:tc>
        <w:tc>
          <w:tcPr>
            <w:tcW w:w="1157" w:type="pct"/>
            <w:vMerge w:val="continue"/>
            <w:tcBorders>
              <w:top w:val="single" w:color="auto" w:sz="4" w:space="0"/>
              <w:left w:val="single" w:color="auto" w:sz="4" w:space="0"/>
              <w:bottom w:val="single" w:color="auto" w:sz="4" w:space="0"/>
              <w:right w:val="single" w:color="auto" w:sz="4" w:space="0"/>
            </w:tcBorders>
            <w:vAlign w:val="center"/>
          </w:tcPr>
          <w:p w14:paraId="4732353D">
            <w:pPr>
              <w:jc w:val="center"/>
              <w:rPr>
                <w:color w:val="auto"/>
                <w:highlight w:val="none"/>
              </w:rPr>
            </w:pPr>
          </w:p>
        </w:tc>
        <w:tc>
          <w:tcPr>
            <w:tcW w:w="850" w:type="pct"/>
            <w:vMerge w:val="continue"/>
            <w:tcBorders>
              <w:top w:val="single" w:color="auto" w:sz="4" w:space="0"/>
              <w:left w:val="single" w:color="auto" w:sz="4" w:space="0"/>
              <w:bottom w:val="single" w:color="auto" w:sz="4" w:space="0"/>
              <w:right w:val="single" w:color="auto" w:sz="4" w:space="0"/>
            </w:tcBorders>
            <w:vAlign w:val="center"/>
          </w:tcPr>
          <w:p w14:paraId="2FAA9F46">
            <w:pPr>
              <w:jc w:val="center"/>
              <w:rPr>
                <w:color w:val="auto"/>
                <w:highlight w:val="none"/>
              </w:rPr>
            </w:pPr>
          </w:p>
        </w:tc>
        <w:tc>
          <w:tcPr>
            <w:tcW w:w="695" w:type="pct"/>
            <w:vMerge w:val="continue"/>
            <w:tcBorders>
              <w:top w:val="single" w:color="auto" w:sz="4" w:space="0"/>
              <w:left w:val="single" w:color="auto" w:sz="4" w:space="0"/>
              <w:bottom w:val="single" w:color="auto" w:sz="4" w:space="0"/>
              <w:right w:val="single" w:color="auto" w:sz="4" w:space="0"/>
            </w:tcBorders>
          </w:tcPr>
          <w:p w14:paraId="3781BE4E">
            <w:pPr>
              <w:rPr>
                <w:color w:val="auto"/>
                <w:highlight w:val="none"/>
              </w:rPr>
            </w:pPr>
          </w:p>
        </w:tc>
      </w:tr>
      <w:tr w14:paraId="2BAEAA6F">
        <w:tblPrEx>
          <w:tblCellMar>
            <w:top w:w="0" w:type="dxa"/>
            <w:left w:w="108" w:type="dxa"/>
            <w:bottom w:w="0" w:type="dxa"/>
            <w:right w:w="108" w:type="dxa"/>
          </w:tblCellMar>
        </w:tblPrEx>
        <w:trPr>
          <w:trHeight w:val="889" w:hRule="atLeast"/>
        </w:trPr>
        <w:tc>
          <w:tcPr>
            <w:tcW w:w="368" w:type="pct"/>
            <w:tcBorders>
              <w:top w:val="single" w:color="auto" w:sz="4" w:space="0"/>
              <w:left w:val="single" w:color="auto" w:sz="4" w:space="0"/>
              <w:bottom w:val="single" w:color="auto" w:sz="4" w:space="0"/>
              <w:right w:val="single" w:color="auto" w:sz="4" w:space="0"/>
            </w:tcBorders>
            <w:vAlign w:val="center"/>
          </w:tcPr>
          <w:p w14:paraId="319FC7B8">
            <w:pPr>
              <w:jc w:val="center"/>
              <w:rPr>
                <w:color w:val="auto"/>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53C12501">
            <w:pPr>
              <w:jc w:val="center"/>
              <w:rPr>
                <w:color w:val="auto"/>
                <w:highlight w:val="none"/>
              </w:rPr>
            </w:pPr>
          </w:p>
        </w:tc>
        <w:tc>
          <w:tcPr>
            <w:tcW w:w="1235" w:type="pct"/>
            <w:tcBorders>
              <w:top w:val="single" w:color="auto" w:sz="4" w:space="0"/>
              <w:left w:val="single" w:color="auto" w:sz="4" w:space="0"/>
              <w:bottom w:val="single" w:color="auto" w:sz="4" w:space="0"/>
              <w:right w:val="single" w:color="auto" w:sz="4" w:space="0"/>
            </w:tcBorders>
            <w:vAlign w:val="center"/>
          </w:tcPr>
          <w:p w14:paraId="4BD367C8">
            <w:pPr>
              <w:jc w:val="center"/>
              <w:rPr>
                <w:color w:val="auto"/>
                <w:highlight w:val="none"/>
              </w:rPr>
            </w:pPr>
          </w:p>
        </w:tc>
        <w:tc>
          <w:tcPr>
            <w:tcW w:w="1157" w:type="pct"/>
            <w:tcBorders>
              <w:top w:val="single" w:color="auto" w:sz="4" w:space="0"/>
              <w:left w:val="single" w:color="auto" w:sz="4" w:space="0"/>
              <w:bottom w:val="single" w:color="auto" w:sz="4" w:space="0"/>
              <w:right w:val="single" w:color="auto" w:sz="4" w:space="0"/>
            </w:tcBorders>
            <w:vAlign w:val="center"/>
          </w:tcPr>
          <w:p w14:paraId="09DB3CEA">
            <w:pPr>
              <w:jc w:val="center"/>
              <w:rPr>
                <w:color w:val="auto"/>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163C361A">
            <w:pPr>
              <w:jc w:val="center"/>
              <w:rPr>
                <w:color w:val="auto"/>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767AF11C">
            <w:pPr>
              <w:rPr>
                <w:color w:val="auto"/>
                <w:highlight w:val="none"/>
              </w:rPr>
            </w:pPr>
          </w:p>
        </w:tc>
      </w:tr>
      <w:tr w14:paraId="53FB50F1">
        <w:tblPrEx>
          <w:tblCellMar>
            <w:top w:w="0" w:type="dxa"/>
            <w:left w:w="108" w:type="dxa"/>
            <w:bottom w:w="0" w:type="dxa"/>
            <w:right w:w="108" w:type="dxa"/>
          </w:tblCellMar>
        </w:tblPrEx>
        <w:trPr>
          <w:trHeight w:val="831" w:hRule="atLeast"/>
        </w:trPr>
        <w:tc>
          <w:tcPr>
            <w:tcW w:w="368" w:type="pct"/>
            <w:tcBorders>
              <w:top w:val="single" w:color="auto" w:sz="4" w:space="0"/>
              <w:left w:val="single" w:color="auto" w:sz="4" w:space="0"/>
              <w:bottom w:val="single" w:color="auto" w:sz="4" w:space="0"/>
              <w:right w:val="single" w:color="auto" w:sz="4" w:space="0"/>
            </w:tcBorders>
            <w:vAlign w:val="center"/>
          </w:tcPr>
          <w:p w14:paraId="12A9825D">
            <w:pPr>
              <w:jc w:val="center"/>
              <w:rPr>
                <w:color w:val="auto"/>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3BCA2E57">
            <w:pPr>
              <w:jc w:val="center"/>
              <w:rPr>
                <w:color w:val="auto"/>
                <w:highlight w:val="none"/>
              </w:rPr>
            </w:pPr>
          </w:p>
        </w:tc>
        <w:tc>
          <w:tcPr>
            <w:tcW w:w="1235" w:type="pct"/>
            <w:tcBorders>
              <w:top w:val="single" w:color="auto" w:sz="4" w:space="0"/>
              <w:left w:val="single" w:color="auto" w:sz="4" w:space="0"/>
              <w:bottom w:val="single" w:color="auto" w:sz="4" w:space="0"/>
              <w:right w:val="single" w:color="auto" w:sz="4" w:space="0"/>
            </w:tcBorders>
            <w:vAlign w:val="center"/>
          </w:tcPr>
          <w:p w14:paraId="18223B25">
            <w:pPr>
              <w:jc w:val="center"/>
              <w:rPr>
                <w:color w:val="auto"/>
                <w:highlight w:val="none"/>
              </w:rPr>
            </w:pPr>
          </w:p>
        </w:tc>
        <w:tc>
          <w:tcPr>
            <w:tcW w:w="1157" w:type="pct"/>
            <w:tcBorders>
              <w:top w:val="single" w:color="auto" w:sz="4" w:space="0"/>
              <w:left w:val="single" w:color="auto" w:sz="4" w:space="0"/>
              <w:bottom w:val="single" w:color="auto" w:sz="4" w:space="0"/>
              <w:right w:val="single" w:color="auto" w:sz="4" w:space="0"/>
            </w:tcBorders>
            <w:vAlign w:val="center"/>
          </w:tcPr>
          <w:p w14:paraId="67FAC6D8">
            <w:pPr>
              <w:jc w:val="center"/>
              <w:rPr>
                <w:color w:val="auto"/>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0ACBFFBA">
            <w:pPr>
              <w:jc w:val="center"/>
              <w:rPr>
                <w:color w:val="auto"/>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513F98D4">
            <w:pPr>
              <w:rPr>
                <w:color w:val="auto"/>
                <w:highlight w:val="none"/>
              </w:rPr>
            </w:pPr>
          </w:p>
        </w:tc>
      </w:tr>
      <w:tr w14:paraId="0B1D92CC">
        <w:tblPrEx>
          <w:tblCellMar>
            <w:top w:w="0" w:type="dxa"/>
            <w:left w:w="108" w:type="dxa"/>
            <w:bottom w:w="0" w:type="dxa"/>
            <w:right w:w="108" w:type="dxa"/>
          </w:tblCellMar>
        </w:tblPrEx>
        <w:trPr>
          <w:trHeight w:val="308" w:hRule="atLeast"/>
        </w:trPr>
        <w:tc>
          <w:tcPr>
            <w:tcW w:w="3455" w:type="pct"/>
            <w:gridSpan w:val="4"/>
            <w:tcBorders>
              <w:top w:val="single" w:color="auto" w:sz="4" w:space="0"/>
              <w:left w:val="single" w:color="auto" w:sz="4" w:space="0"/>
              <w:bottom w:val="single" w:color="auto" w:sz="4" w:space="0"/>
              <w:right w:val="single" w:color="auto" w:sz="4" w:space="0"/>
            </w:tcBorders>
            <w:vAlign w:val="center"/>
          </w:tcPr>
          <w:p w14:paraId="62E7F9E2">
            <w:pPr>
              <w:jc w:val="center"/>
              <w:rPr>
                <w:color w:val="auto"/>
                <w:highlight w:val="none"/>
              </w:rPr>
            </w:pPr>
          </w:p>
        </w:tc>
        <w:tc>
          <w:tcPr>
            <w:tcW w:w="1545" w:type="pct"/>
            <w:gridSpan w:val="2"/>
            <w:tcBorders>
              <w:top w:val="single" w:color="auto" w:sz="4" w:space="0"/>
              <w:left w:val="single" w:color="auto" w:sz="4" w:space="0"/>
              <w:bottom w:val="single" w:color="auto" w:sz="4" w:space="0"/>
              <w:right w:val="single" w:color="auto" w:sz="4" w:space="0"/>
            </w:tcBorders>
            <w:vAlign w:val="center"/>
          </w:tcPr>
          <w:p w14:paraId="319759F9">
            <w:pPr>
              <w:jc w:val="center"/>
              <w:rPr>
                <w:color w:val="auto"/>
                <w:highlight w:val="none"/>
              </w:rPr>
            </w:pPr>
          </w:p>
        </w:tc>
      </w:tr>
    </w:tbl>
    <w:p w14:paraId="655FD8D1">
      <w:pPr>
        <w:spacing w:line="360" w:lineRule="auto"/>
        <w:jc w:val="center"/>
        <w:rPr>
          <w:rFonts w:ascii="Garamond" w:hAnsi="Garamond"/>
          <w:b/>
          <w:bCs/>
          <w:snapToGrid w:val="0"/>
          <w:color w:val="auto"/>
          <w:kern w:val="0"/>
          <w:sz w:val="32"/>
          <w:highlight w:val="none"/>
        </w:rPr>
      </w:pPr>
    </w:p>
    <w:p w14:paraId="3DB7E363">
      <w:pPr>
        <w:spacing w:line="360" w:lineRule="auto"/>
        <w:jc w:val="center"/>
        <w:rPr>
          <w:rFonts w:ascii="Garamond" w:hAnsi="Garamond"/>
          <w:b/>
          <w:bCs/>
          <w:snapToGrid w:val="0"/>
          <w:color w:val="auto"/>
          <w:kern w:val="0"/>
          <w:sz w:val="32"/>
          <w:highlight w:val="none"/>
        </w:rPr>
      </w:pPr>
    </w:p>
    <w:p w14:paraId="3DAB6FCE">
      <w:pPr>
        <w:spacing w:line="360" w:lineRule="auto"/>
        <w:jc w:val="center"/>
        <w:rPr>
          <w:rFonts w:ascii="Garamond" w:hAnsi="Garamond"/>
          <w:b/>
          <w:bCs/>
          <w:snapToGrid w:val="0"/>
          <w:color w:val="auto"/>
          <w:kern w:val="0"/>
          <w:sz w:val="32"/>
          <w:highlight w:val="none"/>
        </w:rPr>
      </w:pPr>
    </w:p>
    <w:p w14:paraId="6BC215B5">
      <w:pPr>
        <w:spacing w:line="360" w:lineRule="auto"/>
        <w:jc w:val="center"/>
        <w:rPr>
          <w:rFonts w:ascii="Garamond" w:hAnsi="Garamond"/>
          <w:b/>
          <w:bCs/>
          <w:snapToGrid w:val="0"/>
          <w:color w:val="auto"/>
          <w:kern w:val="0"/>
          <w:sz w:val="32"/>
          <w:highlight w:val="none"/>
        </w:rPr>
      </w:pPr>
    </w:p>
    <w:p w14:paraId="2C61A9BF">
      <w:pPr>
        <w:spacing w:line="360" w:lineRule="auto"/>
        <w:jc w:val="center"/>
        <w:rPr>
          <w:rFonts w:ascii="Garamond" w:hAnsi="Garamond"/>
          <w:b/>
          <w:bCs/>
          <w:snapToGrid w:val="0"/>
          <w:color w:val="auto"/>
          <w:kern w:val="0"/>
          <w:sz w:val="32"/>
          <w:highlight w:val="none"/>
        </w:rPr>
      </w:pPr>
    </w:p>
    <w:p w14:paraId="0DB72F9F">
      <w:pPr>
        <w:spacing w:line="360" w:lineRule="auto"/>
        <w:rPr>
          <w:rFonts w:ascii="Garamond" w:hAnsi="Garamond"/>
          <w:color w:val="auto"/>
          <w:szCs w:val="21"/>
          <w:highlight w:val="none"/>
        </w:rPr>
      </w:pPr>
    </w:p>
    <w:sectPr>
      <w:footerReference r:id="rId9" w:type="even"/>
      <w:pgSz w:w="11906" w:h="16838"/>
      <w:pgMar w:top="1417" w:right="1247" w:bottom="1417" w:left="1417" w:header="851" w:footer="680" w:gutter="0"/>
      <w:pgNumType w:fmt="decimalFullWidt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文鼎CS书宋二">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_GB2312">
    <w:altName w:val="Times New Roman"/>
    <w:panose1 w:val="00000000000000000000"/>
    <w:charset w:val="00"/>
    <w:family w:val="auto"/>
    <w:pitch w:val="default"/>
    <w:sig w:usb0="00000000" w:usb1="00000000" w:usb2="00000000" w:usb3="00000000" w:csb0="00000001" w:csb1="00000000"/>
  </w:font>
  <w:font w:name="T3Font_33">
    <w:altName w:val="宋体"/>
    <w:panose1 w:val="00000000000000000000"/>
    <w:charset w:val="86"/>
    <w:family w:val="swiss"/>
    <w:pitch w:val="default"/>
    <w:sig w:usb0="00000000" w:usb1="00000000" w:usb2="00000010" w:usb3="00000000" w:csb0="00040000" w:csb1="00000000"/>
  </w:font>
  <w:font w:name="T3Font_35">
    <w:altName w:val="宋体"/>
    <w:panose1 w:val="00000000000000000000"/>
    <w:charset w:val="86"/>
    <w:family w:val="swiss"/>
    <w:pitch w:val="default"/>
    <w:sig w:usb0="00000000" w:usb1="00000000" w:usb2="00000010" w:usb3="00000000" w:csb0="00040000" w:csb1="00000000"/>
  </w:font>
  <w:font w:name="T3Font_34">
    <w:altName w:val="宋体"/>
    <w:panose1 w:val="00000000000000000000"/>
    <w:charset w:val="86"/>
    <w:family w:val="swiss"/>
    <w:pitch w:val="default"/>
    <w:sig w:usb0="00000000" w:usb1="00000000" w:usb2="00000010" w:usb3="00000000" w:csb0="00040000" w:csb1="00000000"/>
  </w:font>
  <w:font w:name="TimesNewRoman">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3Font_39">
    <w:altName w:val="宋体"/>
    <w:panose1 w:val="00000000000000000000"/>
    <w:charset w:val="86"/>
    <w:family w:val="swiss"/>
    <w:pitch w:val="default"/>
    <w:sig w:usb0="00000000" w:usb1="00000000" w:usb2="00000010" w:usb3="00000000" w:csb0="00040000" w:csb1="00000000"/>
  </w:font>
  <w:font w:name="T3Font_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A6A2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C81F0">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7335" cy="172720"/>
              <wp:effectExtent l="0" t="0" r="12700" b="12700"/>
              <wp:wrapNone/>
              <wp:docPr id="1" name="文本框 1"/>
              <wp:cNvGraphicFramePr/>
              <a:graphic xmlns:a="http://schemas.openxmlformats.org/drawingml/2006/main">
                <a:graphicData uri="http://schemas.microsoft.com/office/word/2010/wordprocessingShape">
                  <wps:wsp>
                    <wps:cNvSpPr txBox="1"/>
                    <wps:spPr>
                      <a:xfrm>
                        <a:off x="0" y="0"/>
                        <a:ext cx="267335" cy="172720"/>
                      </a:xfrm>
                      <a:prstGeom prst="rect">
                        <a:avLst/>
                      </a:prstGeom>
                      <a:noFill/>
                      <a:ln w="6350">
                        <a:noFill/>
                      </a:ln>
                    </wps:spPr>
                    <wps:txbx>
                      <w:txbxContent>
                        <w:p w14:paraId="6F7F73F8">
                          <w:pPr>
                            <w:jc w:val="center"/>
                          </w:pPr>
                          <w:r>
                            <w:fldChar w:fldCharType="begin"/>
                          </w:r>
                          <w:r>
                            <w:rPr>
                              <w:rStyle w:val="48"/>
                            </w:rPr>
                            <w:instrText xml:space="preserve"> PAGE </w:instrText>
                          </w:r>
                          <w:r>
                            <w:fldChar w:fldCharType="separate"/>
                          </w:r>
                          <w:r>
                            <w:rPr>
                              <w:rStyle w:val="48"/>
                              <w:rFonts w:hint="eastAsia"/>
                            </w:rPr>
                            <w:t>１７</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pt;width:21.05pt;mso-position-horizontal:center;mso-position-horizontal-relative:margin;mso-wrap-style:none;z-index:251659264;mso-width-relative:page;mso-height-relative:page;" filled="f" stroked="f" coordsize="21600,21600" o:gfxdata="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14CkNIAAAADAQAADwAAAAAAAAABACAAAAAiAAAAZHJzL2Rvd25yZXYueG1sUEsBAhQAFAAA&#10;AAgAh07iQLL27qEuAgAAUwQAAA4AAAAAAAAAAQAgAAAAIQEAAGRycy9lMm9Eb2MueG1sUEsFBgAA&#10;AAAGAAYAWQEAAMEFAAAAAA==&#10;">
              <v:fill on="f" focussize="0,0"/>
              <v:stroke on="f" weight="0.5pt"/>
              <v:imagedata o:title=""/>
              <o:lock v:ext="edit" aspectratio="f"/>
              <v:textbox inset="0mm,0mm,0mm,0mm" style="mso-fit-shape-to-text:t;">
                <w:txbxContent>
                  <w:p w14:paraId="6F7F73F8">
                    <w:pPr>
                      <w:jc w:val="center"/>
                    </w:pPr>
                    <w:r>
                      <w:fldChar w:fldCharType="begin"/>
                    </w:r>
                    <w:r>
                      <w:rPr>
                        <w:rStyle w:val="48"/>
                      </w:rPr>
                      <w:instrText xml:space="preserve"> PAGE </w:instrText>
                    </w:r>
                    <w:r>
                      <w:fldChar w:fldCharType="separate"/>
                    </w:r>
                    <w:r>
                      <w:rPr>
                        <w:rStyle w:val="48"/>
                        <w:rFonts w:hint="eastAsia"/>
                      </w:rPr>
                      <w:t>１７</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5E2FA">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12700" b="1270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wps:spPr>
                    <wps:txbx>
                      <w:txbxContent>
                        <w:p w14:paraId="3D77F771">
                          <w:pPr>
                            <w:pStyle w:val="26"/>
                          </w:pPr>
                          <w:r>
                            <w:fldChar w:fldCharType="begin"/>
                          </w:r>
                          <w:r>
                            <w:instrText xml:space="preserve"> PAGE  \* MERGEFORMAT </w:instrText>
                          </w:r>
                          <w:r>
                            <w:fldChar w:fldCharType="separate"/>
                          </w:r>
                          <w:r>
                            <w:rPr>
                              <w:rFonts w:hint="eastAsia"/>
                            </w:rPr>
                            <w:t>１</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nKAz0QAAAAMBAAAPAAAAAAAAAAEAIAAAACIAAABkcnMvZG93bnJldi54bWxQSwECFAAU&#10;AAAACACHTuJAwnHTsDECAABTBAAADgAAAAAAAAABACAAAAAgAQAAZHJzL2Uyb0RvYy54bWxQSwUG&#10;AAAAAAYABgBZAQAAwwUAAAAA&#10;">
              <v:fill on="f" focussize="0,0"/>
              <v:stroke on="f" weight="0.5pt"/>
              <v:imagedata o:title=""/>
              <o:lock v:ext="edit" aspectratio="f"/>
              <v:textbox inset="0mm,0mm,0mm,0mm" style="mso-fit-shape-to-text:t;">
                <w:txbxContent>
                  <w:p w14:paraId="3D77F771">
                    <w:pPr>
                      <w:pStyle w:val="26"/>
                    </w:pPr>
                    <w:r>
                      <w:fldChar w:fldCharType="begin"/>
                    </w:r>
                    <w:r>
                      <w:instrText xml:space="preserve"> PAGE  \* MERGEFORMAT </w:instrText>
                    </w:r>
                    <w:r>
                      <w:fldChar w:fldCharType="separate"/>
                    </w:r>
                    <w:r>
                      <w:rPr>
                        <w:rFonts w:hint="eastAsia"/>
                      </w:rPr>
                      <w:t>１</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7E42">
    <w:pPr>
      <w:pStyle w:val="26"/>
      <w:framePr w:wrap="around" w:vAnchor="text" w:hAnchor="margin" w:xAlign="center" w:y="1"/>
      <w:rPr>
        <w:rStyle w:val="48"/>
      </w:rPr>
    </w:pPr>
    <w:r>
      <w:fldChar w:fldCharType="begin"/>
    </w:r>
    <w:r>
      <w:rPr>
        <w:rStyle w:val="48"/>
      </w:rPr>
      <w:instrText xml:space="preserve">PAGE  </w:instrText>
    </w:r>
    <w:r>
      <w:fldChar w:fldCharType="end"/>
    </w:r>
  </w:p>
  <w:p w14:paraId="19DB0FE4">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CA2C">
    <w:pPr>
      <w:pStyle w:val="26"/>
      <w:framePr w:wrap="around" w:vAnchor="text" w:hAnchor="margin" w:xAlign="right" w:y="1"/>
      <w:rPr>
        <w:rStyle w:val="48"/>
      </w:rPr>
    </w:pPr>
    <w:r>
      <w:fldChar w:fldCharType="begin"/>
    </w:r>
    <w:r>
      <w:rPr>
        <w:rStyle w:val="48"/>
      </w:rPr>
      <w:instrText xml:space="preserve">PAGE  </w:instrText>
    </w:r>
    <w:r>
      <w:fldChar w:fldCharType="end"/>
    </w:r>
  </w:p>
  <w:p w14:paraId="0635CCF1">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122C">
    <w:pPr>
      <w:pStyle w:val="26"/>
      <w:framePr w:wrap="around" w:vAnchor="text" w:hAnchor="margin" w:xAlign="right" w:y="1"/>
      <w:rPr>
        <w:rStyle w:val="48"/>
      </w:rPr>
    </w:pPr>
    <w:r>
      <w:fldChar w:fldCharType="begin"/>
    </w:r>
    <w:r>
      <w:rPr>
        <w:rStyle w:val="48"/>
      </w:rPr>
      <w:instrText xml:space="preserve">PAGE  </w:instrText>
    </w:r>
    <w:r>
      <w:fldChar w:fldCharType="end"/>
    </w:r>
  </w:p>
  <w:p w14:paraId="68FDFAA9">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55CDA">
    <w:pPr>
      <w:spacing w:line="480" w:lineRule="auto"/>
      <w:ind w:right="-27" w:rightChars="-1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CA899"/>
    <w:multiLevelType w:val="singleLevel"/>
    <w:tmpl w:val="99DCA899"/>
    <w:lvl w:ilvl="0" w:tentative="0">
      <w:start w:val="5"/>
      <w:numFmt w:val="chineseCounting"/>
      <w:suff w:val="space"/>
      <w:lvlText w:val="第%1章"/>
      <w:lvlJc w:val="left"/>
      <w:rPr>
        <w:rFonts w:hint="eastAsia"/>
      </w:rPr>
    </w:lvl>
  </w:abstractNum>
  <w:abstractNum w:abstractNumId="1">
    <w:nsid w:val="F45FE21A"/>
    <w:multiLevelType w:val="singleLevel"/>
    <w:tmpl w:val="F45FE21A"/>
    <w:lvl w:ilvl="0" w:tentative="0">
      <w:start w:val="1"/>
      <w:numFmt w:val="decimal"/>
      <w:suff w:val="nothing"/>
      <w:lvlText w:val="%1、"/>
      <w:lvlJc w:val="left"/>
    </w:lvl>
  </w:abstractNum>
  <w:abstractNum w:abstractNumId="2">
    <w:nsid w:val="2472CD72"/>
    <w:multiLevelType w:val="singleLevel"/>
    <w:tmpl w:val="2472CD72"/>
    <w:lvl w:ilvl="0" w:tentative="0">
      <w:start w:val="1"/>
      <w:numFmt w:val="decimal"/>
      <w:lvlText w:val="%1."/>
      <w:lvlJc w:val="left"/>
      <w:pPr>
        <w:ind w:left="425" w:hanging="425"/>
      </w:pPr>
      <w:rPr>
        <w:rFonts w:hint="default"/>
      </w:rPr>
    </w:lvl>
  </w:abstractNum>
  <w:abstractNum w:abstractNumId="3">
    <w:nsid w:val="4BA68184"/>
    <w:multiLevelType w:val="singleLevel"/>
    <w:tmpl w:val="4BA68184"/>
    <w:lvl w:ilvl="0" w:tentative="0">
      <w:start w:val="1"/>
      <w:numFmt w:val="decimal"/>
      <w:lvlText w:val="%1."/>
      <w:lvlJc w:val="left"/>
      <w:pPr>
        <w:ind w:left="425" w:hanging="425"/>
      </w:pPr>
      <w:rPr>
        <w:rFonts w:hint="default" w:cs="Times New Roman"/>
      </w:rPr>
    </w:lvl>
  </w:abstractNum>
  <w:abstractNum w:abstractNumId="4">
    <w:nsid w:val="775A7BD6"/>
    <w:multiLevelType w:val="multilevel"/>
    <w:tmpl w:val="775A7BD6"/>
    <w:lvl w:ilvl="0" w:tentative="0">
      <w:start w:val="1"/>
      <w:numFmt w:val="decimal"/>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39B"/>
    <w:rsid w:val="00000B36"/>
    <w:rsid w:val="00001AF8"/>
    <w:rsid w:val="000029C0"/>
    <w:rsid w:val="000040B1"/>
    <w:rsid w:val="00004836"/>
    <w:rsid w:val="0000726E"/>
    <w:rsid w:val="0000732D"/>
    <w:rsid w:val="00007362"/>
    <w:rsid w:val="00012678"/>
    <w:rsid w:val="000142A2"/>
    <w:rsid w:val="00015513"/>
    <w:rsid w:val="00017346"/>
    <w:rsid w:val="00017C44"/>
    <w:rsid w:val="000218A8"/>
    <w:rsid w:val="00021A95"/>
    <w:rsid w:val="0002248C"/>
    <w:rsid w:val="000237DA"/>
    <w:rsid w:val="00023BC8"/>
    <w:rsid w:val="00023C5F"/>
    <w:rsid w:val="00023F2F"/>
    <w:rsid w:val="000252B1"/>
    <w:rsid w:val="00026EE9"/>
    <w:rsid w:val="0003072E"/>
    <w:rsid w:val="000307C9"/>
    <w:rsid w:val="00032369"/>
    <w:rsid w:val="00032FEC"/>
    <w:rsid w:val="00033B53"/>
    <w:rsid w:val="000366D2"/>
    <w:rsid w:val="00037CAD"/>
    <w:rsid w:val="00041550"/>
    <w:rsid w:val="000439C2"/>
    <w:rsid w:val="00043B9F"/>
    <w:rsid w:val="00044F74"/>
    <w:rsid w:val="00052CC7"/>
    <w:rsid w:val="00053B3F"/>
    <w:rsid w:val="00055CB5"/>
    <w:rsid w:val="00056B5A"/>
    <w:rsid w:val="00057893"/>
    <w:rsid w:val="00057F6B"/>
    <w:rsid w:val="0006067C"/>
    <w:rsid w:val="00060758"/>
    <w:rsid w:val="0006261A"/>
    <w:rsid w:val="000629A6"/>
    <w:rsid w:val="00066109"/>
    <w:rsid w:val="00066524"/>
    <w:rsid w:val="00070024"/>
    <w:rsid w:val="000741E5"/>
    <w:rsid w:val="00074567"/>
    <w:rsid w:val="0007512E"/>
    <w:rsid w:val="00075873"/>
    <w:rsid w:val="00086405"/>
    <w:rsid w:val="00092B89"/>
    <w:rsid w:val="000943B4"/>
    <w:rsid w:val="00094580"/>
    <w:rsid w:val="000945D6"/>
    <w:rsid w:val="000949E1"/>
    <w:rsid w:val="00095054"/>
    <w:rsid w:val="00096532"/>
    <w:rsid w:val="00097AB9"/>
    <w:rsid w:val="000A00B0"/>
    <w:rsid w:val="000A08D4"/>
    <w:rsid w:val="000A191C"/>
    <w:rsid w:val="000A2227"/>
    <w:rsid w:val="000A3598"/>
    <w:rsid w:val="000A4621"/>
    <w:rsid w:val="000A5B8A"/>
    <w:rsid w:val="000A69B0"/>
    <w:rsid w:val="000A7572"/>
    <w:rsid w:val="000A78C3"/>
    <w:rsid w:val="000B3528"/>
    <w:rsid w:val="000B4428"/>
    <w:rsid w:val="000B710A"/>
    <w:rsid w:val="000C09D0"/>
    <w:rsid w:val="000C48AE"/>
    <w:rsid w:val="000C4B92"/>
    <w:rsid w:val="000C4B96"/>
    <w:rsid w:val="000C5F51"/>
    <w:rsid w:val="000C69FC"/>
    <w:rsid w:val="000D10BB"/>
    <w:rsid w:val="000D2726"/>
    <w:rsid w:val="000D2C60"/>
    <w:rsid w:val="000D489A"/>
    <w:rsid w:val="000D51EE"/>
    <w:rsid w:val="000D531B"/>
    <w:rsid w:val="000D5FF5"/>
    <w:rsid w:val="000D67CD"/>
    <w:rsid w:val="000E0000"/>
    <w:rsid w:val="000E170E"/>
    <w:rsid w:val="000E2329"/>
    <w:rsid w:val="000E425D"/>
    <w:rsid w:val="000E69CE"/>
    <w:rsid w:val="000F069C"/>
    <w:rsid w:val="000F2CC9"/>
    <w:rsid w:val="000F2E67"/>
    <w:rsid w:val="000F2F19"/>
    <w:rsid w:val="000F59C9"/>
    <w:rsid w:val="000F7FD4"/>
    <w:rsid w:val="00100EF2"/>
    <w:rsid w:val="0010263A"/>
    <w:rsid w:val="00102748"/>
    <w:rsid w:val="00103999"/>
    <w:rsid w:val="001071B1"/>
    <w:rsid w:val="0011189D"/>
    <w:rsid w:val="00111FFC"/>
    <w:rsid w:val="001121FE"/>
    <w:rsid w:val="00114354"/>
    <w:rsid w:val="0011475A"/>
    <w:rsid w:val="0011796B"/>
    <w:rsid w:val="00121F17"/>
    <w:rsid w:val="0012407D"/>
    <w:rsid w:val="00124E31"/>
    <w:rsid w:val="00125010"/>
    <w:rsid w:val="0012597E"/>
    <w:rsid w:val="00125D4D"/>
    <w:rsid w:val="00130449"/>
    <w:rsid w:val="001306E6"/>
    <w:rsid w:val="00130FDC"/>
    <w:rsid w:val="00131A4B"/>
    <w:rsid w:val="00131D9A"/>
    <w:rsid w:val="00132C4D"/>
    <w:rsid w:val="00135CC2"/>
    <w:rsid w:val="00136DA5"/>
    <w:rsid w:val="00137561"/>
    <w:rsid w:val="001377DC"/>
    <w:rsid w:val="00140397"/>
    <w:rsid w:val="00141360"/>
    <w:rsid w:val="00143D0B"/>
    <w:rsid w:val="00144236"/>
    <w:rsid w:val="00146DA8"/>
    <w:rsid w:val="001518AE"/>
    <w:rsid w:val="001535C4"/>
    <w:rsid w:val="00153912"/>
    <w:rsid w:val="00154EE4"/>
    <w:rsid w:val="001619CB"/>
    <w:rsid w:val="001624B0"/>
    <w:rsid w:val="001626FF"/>
    <w:rsid w:val="00164420"/>
    <w:rsid w:val="0016479E"/>
    <w:rsid w:val="00165553"/>
    <w:rsid w:val="00165D45"/>
    <w:rsid w:val="00166936"/>
    <w:rsid w:val="0016756D"/>
    <w:rsid w:val="0017296C"/>
    <w:rsid w:val="00172A27"/>
    <w:rsid w:val="0017395B"/>
    <w:rsid w:val="00177F6A"/>
    <w:rsid w:val="001807F9"/>
    <w:rsid w:val="00180E86"/>
    <w:rsid w:val="00181A1C"/>
    <w:rsid w:val="00182E57"/>
    <w:rsid w:val="00183172"/>
    <w:rsid w:val="00183357"/>
    <w:rsid w:val="0018414D"/>
    <w:rsid w:val="00184B4E"/>
    <w:rsid w:val="00185AEE"/>
    <w:rsid w:val="001867A1"/>
    <w:rsid w:val="00187249"/>
    <w:rsid w:val="001877FE"/>
    <w:rsid w:val="00190FFF"/>
    <w:rsid w:val="00191405"/>
    <w:rsid w:val="00191DFD"/>
    <w:rsid w:val="00191FC5"/>
    <w:rsid w:val="00192532"/>
    <w:rsid w:val="00195E83"/>
    <w:rsid w:val="001A4FA0"/>
    <w:rsid w:val="001A5064"/>
    <w:rsid w:val="001A64F9"/>
    <w:rsid w:val="001A7593"/>
    <w:rsid w:val="001B1C24"/>
    <w:rsid w:val="001B2649"/>
    <w:rsid w:val="001B30A1"/>
    <w:rsid w:val="001B41B6"/>
    <w:rsid w:val="001B54F7"/>
    <w:rsid w:val="001B55FC"/>
    <w:rsid w:val="001B6A4E"/>
    <w:rsid w:val="001C1D33"/>
    <w:rsid w:val="001C2EF0"/>
    <w:rsid w:val="001C4278"/>
    <w:rsid w:val="001C6076"/>
    <w:rsid w:val="001C6751"/>
    <w:rsid w:val="001D2EAD"/>
    <w:rsid w:val="001D3AAE"/>
    <w:rsid w:val="001D46A4"/>
    <w:rsid w:val="001D5646"/>
    <w:rsid w:val="001D6806"/>
    <w:rsid w:val="001D6EF8"/>
    <w:rsid w:val="001D74AF"/>
    <w:rsid w:val="001E047F"/>
    <w:rsid w:val="001E095A"/>
    <w:rsid w:val="001E0E47"/>
    <w:rsid w:val="001E3611"/>
    <w:rsid w:val="001E4237"/>
    <w:rsid w:val="001E5C9A"/>
    <w:rsid w:val="001E787C"/>
    <w:rsid w:val="001F067D"/>
    <w:rsid w:val="001F1C0E"/>
    <w:rsid w:val="001F251C"/>
    <w:rsid w:val="001F28D4"/>
    <w:rsid w:val="001F2FD3"/>
    <w:rsid w:val="001F6BBE"/>
    <w:rsid w:val="001F79D2"/>
    <w:rsid w:val="00201098"/>
    <w:rsid w:val="002027CC"/>
    <w:rsid w:val="002058E6"/>
    <w:rsid w:val="00207EE9"/>
    <w:rsid w:val="0021022E"/>
    <w:rsid w:val="00210B32"/>
    <w:rsid w:val="0021136B"/>
    <w:rsid w:val="00212923"/>
    <w:rsid w:val="00213CE1"/>
    <w:rsid w:val="0021552D"/>
    <w:rsid w:val="00216C08"/>
    <w:rsid w:val="00217509"/>
    <w:rsid w:val="00217A64"/>
    <w:rsid w:val="00220244"/>
    <w:rsid w:val="00220972"/>
    <w:rsid w:val="00221E07"/>
    <w:rsid w:val="002229FF"/>
    <w:rsid w:val="00222D99"/>
    <w:rsid w:val="00222D9B"/>
    <w:rsid w:val="00225586"/>
    <w:rsid w:val="00225F3A"/>
    <w:rsid w:val="002260C9"/>
    <w:rsid w:val="00230C2D"/>
    <w:rsid w:val="002353E5"/>
    <w:rsid w:val="002370E7"/>
    <w:rsid w:val="00242F8A"/>
    <w:rsid w:val="00242FCD"/>
    <w:rsid w:val="002432B9"/>
    <w:rsid w:val="00243818"/>
    <w:rsid w:val="00243F3C"/>
    <w:rsid w:val="00244624"/>
    <w:rsid w:val="0024623A"/>
    <w:rsid w:val="00250008"/>
    <w:rsid w:val="002538C5"/>
    <w:rsid w:val="00255EC9"/>
    <w:rsid w:val="00256ABB"/>
    <w:rsid w:val="00256BDF"/>
    <w:rsid w:val="00257AFF"/>
    <w:rsid w:val="00262A7D"/>
    <w:rsid w:val="0026324B"/>
    <w:rsid w:val="00263811"/>
    <w:rsid w:val="00263B38"/>
    <w:rsid w:val="00264998"/>
    <w:rsid w:val="00264D82"/>
    <w:rsid w:val="00265356"/>
    <w:rsid w:val="00270DEB"/>
    <w:rsid w:val="00271B07"/>
    <w:rsid w:val="00275660"/>
    <w:rsid w:val="002779F3"/>
    <w:rsid w:val="002808AA"/>
    <w:rsid w:val="002808F4"/>
    <w:rsid w:val="0028313A"/>
    <w:rsid w:val="0028372C"/>
    <w:rsid w:val="00284479"/>
    <w:rsid w:val="0028775A"/>
    <w:rsid w:val="002944EB"/>
    <w:rsid w:val="00294C76"/>
    <w:rsid w:val="00296B82"/>
    <w:rsid w:val="00297414"/>
    <w:rsid w:val="002A0FE6"/>
    <w:rsid w:val="002A1776"/>
    <w:rsid w:val="002A3236"/>
    <w:rsid w:val="002A5317"/>
    <w:rsid w:val="002A689C"/>
    <w:rsid w:val="002A69C7"/>
    <w:rsid w:val="002A6A62"/>
    <w:rsid w:val="002A7541"/>
    <w:rsid w:val="002B010F"/>
    <w:rsid w:val="002B0836"/>
    <w:rsid w:val="002B1EA6"/>
    <w:rsid w:val="002B2717"/>
    <w:rsid w:val="002B3395"/>
    <w:rsid w:val="002B5042"/>
    <w:rsid w:val="002B6182"/>
    <w:rsid w:val="002B66FF"/>
    <w:rsid w:val="002B747A"/>
    <w:rsid w:val="002C0866"/>
    <w:rsid w:val="002C0D87"/>
    <w:rsid w:val="002C1DE8"/>
    <w:rsid w:val="002C212E"/>
    <w:rsid w:val="002C52CE"/>
    <w:rsid w:val="002C58E5"/>
    <w:rsid w:val="002D063C"/>
    <w:rsid w:val="002D074F"/>
    <w:rsid w:val="002D4C90"/>
    <w:rsid w:val="002D5D38"/>
    <w:rsid w:val="002D6B1C"/>
    <w:rsid w:val="002D78E7"/>
    <w:rsid w:val="002D7B41"/>
    <w:rsid w:val="002E0E8A"/>
    <w:rsid w:val="002E2344"/>
    <w:rsid w:val="002E328F"/>
    <w:rsid w:val="002E404E"/>
    <w:rsid w:val="002E4A25"/>
    <w:rsid w:val="002E5359"/>
    <w:rsid w:val="002E584A"/>
    <w:rsid w:val="002F007B"/>
    <w:rsid w:val="002F35BE"/>
    <w:rsid w:val="002F51F1"/>
    <w:rsid w:val="002F5549"/>
    <w:rsid w:val="002F5956"/>
    <w:rsid w:val="002F5BE8"/>
    <w:rsid w:val="002F7979"/>
    <w:rsid w:val="00300C32"/>
    <w:rsid w:val="003038D3"/>
    <w:rsid w:val="003046B6"/>
    <w:rsid w:val="0030610D"/>
    <w:rsid w:val="0030640E"/>
    <w:rsid w:val="0030664A"/>
    <w:rsid w:val="00307B61"/>
    <w:rsid w:val="00310C45"/>
    <w:rsid w:val="00310E36"/>
    <w:rsid w:val="00311A4A"/>
    <w:rsid w:val="0031245A"/>
    <w:rsid w:val="00312A71"/>
    <w:rsid w:val="00313E02"/>
    <w:rsid w:val="00315449"/>
    <w:rsid w:val="00315E83"/>
    <w:rsid w:val="00317FAB"/>
    <w:rsid w:val="0032053D"/>
    <w:rsid w:val="003230C5"/>
    <w:rsid w:val="00323886"/>
    <w:rsid w:val="00325677"/>
    <w:rsid w:val="003258F2"/>
    <w:rsid w:val="00326A22"/>
    <w:rsid w:val="00326A29"/>
    <w:rsid w:val="00330A09"/>
    <w:rsid w:val="003312F7"/>
    <w:rsid w:val="00341171"/>
    <w:rsid w:val="00342C87"/>
    <w:rsid w:val="00343045"/>
    <w:rsid w:val="00343572"/>
    <w:rsid w:val="00344F60"/>
    <w:rsid w:val="00344FE8"/>
    <w:rsid w:val="0034559F"/>
    <w:rsid w:val="00345AA9"/>
    <w:rsid w:val="00347686"/>
    <w:rsid w:val="00347907"/>
    <w:rsid w:val="0035115B"/>
    <w:rsid w:val="00351F5A"/>
    <w:rsid w:val="003523A1"/>
    <w:rsid w:val="003544BF"/>
    <w:rsid w:val="00356CE8"/>
    <w:rsid w:val="00357110"/>
    <w:rsid w:val="0036068A"/>
    <w:rsid w:val="00361819"/>
    <w:rsid w:val="00365779"/>
    <w:rsid w:val="00367EF2"/>
    <w:rsid w:val="00372ED9"/>
    <w:rsid w:val="00375A66"/>
    <w:rsid w:val="00377194"/>
    <w:rsid w:val="0038136B"/>
    <w:rsid w:val="003828F0"/>
    <w:rsid w:val="00382E4C"/>
    <w:rsid w:val="00383B93"/>
    <w:rsid w:val="00384653"/>
    <w:rsid w:val="003851CC"/>
    <w:rsid w:val="00385F32"/>
    <w:rsid w:val="003876B4"/>
    <w:rsid w:val="00390411"/>
    <w:rsid w:val="00390459"/>
    <w:rsid w:val="00390DCA"/>
    <w:rsid w:val="00391F97"/>
    <w:rsid w:val="00392F3E"/>
    <w:rsid w:val="003945A2"/>
    <w:rsid w:val="00395B4C"/>
    <w:rsid w:val="0039742C"/>
    <w:rsid w:val="003979A4"/>
    <w:rsid w:val="003A185F"/>
    <w:rsid w:val="003A208E"/>
    <w:rsid w:val="003A4549"/>
    <w:rsid w:val="003A6D05"/>
    <w:rsid w:val="003B5F34"/>
    <w:rsid w:val="003B7064"/>
    <w:rsid w:val="003B7642"/>
    <w:rsid w:val="003C326B"/>
    <w:rsid w:val="003C5558"/>
    <w:rsid w:val="003D015D"/>
    <w:rsid w:val="003D0577"/>
    <w:rsid w:val="003D0B06"/>
    <w:rsid w:val="003D0F8A"/>
    <w:rsid w:val="003D3C1C"/>
    <w:rsid w:val="003D3D48"/>
    <w:rsid w:val="003D4558"/>
    <w:rsid w:val="003D56F5"/>
    <w:rsid w:val="003D643C"/>
    <w:rsid w:val="003D72C3"/>
    <w:rsid w:val="003E0DC3"/>
    <w:rsid w:val="003E35BB"/>
    <w:rsid w:val="003E3E4E"/>
    <w:rsid w:val="003E73BE"/>
    <w:rsid w:val="003E781F"/>
    <w:rsid w:val="003F3EFF"/>
    <w:rsid w:val="003F438C"/>
    <w:rsid w:val="003F54AE"/>
    <w:rsid w:val="003F58CF"/>
    <w:rsid w:val="003F603E"/>
    <w:rsid w:val="003F7F58"/>
    <w:rsid w:val="00400063"/>
    <w:rsid w:val="004014D6"/>
    <w:rsid w:val="00403E1B"/>
    <w:rsid w:val="004052BB"/>
    <w:rsid w:val="004055FC"/>
    <w:rsid w:val="00411C73"/>
    <w:rsid w:val="00411DA6"/>
    <w:rsid w:val="00415661"/>
    <w:rsid w:val="00415D27"/>
    <w:rsid w:val="00420A08"/>
    <w:rsid w:val="00421D53"/>
    <w:rsid w:val="004221F5"/>
    <w:rsid w:val="004239EC"/>
    <w:rsid w:val="00424EA3"/>
    <w:rsid w:val="00426EB0"/>
    <w:rsid w:val="0042724F"/>
    <w:rsid w:val="0043084C"/>
    <w:rsid w:val="00430922"/>
    <w:rsid w:val="00431F86"/>
    <w:rsid w:val="0043225C"/>
    <w:rsid w:val="0043319B"/>
    <w:rsid w:val="00433F85"/>
    <w:rsid w:val="004350D0"/>
    <w:rsid w:val="004355D0"/>
    <w:rsid w:val="00437242"/>
    <w:rsid w:val="00437D4F"/>
    <w:rsid w:val="00437F67"/>
    <w:rsid w:val="00440B31"/>
    <w:rsid w:val="00441D27"/>
    <w:rsid w:val="004440F9"/>
    <w:rsid w:val="00444BDC"/>
    <w:rsid w:val="00446C56"/>
    <w:rsid w:val="0044715A"/>
    <w:rsid w:val="00450FF1"/>
    <w:rsid w:val="00452517"/>
    <w:rsid w:val="004528C2"/>
    <w:rsid w:val="00454078"/>
    <w:rsid w:val="0045446D"/>
    <w:rsid w:val="004556B0"/>
    <w:rsid w:val="004579FB"/>
    <w:rsid w:val="004626B2"/>
    <w:rsid w:val="00464504"/>
    <w:rsid w:val="00465AB1"/>
    <w:rsid w:val="00470EB4"/>
    <w:rsid w:val="00471DC1"/>
    <w:rsid w:val="0047350E"/>
    <w:rsid w:val="00474D46"/>
    <w:rsid w:val="00481788"/>
    <w:rsid w:val="00481D54"/>
    <w:rsid w:val="0048257B"/>
    <w:rsid w:val="00482626"/>
    <w:rsid w:val="00484228"/>
    <w:rsid w:val="00484708"/>
    <w:rsid w:val="004859E2"/>
    <w:rsid w:val="00485BB1"/>
    <w:rsid w:val="00486087"/>
    <w:rsid w:val="00487B8C"/>
    <w:rsid w:val="00491666"/>
    <w:rsid w:val="00491A82"/>
    <w:rsid w:val="00492258"/>
    <w:rsid w:val="004A13A8"/>
    <w:rsid w:val="004A4253"/>
    <w:rsid w:val="004A55D2"/>
    <w:rsid w:val="004A5DEA"/>
    <w:rsid w:val="004A728F"/>
    <w:rsid w:val="004A73CD"/>
    <w:rsid w:val="004B35E9"/>
    <w:rsid w:val="004B4CE4"/>
    <w:rsid w:val="004B588D"/>
    <w:rsid w:val="004C06AB"/>
    <w:rsid w:val="004C6C63"/>
    <w:rsid w:val="004D0A97"/>
    <w:rsid w:val="004D2767"/>
    <w:rsid w:val="004D2B11"/>
    <w:rsid w:val="004D398D"/>
    <w:rsid w:val="004D45CD"/>
    <w:rsid w:val="004D54F9"/>
    <w:rsid w:val="004D555F"/>
    <w:rsid w:val="004D77F2"/>
    <w:rsid w:val="004E23A9"/>
    <w:rsid w:val="004E2963"/>
    <w:rsid w:val="004E2A1A"/>
    <w:rsid w:val="004E44BD"/>
    <w:rsid w:val="004E4A81"/>
    <w:rsid w:val="004E6856"/>
    <w:rsid w:val="004E77F6"/>
    <w:rsid w:val="004E7866"/>
    <w:rsid w:val="004F07DC"/>
    <w:rsid w:val="004F164A"/>
    <w:rsid w:val="004F2760"/>
    <w:rsid w:val="004F4ED6"/>
    <w:rsid w:val="004F750C"/>
    <w:rsid w:val="004F7542"/>
    <w:rsid w:val="005008BA"/>
    <w:rsid w:val="00501DC5"/>
    <w:rsid w:val="00505A65"/>
    <w:rsid w:val="00506307"/>
    <w:rsid w:val="00507662"/>
    <w:rsid w:val="005109D0"/>
    <w:rsid w:val="00512ADB"/>
    <w:rsid w:val="005155EC"/>
    <w:rsid w:val="0051583F"/>
    <w:rsid w:val="005174E7"/>
    <w:rsid w:val="00520110"/>
    <w:rsid w:val="00523A22"/>
    <w:rsid w:val="0052499D"/>
    <w:rsid w:val="005252C1"/>
    <w:rsid w:val="005265A6"/>
    <w:rsid w:val="005265F8"/>
    <w:rsid w:val="00526ED8"/>
    <w:rsid w:val="0053602D"/>
    <w:rsid w:val="0053607B"/>
    <w:rsid w:val="005366B5"/>
    <w:rsid w:val="00542FA7"/>
    <w:rsid w:val="00543E1D"/>
    <w:rsid w:val="005447A5"/>
    <w:rsid w:val="00544E3C"/>
    <w:rsid w:val="00546228"/>
    <w:rsid w:val="00546853"/>
    <w:rsid w:val="00547199"/>
    <w:rsid w:val="00547771"/>
    <w:rsid w:val="0055069D"/>
    <w:rsid w:val="00555A66"/>
    <w:rsid w:val="0055625D"/>
    <w:rsid w:val="005604C2"/>
    <w:rsid w:val="00561727"/>
    <w:rsid w:val="005617CD"/>
    <w:rsid w:val="005649ED"/>
    <w:rsid w:val="005662DC"/>
    <w:rsid w:val="00567E17"/>
    <w:rsid w:val="005708E3"/>
    <w:rsid w:val="00572ECA"/>
    <w:rsid w:val="005749CA"/>
    <w:rsid w:val="0057501E"/>
    <w:rsid w:val="00575457"/>
    <w:rsid w:val="005756D7"/>
    <w:rsid w:val="00575F2C"/>
    <w:rsid w:val="00577525"/>
    <w:rsid w:val="00577598"/>
    <w:rsid w:val="005807D5"/>
    <w:rsid w:val="00581219"/>
    <w:rsid w:val="00581280"/>
    <w:rsid w:val="00581911"/>
    <w:rsid w:val="00582B85"/>
    <w:rsid w:val="00582F15"/>
    <w:rsid w:val="00585448"/>
    <w:rsid w:val="00585FA1"/>
    <w:rsid w:val="0059051F"/>
    <w:rsid w:val="005916FB"/>
    <w:rsid w:val="00591F3A"/>
    <w:rsid w:val="00593631"/>
    <w:rsid w:val="0059383E"/>
    <w:rsid w:val="00594AB0"/>
    <w:rsid w:val="00596726"/>
    <w:rsid w:val="005967D3"/>
    <w:rsid w:val="00596F14"/>
    <w:rsid w:val="005A19B8"/>
    <w:rsid w:val="005A2B62"/>
    <w:rsid w:val="005A318D"/>
    <w:rsid w:val="005A42FF"/>
    <w:rsid w:val="005A50FF"/>
    <w:rsid w:val="005A7307"/>
    <w:rsid w:val="005A7960"/>
    <w:rsid w:val="005B1E24"/>
    <w:rsid w:val="005B1FB5"/>
    <w:rsid w:val="005B3FD3"/>
    <w:rsid w:val="005B4EBE"/>
    <w:rsid w:val="005B5F0B"/>
    <w:rsid w:val="005C1698"/>
    <w:rsid w:val="005C1B07"/>
    <w:rsid w:val="005C1F51"/>
    <w:rsid w:val="005C2E0C"/>
    <w:rsid w:val="005C4B0C"/>
    <w:rsid w:val="005C75F8"/>
    <w:rsid w:val="005C7E65"/>
    <w:rsid w:val="005D00A4"/>
    <w:rsid w:val="005D0B18"/>
    <w:rsid w:val="005D2351"/>
    <w:rsid w:val="005D39AD"/>
    <w:rsid w:val="005D4A72"/>
    <w:rsid w:val="005D52B7"/>
    <w:rsid w:val="005D5FD1"/>
    <w:rsid w:val="005D660E"/>
    <w:rsid w:val="005D661D"/>
    <w:rsid w:val="005E1832"/>
    <w:rsid w:val="005E1BF1"/>
    <w:rsid w:val="005E378E"/>
    <w:rsid w:val="005E5BDC"/>
    <w:rsid w:val="005E61B9"/>
    <w:rsid w:val="005E6809"/>
    <w:rsid w:val="005E7897"/>
    <w:rsid w:val="005F3078"/>
    <w:rsid w:val="005F38FF"/>
    <w:rsid w:val="005F5379"/>
    <w:rsid w:val="005F58D0"/>
    <w:rsid w:val="005F7437"/>
    <w:rsid w:val="005F7454"/>
    <w:rsid w:val="00600259"/>
    <w:rsid w:val="0060032F"/>
    <w:rsid w:val="00600D1D"/>
    <w:rsid w:val="00601DE6"/>
    <w:rsid w:val="00602C07"/>
    <w:rsid w:val="00602FFA"/>
    <w:rsid w:val="0060332F"/>
    <w:rsid w:val="00603ED8"/>
    <w:rsid w:val="006048C9"/>
    <w:rsid w:val="0060554F"/>
    <w:rsid w:val="006064A2"/>
    <w:rsid w:val="006065EB"/>
    <w:rsid w:val="006076A1"/>
    <w:rsid w:val="00607A10"/>
    <w:rsid w:val="0061132F"/>
    <w:rsid w:val="006115FA"/>
    <w:rsid w:val="00612895"/>
    <w:rsid w:val="00612A68"/>
    <w:rsid w:val="00613565"/>
    <w:rsid w:val="00613B09"/>
    <w:rsid w:val="00614041"/>
    <w:rsid w:val="006140CE"/>
    <w:rsid w:val="00614FCC"/>
    <w:rsid w:val="00615169"/>
    <w:rsid w:val="00615419"/>
    <w:rsid w:val="00617034"/>
    <w:rsid w:val="00621425"/>
    <w:rsid w:val="006226DE"/>
    <w:rsid w:val="00624F93"/>
    <w:rsid w:val="00625F27"/>
    <w:rsid w:val="006274AE"/>
    <w:rsid w:val="00627B15"/>
    <w:rsid w:val="00630BAF"/>
    <w:rsid w:val="0063351B"/>
    <w:rsid w:val="00634E32"/>
    <w:rsid w:val="006356CF"/>
    <w:rsid w:val="006359A2"/>
    <w:rsid w:val="00636C93"/>
    <w:rsid w:val="006407AF"/>
    <w:rsid w:val="00641835"/>
    <w:rsid w:val="006424B9"/>
    <w:rsid w:val="006424F5"/>
    <w:rsid w:val="00642861"/>
    <w:rsid w:val="0064418B"/>
    <w:rsid w:val="0064434C"/>
    <w:rsid w:val="0064551E"/>
    <w:rsid w:val="00645E8B"/>
    <w:rsid w:val="00646B3D"/>
    <w:rsid w:val="006475F2"/>
    <w:rsid w:val="00650D87"/>
    <w:rsid w:val="00650FEC"/>
    <w:rsid w:val="00651432"/>
    <w:rsid w:val="00651CD1"/>
    <w:rsid w:val="00651EF2"/>
    <w:rsid w:val="006526F8"/>
    <w:rsid w:val="00654D29"/>
    <w:rsid w:val="006555A3"/>
    <w:rsid w:val="00661D3C"/>
    <w:rsid w:val="00661E9E"/>
    <w:rsid w:val="00662E9A"/>
    <w:rsid w:val="00665011"/>
    <w:rsid w:val="006653BC"/>
    <w:rsid w:val="00666B99"/>
    <w:rsid w:val="00667094"/>
    <w:rsid w:val="006672C7"/>
    <w:rsid w:val="006720B5"/>
    <w:rsid w:val="006723E4"/>
    <w:rsid w:val="00673898"/>
    <w:rsid w:val="00675EB2"/>
    <w:rsid w:val="0067691E"/>
    <w:rsid w:val="006773E1"/>
    <w:rsid w:val="00677812"/>
    <w:rsid w:val="00677832"/>
    <w:rsid w:val="00677FB5"/>
    <w:rsid w:val="00681B63"/>
    <w:rsid w:val="00683AA5"/>
    <w:rsid w:val="00684236"/>
    <w:rsid w:val="0068642A"/>
    <w:rsid w:val="0068665F"/>
    <w:rsid w:val="006902BD"/>
    <w:rsid w:val="0069239B"/>
    <w:rsid w:val="00692DAC"/>
    <w:rsid w:val="00693EA5"/>
    <w:rsid w:val="00694BB6"/>
    <w:rsid w:val="00695BE6"/>
    <w:rsid w:val="00695FCF"/>
    <w:rsid w:val="0069695B"/>
    <w:rsid w:val="00696E4B"/>
    <w:rsid w:val="00697417"/>
    <w:rsid w:val="006A08A9"/>
    <w:rsid w:val="006A1CCF"/>
    <w:rsid w:val="006A1E9B"/>
    <w:rsid w:val="006A5F38"/>
    <w:rsid w:val="006A6972"/>
    <w:rsid w:val="006B02BD"/>
    <w:rsid w:val="006B12A8"/>
    <w:rsid w:val="006B1E24"/>
    <w:rsid w:val="006B4609"/>
    <w:rsid w:val="006B4E04"/>
    <w:rsid w:val="006B73E0"/>
    <w:rsid w:val="006C07F8"/>
    <w:rsid w:val="006C122B"/>
    <w:rsid w:val="006C2FF7"/>
    <w:rsid w:val="006C3E9F"/>
    <w:rsid w:val="006C5433"/>
    <w:rsid w:val="006C6E25"/>
    <w:rsid w:val="006C72AE"/>
    <w:rsid w:val="006D06E5"/>
    <w:rsid w:val="006D1CD9"/>
    <w:rsid w:val="006D205C"/>
    <w:rsid w:val="006D2896"/>
    <w:rsid w:val="006D3FF5"/>
    <w:rsid w:val="006D4F85"/>
    <w:rsid w:val="006D6605"/>
    <w:rsid w:val="006D69DB"/>
    <w:rsid w:val="006E0DB2"/>
    <w:rsid w:val="006E15A2"/>
    <w:rsid w:val="006E3150"/>
    <w:rsid w:val="006E3B23"/>
    <w:rsid w:val="006E41D2"/>
    <w:rsid w:val="006E7DB0"/>
    <w:rsid w:val="006F1F64"/>
    <w:rsid w:val="006F2A86"/>
    <w:rsid w:val="006F2E36"/>
    <w:rsid w:val="006F3BAB"/>
    <w:rsid w:val="006F4681"/>
    <w:rsid w:val="00700D00"/>
    <w:rsid w:val="00704328"/>
    <w:rsid w:val="00706187"/>
    <w:rsid w:val="00706261"/>
    <w:rsid w:val="007064EA"/>
    <w:rsid w:val="007071FF"/>
    <w:rsid w:val="00707713"/>
    <w:rsid w:val="00707C10"/>
    <w:rsid w:val="007106F1"/>
    <w:rsid w:val="00710DA3"/>
    <w:rsid w:val="007121E0"/>
    <w:rsid w:val="0071480A"/>
    <w:rsid w:val="00715453"/>
    <w:rsid w:val="007157DF"/>
    <w:rsid w:val="00717383"/>
    <w:rsid w:val="007203CF"/>
    <w:rsid w:val="007204EF"/>
    <w:rsid w:val="00720DB4"/>
    <w:rsid w:val="00720EB7"/>
    <w:rsid w:val="00721704"/>
    <w:rsid w:val="007219FC"/>
    <w:rsid w:val="0072287A"/>
    <w:rsid w:val="00723D5B"/>
    <w:rsid w:val="00725C55"/>
    <w:rsid w:val="00725F79"/>
    <w:rsid w:val="007270B4"/>
    <w:rsid w:val="007277AF"/>
    <w:rsid w:val="007278A0"/>
    <w:rsid w:val="00730B7A"/>
    <w:rsid w:val="0073177B"/>
    <w:rsid w:val="00735A9C"/>
    <w:rsid w:val="00742603"/>
    <w:rsid w:val="0074333D"/>
    <w:rsid w:val="00743650"/>
    <w:rsid w:val="00744659"/>
    <w:rsid w:val="00747FFE"/>
    <w:rsid w:val="00752FA7"/>
    <w:rsid w:val="0075391F"/>
    <w:rsid w:val="00753CC2"/>
    <w:rsid w:val="00761F58"/>
    <w:rsid w:val="00762922"/>
    <w:rsid w:val="00763001"/>
    <w:rsid w:val="00763D8D"/>
    <w:rsid w:val="0076493E"/>
    <w:rsid w:val="0076586E"/>
    <w:rsid w:val="00765F72"/>
    <w:rsid w:val="007671D8"/>
    <w:rsid w:val="007703C7"/>
    <w:rsid w:val="0077047C"/>
    <w:rsid w:val="00771C74"/>
    <w:rsid w:val="007737CE"/>
    <w:rsid w:val="00774A09"/>
    <w:rsid w:val="007769F8"/>
    <w:rsid w:val="00776B1E"/>
    <w:rsid w:val="0078079D"/>
    <w:rsid w:val="00782C77"/>
    <w:rsid w:val="007831E2"/>
    <w:rsid w:val="007837A8"/>
    <w:rsid w:val="00784013"/>
    <w:rsid w:val="0078463D"/>
    <w:rsid w:val="007856D0"/>
    <w:rsid w:val="00786649"/>
    <w:rsid w:val="007932C7"/>
    <w:rsid w:val="00793455"/>
    <w:rsid w:val="0079395E"/>
    <w:rsid w:val="00793B12"/>
    <w:rsid w:val="00796A8B"/>
    <w:rsid w:val="007A08EB"/>
    <w:rsid w:val="007A21D8"/>
    <w:rsid w:val="007A23B3"/>
    <w:rsid w:val="007A4FFC"/>
    <w:rsid w:val="007A58C4"/>
    <w:rsid w:val="007A62DA"/>
    <w:rsid w:val="007A6BCF"/>
    <w:rsid w:val="007A6FFE"/>
    <w:rsid w:val="007A76D6"/>
    <w:rsid w:val="007B11DD"/>
    <w:rsid w:val="007B18F3"/>
    <w:rsid w:val="007B1EF3"/>
    <w:rsid w:val="007B30DF"/>
    <w:rsid w:val="007B3177"/>
    <w:rsid w:val="007B385E"/>
    <w:rsid w:val="007B4E74"/>
    <w:rsid w:val="007B730F"/>
    <w:rsid w:val="007B7723"/>
    <w:rsid w:val="007C0BE1"/>
    <w:rsid w:val="007C3604"/>
    <w:rsid w:val="007C3C9E"/>
    <w:rsid w:val="007D0C52"/>
    <w:rsid w:val="007D2411"/>
    <w:rsid w:val="007D36E7"/>
    <w:rsid w:val="007D3B60"/>
    <w:rsid w:val="007D4049"/>
    <w:rsid w:val="007D4FE0"/>
    <w:rsid w:val="007D6348"/>
    <w:rsid w:val="007D662F"/>
    <w:rsid w:val="007D6825"/>
    <w:rsid w:val="007E3EB3"/>
    <w:rsid w:val="007E4EDD"/>
    <w:rsid w:val="007E6CDD"/>
    <w:rsid w:val="007F1AD8"/>
    <w:rsid w:val="007F2608"/>
    <w:rsid w:val="00802966"/>
    <w:rsid w:val="00803FC9"/>
    <w:rsid w:val="00803FF5"/>
    <w:rsid w:val="0080594E"/>
    <w:rsid w:val="008061B8"/>
    <w:rsid w:val="0080746C"/>
    <w:rsid w:val="00807A1A"/>
    <w:rsid w:val="00810E87"/>
    <w:rsid w:val="008115E7"/>
    <w:rsid w:val="008119DC"/>
    <w:rsid w:val="00812187"/>
    <w:rsid w:val="00813C5B"/>
    <w:rsid w:val="00815A52"/>
    <w:rsid w:val="00817930"/>
    <w:rsid w:val="0082025D"/>
    <w:rsid w:val="008221C7"/>
    <w:rsid w:val="008235E1"/>
    <w:rsid w:val="00823A68"/>
    <w:rsid w:val="00830C28"/>
    <w:rsid w:val="0083374A"/>
    <w:rsid w:val="008347F7"/>
    <w:rsid w:val="00835A6F"/>
    <w:rsid w:val="00837566"/>
    <w:rsid w:val="0084011A"/>
    <w:rsid w:val="0084484F"/>
    <w:rsid w:val="0084593A"/>
    <w:rsid w:val="00847198"/>
    <w:rsid w:val="00847383"/>
    <w:rsid w:val="008526D1"/>
    <w:rsid w:val="0085361F"/>
    <w:rsid w:val="008539C5"/>
    <w:rsid w:val="00854082"/>
    <w:rsid w:val="008540D1"/>
    <w:rsid w:val="008541F8"/>
    <w:rsid w:val="0085624E"/>
    <w:rsid w:val="0085640F"/>
    <w:rsid w:val="00856C6C"/>
    <w:rsid w:val="00860553"/>
    <w:rsid w:val="0086167B"/>
    <w:rsid w:val="00861685"/>
    <w:rsid w:val="008619EC"/>
    <w:rsid w:val="00861D35"/>
    <w:rsid w:val="008639E6"/>
    <w:rsid w:val="0086452B"/>
    <w:rsid w:val="00866639"/>
    <w:rsid w:val="008739E5"/>
    <w:rsid w:val="00874409"/>
    <w:rsid w:val="00875163"/>
    <w:rsid w:val="008765AB"/>
    <w:rsid w:val="00876DE6"/>
    <w:rsid w:val="00880000"/>
    <w:rsid w:val="00881824"/>
    <w:rsid w:val="00883568"/>
    <w:rsid w:val="008835C5"/>
    <w:rsid w:val="008852D8"/>
    <w:rsid w:val="0088548C"/>
    <w:rsid w:val="00885C6E"/>
    <w:rsid w:val="00886A54"/>
    <w:rsid w:val="00887E2D"/>
    <w:rsid w:val="00890500"/>
    <w:rsid w:val="0089163A"/>
    <w:rsid w:val="008936F3"/>
    <w:rsid w:val="0089561B"/>
    <w:rsid w:val="00896035"/>
    <w:rsid w:val="008A0D5C"/>
    <w:rsid w:val="008A16D7"/>
    <w:rsid w:val="008A2886"/>
    <w:rsid w:val="008A31B4"/>
    <w:rsid w:val="008A6D8D"/>
    <w:rsid w:val="008A7A58"/>
    <w:rsid w:val="008B12F7"/>
    <w:rsid w:val="008B1DB6"/>
    <w:rsid w:val="008B2D57"/>
    <w:rsid w:val="008B39FA"/>
    <w:rsid w:val="008B41E0"/>
    <w:rsid w:val="008B5A55"/>
    <w:rsid w:val="008B604A"/>
    <w:rsid w:val="008B6906"/>
    <w:rsid w:val="008C031E"/>
    <w:rsid w:val="008C1833"/>
    <w:rsid w:val="008C47DA"/>
    <w:rsid w:val="008C5150"/>
    <w:rsid w:val="008C5299"/>
    <w:rsid w:val="008C6D16"/>
    <w:rsid w:val="008D0A3E"/>
    <w:rsid w:val="008D11FE"/>
    <w:rsid w:val="008D188B"/>
    <w:rsid w:val="008D1942"/>
    <w:rsid w:val="008D2401"/>
    <w:rsid w:val="008D411D"/>
    <w:rsid w:val="008D441A"/>
    <w:rsid w:val="008D7889"/>
    <w:rsid w:val="008E0283"/>
    <w:rsid w:val="008E0C8D"/>
    <w:rsid w:val="008E0D4E"/>
    <w:rsid w:val="008E1F7D"/>
    <w:rsid w:val="008E2B12"/>
    <w:rsid w:val="008E3D4C"/>
    <w:rsid w:val="008E4C8B"/>
    <w:rsid w:val="008E5243"/>
    <w:rsid w:val="008E661C"/>
    <w:rsid w:val="008E766B"/>
    <w:rsid w:val="008F01F5"/>
    <w:rsid w:val="008F22A0"/>
    <w:rsid w:val="008F2D8F"/>
    <w:rsid w:val="008F36F5"/>
    <w:rsid w:val="008F3941"/>
    <w:rsid w:val="008F7063"/>
    <w:rsid w:val="008F7477"/>
    <w:rsid w:val="00900186"/>
    <w:rsid w:val="00900B17"/>
    <w:rsid w:val="00901455"/>
    <w:rsid w:val="009014AE"/>
    <w:rsid w:val="0090320E"/>
    <w:rsid w:val="00904460"/>
    <w:rsid w:val="00905D07"/>
    <w:rsid w:val="00905E17"/>
    <w:rsid w:val="0091109E"/>
    <w:rsid w:val="009113AF"/>
    <w:rsid w:val="00912E29"/>
    <w:rsid w:val="009133B6"/>
    <w:rsid w:val="009145BB"/>
    <w:rsid w:val="00915FB0"/>
    <w:rsid w:val="00916790"/>
    <w:rsid w:val="0092003D"/>
    <w:rsid w:val="00920AD3"/>
    <w:rsid w:val="009229AA"/>
    <w:rsid w:val="0092302B"/>
    <w:rsid w:val="009252E9"/>
    <w:rsid w:val="00925ADB"/>
    <w:rsid w:val="00926417"/>
    <w:rsid w:val="009278C5"/>
    <w:rsid w:val="00927D41"/>
    <w:rsid w:val="009301F0"/>
    <w:rsid w:val="00933124"/>
    <w:rsid w:val="00933573"/>
    <w:rsid w:val="0093448B"/>
    <w:rsid w:val="00934A30"/>
    <w:rsid w:val="00940C14"/>
    <w:rsid w:val="0094473D"/>
    <w:rsid w:val="00944C84"/>
    <w:rsid w:val="009465A0"/>
    <w:rsid w:val="009514FF"/>
    <w:rsid w:val="00951D01"/>
    <w:rsid w:val="0095437F"/>
    <w:rsid w:val="0095448E"/>
    <w:rsid w:val="00954E97"/>
    <w:rsid w:val="009603A3"/>
    <w:rsid w:val="00960959"/>
    <w:rsid w:val="00960DF4"/>
    <w:rsid w:val="00960E09"/>
    <w:rsid w:val="0096107A"/>
    <w:rsid w:val="00961382"/>
    <w:rsid w:val="009614C1"/>
    <w:rsid w:val="00964125"/>
    <w:rsid w:val="00964A1F"/>
    <w:rsid w:val="009650AD"/>
    <w:rsid w:val="00966FC3"/>
    <w:rsid w:val="00970299"/>
    <w:rsid w:val="0097151D"/>
    <w:rsid w:val="00973426"/>
    <w:rsid w:val="0097456C"/>
    <w:rsid w:val="00975ADF"/>
    <w:rsid w:val="009761C8"/>
    <w:rsid w:val="009761F3"/>
    <w:rsid w:val="009764D2"/>
    <w:rsid w:val="0098004B"/>
    <w:rsid w:val="009804BE"/>
    <w:rsid w:val="009837A7"/>
    <w:rsid w:val="00986EFD"/>
    <w:rsid w:val="009873D6"/>
    <w:rsid w:val="00987769"/>
    <w:rsid w:val="00990908"/>
    <w:rsid w:val="00991409"/>
    <w:rsid w:val="00992B8A"/>
    <w:rsid w:val="00992FCF"/>
    <w:rsid w:val="009952C7"/>
    <w:rsid w:val="00996B30"/>
    <w:rsid w:val="00996E42"/>
    <w:rsid w:val="009971E3"/>
    <w:rsid w:val="009A1A53"/>
    <w:rsid w:val="009A378D"/>
    <w:rsid w:val="009A3D57"/>
    <w:rsid w:val="009A5BD8"/>
    <w:rsid w:val="009A7756"/>
    <w:rsid w:val="009B20FA"/>
    <w:rsid w:val="009B25C3"/>
    <w:rsid w:val="009B3481"/>
    <w:rsid w:val="009B34F9"/>
    <w:rsid w:val="009B53E6"/>
    <w:rsid w:val="009B6161"/>
    <w:rsid w:val="009B6965"/>
    <w:rsid w:val="009B7494"/>
    <w:rsid w:val="009B7B9D"/>
    <w:rsid w:val="009C331F"/>
    <w:rsid w:val="009C45D7"/>
    <w:rsid w:val="009C7146"/>
    <w:rsid w:val="009C7990"/>
    <w:rsid w:val="009D0E1A"/>
    <w:rsid w:val="009D4147"/>
    <w:rsid w:val="009D5155"/>
    <w:rsid w:val="009D6B92"/>
    <w:rsid w:val="009D6DB5"/>
    <w:rsid w:val="009D6FC4"/>
    <w:rsid w:val="009E153F"/>
    <w:rsid w:val="009E23F1"/>
    <w:rsid w:val="009E2B87"/>
    <w:rsid w:val="009E5D37"/>
    <w:rsid w:val="009F562F"/>
    <w:rsid w:val="009F5B11"/>
    <w:rsid w:val="009F64CF"/>
    <w:rsid w:val="009F654D"/>
    <w:rsid w:val="00A005D0"/>
    <w:rsid w:val="00A01CE0"/>
    <w:rsid w:val="00A0237A"/>
    <w:rsid w:val="00A03F16"/>
    <w:rsid w:val="00A03F69"/>
    <w:rsid w:val="00A049C3"/>
    <w:rsid w:val="00A05F7B"/>
    <w:rsid w:val="00A069A2"/>
    <w:rsid w:val="00A070EC"/>
    <w:rsid w:val="00A07395"/>
    <w:rsid w:val="00A07A29"/>
    <w:rsid w:val="00A07C5F"/>
    <w:rsid w:val="00A1073E"/>
    <w:rsid w:val="00A123C9"/>
    <w:rsid w:val="00A1380E"/>
    <w:rsid w:val="00A14169"/>
    <w:rsid w:val="00A164C2"/>
    <w:rsid w:val="00A166DE"/>
    <w:rsid w:val="00A16D56"/>
    <w:rsid w:val="00A216C1"/>
    <w:rsid w:val="00A21EA2"/>
    <w:rsid w:val="00A22A49"/>
    <w:rsid w:val="00A2490B"/>
    <w:rsid w:val="00A25B0A"/>
    <w:rsid w:val="00A26B75"/>
    <w:rsid w:val="00A3111A"/>
    <w:rsid w:val="00A31E65"/>
    <w:rsid w:val="00A320E7"/>
    <w:rsid w:val="00A32B2F"/>
    <w:rsid w:val="00A33762"/>
    <w:rsid w:val="00A33C08"/>
    <w:rsid w:val="00A344F4"/>
    <w:rsid w:val="00A36140"/>
    <w:rsid w:val="00A40DA7"/>
    <w:rsid w:val="00A41F64"/>
    <w:rsid w:val="00A420D1"/>
    <w:rsid w:val="00A42C5D"/>
    <w:rsid w:val="00A42F7E"/>
    <w:rsid w:val="00A44335"/>
    <w:rsid w:val="00A454B5"/>
    <w:rsid w:val="00A46AAD"/>
    <w:rsid w:val="00A47BD3"/>
    <w:rsid w:val="00A47F72"/>
    <w:rsid w:val="00A5008C"/>
    <w:rsid w:val="00A503C7"/>
    <w:rsid w:val="00A505CD"/>
    <w:rsid w:val="00A51923"/>
    <w:rsid w:val="00A56745"/>
    <w:rsid w:val="00A5766E"/>
    <w:rsid w:val="00A615E7"/>
    <w:rsid w:val="00A6687F"/>
    <w:rsid w:val="00A67A60"/>
    <w:rsid w:val="00A71C39"/>
    <w:rsid w:val="00A735DE"/>
    <w:rsid w:val="00A757EF"/>
    <w:rsid w:val="00A75DE9"/>
    <w:rsid w:val="00A80B5F"/>
    <w:rsid w:val="00A81387"/>
    <w:rsid w:val="00A81CCD"/>
    <w:rsid w:val="00A8281B"/>
    <w:rsid w:val="00A82DBB"/>
    <w:rsid w:val="00A83740"/>
    <w:rsid w:val="00A8415D"/>
    <w:rsid w:val="00A85F5E"/>
    <w:rsid w:val="00A86B9D"/>
    <w:rsid w:val="00A918DA"/>
    <w:rsid w:val="00A92C5C"/>
    <w:rsid w:val="00A94E99"/>
    <w:rsid w:val="00A96E1F"/>
    <w:rsid w:val="00AA1D9D"/>
    <w:rsid w:val="00AA1E60"/>
    <w:rsid w:val="00AA3745"/>
    <w:rsid w:val="00AA4463"/>
    <w:rsid w:val="00AA51A2"/>
    <w:rsid w:val="00AA533C"/>
    <w:rsid w:val="00AA6BA5"/>
    <w:rsid w:val="00AB1359"/>
    <w:rsid w:val="00AB24E1"/>
    <w:rsid w:val="00AB2BA1"/>
    <w:rsid w:val="00AB2C18"/>
    <w:rsid w:val="00AB3576"/>
    <w:rsid w:val="00AB428C"/>
    <w:rsid w:val="00AB5F4D"/>
    <w:rsid w:val="00AB6A78"/>
    <w:rsid w:val="00AB6D42"/>
    <w:rsid w:val="00AC07ED"/>
    <w:rsid w:val="00AC0DEE"/>
    <w:rsid w:val="00AC266B"/>
    <w:rsid w:val="00AC3448"/>
    <w:rsid w:val="00AC4980"/>
    <w:rsid w:val="00AC4D0B"/>
    <w:rsid w:val="00AC4EAA"/>
    <w:rsid w:val="00AD2DBD"/>
    <w:rsid w:val="00AD4999"/>
    <w:rsid w:val="00AD4C56"/>
    <w:rsid w:val="00AD5890"/>
    <w:rsid w:val="00AD58E6"/>
    <w:rsid w:val="00AD73AA"/>
    <w:rsid w:val="00AE35E4"/>
    <w:rsid w:val="00AE3C06"/>
    <w:rsid w:val="00AE46AE"/>
    <w:rsid w:val="00AE4B4E"/>
    <w:rsid w:val="00AE59B7"/>
    <w:rsid w:val="00AE600F"/>
    <w:rsid w:val="00AE69C7"/>
    <w:rsid w:val="00AE6A94"/>
    <w:rsid w:val="00AF1099"/>
    <w:rsid w:val="00AF290B"/>
    <w:rsid w:val="00AF439D"/>
    <w:rsid w:val="00AF4EB5"/>
    <w:rsid w:val="00AF6B23"/>
    <w:rsid w:val="00AF719F"/>
    <w:rsid w:val="00B00800"/>
    <w:rsid w:val="00B00BD0"/>
    <w:rsid w:val="00B013D4"/>
    <w:rsid w:val="00B01723"/>
    <w:rsid w:val="00B02749"/>
    <w:rsid w:val="00B06203"/>
    <w:rsid w:val="00B06803"/>
    <w:rsid w:val="00B07202"/>
    <w:rsid w:val="00B07638"/>
    <w:rsid w:val="00B07C45"/>
    <w:rsid w:val="00B07D59"/>
    <w:rsid w:val="00B10012"/>
    <w:rsid w:val="00B11D05"/>
    <w:rsid w:val="00B12F53"/>
    <w:rsid w:val="00B141A0"/>
    <w:rsid w:val="00B1494C"/>
    <w:rsid w:val="00B15416"/>
    <w:rsid w:val="00B15BA8"/>
    <w:rsid w:val="00B16356"/>
    <w:rsid w:val="00B17169"/>
    <w:rsid w:val="00B177BD"/>
    <w:rsid w:val="00B21912"/>
    <w:rsid w:val="00B21AAF"/>
    <w:rsid w:val="00B22A85"/>
    <w:rsid w:val="00B23A6B"/>
    <w:rsid w:val="00B24BF6"/>
    <w:rsid w:val="00B26121"/>
    <w:rsid w:val="00B26BC7"/>
    <w:rsid w:val="00B26C5D"/>
    <w:rsid w:val="00B278CD"/>
    <w:rsid w:val="00B27BF0"/>
    <w:rsid w:val="00B321EF"/>
    <w:rsid w:val="00B34F66"/>
    <w:rsid w:val="00B3590A"/>
    <w:rsid w:val="00B37F61"/>
    <w:rsid w:val="00B40C9F"/>
    <w:rsid w:val="00B4347A"/>
    <w:rsid w:val="00B43805"/>
    <w:rsid w:val="00B476B9"/>
    <w:rsid w:val="00B5052D"/>
    <w:rsid w:val="00B51D34"/>
    <w:rsid w:val="00B5260E"/>
    <w:rsid w:val="00B532D2"/>
    <w:rsid w:val="00B54863"/>
    <w:rsid w:val="00B54C70"/>
    <w:rsid w:val="00B570BC"/>
    <w:rsid w:val="00B57CB8"/>
    <w:rsid w:val="00B64A26"/>
    <w:rsid w:val="00B66E05"/>
    <w:rsid w:val="00B67C60"/>
    <w:rsid w:val="00B70060"/>
    <w:rsid w:val="00B7246F"/>
    <w:rsid w:val="00B75421"/>
    <w:rsid w:val="00B7605E"/>
    <w:rsid w:val="00B77A3E"/>
    <w:rsid w:val="00B81627"/>
    <w:rsid w:val="00B8243E"/>
    <w:rsid w:val="00B83E30"/>
    <w:rsid w:val="00B8425D"/>
    <w:rsid w:val="00B84266"/>
    <w:rsid w:val="00B84AE9"/>
    <w:rsid w:val="00B867D1"/>
    <w:rsid w:val="00B86E91"/>
    <w:rsid w:val="00B874E3"/>
    <w:rsid w:val="00B874EB"/>
    <w:rsid w:val="00B87918"/>
    <w:rsid w:val="00B87C99"/>
    <w:rsid w:val="00B90BF4"/>
    <w:rsid w:val="00B90C74"/>
    <w:rsid w:val="00B91E1C"/>
    <w:rsid w:val="00B92B8F"/>
    <w:rsid w:val="00B93091"/>
    <w:rsid w:val="00B93AF2"/>
    <w:rsid w:val="00B941C6"/>
    <w:rsid w:val="00B94D01"/>
    <w:rsid w:val="00B9526D"/>
    <w:rsid w:val="00B97D99"/>
    <w:rsid w:val="00BA1323"/>
    <w:rsid w:val="00BA1E3F"/>
    <w:rsid w:val="00BA1EB2"/>
    <w:rsid w:val="00BA2BEB"/>
    <w:rsid w:val="00BA35B6"/>
    <w:rsid w:val="00BA3922"/>
    <w:rsid w:val="00BA3DFB"/>
    <w:rsid w:val="00BA4210"/>
    <w:rsid w:val="00BA4F39"/>
    <w:rsid w:val="00BA629C"/>
    <w:rsid w:val="00BA7DC1"/>
    <w:rsid w:val="00BB1869"/>
    <w:rsid w:val="00BB4B0D"/>
    <w:rsid w:val="00BB6119"/>
    <w:rsid w:val="00BB6246"/>
    <w:rsid w:val="00BB646F"/>
    <w:rsid w:val="00BB6F71"/>
    <w:rsid w:val="00BB7DD0"/>
    <w:rsid w:val="00BB7E28"/>
    <w:rsid w:val="00BC32F2"/>
    <w:rsid w:val="00BC65FE"/>
    <w:rsid w:val="00BC76EF"/>
    <w:rsid w:val="00BC7C6F"/>
    <w:rsid w:val="00BD287E"/>
    <w:rsid w:val="00BD32B6"/>
    <w:rsid w:val="00BD6412"/>
    <w:rsid w:val="00BD708A"/>
    <w:rsid w:val="00BD7921"/>
    <w:rsid w:val="00BE1AFD"/>
    <w:rsid w:val="00BE40F4"/>
    <w:rsid w:val="00BE4CF9"/>
    <w:rsid w:val="00BE78A0"/>
    <w:rsid w:val="00BF103F"/>
    <w:rsid w:val="00BF23B3"/>
    <w:rsid w:val="00C01223"/>
    <w:rsid w:val="00C01ACE"/>
    <w:rsid w:val="00C021F0"/>
    <w:rsid w:val="00C059C9"/>
    <w:rsid w:val="00C06BD1"/>
    <w:rsid w:val="00C06C4A"/>
    <w:rsid w:val="00C1025A"/>
    <w:rsid w:val="00C107A5"/>
    <w:rsid w:val="00C10DC7"/>
    <w:rsid w:val="00C126DE"/>
    <w:rsid w:val="00C12C3C"/>
    <w:rsid w:val="00C12D3F"/>
    <w:rsid w:val="00C13334"/>
    <w:rsid w:val="00C16009"/>
    <w:rsid w:val="00C16436"/>
    <w:rsid w:val="00C1714D"/>
    <w:rsid w:val="00C175CF"/>
    <w:rsid w:val="00C20EC8"/>
    <w:rsid w:val="00C219C8"/>
    <w:rsid w:val="00C225E7"/>
    <w:rsid w:val="00C22CA9"/>
    <w:rsid w:val="00C233D3"/>
    <w:rsid w:val="00C243E2"/>
    <w:rsid w:val="00C26679"/>
    <w:rsid w:val="00C274F9"/>
    <w:rsid w:val="00C305EA"/>
    <w:rsid w:val="00C30827"/>
    <w:rsid w:val="00C30C54"/>
    <w:rsid w:val="00C31475"/>
    <w:rsid w:val="00C31F7E"/>
    <w:rsid w:val="00C33555"/>
    <w:rsid w:val="00C3663F"/>
    <w:rsid w:val="00C373FD"/>
    <w:rsid w:val="00C375E5"/>
    <w:rsid w:val="00C4078E"/>
    <w:rsid w:val="00C42EEC"/>
    <w:rsid w:val="00C43C08"/>
    <w:rsid w:val="00C465F1"/>
    <w:rsid w:val="00C46631"/>
    <w:rsid w:val="00C46B3A"/>
    <w:rsid w:val="00C533BC"/>
    <w:rsid w:val="00C53436"/>
    <w:rsid w:val="00C53A85"/>
    <w:rsid w:val="00C545E5"/>
    <w:rsid w:val="00C5483C"/>
    <w:rsid w:val="00C568DA"/>
    <w:rsid w:val="00C57B08"/>
    <w:rsid w:val="00C609DD"/>
    <w:rsid w:val="00C609F0"/>
    <w:rsid w:val="00C63147"/>
    <w:rsid w:val="00C64107"/>
    <w:rsid w:val="00C64AD2"/>
    <w:rsid w:val="00C66A56"/>
    <w:rsid w:val="00C67DC2"/>
    <w:rsid w:val="00C71C68"/>
    <w:rsid w:val="00C729F8"/>
    <w:rsid w:val="00C72A2E"/>
    <w:rsid w:val="00C7417E"/>
    <w:rsid w:val="00C743DB"/>
    <w:rsid w:val="00C74515"/>
    <w:rsid w:val="00C747CB"/>
    <w:rsid w:val="00C74AA3"/>
    <w:rsid w:val="00C75272"/>
    <w:rsid w:val="00C76406"/>
    <w:rsid w:val="00C7708C"/>
    <w:rsid w:val="00C77A5D"/>
    <w:rsid w:val="00C8070E"/>
    <w:rsid w:val="00C81BA6"/>
    <w:rsid w:val="00C82F91"/>
    <w:rsid w:val="00C833C3"/>
    <w:rsid w:val="00C856A7"/>
    <w:rsid w:val="00C914EE"/>
    <w:rsid w:val="00C9239A"/>
    <w:rsid w:val="00C93503"/>
    <w:rsid w:val="00C93823"/>
    <w:rsid w:val="00C939D9"/>
    <w:rsid w:val="00C95342"/>
    <w:rsid w:val="00C9561D"/>
    <w:rsid w:val="00CA07AD"/>
    <w:rsid w:val="00CA0D72"/>
    <w:rsid w:val="00CA10FC"/>
    <w:rsid w:val="00CA2FB2"/>
    <w:rsid w:val="00CA31E6"/>
    <w:rsid w:val="00CA35A9"/>
    <w:rsid w:val="00CA43B2"/>
    <w:rsid w:val="00CA47B2"/>
    <w:rsid w:val="00CA500D"/>
    <w:rsid w:val="00CA718C"/>
    <w:rsid w:val="00CA7A10"/>
    <w:rsid w:val="00CA7B8E"/>
    <w:rsid w:val="00CB0E2F"/>
    <w:rsid w:val="00CB164E"/>
    <w:rsid w:val="00CB3EA9"/>
    <w:rsid w:val="00CB458C"/>
    <w:rsid w:val="00CB54B0"/>
    <w:rsid w:val="00CC0410"/>
    <w:rsid w:val="00CC0858"/>
    <w:rsid w:val="00CC1020"/>
    <w:rsid w:val="00CC178A"/>
    <w:rsid w:val="00CC1B42"/>
    <w:rsid w:val="00CC1C27"/>
    <w:rsid w:val="00CC4AAC"/>
    <w:rsid w:val="00CC72EC"/>
    <w:rsid w:val="00CC73ED"/>
    <w:rsid w:val="00CD06E4"/>
    <w:rsid w:val="00CD09E7"/>
    <w:rsid w:val="00CD176D"/>
    <w:rsid w:val="00CD2022"/>
    <w:rsid w:val="00CD2D6C"/>
    <w:rsid w:val="00CD76E8"/>
    <w:rsid w:val="00CE2077"/>
    <w:rsid w:val="00CE2885"/>
    <w:rsid w:val="00CE430A"/>
    <w:rsid w:val="00CE5A17"/>
    <w:rsid w:val="00CE79F7"/>
    <w:rsid w:val="00CE7ABA"/>
    <w:rsid w:val="00CF192A"/>
    <w:rsid w:val="00CF390E"/>
    <w:rsid w:val="00CF4766"/>
    <w:rsid w:val="00D014EC"/>
    <w:rsid w:val="00D01692"/>
    <w:rsid w:val="00D02DAE"/>
    <w:rsid w:val="00D03DF4"/>
    <w:rsid w:val="00D0468F"/>
    <w:rsid w:val="00D04888"/>
    <w:rsid w:val="00D062C8"/>
    <w:rsid w:val="00D11742"/>
    <w:rsid w:val="00D133F8"/>
    <w:rsid w:val="00D13FB9"/>
    <w:rsid w:val="00D15351"/>
    <w:rsid w:val="00D16226"/>
    <w:rsid w:val="00D1648A"/>
    <w:rsid w:val="00D17A4D"/>
    <w:rsid w:val="00D17C2B"/>
    <w:rsid w:val="00D21373"/>
    <w:rsid w:val="00D21F20"/>
    <w:rsid w:val="00D2201A"/>
    <w:rsid w:val="00D229E8"/>
    <w:rsid w:val="00D242A8"/>
    <w:rsid w:val="00D242FA"/>
    <w:rsid w:val="00D2453D"/>
    <w:rsid w:val="00D24F55"/>
    <w:rsid w:val="00D251C2"/>
    <w:rsid w:val="00D26DAD"/>
    <w:rsid w:val="00D273DE"/>
    <w:rsid w:val="00D30BE4"/>
    <w:rsid w:val="00D36883"/>
    <w:rsid w:val="00D408B3"/>
    <w:rsid w:val="00D41BCD"/>
    <w:rsid w:val="00D42B17"/>
    <w:rsid w:val="00D45C18"/>
    <w:rsid w:val="00D45D2C"/>
    <w:rsid w:val="00D4652B"/>
    <w:rsid w:val="00D4704E"/>
    <w:rsid w:val="00D471DB"/>
    <w:rsid w:val="00D47828"/>
    <w:rsid w:val="00D53254"/>
    <w:rsid w:val="00D538DF"/>
    <w:rsid w:val="00D54218"/>
    <w:rsid w:val="00D54970"/>
    <w:rsid w:val="00D55627"/>
    <w:rsid w:val="00D5573D"/>
    <w:rsid w:val="00D563F4"/>
    <w:rsid w:val="00D56861"/>
    <w:rsid w:val="00D579F8"/>
    <w:rsid w:val="00D635F5"/>
    <w:rsid w:val="00D65B06"/>
    <w:rsid w:val="00D65C9E"/>
    <w:rsid w:val="00D66B03"/>
    <w:rsid w:val="00D66BC9"/>
    <w:rsid w:val="00D7077E"/>
    <w:rsid w:val="00D7141B"/>
    <w:rsid w:val="00D71BB9"/>
    <w:rsid w:val="00D722C6"/>
    <w:rsid w:val="00D72677"/>
    <w:rsid w:val="00D73646"/>
    <w:rsid w:val="00D76BBC"/>
    <w:rsid w:val="00D81382"/>
    <w:rsid w:val="00D8485D"/>
    <w:rsid w:val="00D8699A"/>
    <w:rsid w:val="00D8742D"/>
    <w:rsid w:val="00D87CA2"/>
    <w:rsid w:val="00D90772"/>
    <w:rsid w:val="00D915F2"/>
    <w:rsid w:val="00D920AA"/>
    <w:rsid w:val="00D9339A"/>
    <w:rsid w:val="00D95395"/>
    <w:rsid w:val="00D95401"/>
    <w:rsid w:val="00D95DFF"/>
    <w:rsid w:val="00D97DC9"/>
    <w:rsid w:val="00DA2007"/>
    <w:rsid w:val="00DA65A7"/>
    <w:rsid w:val="00DA7F81"/>
    <w:rsid w:val="00DB2181"/>
    <w:rsid w:val="00DB2228"/>
    <w:rsid w:val="00DB2531"/>
    <w:rsid w:val="00DB4AF4"/>
    <w:rsid w:val="00DB596E"/>
    <w:rsid w:val="00DB76FA"/>
    <w:rsid w:val="00DB7D2F"/>
    <w:rsid w:val="00DC1338"/>
    <w:rsid w:val="00DC33C4"/>
    <w:rsid w:val="00DC39AC"/>
    <w:rsid w:val="00DC4931"/>
    <w:rsid w:val="00DC4D59"/>
    <w:rsid w:val="00DC5C95"/>
    <w:rsid w:val="00DC6C5E"/>
    <w:rsid w:val="00DC6E54"/>
    <w:rsid w:val="00DC6FEC"/>
    <w:rsid w:val="00DC7CB6"/>
    <w:rsid w:val="00DD1433"/>
    <w:rsid w:val="00DD282A"/>
    <w:rsid w:val="00DD295D"/>
    <w:rsid w:val="00DD3577"/>
    <w:rsid w:val="00DD541D"/>
    <w:rsid w:val="00DD708A"/>
    <w:rsid w:val="00DD741C"/>
    <w:rsid w:val="00DE01F3"/>
    <w:rsid w:val="00DE0890"/>
    <w:rsid w:val="00DE2A30"/>
    <w:rsid w:val="00DE2ED8"/>
    <w:rsid w:val="00DE39DD"/>
    <w:rsid w:val="00DE5424"/>
    <w:rsid w:val="00DE61F5"/>
    <w:rsid w:val="00DF0A2E"/>
    <w:rsid w:val="00DF1AE2"/>
    <w:rsid w:val="00DF1CC2"/>
    <w:rsid w:val="00DF1F93"/>
    <w:rsid w:val="00DF4EAB"/>
    <w:rsid w:val="00DF6497"/>
    <w:rsid w:val="00DF6D16"/>
    <w:rsid w:val="00E00468"/>
    <w:rsid w:val="00E01589"/>
    <w:rsid w:val="00E0195A"/>
    <w:rsid w:val="00E06A57"/>
    <w:rsid w:val="00E07CCA"/>
    <w:rsid w:val="00E104AA"/>
    <w:rsid w:val="00E1216F"/>
    <w:rsid w:val="00E123FA"/>
    <w:rsid w:val="00E12AF0"/>
    <w:rsid w:val="00E12FED"/>
    <w:rsid w:val="00E13E37"/>
    <w:rsid w:val="00E14264"/>
    <w:rsid w:val="00E1695D"/>
    <w:rsid w:val="00E21229"/>
    <w:rsid w:val="00E220FD"/>
    <w:rsid w:val="00E2502D"/>
    <w:rsid w:val="00E25DF7"/>
    <w:rsid w:val="00E26D1B"/>
    <w:rsid w:val="00E271C9"/>
    <w:rsid w:val="00E313E6"/>
    <w:rsid w:val="00E33898"/>
    <w:rsid w:val="00E341C7"/>
    <w:rsid w:val="00E347D1"/>
    <w:rsid w:val="00E3551B"/>
    <w:rsid w:val="00E407BC"/>
    <w:rsid w:val="00E40988"/>
    <w:rsid w:val="00E451D3"/>
    <w:rsid w:val="00E45F46"/>
    <w:rsid w:val="00E46536"/>
    <w:rsid w:val="00E46B91"/>
    <w:rsid w:val="00E47001"/>
    <w:rsid w:val="00E51745"/>
    <w:rsid w:val="00E526C8"/>
    <w:rsid w:val="00E5501D"/>
    <w:rsid w:val="00E55FDB"/>
    <w:rsid w:val="00E56C35"/>
    <w:rsid w:val="00E56DFC"/>
    <w:rsid w:val="00E5736A"/>
    <w:rsid w:val="00E57378"/>
    <w:rsid w:val="00E57466"/>
    <w:rsid w:val="00E6112E"/>
    <w:rsid w:val="00E62BD3"/>
    <w:rsid w:val="00E6313B"/>
    <w:rsid w:val="00E63ECC"/>
    <w:rsid w:val="00E64E91"/>
    <w:rsid w:val="00E65A05"/>
    <w:rsid w:val="00E705F5"/>
    <w:rsid w:val="00E71277"/>
    <w:rsid w:val="00E71567"/>
    <w:rsid w:val="00E743D8"/>
    <w:rsid w:val="00E762BE"/>
    <w:rsid w:val="00E76BE2"/>
    <w:rsid w:val="00E81301"/>
    <w:rsid w:val="00E83465"/>
    <w:rsid w:val="00E8472D"/>
    <w:rsid w:val="00E84DBF"/>
    <w:rsid w:val="00E86F88"/>
    <w:rsid w:val="00E86FEC"/>
    <w:rsid w:val="00E9058E"/>
    <w:rsid w:val="00E90655"/>
    <w:rsid w:val="00E91F73"/>
    <w:rsid w:val="00E92DEF"/>
    <w:rsid w:val="00E95826"/>
    <w:rsid w:val="00E95CF9"/>
    <w:rsid w:val="00E96209"/>
    <w:rsid w:val="00E96A89"/>
    <w:rsid w:val="00E96D0F"/>
    <w:rsid w:val="00E97607"/>
    <w:rsid w:val="00E97D8B"/>
    <w:rsid w:val="00EA412E"/>
    <w:rsid w:val="00EA520A"/>
    <w:rsid w:val="00EA5BEA"/>
    <w:rsid w:val="00EA7730"/>
    <w:rsid w:val="00EB107B"/>
    <w:rsid w:val="00EB1334"/>
    <w:rsid w:val="00EB22F6"/>
    <w:rsid w:val="00EB4EF8"/>
    <w:rsid w:val="00EB67DA"/>
    <w:rsid w:val="00EB67E5"/>
    <w:rsid w:val="00EB695C"/>
    <w:rsid w:val="00EB77D1"/>
    <w:rsid w:val="00EC0712"/>
    <w:rsid w:val="00EC216A"/>
    <w:rsid w:val="00EC6397"/>
    <w:rsid w:val="00EC7D20"/>
    <w:rsid w:val="00EC7D51"/>
    <w:rsid w:val="00ED07E0"/>
    <w:rsid w:val="00ED1069"/>
    <w:rsid w:val="00ED15C4"/>
    <w:rsid w:val="00ED2767"/>
    <w:rsid w:val="00ED3290"/>
    <w:rsid w:val="00ED3CFD"/>
    <w:rsid w:val="00ED4CFD"/>
    <w:rsid w:val="00ED65C9"/>
    <w:rsid w:val="00ED6817"/>
    <w:rsid w:val="00ED6B0C"/>
    <w:rsid w:val="00ED6BF6"/>
    <w:rsid w:val="00ED7304"/>
    <w:rsid w:val="00ED7BE2"/>
    <w:rsid w:val="00ED7D33"/>
    <w:rsid w:val="00ED7EC1"/>
    <w:rsid w:val="00EE030A"/>
    <w:rsid w:val="00EE06EF"/>
    <w:rsid w:val="00EE0CCA"/>
    <w:rsid w:val="00EE1007"/>
    <w:rsid w:val="00EE22D1"/>
    <w:rsid w:val="00EE6063"/>
    <w:rsid w:val="00EE7D6B"/>
    <w:rsid w:val="00EF11B9"/>
    <w:rsid w:val="00EF12CB"/>
    <w:rsid w:val="00EF1B89"/>
    <w:rsid w:val="00EF4E21"/>
    <w:rsid w:val="00EF5D80"/>
    <w:rsid w:val="00EF60ED"/>
    <w:rsid w:val="00EF6C58"/>
    <w:rsid w:val="00EF6DB5"/>
    <w:rsid w:val="00EF7496"/>
    <w:rsid w:val="00EF7570"/>
    <w:rsid w:val="00EF7CBC"/>
    <w:rsid w:val="00EF7F4E"/>
    <w:rsid w:val="00F01B60"/>
    <w:rsid w:val="00F022FD"/>
    <w:rsid w:val="00F027ED"/>
    <w:rsid w:val="00F02A16"/>
    <w:rsid w:val="00F02A3F"/>
    <w:rsid w:val="00F03715"/>
    <w:rsid w:val="00F03E5E"/>
    <w:rsid w:val="00F04A59"/>
    <w:rsid w:val="00F04DF5"/>
    <w:rsid w:val="00F066BE"/>
    <w:rsid w:val="00F06E78"/>
    <w:rsid w:val="00F072AD"/>
    <w:rsid w:val="00F11000"/>
    <w:rsid w:val="00F12227"/>
    <w:rsid w:val="00F12604"/>
    <w:rsid w:val="00F12F9B"/>
    <w:rsid w:val="00F13118"/>
    <w:rsid w:val="00F13178"/>
    <w:rsid w:val="00F1361A"/>
    <w:rsid w:val="00F140D5"/>
    <w:rsid w:val="00F14921"/>
    <w:rsid w:val="00F15C95"/>
    <w:rsid w:val="00F17614"/>
    <w:rsid w:val="00F17A80"/>
    <w:rsid w:val="00F2232E"/>
    <w:rsid w:val="00F22BDE"/>
    <w:rsid w:val="00F24A4B"/>
    <w:rsid w:val="00F25D01"/>
    <w:rsid w:val="00F26201"/>
    <w:rsid w:val="00F32A71"/>
    <w:rsid w:val="00F32B67"/>
    <w:rsid w:val="00F41EED"/>
    <w:rsid w:val="00F42F7D"/>
    <w:rsid w:val="00F43350"/>
    <w:rsid w:val="00F436C0"/>
    <w:rsid w:val="00F43E89"/>
    <w:rsid w:val="00F443D1"/>
    <w:rsid w:val="00F4478E"/>
    <w:rsid w:val="00F4496B"/>
    <w:rsid w:val="00F46A95"/>
    <w:rsid w:val="00F4730B"/>
    <w:rsid w:val="00F50139"/>
    <w:rsid w:val="00F52903"/>
    <w:rsid w:val="00F53E7B"/>
    <w:rsid w:val="00F548E6"/>
    <w:rsid w:val="00F55F43"/>
    <w:rsid w:val="00F60B5C"/>
    <w:rsid w:val="00F62E23"/>
    <w:rsid w:val="00F64510"/>
    <w:rsid w:val="00F649C2"/>
    <w:rsid w:val="00F661BC"/>
    <w:rsid w:val="00F7154D"/>
    <w:rsid w:val="00F71FBC"/>
    <w:rsid w:val="00F72085"/>
    <w:rsid w:val="00F7267D"/>
    <w:rsid w:val="00F743A7"/>
    <w:rsid w:val="00F74AAD"/>
    <w:rsid w:val="00F74CBD"/>
    <w:rsid w:val="00F76B1C"/>
    <w:rsid w:val="00F818BB"/>
    <w:rsid w:val="00F81A5E"/>
    <w:rsid w:val="00F81D17"/>
    <w:rsid w:val="00F83A7F"/>
    <w:rsid w:val="00F83E56"/>
    <w:rsid w:val="00F840C5"/>
    <w:rsid w:val="00F84F5A"/>
    <w:rsid w:val="00F86D9B"/>
    <w:rsid w:val="00F87237"/>
    <w:rsid w:val="00F90575"/>
    <w:rsid w:val="00F90F2A"/>
    <w:rsid w:val="00F9112D"/>
    <w:rsid w:val="00F91337"/>
    <w:rsid w:val="00F92D50"/>
    <w:rsid w:val="00F94E78"/>
    <w:rsid w:val="00F9686E"/>
    <w:rsid w:val="00F96B53"/>
    <w:rsid w:val="00FA03A3"/>
    <w:rsid w:val="00FA1FF8"/>
    <w:rsid w:val="00FA204C"/>
    <w:rsid w:val="00FA25D7"/>
    <w:rsid w:val="00FA3A34"/>
    <w:rsid w:val="00FA4387"/>
    <w:rsid w:val="00FA51AA"/>
    <w:rsid w:val="00FA6827"/>
    <w:rsid w:val="00FA7BC0"/>
    <w:rsid w:val="00FB2A95"/>
    <w:rsid w:val="00FB342B"/>
    <w:rsid w:val="00FB3B1B"/>
    <w:rsid w:val="00FB43FF"/>
    <w:rsid w:val="00FB627A"/>
    <w:rsid w:val="00FC0D6C"/>
    <w:rsid w:val="00FC36B2"/>
    <w:rsid w:val="00FC3A2C"/>
    <w:rsid w:val="00FC47F4"/>
    <w:rsid w:val="00FC717E"/>
    <w:rsid w:val="00FC767A"/>
    <w:rsid w:val="00FD04A1"/>
    <w:rsid w:val="00FD0C2C"/>
    <w:rsid w:val="00FD31C6"/>
    <w:rsid w:val="00FD3309"/>
    <w:rsid w:val="00FD3C2C"/>
    <w:rsid w:val="00FD40E7"/>
    <w:rsid w:val="00FD40F4"/>
    <w:rsid w:val="00FD66F5"/>
    <w:rsid w:val="00FD798E"/>
    <w:rsid w:val="00FD7DD1"/>
    <w:rsid w:val="00FE052C"/>
    <w:rsid w:val="00FE0805"/>
    <w:rsid w:val="00FE0DE1"/>
    <w:rsid w:val="00FE2166"/>
    <w:rsid w:val="00FE2713"/>
    <w:rsid w:val="00FE5490"/>
    <w:rsid w:val="00FE768C"/>
    <w:rsid w:val="00FE7813"/>
    <w:rsid w:val="00FF19CA"/>
    <w:rsid w:val="00FF292D"/>
    <w:rsid w:val="00FF2CE0"/>
    <w:rsid w:val="00FF2FF8"/>
    <w:rsid w:val="00FF3C26"/>
    <w:rsid w:val="00FF3EBA"/>
    <w:rsid w:val="00FF4696"/>
    <w:rsid w:val="00FF6AAD"/>
    <w:rsid w:val="00FF6C68"/>
    <w:rsid w:val="011B629E"/>
    <w:rsid w:val="0126764F"/>
    <w:rsid w:val="018C21A5"/>
    <w:rsid w:val="01972B18"/>
    <w:rsid w:val="01A5568A"/>
    <w:rsid w:val="01FC2DC5"/>
    <w:rsid w:val="0209031D"/>
    <w:rsid w:val="02721E6A"/>
    <w:rsid w:val="02BB3711"/>
    <w:rsid w:val="02FF3EF3"/>
    <w:rsid w:val="031F0DA9"/>
    <w:rsid w:val="033667C1"/>
    <w:rsid w:val="03FA693B"/>
    <w:rsid w:val="044F158E"/>
    <w:rsid w:val="046C5C2A"/>
    <w:rsid w:val="0486237A"/>
    <w:rsid w:val="0490638E"/>
    <w:rsid w:val="04C43447"/>
    <w:rsid w:val="04CD61FB"/>
    <w:rsid w:val="051554AC"/>
    <w:rsid w:val="059B329B"/>
    <w:rsid w:val="05BF1D09"/>
    <w:rsid w:val="067032E2"/>
    <w:rsid w:val="071E46F6"/>
    <w:rsid w:val="07834D51"/>
    <w:rsid w:val="0809597F"/>
    <w:rsid w:val="08942C4B"/>
    <w:rsid w:val="08AB4848"/>
    <w:rsid w:val="08B952DA"/>
    <w:rsid w:val="09434CDD"/>
    <w:rsid w:val="096C33BF"/>
    <w:rsid w:val="09C43F96"/>
    <w:rsid w:val="09FE6E56"/>
    <w:rsid w:val="0A073817"/>
    <w:rsid w:val="0A341999"/>
    <w:rsid w:val="0A9478A8"/>
    <w:rsid w:val="0AAA2B3A"/>
    <w:rsid w:val="0ABF0394"/>
    <w:rsid w:val="0ADA1283"/>
    <w:rsid w:val="0B06628B"/>
    <w:rsid w:val="0B5605CC"/>
    <w:rsid w:val="0B85619D"/>
    <w:rsid w:val="0BBB64E5"/>
    <w:rsid w:val="0BD87868"/>
    <w:rsid w:val="0C01678A"/>
    <w:rsid w:val="0C1F66C2"/>
    <w:rsid w:val="0C9D3858"/>
    <w:rsid w:val="0D176F04"/>
    <w:rsid w:val="0D7431FE"/>
    <w:rsid w:val="0DB60DE4"/>
    <w:rsid w:val="0DBD693E"/>
    <w:rsid w:val="0E0D7668"/>
    <w:rsid w:val="0E0E518E"/>
    <w:rsid w:val="0E1657B0"/>
    <w:rsid w:val="0E1C2BFF"/>
    <w:rsid w:val="0E364406"/>
    <w:rsid w:val="0E662175"/>
    <w:rsid w:val="0E7E0566"/>
    <w:rsid w:val="0F963D6C"/>
    <w:rsid w:val="0FA0590C"/>
    <w:rsid w:val="0FAE1CB6"/>
    <w:rsid w:val="0FCA173A"/>
    <w:rsid w:val="10AB3168"/>
    <w:rsid w:val="10CC58A0"/>
    <w:rsid w:val="10D339DD"/>
    <w:rsid w:val="10E26768"/>
    <w:rsid w:val="10EA3C90"/>
    <w:rsid w:val="11EE1B8A"/>
    <w:rsid w:val="12053FC8"/>
    <w:rsid w:val="12767ED2"/>
    <w:rsid w:val="12896E2E"/>
    <w:rsid w:val="12AC20A9"/>
    <w:rsid w:val="13272F7A"/>
    <w:rsid w:val="13B86493"/>
    <w:rsid w:val="13E96481"/>
    <w:rsid w:val="144573F9"/>
    <w:rsid w:val="146058C8"/>
    <w:rsid w:val="149502EE"/>
    <w:rsid w:val="15232E3B"/>
    <w:rsid w:val="153320AA"/>
    <w:rsid w:val="15C933D5"/>
    <w:rsid w:val="15CE1DD3"/>
    <w:rsid w:val="15F551FE"/>
    <w:rsid w:val="161A6DC6"/>
    <w:rsid w:val="168B3880"/>
    <w:rsid w:val="17407CA5"/>
    <w:rsid w:val="174C13EE"/>
    <w:rsid w:val="17E7717C"/>
    <w:rsid w:val="180F7003"/>
    <w:rsid w:val="185C48B3"/>
    <w:rsid w:val="185D32EF"/>
    <w:rsid w:val="1867206B"/>
    <w:rsid w:val="18B07A77"/>
    <w:rsid w:val="18E90CD1"/>
    <w:rsid w:val="18ED6A14"/>
    <w:rsid w:val="19FD4636"/>
    <w:rsid w:val="1A366319"/>
    <w:rsid w:val="1A3B4CCB"/>
    <w:rsid w:val="1A5E2960"/>
    <w:rsid w:val="1A712403"/>
    <w:rsid w:val="1B1572FE"/>
    <w:rsid w:val="1B1F6C2C"/>
    <w:rsid w:val="1B2628EB"/>
    <w:rsid w:val="1B2763A5"/>
    <w:rsid w:val="1B612DA1"/>
    <w:rsid w:val="1C3217C2"/>
    <w:rsid w:val="1C9816CE"/>
    <w:rsid w:val="1D3A0204"/>
    <w:rsid w:val="1D956547"/>
    <w:rsid w:val="1DD71A40"/>
    <w:rsid w:val="1DEE781A"/>
    <w:rsid w:val="1DF55DDE"/>
    <w:rsid w:val="1E263202"/>
    <w:rsid w:val="1E2702D2"/>
    <w:rsid w:val="1E3173A3"/>
    <w:rsid w:val="1EE46EA6"/>
    <w:rsid w:val="1F15637C"/>
    <w:rsid w:val="1F6853C7"/>
    <w:rsid w:val="1F753511"/>
    <w:rsid w:val="1F92003C"/>
    <w:rsid w:val="1FDC31F3"/>
    <w:rsid w:val="1FE33C5E"/>
    <w:rsid w:val="20054925"/>
    <w:rsid w:val="20185FBB"/>
    <w:rsid w:val="20401B1F"/>
    <w:rsid w:val="20684BD2"/>
    <w:rsid w:val="20D17C03"/>
    <w:rsid w:val="21250682"/>
    <w:rsid w:val="21643F27"/>
    <w:rsid w:val="219D08AB"/>
    <w:rsid w:val="226E709F"/>
    <w:rsid w:val="22D21279"/>
    <w:rsid w:val="232B0184"/>
    <w:rsid w:val="237A5348"/>
    <w:rsid w:val="23F24BF1"/>
    <w:rsid w:val="244D7080"/>
    <w:rsid w:val="245F55B7"/>
    <w:rsid w:val="24831FDA"/>
    <w:rsid w:val="24886BEA"/>
    <w:rsid w:val="248C684D"/>
    <w:rsid w:val="24CD5517"/>
    <w:rsid w:val="256142E1"/>
    <w:rsid w:val="25891182"/>
    <w:rsid w:val="26052BA4"/>
    <w:rsid w:val="26196A40"/>
    <w:rsid w:val="272D1D49"/>
    <w:rsid w:val="27A943D1"/>
    <w:rsid w:val="27B81765"/>
    <w:rsid w:val="28C22931"/>
    <w:rsid w:val="29D67050"/>
    <w:rsid w:val="29D76728"/>
    <w:rsid w:val="29EF3C6E"/>
    <w:rsid w:val="2A184E15"/>
    <w:rsid w:val="2A2E284C"/>
    <w:rsid w:val="2A3846DF"/>
    <w:rsid w:val="2A4F3F46"/>
    <w:rsid w:val="2A672AB1"/>
    <w:rsid w:val="2AFC63F0"/>
    <w:rsid w:val="2B314D36"/>
    <w:rsid w:val="2B345DDC"/>
    <w:rsid w:val="2B91392E"/>
    <w:rsid w:val="2C2E4AE9"/>
    <w:rsid w:val="2C6737F1"/>
    <w:rsid w:val="2C673F8F"/>
    <w:rsid w:val="2C717C3B"/>
    <w:rsid w:val="2CE81695"/>
    <w:rsid w:val="2D066AAD"/>
    <w:rsid w:val="2D1270F4"/>
    <w:rsid w:val="2D2B1E8D"/>
    <w:rsid w:val="2D825525"/>
    <w:rsid w:val="2E2C36E3"/>
    <w:rsid w:val="2E3600BD"/>
    <w:rsid w:val="2E484EAC"/>
    <w:rsid w:val="2E556795"/>
    <w:rsid w:val="2EAD1124"/>
    <w:rsid w:val="2EE16AC6"/>
    <w:rsid w:val="2EEE16BB"/>
    <w:rsid w:val="2EF4224A"/>
    <w:rsid w:val="2F113B60"/>
    <w:rsid w:val="2F7610B9"/>
    <w:rsid w:val="2F99381C"/>
    <w:rsid w:val="2FE42670"/>
    <w:rsid w:val="30332B06"/>
    <w:rsid w:val="30416FF3"/>
    <w:rsid w:val="3075311F"/>
    <w:rsid w:val="30A12ED6"/>
    <w:rsid w:val="30E60A96"/>
    <w:rsid w:val="310436BE"/>
    <w:rsid w:val="3154326A"/>
    <w:rsid w:val="316E1720"/>
    <w:rsid w:val="3198586F"/>
    <w:rsid w:val="31A33CBC"/>
    <w:rsid w:val="31AB480F"/>
    <w:rsid w:val="31C16E1F"/>
    <w:rsid w:val="321D6AB9"/>
    <w:rsid w:val="321F7BC2"/>
    <w:rsid w:val="3225114D"/>
    <w:rsid w:val="323D1A1A"/>
    <w:rsid w:val="326A6BCC"/>
    <w:rsid w:val="32AA7EA2"/>
    <w:rsid w:val="32B134C9"/>
    <w:rsid w:val="33182487"/>
    <w:rsid w:val="33750002"/>
    <w:rsid w:val="33D20183"/>
    <w:rsid w:val="34753DB4"/>
    <w:rsid w:val="34F1098C"/>
    <w:rsid w:val="356A630C"/>
    <w:rsid w:val="35EC53A9"/>
    <w:rsid w:val="361909F0"/>
    <w:rsid w:val="37773F79"/>
    <w:rsid w:val="377838EB"/>
    <w:rsid w:val="384C5E56"/>
    <w:rsid w:val="389E09C9"/>
    <w:rsid w:val="389F0734"/>
    <w:rsid w:val="38A25CA6"/>
    <w:rsid w:val="38A5656B"/>
    <w:rsid w:val="38B20A5B"/>
    <w:rsid w:val="394F3325"/>
    <w:rsid w:val="396E64A3"/>
    <w:rsid w:val="39BE1C76"/>
    <w:rsid w:val="39D50A73"/>
    <w:rsid w:val="39D966E3"/>
    <w:rsid w:val="39DF1B9E"/>
    <w:rsid w:val="39E22916"/>
    <w:rsid w:val="39F350B4"/>
    <w:rsid w:val="3A45320B"/>
    <w:rsid w:val="3A8500AC"/>
    <w:rsid w:val="3AEB6410"/>
    <w:rsid w:val="3B842468"/>
    <w:rsid w:val="3B8A07A5"/>
    <w:rsid w:val="3B907132"/>
    <w:rsid w:val="3B994239"/>
    <w:rsid w:val="3B997928"/>
    <w:rsid w:val="3BC55BE9"/>
    <w:rsid w:val="3BEE1FD7"/>
    <w:rsid w:val="3C2A7E36"/>
    <w:rsid w:val="3C335F4F"/>
    <w:rsid w:val="3D4072AC"/>
    <w:rsid w:val="3D570175"/>
    <w:rsid w:val="3D8A5E22"/>
    <w:rsid w:val="3DDA41D7"/>
    <w:rsid w:val="3DE25039"/>
    <w:rsid w:val="3E5D51F2"/>
    <w:rsid w:val="3EE46D5C"/>
    <w:rsid w:val="3F022642"/>
    <w:rsid w:val="3F3000C7"/>
    <w:rsid w:val="3F447797"/>
    <w:rsid w:val="3F46412E"/>
    <w:rsid w:val="3FB41262"/>
    <w:rsid w:val="3FCD7223"/>
    <w:rsid w:val="3FD02D5B"/>
    <w:rsid w:val="401D3FB4"/>
    <w:rsid w:val="40221304"/>
    <w:rsid w:val="4063628F"/>
    <w:rsid w:val="40FC3DE3"/>
    <w:rsid w:val="41703350"/>
    <w:rsid w:val="41735459"/>
    <w:rsid w:val="41986367"/>
    <w:rsid w:val="41D13F2D"/>
    <w:rsid w:val="427F7E2D"/>
    <w:rsid w:val="429C7486"/>
    <w:rsid w:val="42B83FE5"/>
    <w:rsid w:val="42D669C5"/>
    <w:rsid w:val="42FF6CC8"/>
    <w:rsid w:val="43183288"/>
    <w:rsid w:val="431A1904"/>
    <w:rsid w:val="439416B6"/>
    <w:rsid w:val="44586B88"/>
    <w:rsid w:val="44AE67A8"/>
    <w:rsid w:val="44FE4127"/>
    <w:rsid w:val="45070F18"/>
    <w:rsid w:val="45753FD7"/>
    <w:rsid w:val="45880324"/>
    <w:rsid w:val="45BA3CA5"/>
    <w:rsid w:val="45E701C3"/>
    <w:rsid w:val="46141A02"/>
    <w:rsid w:val="464D6CF8"/>
    <w:rsid w:val="46712183"/>
    <w:rsid w:val="468462CB"/>
    <w:rsid w:val="46F93E9F"/>
    <w:rsid w:val="4707756A"/>
    <w:rsid w:val="4716447F"/>
    <w:rsid w:val="47574ED5"/>
    <w:rsid w:val="47BE5710"/>
    <w:rsid w:val="4869041A"/>
    <w:rsid w:val="488708E6"/>
    <w:rsid w:val="492359B6"/>
    <w:rsid w:val="49502A2E"/>
    <w:rsid w:val="49504BBD"/>
    <w:rsid w:val="49A93EF7"/>
    <w:rsid w:val="49EF7646"/>
    <w:rsid w:val="4A0A26D2"/>
    <w:rsid w:val="4A1F0BBA"/>
    <w:rsid w:val="4A200666"/>
    <w:rsid w:val="4A282B58"/>
    <w:rsid w:val="4A804706"/>
    <w:rsid w:val="4A9106FD"/>
    <w:rsid w:val="4A965D14"/>
    <w:rsid w:val="4B81429D"/>
    <w:rsid w:val="4BC14C4D"/>
    <w:rsid w:val="4BF40E3E"/>
    <w:rsid w:val="4C3C6D10"/>
    <w:rsid w:val="4D245859"/>
    <w:rsid w:val="4D2737D6"/>
    <w:rsid w:val="4D4F5EFB"/>
    <w:rsid w:val="4DB258D2"/>
    <w:rsid w:val="4DBF6C7D"/>
    <w:rsid w:val="4DE51CCB"/>
    <w:rsid w:val="4F271630"/>
    <w:rsid w:val="4F6C2556"/>
    <w:rsid w:val="4FA00183"/>
    <w:rsid w:val="4FE439C5"/>
    <w:rsid w:val="50CA30CD"/>
    <w:rsid w:val="50D566EE"/>
    <w:rsid w:val="50DA24CF"/>
    <w:rsid w:val="50FC5F25"/>
    <w:rsid w:val="51052466"/>
    <w:rsid w:val="51053BF3"/>
    <w:rsid w:val="513A22AD"/>
    <w:rsid w:val="51CC1081"/>
    <w:rsid w:val="52040F56"/>
    <w:rsid w:val="52526266"/>
    <w:rsid w:val="52BF46A2"/>
    <w:rsid w:val="53C07DDC"/>
    <w:rsid w:val="53EC4BF7"/>
    <w:rsid w:val="55065A58"/>
    <w:rsid w:val="55230AEC"/>
    <w:rsid w:val="55425416"/>
    <w:rsid w:val="55656CDD"/>
    <w:rsid w:val="556E1BAD"/>
    <w:rsid w:val="55924DCB"/>
    <w:rsid w:val="55A97243"/>
    <w:rsid w:val="55C421F9"/>
    <w:rsid w:val="55C645F4"/>
    <w:rsid w:val="55CB44C0"/>
    <w:rsid w:val="56000D0B"/>
    <w:rsid w:val="563C1DDA"/>
    <w:rsid w:val="56FE711B"/>
    <w:rsid w:val="576279F2"/>
    <w:rsid w:val="57690C8F"/>
    <w:rsid w:val="5771597B"/>
    <w:rsid w:val="57B4461F"/>
    <w:rsid w:val="580D18D4"/>
    <w:rsid w:val="581B3E8B"/>
    <w:rsid w:val="582C7CB7"/>
    <w:rsid w:val="583102C7"/>
    <w:rsid w:val="58726012"/>
    <w:rsid w:val="58A40E0B"/>
    <w:rsid w:val="58B77F1B"/>
    <w:rsid w:val="58BA1CEE"/>
    <w:rsid w:val="592A65E6"/>
    <w:rsid w:val="596722BD"/>
    <w:rsid w:val="597D26CF"/>
    <w:rsid w:val="597E7408"/>
    <w:rsid w:val="59D93E6F"/>
    <w:rsid w:val="59F92457"/>
    <w:rsid w:val="59FB6D28"/>
    <w:rsid w:val="5A470DD9"/>
    <w:rsid w:val="5A797138"/>
    <w:rsid w:val="5A7A3C96"/>
    <w:rsid w:val="5ABE5A4B"/>
    <w:rsid w:val="5AC07CE1"/>
    <w:rsid w:val="5ACF314D"/>
    <w:rsid w:val="5AE52625"/>
    <w:rsid w:val="5B343FB7"/>
    <w:rsid w:val="5B696CDF"/>
    <w:rsid w:val="5BA83AF9"/>
    <w:rsid w:val="5BD74E45"/>
    <w:rsid w:val="5BF57B11"/>
    <w:rsid w:val="5C0E3323"/>
    <w:rsid w:val="5C4F7B01"/>
    <w:rsid w:val="5C5679F9"/>
    <w:rsid w:val="5D5B27A1"/>
    <w:rsid w:val="5D9A4243"/>
    <w:rsid w:val="5DA93BDE"/>
    <w:rsid w:val="5DDB6408"/>
    <w:rsid w:val="5DF438B4"/>
    <w:rsid w:val="5DF919EB"/>
    <w:rsid w:val="5EB24BEC"/>
    <w:rsid w:val="5F9C5723"/>
    <w:rsid w:val="5FF30B47"/>
    <w:rsid w:val="60437C78"/>
    <w:rsid w:val="606C343E"/>
    <w:rsid w:val="60913EE6"/>
    <w:rsid w:val="60BA67A8"/>
    <w:rsid w:val="60BF0568"/>
    <w:rsid w:val="60CE4002"/>
    <w:rsid w:val="60D37AAA"/>
    <w:rsid w:val="60FD7D16"/>
    <w:rsid w:val="61363955"/>
    <w:rsid w:val="619528A3"/>
    <w:rsid w:val="61B11112"/>
    <w:rsid w:val="62137AC8"/>
    <w:rsid w:val="62576DB1"/>
    <w:rsid w:val="628472D5"/>
    <w:rsid w:val="62EF200D"/>
    <w:rsid w:val="62FD6A68"/>
    <w:rsid w:val="63220722"/>
    <w:rsid w:val="632E0D88"/>
    <w:rsid w:val="63A00324"/>
    <w:rsid w:val="63C4349A"/>
    <w:rsid w:val="63D74F7B"/>
    <w:rsid w:val="64C43A3F"/>
    <w:rsid w:val="64D019A6"/>
    <w:rsid w:val="64F955BE"/>
    <w:rsid w:val="65152802"/>
    <w:rsid w:val="652627C1"/>
    <w:rsid w:val="657D7DA4"/>
    <w:rsid w:val="65A53C6D"/>
    <w:rsid w:val="65AB639C"/>
    <w:rsid w:val="65D13EC2"/>
    <w:rsid w:val="660A2E72"/>
    <w:rsid w:val="661A55F3"/>
    <w:rsid w:val="66464D7E"/>
    <w:rsid w:val="667C005C"/>
    <w:rsid w:val="669047B5"/>
    <w:rsid w:val="66BC60B1"/>
    <w:rsid w:val="67284DEB"/>
    <w:rsid w:val="67654F94"/>
    <w:rsid w:val="67A07D7A"/>
    <w:rsid w:val="67DE4477"/>
    <w:rsid w:val="685622C5"/>
    <w:rsid w:val="68C302B9"/>
    <w:rsid w:val="69831D6D"/>
    <w:rsid w:val="6992710D"/>
    <w:rsid w:val="69DA7573"/>
    <w:rsid w:val="69E618E4"/>
    <w:rsid w:val="6A276531"/>
    <w:rsid w:val="6A476FE2"/>
    <w:rsid w:val="6A667059"/>
    <w:rsid w:val="6A9A6DF0"/>
    <w:rsid w:val="6AC54ED1"/>
    <w:rsid w:val="6AD83AD4"/>
    <w:rsid w:val="6B076F18"/>
    <w:rsid w:val="6BDA6B1E"/>
    <w:rsid w:val="6BEA3CBA"/>
    <w:rsid w:val="6C055CF8"/>
    <w:rsid w:val="6C256AA0"/>
    <w:rsid w:val="6C8F5842"/>
    <w:rsid w:val="6C9A3598"/>
    <w:rsid w:val="6CE04516"/>
    <w:rsid w:val="6CFA1CDB"/>
    <w:rsid w:val="6D337226"/>
    <w:rsid w:val="6D6049EA"/>
    <w:rsid w:val="6D6524AA"/>
    <w:rsid w:val="6DA11374"/>
    <w:rsid w:val="6DC031A0"/>
    <w:rsid w:val="6E2A6922"/>
    <w:rsid w:val="6EBB1D37"/>
    <w:rsid w:val="6EEA3674"/>
    <w:rsid w:val="6F414A7F"/>
    <w:rsid w:val="6F5B1156"/>
    <w:rsid w:val="70121BA2"/>
    <w:rsid w:val="701841EE"/>
    <w:rsid w:val="70750092"/>
    <w:rsid w:val="709E7E8D"/>
    <w:rsid w:val="70AB15FE"/>
    <w:rsid w:val="70E959E8"/>
    <w:rsid w:val="71294F63"/>
    <w:rsid w:val="718E5B9A"/>
    <w:rsid w:val="71F004B9"/>
    <w:rsid w:val="71FD4747"/>
    <w:rsid w:val="721F6691"/>
    <w:rsid w:val="72485ABE"/>
    <w:rsid w:val="744A79EB"/>
    <w:rsid w:val="74D4252D"/>
    <w:rsid w:val="74D95FC0"/>
    <w:rsid w:val="74F07EF6"/>
    <w:rsid w:val="75341A37"/>
    <w:rsid w:val="75571002"/>
    <w:rsid w:val="75894543"/>
    <w:rsid w:val="75A976AE"/>
    <w:rsid w:val="75BA6FE1"/>
    <w:rsid w:val="75C60818"/>
    <w:rsid w:val="75CD61DE"/>
    <w:rsid w:val="760B6D06"/>
    <w:rsid w:val="7637416E"/>
    <w:rsid w:val="76F15F35"/>
    <w:rsid w:val="77356731"/>
    <w:rsid w:val="774D3A7A"/>
    <w:rsid w:val="77931A6B"/>
    <w:rsid w:val="77E55713"/>
    <w:rsid w:val="7806753D"/>
    <w:rsid w:val="782D1944"/>
    <w:rsid w:val="78454C08"/>
    <w:rsid w:val="784739C6"/>
    <w:rsid w:val="785A2E96"/>
    <w:rsid w:val="789842C8"/>
    <w:rsid w:val="78A13CF9"/>
    <w:rsid w:val="78CF7D27"/>
    <w:rsid w:val="796C6412"/>
    <w:rsid w:val="798474FC"/>
    <w:rsid w:val="79B53B29"/>
    <w:rsid w:val="79E446EA"/>
    <w:rsid w:val="7A36068C"/>
    <w:rsid w:val="7A917CBF"/>
    <w:rsid w:val="7AB84A82"/>
    <w:rsid w:val="7B09319D"/>
    <w:rsid w:val="7B3034B4"/>
    <w:rsid w:val="7B952D20"/>
    <w:rsid w:val="7BCF6ABB"/>
    <w:rsid w:val="7CA2105A"/>
    <w:rsid w:val="7D3B10DC"/>
    <w:rsid w:val="7D760CAF"/>
    <w:rsid w:val="7DDA135B"/>
    <w:rsid w:val="7E16287D"/>
    <w:rsid w:val="7E7B37EB"/>
    <w:rsid w:val="7E8A5BE3"/>
    <w:rsid w:val="7EBE700C"/>
    <w:rsid w:val="7ED93E46"/>
    <w:rsid w:val="7EDF5CD1"/>
    <w:rsid w:val="7EEF2D5A"/>
    <w:rsid w:val="7F791FC0"/>
    <w:rsid w:val="7FFE6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7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0">
    <w:name w:val="List 3"/>
    <w:basedOn w:val="1"/>
    <w:qFormat/>
    <w:uiPriority w:val="0"/>
    <w:pPr>
      <w:ind w:left="100" w:leftChars="400" w:hanging="200" w:hangingChars="200"/>
    </w:pPr>
  </w:style>
  <w:style w:type="paragraph" w:styleId="11">
    <w:name w:val="Normal Indent"/>
    <w:basedOn w:val="1"/>
    <w:link w:val="56"/>
    <w:qFormat/>
    <w:uiPriority w:val="0"/>
    <w:pPr>
      <w:ind w:firstLine="42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semiHidden/>
    <w:qFormat/>
    <w:uiPriority w:val="0"/>
    <w:pPr>
      <w:shd w:val="clear" w:color="auto" w:fill="000080"/>
    </w:pPr>
  </w:style>
  <w:style w:type="paragraph" w:styleId="14">
    <w:name w:val="annotation text"/>
    <w:basedOn w:val="1"/>
    <w:link w:val="66"/>
    <w:semiHidden/>
    <w:qFormat/>
    <w:uiPriority w:val="0"/>
    <w:pPr>
      <w:adjustRightInd w:val="0"/>
      <w:jc w:val="left"/>
      <w:textAlignment w:val="baseline"/>
    </w:pPr>
    <w:rPr>
      <w:rFonts w:ascii="MingLiU" w:hAnsi="Tahoma" w:eastAsia="MingLiU"/>
      <w:kern w:val="0"/>
      <w:sz w:val="24"/>
      <w:szCs w:val="20"/>
      <w:lang w:eastAsia="zh-TW"/>
    </w:rPr>
  </w:style>
  <w:style w:type="paragraph" w:styleId="15">
    <w:name w:val="Body Text 3"/>
    <w:basedOn w:val="1"/>
    <w:link w:val="69"/>
    <w:qFormat/>
    <w:uiPriority w:val="0"/>
    <w:rPr>
      <w:rFonts w:ascii="宋体" w:hAnsi="Tahoma"/>
      <w:sz w:val="24"/>
      <w:szCs w:val="20"/>
    </w:rPr>
  </w:style>
  <w:style w:type="paragraph" w:styleId="16">
    <w:name w:val="Body Text"/>
    <w:basedOn w:val="1"/>
    <w:next w:val="1"/>
    <w:link w:val="159"/>
    <w:qFormat/>
    <w:uiPriority w:val="0"/>
    <w:pPr>
      <w:spacing w:after="120"/>
    </w:pPr>
  </w:style>
  <w:style w:type="paragraph" w:styleId="17">
    <w:name w:val="Body Text Indent"/>
    <w:basedOn w:val="1"/>
    <w:link w:val="78"/>
    <w:qFormat/>
    <w:uiPriority w:val="99"/>
    <w:pPr>
      <w:spacing w:after="120"/>
      <w:ind w:left="420" w:leftChars="200"/>
    </w:pPr>
  </w:style>
  <w:style w:type="paragraph" w:styleId="18">
    <w:name w:val="List 2"/>
    <w:basedOn w:val="1"/>
    <w:qFormat/>
    <w:uiPriority w:val="0"/>
    <w:pPr>
      <w:ind w:left="100" w:leftChars="200" w:hanging="200" w:hangingChars="200"/>
    </w:pPr>
  </w:style>
  <w:style w:type="paragraph" w:styleId="19">
    <w:name w:val="Block Text"/>
    <w:basedOn w:val="1"/>
    <w:qFormat/>
    <w:uiPriority w:val="0"/>
    <w:pPr>
      <w:ind w:left="-716" w:leftChars="-342" w:right="-874" w:rightChars="-416" w:hanging="2"/>
    </w:pPr>
    <w:rPr>
      <w:sz w:val="28"/>
    </w:rPr>
  </w:style>
  <w:style w:type="paragraph" w:styleId="20">
    <w:name w:val="List Bullet 2"/>
    <w:basedOn w:val="1"/>
    <w:qFormat/>
    <w:uiPriority w:val="0"/>
    <w:pPr>
      <w:tabs>
        <w:tab w:val="left" w:pos="780"/>
      </w:tabs>
      <w:ind w:left="780" w:hanging="360"/>
    </w:pPr>
  </w:style>
  <w:style w:type="paragraph" w:styleId="21">
    <w:name w:val="toc 3"/>
    <w:basedOn w:val="1"/>
    <w:next w:val="1"/>
    <w:semiHidden/>
    <w:qFormat/>
    <w:uiPriority w:val="0"/>
    <w:pPr>
      <w:ind w:left="840" w:leftChars="400"/>
    </w:pPr>
  </w:style>
  <w:style w:type="paragraph" w:styleId="22">
    <w:name w:val="Plain Text"/>
    <w:basedOn w:val="1"/>
    <w:link w:val="55"/>
    <w:qFormat/>
    <w:uiPriority w:val="0"/>
    <w:rPr>
      <w:rFonts w:ascii="宋体" w:hAnsi="Courier New"/>
      <w:szCs w:val="21"/>
    </w:rPr>
  </w:style>
  <w:style w:type="paragraph" w:styleId="23">
    <w:name w:val="Date"/>
    <w:basedOn w:val="1"/>
    <w:next w:val="1"/>
    <w:link w:val="73"/>
    <w:qFormat/>
    <w:uiPriority w:val="0"/>
    <w:pPr>
      <w:ind w:left="100" w:leftChars="2500"/>
    </w:pPr>
  </w:style>
  <w:style w:type="paragraph" w:styleId="24">
    <w:name w:val="Body Text Indent 2"/>
    <w:basedOn w:val="1"/>
    <w:link w:val="85"/>
    <w:qFormat/>
    <w:uiPriority w:val="0"/>
    <w:pPr>
      <w:adjustRightInd w:val="0"/>
      <w:snapToGrid w:val="0"/>
      <w:spacing w:line="300" w:lineRule="auto"/>
      <w:ind w:right="-512" w:rightChars="-244" w:firstLine="567"/>
    </w:pPr>
    <w:rPr>
      <w:rFonts w:eastAsia="仿宋_GB2312"/>
      <w:snapToGrid w:val="0"/>
      <w:sz w:val="24"/>
    </w:rPr>
  </w:style>
  <w:style w:type="paragraph" w:styleId="25">
    <w:name w:val="Balloon Text"/>
    <w:basedOn w:val="1"/>
    <w:link w:val="81"/>
    <w:qFormat/>
    <w:uiPriority w:val="0"/>
    <w:rPr>
      <w:rFonts w:ascii="Tahoma" w:hAnsi="Tahoma"/>
      <w:sz w:val="18"/>
      <w:szCs w:val="18"/>
    </w:rPr>
  </w:style>
  <w:style w:type="paragraph" w:styleId="26">
    <w:name w:val="footer"/>
    <w:basedOn w:val="1"/>
    <w:link w:val="79"/>
    <w:qFormat/>
    <w:uiPriority w:val="99"/>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440" w:lineRule="exact"/>
      <w:jc w:val="center"/>
    </w:pPr>
  </w:style>
  <w:style w:type="paragraph" w:styleId="29">
    <w:name w:val="toc 4"/>
    <w:basedOn w:val="1"/>
    <w:next w:val="1"/>
    <w:semiHidden/>
    <w:qFormat/>
    <w:uiPriority w:val="0"/>
    <w:pPr>
      <w:ind w:left="1260" w:leftChars="600"/>
    </w:pPr>
  </w:style>
  <w:style w:type="paragraph" w:styleId="30">
    <w:name w:val="Subtitle"/>
    <w:basedOn w:val="1"/>
    <w:next w:val="1"/>
    <w:link w:val="60"/>
    <w:qFormat/>
    <w:uiPriority w:val="0"/>
    <w:pPr>
      <w:spacing w:before="240" w:after="60" w:line="312" w:lineRule="auto"/>
      <w:jc w:val="center"/>
      <w:outlineLvl w:val="1"/>
    </w:pPr>
    <w:rPr>
      <w:rFonts w:ascii="Cambria" w:hAnsi="Cambria" w:eastAsia="黑体"/>
      <w:bCs/>
      <w:kern w:val="28"/>
      <w:sz w:val="32"/>
      <w:szCs w:val="32"/>
    </w:rPr>
  </w:style>
  <w:style w:type="paragraph" w:styleId="31">
    <w:name w:val="List"/>
    <w:basedOn w:val="1"/>
    <w:qFormat/>
    <w:uiPriority w:val="0"/>
    <w:pPr>
      <w:ind w:left="420" w:hanging="420"/>
    </w:pPr>
    <w:rPr>
      <w:szCs w:val="20"/>
    </w:rPr>
  </w:style>
  <w:style w:type="paragraph" w:styleId="32">
    <w:name w:val="toc 6"/>
    <w:basedOn w:val="1"/>
    <w:next w:val="1"/>
    <w:semiHidden/>
    <w:qFormat/>
    <w:uiPriority w:val="0"/>
    <w:pPr>
      <w:ind w:left="2100" w:leftChars="1000"/>
    </w:p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qFormat/>
    <w:uiPriority w:val="39"/>
    <w:pPr>
      <w:ind w:left="420" w:leftChars="200"/>
    </w:pPr>
  </w:style>
  <w:style w:type="paragraph" w:styleId="35">
    <w:name w:val="Body Text 2"/>
    <w:basedOn w:val="1"/>
    <w:qFormat/>
    <w:uiPriority w:val="0"/>
    <w:pPr>
      <w:spacing w:after="120" w:line="480" w:lineRule="auto"/>
    </w:pPr>
  </w:style>
  <w:style w:type="paragraph" w:styleId="36">
    <w:name w:val="List 4"/>
    <w:basedOn w:val="1"/>
    <w:qFormat/>
    <w:uiPriority w:val="0"/>
    <w:pPr>
      <w:ind w:left="100" w:leftChars="600" w:hanging="200" w:hangingChars="200"/>
    </w:pPr>
  </w:style>
  <w:style w:type="paragraph" w:styleId="37">
    <w:name w:val="List Continue 2"/>
    <w:basedOn w:val="1"/>
    <w:qFormat/>
    <w:uiPriority w:val="0"/>
    <w:pPr>
      <w:spacing w:after="120"/>
      <w:ind w:left="840" w:leftChars="400"/>
    </w:p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cs="Courier New"/>
      <w:kern w:val="0"/>
      <w:sz w:val="18"/>
      <w:szCs w:val="18"/>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semiHidden/>
    <w:qFormat/>
    <w:uiPriority w:val="0"/>
    <w:pPr>
      <w:spacing w:line="220" w:lineRule="exact"/>
      <w:jc w:val="center"/>
    </w:pPr>
    <w:rPr>
      <w:rFonts w:ascii="仿宋_GB2312" w:eastAsia="仿宋_GB2312"/>
      <w:szCs w:val="21"/>
    </w:rPr>
  </w:style>
  <w:style w:type="paragraph" w:styleId="41">
    <w:name w:val="index 2"/>
    <w:basedOn w:val="1"/>
    <w:next w:val="1"/>
    <w:semiHidden/>
    <w:qFormat/>
    <w:uiPriority w:val="0"/>
    <w:pPr>
      <w:widowControl/>
      <w:ind w:left="200" w:leftChars="200"/>
      <w:jc w:val="left"/>
    </w:pPr>
    <w:rPr>
      <w:kern w:val="0"/>
      <w:sz w:val="20"/>
      <w:szCs w:val="20"/>
    </w:rPr>
  </w:style>
  <w:style w:type="paragraph" w:styleId="42">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4"/>
    <w:next w:val="14"/>
    <w:semiHidden/>
    <w:qFormat/>
    <w:uiPriority w:val="0"/>
    <w:pPr>
      <w:adjustRightInd/>
      <w:textAlignment w:val="auto"/>
    </w:pPr>
    <w:rPr>
      <w:rFonts w:ascii="Times New Roman" w:eastAsia="宋体"/>
      <w:b/>
      <w:bCs/>
      <w:kern w:val="2"/>
      <w:sz w:val="21"/>
      <w:szCs w:val="24"/>
      <w:lang w:eastAsia="zh-CN"/>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ahoma" w:hAnsi="Tahoma"/>
      <w:b/>
      <w:bCs/>
      <w:sz w:val="24"/>
      <w:szCs w:val="20"/>
    </w:rPr>
  </w:style>
  <w:style w:type="character" w:styleId="48">
    <w:name w:val="page number"/>
    <w:basedOn w:val="46"/>
    <w:qFormat/>
    <w:uiPriority w:val="0"/>
  </w:style>
  <w:style w:type="character" w:styleId="49">
    <w:name w:val="FollowedHyperlink"/>
    <w:qFormat/>
    <w:uiPriority w:val="0"/>
    <w:rPr>
      <w:rFonts w:ascii="Tahoma" w:hAnsi="Tahoma"/>
      <w:color w:val="800080"/>
      <w:sz w:val="24"/>
      <w:szCs w:val="20"/>
      <w:u w:val="single"/>
    </w:rPr>
  </w:style>
  <w:style w:type="character" w:styleId="50">
    <w:name w:val="Emphasis"/>
    <w:qFormat/>
    <w:uiPriority w:val="0"/>
    <w:rPr>
      <w:rFonts w:ascii="Tahoma" w:hAnsi="Tahoma"/>
      <w:color w:val="CC0000"/>
      <w:sz w:val="24"/>
      <w:szCs w:val="20"/>
    </w:rPr>
  </w:style>
  <w:style w:type="character" w:styleId="51">
    <w:name w:val="Hyperlink"/>
    <w:qFormat/>
    <w:uiPriority w:val="0"/>
    <w:rPr>
      <w:rFonts w:ascii="Tahoma" w:hAnsi="Tahoma"/>
      <w:color w:val="0000FF"/>
      <w:sz w:val="24"/>
      <w:szCs w:val="20"/>
      <w:u w:val="single"/>
    </w:rPr>
  </w:style>
  <w:style w:type="character" w:styleId="52">
    <w:name w:val="annotation reference"/>
    <w:unhideWhenUsed/>
    <w:qFormat/>
    <w:uiPriority w:val="0"/>
    <w:rPr>
      <w:sz w:val="21"/>
      <w:szCs w:val="21"/>
    </w:rPr>
  </w:style>
  <w:style w:type="character" w:customStyle="1" w:styleId="53">
    <w:name w:val="标题 1 字符"/>
    <w:link w:val="2"/>
    <w:qFormat/>
    <w:uiPriority w:val="0"/>
    <w:rPr>
      <w:rFonts w:ascii="Tahoma" w:hAnsi="Tahoma" w:eastAsia="宋体"/>
      <w:b/>
      <w:bCs/>
      <w:kern w:val="44"/>
      <w:sz w:val="44"/>
      <w:szCs w:val="44"/>
      <w:lang w:val="en-US" w:eastAsia="zh-CN" w:bidi="ar-SA"/>
    </w:rPr>
  </w:style>
  <w:style w:type="character" w:customStyle="1" w:styleId="54">
    <w:name w:val="Char Char12"/>
    <w:qFormat/>
    <w:uiPriority w:val="0"/>
    <w:rPr>
      <w:rFonts w:ascii="宋体" w:hAnsi="Tahoma" w:eastAsia="宋体"/>
      <w:kern w:val="2"/>
      <w:sz w:val="24"/>
      <w:szCs w:val="20"/>
      <w:lang w:val="en-US" w:eastAsia="zh-CN" w:bidi="ar-SA"/>
    </w:rPr>
  </w:style>
  <w:style w:type="character" w:customStyle="1" w:styleId="55">
    <w:name w:val="纯文本 字符"/>
    <w:link w:val="22"/>
    <w:qFormat/>
    <w:uiPriority w:val="0"/>
    <w:rPr>
      <w:rFonts w:ascii="宋体" w:hAnsi="Courier New" w:eastAsia="宋体"/>
      <w:kern w:val="2"/>
      <w:sz w:val="21"/>
      <w:szCs w:val="21"/>
      <w:lang w:val="en-US" w:eastAsia="zh-CN" w:bidi="ar-SA"/>
    </w:rPr>
  </w:style>
  <w:style w:type="character" w:customStyle="1" w:styleId="56">
    <w:name w:val="正文缩进 字符"/>
    <w:link w:val="11"/>
    <w:qFormat/>
    <w:uiPriority w:val="0"/>
    <w:rPr>
      <w:kern w:val="2"/>
      <w:sz w:val="21"/>
      <w:szCs w:val="24"/>
    </w:rPr>
  </w:style>
  <w:style w:type="character" w:customStyle="1" w:styleId="57">
    <w:name w:val="Char Char2"/>
    <w:qFormat/>
    <w:uiPriority w:val="0"/>
    <w:rPr>
      <w:rFonts w:ascii="Arial" w:hAnsi="Arial" w:eastAsia="黑体"/>
      <w:b/>
      <w:bCs/>
      <w:kern w:val="2"/>
      <w:sz w:val="32"/>
      <w:szCs w:val="32"/>
      <w:lang w:val="en-US" w:eastAsia="zh-CN" w:bidi="ar-SA"/>
    </w:rPr>
  </w:style>
  <w:style w:type="character" w:customStyle="1" w:styleId="58">
    <w:name w:val="表中五号字 Char"/>
    <w:link w:val="59"/>
    <w:qFormat/>
    <w:locked/>
    <w:uiPriority w:val="0"/>
    <w:rPr>
      <w:bCs/>
      <w:kern w:val="2"/>
      <w:sz w:val="21"/>
      <w:szCs w:val="21"/>
      <w:lang w:val="en-US" w:eastAsia="zh-CN" w:bidi="ar-SA"/>
    </w:rPr>
  </w:style>
  <w:style w:type="paragraph" w:customStyle="1" w:styleId="59">
    <w:name w:val="表中五号字"/>
    <w:link w:val="58"/>
    <w:qFormat/>
    <w:uiPriority w:val="0"/>
    <w:pPr>
      <w:jc w:val="center"/>
    </w:pPr>
    <w:rPr>
      <w:rFonts w:ascii="Times New Roman" w:hAnsi="Times New Roman" w:eastAsia="宋体" w:cs="Times New Roman"/>
      <w:bCs/>
      <w:kern w:val="2"/>
      <w:sz w:val="21"/>
      <w:szCs w:val="21"/>
      <w:lang w:val="en-US" w:eastAsia="zh-CN" w:bidi="ar-SA"/>
    </w:rPr>
  </w:style>
  <w:style w:type="character" w:customStyle="1" w:styleId="60">
    <w:name w:val="副标题 字符"/>
    <w:link w:val="30"/>
    <w:qFormat/>
    <w:uiPriority w:val="0"/>
    <w:rPr>
      <w:rFonts w:ascii="Cambria" w:hAnsi="Cambria" w:eastAsia="黑体"/>
      <w:bCs/>
      <w:kern w:val="28"/>
      <w:sz w:val="32"/>
      <w:szCs w:val="32"/>
    </w:rPr>
  </w:style>
  <w:style w:type="character" w:customStyle="1" w:styleId="61">
    <w:name w:val="样式 标题 3 + (中文) 黑体 Char"/>
    <w:link w:val="62"/>
    <w:qFormat/>
    <w:uiPriority w:val="0"/>
    <w:rPr>
      <w:rFonts w:eastAsia="黑体"/>
      <w:b/>
      <w:bCs/>
      <w:color w:val="000000"/>
      <w:sz w:val="28"/>
      <w:szCs w:val="32"/>
    </w:rPr>
  </w:style>
  <w:style w:type="paragraph" w:customStyle="1" w:styleId="62">
    <w:name w:val="样式 标题 3 + (中文) 黑体"/>
    <w:basedOn w:val="4"/>
    <w:link w:val="61"/>
    <w:qFormat/>
    <w:uiPriority w:val="0"/>
    <w:pPr>
      <w:tabs>
        <w:tab w:val="left" w:pos="2160"/>
      </w:tabs>
      <w:spacing w:before="120" w:after="120" w:line="360" w:lineRule="auto"/>
      <w:ind w:left="2160" w:hanging="720"/>
    </w:pPr>
    <w:rPr>
      <w:rFonts w:eastAsia="黑体"/>
      <w:color w:val="000000"/>
      <w:kern w:val="0"/>
      <w:sz w:val="28"/>
    </w:rPr>
  </w:style>
  <w:style w:type="character" w:customStyle="1" w:styleId="63">
    <w:name w:val="Char Char5"/>
    <w:qFormat/>
    <w:uiPriority w:val="0"/>
    <w:rPr>
      <w:rFonts w:ascii="Tahoma" w:hAnsi="Tahoma" w:eastAsia="宋体"/>
      <w:kern w:val="2"/>
      <w:sz w:val="18"/>
      <w:szCs w:val="18"/>
      <w:lang w:val="en-US" w:eastAsia="zh-CN" w:bidi="ar-SA"/>
    </w:rPr>
  </w:style>
  <w:style w:type="character" w:customStyle="1" w:styleId="64">
    <w:name w:val="标题 4 字符"/>
    <w:link w:val="5"/>
    <w:qFormat/>
    <w:uiPriority w:val="0"/>
    <w:rPr>
      <w:rFonts w:ascii="Arial" w:hAnsi="Arial" w:eastAsia="黑体"/>
      <w:b/>
      <w:bCs/>
      <w:kern w:val="2"/>
      <w:sz w:val="28"/>
      <w:szCs w:val="28"/>
    </w:rPr>
  </w:style>
  <w:style w:type="character" w:customStyle="1" w:styleId="65">
    <w:name w:val="style31"/>
    <w:qFormat/>
    <w:uiPriority w:val="0"/>
    <w:rPr>
      <w:rFonts w:ascii="Tahoma" w:hAnsi="Tahoma"/>
      <w:sz w:val="18"/>
      <w:szCs w:val="18"/>
    </w:rPr>
  </w:style>
  <w:style w:type="character" w:customStyle="1" w:styleId="66">
    <w:name w:val="批注文字 字符"/>
    <w:link w:val="14"/>
    <w:qFormat/>
    <w:uiPriority w:val="0"/>
    <w:rPr>
      <w:rFonts w:ascii="MingLiU" w:hAnsi="Tahoma" w:eastAsia="MingLiU"/>
      <w:sz w:val="24"/>
      <w:szCs w:val="20"/>
      <w:lang w:val="en-US" w:eastAsia="zh-TW" w:bidi="ar-SA"/>
    </w:rPr>
  </w:style>
  <w:style w:type="character" w:customStyle="1" w:styleId="67">
    <w:name w:val="Char Char"/>
    <w:qFormat/>
    <w:uiPriority w:val="0"/>
    <w:rPr>
      <w:rFonts w:ascii="Tahoma" w:hAnsi="Tahoma"/>
      <w:kern w:val="2"/>
      <w:sz w:val="18"/>
      <w:szCs w:val="18"/>
    </w:rPr>
  </w:style>
  <w:style w:type="character" w:customStyle="1" w:styleId="68">
    <w:name w:val="标题 3 字符"/>
    <w:link w:val="4"/>
    <w:qFormat/>
    <w:uiPriority w:val="0"/>
    <w:rPr>
      <w:b/>
      <w:bCs/>
      <w:kern w:val="2"/>
      <w:sz w:val="32"/>
      <w:szCs w:val="32"/>
    </w:rPr>
  </w:style>
  <w:style w:type="character" w:customStyle="1" w:styleId="69">
    <w:name w:val="正文文本 3 字符"/>
    <w:link w:val="15"/>
    <w:qFormat/>
    <w:uiPriority w:val="0"/>
    <w:rPr>
      <w:rFonts w:ascii="宋体" w:hAnsi="Tahoma" w:eastAsia="宋体"/>
      <w:kern w:val="2"/>
      <w:sz w:val="24"/>
      <w:szCs w:val="20"/>
      <w:lang w:val="en-US" w:eastAsia="zh-CN" w:bidi="ar-SA"/>
    </w:rPr>
  </w:style>
  <w:style w:type="character" w:customStyle="1" w:styleId="70">
    <w:name w:val="样式 Char"/>
    <w:link w:val="71"/>
    <w:qFormat/>
    <w:uiPriority w:val="0"/>
    <w:rPr>
      <w:rFonts w:ascii="宋体" w:hAnsi="宋体" w:cs="宋体"/>
      <w:sz w:val="24"/>
      <w:szCs w:val="24"/>
      <w:lang w:val="en-US" w:eastAsia="zh-CN" w:bidi="ar-SA"/>
    </w:rPr>
  </w:style>
  <w:style w:type="paragraph" w:customStyle="1" w:styleId="71">
    <w:name w:val="样式"/>
    <w:link w:val="7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2">
    <w:name w:val="textcontents"/>
    <w:basedOn w:val="46"/>
    <w:qFormat/>
    <w:uiPriority w:val="0"/>
  </w:style>
  <w:style w:type="character" w:customStyle="1" w:styleId="73">
    <w:name w:val="日期 字符"/>
    <w:link w:val="23"/>
    <w:qFormat/>
    <w:uiPriority w:val="0"/>
    <w:rPr>
      <w:kern w:val="2"/>
      <w:sz w:val="21"/>
      <w:szCs w:val="24"/>
    </w:rPr>
  </w:style>
  <w:style w:type="character" w:customStyle="1" w:styleId="74">
    <w:name w:val="标题 1 Char"/>
    <w:qFormat/>
    <w:uiPriority w:val="0"/>
    <w:rPr>
      <w:rFonts w:ascii="仿宋_GB2312" w:hAnsi="Tahoma" w:eastAsia="黑体"/>
      <w:kern w:val="2"/>
      <w:sz w:val="32"/>
      <w:szCs w:val="24"/>
      <w:lang w:val="en-US" w:eastAsia="zh-CN" w:bidi="ar-SA"/>
    </w:rPr>
  </w:style>
  <w:style w:type="character" w:customStyle="1" w:styleId="75">
    <w:name w:val="Char Char1"/>
    <w:qFormat/>
    <w:uiPriority w:val="0"/>
    <w:rPr>
      <w:rFonts w:ascii="MingLiU" w:hAnsi="Tahoma" w:eastAsia="MingLiU"/>
      <w:sz w:val="24"/>
      <w:szCs w:val="20"/>
      <w:lang w:val="en-US" w:eastAsia="zh-TW" w:bidi="ar-SA"/>
    </w:rPr>
  </w:style>
  <w:style w:type="character" w:customStyle="1" w:styleId="76">
    <w:name w:val="标题 2 字符"/>
    <w:link w:val="3"/>
    <w:qFormat/>
    <w:uiPriority w:val="0"/>
    <w:rPr>
      <w:rFonts w:ascii="Arial" w:hAnsi="Arial" w:eastAsia="黑体"/>
      <w:b/>
      <w:bCs/>
      <w:kern w:val="2"/>
      <w:sz w:val="32"/>
      <w:szCs w:val="32"/>
      <w:lang w:val="en-US" w:eastAsia="zh-CN" w:bidi="ar-SA"/>
    </w:rPr>
  </w:style>
  <w:style w:type="character" w:customStyle="1" w:styleId="77">
    <w:name w:val="htd01"/>
    <w:basedOn w:val="46"/>
    <w:qFormat/>
    <w:uiPriority w:val="0"/>
  </w:style>
  <w:style w:type="character" w:customStyle="1" w:styleId="78">
    <w:name w:val="正文文本缩进 字符"/>
    <w:link w:val="17"/>
    <w:qFormat/>
    <w:uiPriority w:val="99"/>
    <w:rPr>
      <w:kern w:val="2"/>
      <w:sz w:val="21"/>
      <w:szCs w:val="24"/>
    </w:rPr>
  </w:style>
  <w:style w:type="character" w:customStyle="1" w:styleId="79">
    <w:name w:val="页脚 字符"/>
    <w:link w:val="26"/>
    <w:qFormat/>
    <w:uiPriority w:val="99"/>
    <w:rPr>
      <w:kern w:val="2"/>
      <w:sz w:val="18"/>
      <w:szCs w:val="18"/>
    </w:rPr>
  </w:style>
  <w:style w:type="character" w:customStyle="1" w:styleId="80">
    <w:name w:val="font161"/>
    <w:qFormat/>
    <w:uiPriority w:val="0"/>
    <w:rPr>
      <w:rFonts w:ascii="Tahoma" w:hAnsi="Tahoma"/>
      <w:b/>
      <w:bCs/>
      <w:sz w:val="32"/>
      <w:szCs w:val="32"/>
    </w:rPr>
  </w:style>
  <w:style w:type="character" w:customStyle="1" w:styleId="81">
    <w:name w:val="批注框文本 字符"/>
    <w:link w:val="25"/>
    <w:qFormat/>
    <w:uiPriority w:val="0"/>
    <w:rPr>
      <w:rFonts w:ascii="Tahoma" w:hAnsi="Tahoma"/>
      <w:kern w:val="2"/>
      <w:sz w:val="18"/>
      <w:szCs w:val="18"/>
    </w:rPr>
  </w:style>
  <w:style w:type="character" w:customStyle="1" w:styleId="82">
    <w:name w:val="样式 标题 1 + 小四 Char"/>
    <w:basedOn w:val="74"/>
    <w:qFormat/>
    <w:uiPriority w:val="0"/>
    <w:rPr>
      <w:rFonts w:ascii="仿宋_GB2312" w:hAnsi="Tahoma" w:eastAsia="黑体"/>
      <w:kern w:val="2"/>
      <w:sz w:val="32"/>
      <w:szCs w:val="24"/>
      <w:lang w:val="en-US" w:eastAsia="zh-CN" w:bidi="ar-SA"/>
    </w:rPr>
  </w:style>
  <w:style w:type="character" w:customStyle="1" w:styleId="83">
    <w:name w:val="Char Char3"/>
    <w:qFormat/>
    <w:uiPriority w:val="0"/>
    <w:rPr>
      <w:rFonts w:ascii="Tahoma" w:hAnsi="Tahoma" w:eastAsia="宋体"/>
      <w:b/>
      <w:bCs/>
      <w:kern w:val="44"/>
      <w:sz w:val="44"/>
      <w:szCs w:val="44"/>
      <w:lang w:val="en-US" w:eastAsia="zh-CN" w:bidi="ar-SA"/>
    </w:rPr>
  </w:style>
  <w:style w:type="character" w:customStyle="1" w:styleId="84">
    <w:name w:val="正文文本 3 Char"/>
    <w:qFormat/>
    <w:uiPriority w:val="0"/>
    <w:rPr>
      <w:rFonts w:ascii="宋体" w:hAnsi="Tahoma" w:eastAsia="宋体"/>
      <w:kern w:val="2"/>
      <w:sz w:val="24"/>
      <w:szCs w:val="20"/>
      <w:lang w:val="en-US" w:eastAsia="zh-CN" w:bidi="ar-SA"/>
    </w:rPr>
  </w:style>
  <w:style w:type="character" w:customStyle="1" w:styleId="85">
    <w:name w:val="正文文本缩进 2 字符"/>
    <w:link w:val="24"/>
    <w:qFormat/>
    <w:uiPriority w:val="0"/>
    <w:rPr>
      <w:rFonts w:eastAsia="仿宋_GB2312"/>
      <w:snapToGrid w:val="0"/>
      <w:kern w:val="2"/>
      <w:sz w:val="24"/>
      <w:szCs w:val="24"/>
    </w:rPr>
  </w:style>
  <w:style w:type="character" w:customStyle="1" w:styleId="86">
    <w:name w:val="文字 Char"/>
    <w:link w:val="87"/>
    <w:qFormat/>
    <w:uiPriority w:val="0"/>
    <w:rPr>
      <w:rFonts w:ascii="仿宋_GB2312" w:eastAsia="仿宋_GB2312"/>
      <w:sz w:val="24"/>
      <w:szCs w:val="21"/>
    </w:rPr>
  </w:style>
  <w:style w:type="paragraph" w:customStyle="1" w:styleId="87">
    <w:name w:val="文字"/>
    <w:basedOn w:val="1"/>
    <w:link w:val="86"/>
    <w:qFormat/>
    <w:uiPriority w:val="0"/>
    <w:pPr>
      <w:spacing w:afterLines="50" w:line="300" w:lineRule="auto"/>
      <w:ind w:firstLine="200" w:firstLineChars="200"/>
    </w:pPr>
    <w:rPr>
      <w:rFonts w:ascii="仿宋_GB2312" w:eastAsia="仿宋_GB2312"/>
      <w:kern w:val="0"/>
      <w:sz w:val="24"/>
      <w:szCs w:val="21"/>
    </w:rPr>
  </w:style>
  <w:style w:type="character" w:customStyle="1" w:styleId="88">
    <w:name w:val="表号 图号 Char"/>
    <w:link w:val="89"/>
    <w:qFormat/>
    <w:locked/>
    <w:uiPriority w:val="0"/>
    <w:rPr>
      <w:rFonts w:eastAsia="黑体"/>
      <w:sz w:val="24"/>
      <w:szCs w:val="24"/>
    </w:rPr>
  </w:style>
  <w:style w:type="paragraph" w:customStyle="1" w:styleId="89">
    <w:name w:val="表号 图号"/>
    <w:basedOn w:val="1"/>
    <w:link w:val="88"/>
    <w:qFormat/>
    <w:uiPriority w:val="0"/>
    <w:pPr>
      <w:spacing w:line="520" w:lineRule="exact"/>
      <w:jc w:val="center"/>
    </w:pPr>
    <w:rPr>
      <w:rFonts w:eastAsia="黑体"/>
      <w:kern w:val="0"/>
      <w:sz w:val="24"/>
    </w:rPr>
  </w:style>
  <w:style w:type="character" w:customStyle="1" w:styleId="90">
    <w:name w:val="列表段落 字符"/>
    <w:link w:val="91"/>
    <w:qFormat/>
    <w:uiPriority w:val="34"/>
    <w:rPr>
      <w:rFonts w:ascii="Calibri" w:hAnsi="Calibri"/>
      <w:kern w:val="2"/>
      <w:sz w:val="21"/>
      <w:szCs w:val="22"/>
    </w:rPr>
  </w:style>
  <w:style w:type="paragraph" w:styleId="91">
    <w:name w:val="List Paragraph"/>
    <w:basedOn w:val="1"/>
    <w:link w:val="90"/>
    <w:qFormat/>
    <w:uiPriority w:val="34"/>
    <w:pPr>
      <w:spacing w:beforeLines="50" w:line="360" w:lineRule="auto"/>
      <w:ind w:firstLine="420" w:firstLineChars="200"/>
    </w:pPr>
    <w:rPr>
      <w:rFonts w:ascii="Calibri" w:hAnsi="Calibri"/>
      <w:szCs w:val="22"/>
    </w:rPr>
  </w:style>
  <w:style w:type="paragraph" w:customStyle="1" w:styleId="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3">
    <w:name w:val="Char Char Char"/>
    <w:basedOn w:val="1"/>
    <w:qFormat/>
    <w:uiPriority w:val="0"/>
    <w:rPr>
      <w:rFonts w:ascii="Tahoma" w:hAnsi="Tahoma"/>
      <w:sz w:val="24"/>
      <w:szCs w:val="20"/>
    </w:rPr>
  </w:style>
  <w:style w:type="paragraph" w:customStyle="1" w:styleId="94">
    <w:name w:val="Char"/>
    <w:basedOn w:val="1"/>
    <w:qFormat/>
    <w:uiPriority w:val="0"/>
  </w:style>
  <w:style w:type="paragraph" w:customStyle="1" w:styleId="95">
    <w:name w:val="默认段落字体 Para Char"/>
    <w:basedOn w:val="1"/>
    <w:qFormat/>
    <w:uiPriority w:val="0"/>
    <w:pPr>
      <w:spacing w:line="360" w:lineRule="auto"/>
      <w:ind w:firstLine="200" w:firstLineChars="200"/>
    </w:pPr>
    <w:rPr>
      <w:rFonts w:ascii="宋体" w:hAnsi="宋体" w:cs="宋体"/>
      <w:sz w:val="24"/>
    </w:rPr>
  </w:style>
  <w:style w:type="paragraph" w:customStyle="1" w:styleId="96">
    <w:name w:val="表格文字"/>
    <w:basedOn w:val="1"/>
    <w:qFormat/>
    <w:uiPriority w:val="0"/>
    <w:pPr>
      <w:adjustRightInd w:val="0"/>
      <w:spacing w:line="420" w:lineRule="atLeast"/>
      <w:jc w:val="left"/>
      <w:textAlignment w:val="baseline"/>
    </w:pPr>
    <w:rPr>
      <w:kern w:val="0"/>
      <w:szCs w:val="20"/>
    </w:rPr>
  </w:style>
  <w:style w:type="paragraph" w:customStyle="1" w:styleId="97">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98">
    <w:name w:val="Char Char Char1 Char"/>
    <w:basedOn w:val="3"/>
    <w:next w:val="1"/>
    <w:qFormat/>
    <w:uiPriority w:val="0"/>
    <w:pPr>
      <w:snapToGrid w:val="0"/>
      <w:spacing w:before="120" w:after="120" w:line="240" w:lineRule="auto"/>
      <w:jc w:val="left"/>
    </w:pPr>
    <w:rPr>
      <w:bCs w:val="0"/>
      <w:szCs w:val="20"/>
    </w:rPr>
  </w:style>
  <w:style w:type="paragraph" w:customStyle="1" w:styleId="99">
    <w:name w:val="xl2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00">
    <w:name w:val="Char2"/>
    <w:basedOn w:val="1"/>
    <w:qFormat/>
    <w:uiPriority w:val="0"/>
    <w:rPr>
      <w:rFonts w:ascii="Tahoma" w:hAnsi="Tahoma"/>
      <w:sz w:val="24"/>
      <w:szCs w:val="20"/>
    </w:rPr>
  </w:style>
  <w:style w:type="paragraph" w:customStyle="1" w:styleId="10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标题3"/>
    <w:basedOn w:val="4"/>
    <w:qFormat/>
    <w:uiPriority w:val="0"/>
    <w:pPr>
      <w:adjustRightInd w:val="0"/>
      <w:snapToGrid w:val="0"/>
      <w:spacing w:beforeLines="100" w:afterLines="100" w:line="240" w:lineRule="auto"/>
      <w:jc w:val="center"/>
    </w:pPr>
    <w:rPr>
      <w:rFonts w:eastAsia="黑体"/>
      <w:sz w:val="28"/>
      <w:szCs w:val="20"/>
    </w:rPr>
  </w:style>
  <w:style w:type="paragraph" w:customStyle="1" w:styleId="103">
    <w:name w:val="表格"/>
    <w:basedOn w:val="1"/>
    <w:qFormat/>
    <w:uiPriority w:val="0"/>
    <w:pPr>
      <w:jc w:val="center"/>
      <w:textAlignment w:val="center"/>
    </w:pPr>
    <w:rPr>
      <w:rFonts w:ascii="华文细黑" w:hAnsi="华文细黑"/>
      <w:kern w:val="0"/>
      <w:szCs w:val="20"/>
    </w:rPr>
  </w:style>
  <w:style w:type="paragraph" w:customStyle="1" w:styleId="104">
    <w:name w:val="目录2"/>
    <w:basedOn w:val="1"/>
    <w:qFormat/>
    <w:uiPriority w:val="0"/>
    <w:pPr>
      <w:adjustRightInd w:val="0"/>
      <w:spacing w:line="420" w:lineRule="atLeast"/>
      <w:ind w:left="227"/>
      <w:textAlignment w:val="baseline"/>
    </w:pPr>
    <w:rPr>
      <w:kern w:val="0"/>
      <w:szCs w:val="20"/>
    </w:rPr>
  </w:style>
  <w:style w:type="paragraph" w:customStyle="1" w:styleId="105">
    <w:name w:val="样式 (中文) 黑体 四号 加粗 居中 行距: 多倍行距 1.25 字行"/>
    <w:basedOn w:val="41"/>
    <w:qFormat/>
    <w:uiPriority w:val="0"/>
    <w:pPr>
      <w:spacing w:line="300" w:lineRule="auto"/>
      <w:jc w:val="center"/>
    </w:pPr>
    <w:rPr>
      <w:rFonts w:eastAsia="黑体" w:cs="宋体"/>
      <w:b/>
      <w:bCs/>
      <w:sz w:val="28"/>
    </w:rPr>
  </w:style>
  <w:style w:type="paragraph" w:customStyle="1" w:styleId="10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8">
    <w:name w:val="样式 (中文) 黑体 三号 加粗 居中 行距: 多倍行距 1.25 字行"/>
    <w:basedOn w:val="2"/>
    <w:qFormat/>
    <w:uiPriority w:val="0"/>
    <w:pPr>
      <w:widowControl/>
      <w:spacing w:line="300" w:lineRule="auto"/>
      <w:jc w:val="center"/>
    </w:pPr>
    <w:rPr>
      <w:rFonts w:eastAsia="黑体" w:cs="宋体"/>
      <w:b w:val="0"/>
      <w:bCs w:val="0"/>
      <w:sz w:val="32"/>
    </w:rPr>
  </w:style>
  <w:style w:type="paragraph" w:customStyle="1" w:styleId="109">
    <w:name w:val="Char Char Char Char"/>
    <w:basedOn w:val="1"/>
    <w:qFormat/>
    <w:uiPriority w:val="0"/>
  </w:style>
  <w:style w:type="paragraph" w:customStyle="1" w:styleId="110">
    <w:name w:val="格式2"/>
    <w:qFormat/>
    <w:uiPriority w:val="99"/>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1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3">
    <w:name w:val="Char Char Char1 Char Char Char Char Char Char Char Char Char Char Char Char Char Char Char Char Char Char Char"/>
    <w:basedOn w:val="1"/>
    <w:qFormat/>
    <w:uiPriority w:val="0"/>
  </w:style>
  <w:style w:type="paragraph" w:styleId="11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Char Char Char Char Char Char Char"/>
    <w:basedOn w:val="1"/>
    <w:qFormat/>
    <w:uiPriority w:val="0"/>
    <w:rPr>
      <w:sz w:val="28"/>
      <w:szCs w:val="20"/>
    </w:rPr>
  </w:style>
  <w:style w:type="paragraph" w:customStyle="1" w:styleId="116">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117">
    <w:name w:val="样式 标题 3 + 段前: 7.8 磅"/>
    <w:basedOn w:val="4"/>
    <w:qFormat/>
    <w:uiPriority w:val="0"/>
    <w:pPr>
      <w:keepNext w:val="0"/>
      <w:keepLines w:val="0"/>
      <w:spacing w:before="156" w:after="0" w:line="360" w:lineRule="auto"/>
      <w:ind w:left="2220" w:hanging="420"/>
    </w:pPr>
    <w:rPr>
      <w:rFonts w:cs="宋体"/>
      <w:b w:val="0"/>
      <w:bCs w:val="0"/>
      <w:sz w:val="24"/>
      <w:szCs w:val="20"/>
    </w:rPr>
  </w:style>
  <w:style w:type="paragraph" w:customStyle="1" w:styleId="118">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119">
    <w:name w:val="z-窗体底端1"/>
    <w:basedOn w:val="1"/>
    <w:next w:val="1"/>
    <w:qFormat/>
    <w:uiPriority w:val="0"/>
    <w:pPr>
      <w:widowControl/>
      <w:pBdr>
        <w:top w:val="single" w:color="auto" w:sz="6" w:space="1"/>
      </w:pBdr>
      <w:jc w:val="center"/>
    </w:pPr>
    <w:rPr>
      <w:rFonts w:ascii="Arial" w:hAnsi="Arial" w:cs="Arial"/>
      <w:vanish/>
      <w:color w:val="000000"/>
      <w:kern w:val="0"/>
      <w:sz w:val="16"/>
      <w:szCs w:val="16"/>
    </w:rPr>
  </w:style>
  <w:style w:type="paragraph" w:customStyle="1" w:styleId="12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121">
    <w:name w:val="样式1"/>
    <w:basedOn w:val="1"/>
    <w:qFormat/>
    <w:uiPriority w:val="0"/>
    <w:pPr>
      <w:spacing w:before="120" w:after="120" w:line="300" w:lineRule="auto"/>
    </w:pPr>
    <w:rPr>
      <w:rFonts w:ascii="宋体" w:hAnsi="宋体"/>
      <w:b/>
      <w:sz w:val="24"/>
      <w:szCs w:val="20"/>
    </w:rPr>
  </w:style>
  <w:style w:type="paragraph" w:customStyle="1" w:styleId="122">
    <w:name w:val="内正文"/>
    <w:basedOn w:val="1"/>
    <w:qFormat/>
    <w:uiPriority w:val="0"/>
    <w:pPr>
      <w:ind w:firstLine="420"/>
    </w:pPr>
    <w:rPr>
      <w:rFonts w:eastAsia="文鼎CS书宋二"/>
    </w:rPr>
  </w:style>
  <w:style w:type="paragraph" w:customStyle="1" w:styleId="123">
    <w:name w:val="纯文本1"/>
    <w:basedOn w:val="1"/>
    <w:qFormat/>
    <w:uiPriority w:val="0"/>
    <w:pPr>
      <w:adjustRightInd w:val="0"/>
      <w:textAlignment w:val="baseline"/>
    </w:pPr>
    <w:rPr>
      <w:rFonts w:ascii="宋体" w:hAnsi="Courier New"/>
      <w:szCs w:val="20"/>
    </w:rPr>
  </w:style>
  <w:style w:type="paragraph" w:customStyle="1" w:styleId="124">
    <w:name w:val="简单回函地址"/>
    <w:basedOn w:val="1"/>
    <w:qFormat/>
    <w:uiPriority w:val="0"/>
  </w:style>
  <w:style w:type="paragraph" w:customStyle="1" w:styleId="125">
    <w:name w:val="Char Char Char1 Char Char Char Char Char Char Char Char Char Char Char Char Char Char Char Char Char Char Char1"/>
    <w:basedOn w:val="1"/>
    <w:qFormat/>
    <w:uiPriority w:val="0"/>
  </w:style>
  <w:style w:type="paragraph" w:customStyle="1" w:styleId="12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8">
    <w:name w:val="Char Char Char Char Char Char1 Char"/>
    <w:basedOn w:val="1"/>
    <w:qFormat/>
    <w:uiPriority w:val="0"/>
  </w:style>
  <w:style w:type="paragraph" w:customStyle="1" w:styleId="129">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130">
    <w:name w:val="xl26"/>
    <w:basedOn w:val="1"/>
    <w:qFormat/>
    <w:uiPriority w:val="0"/>
    <w:pPr>
      <w:widowControl/>
      <w:spacing w:before="100" w:beforeAutospacing="1" w:after="100" w:afterAutospacing="1"/>
      <w:jc w:val="left"/>
    </w:pPr>
    <w:rPr>
      <w:rFonts w:ascii="宋体" w:hAnsi="宋体"/>
      <w:kern w:val="0"/>
      <w:sz w:val="28"/>
      <w:szCs w:val="28"/>
    </w:rPr>
  </w:style>
  <w:style w:type="paragraph" w:customStyle="1" w:styleId="131">
    <w:name w:val="表蕊"/>
    <w:basedOn w:val="1"/>
    <w:qFormat/>
    <w:uiPriority w:val="0"/>
    <w:pPr>
      <w:adjustRightInd w:val="0"/>
      <w:spacing w:line="320" w:lineRule="atLeast"/>
      <w:jc w:val="left"/>
    </w:pPr>
    <w:rPr>
      <w:rFonts w:eastAsia="楷体_GB2312"/>
      <w:spacing w:val="-10"/>
      <w:kern w:val="0"/>
      <w:szCs w:val="20"/>
    </w:rPr>
  </w:style>
  <w:style w:type="paragraph" w:customStyle="1" w:styleId="132">
    <w:name w:val="_Style 20"/>
    <w:basedOn w:val="1"/>
    <w:qFormat/>
    <w:uiPriority w:val="0"/>
  </w:style>
  <w:style w:type="paragraph" w:customStyle="1" w:styleId="133">
    <w:name w:val="正文括号编号"/>
    <w:basedOn w:val="1"/>
    <w:next w:val="1"/>
    <w:qFormat/>
    <w:uiPriority w:val="0"/>
    <w:pPr>
      <w:tabs>
        <w:tab w:val="left" w:pos="838"/>
      </w:tabs>
      <w:ind w:left="838" w:hanging="420"/>
    </w:pPr>
    <w:rPr>
      <w:sz w:val="24"/>
    </w:rPr>
  </w:style>
  <w:style w:type="paragraph" w:customStyle="1" w:styleId="134">
    <w:name w:val="xl25"/>
    <w:basedOn w:val="1"/>
    <w:qFormat/>
    <w:uiPriority w:val="0"/>
    <w:pPr>
      <w:widowControl/>
      <w:spacing w:before="100" w:beforeAutospacing="1" w:after="100" w:afterAutospacing="1"/>
      <w:jc w:val="center"/>
    </w:pPr>
    <w:rPr>
      <w:rFonts w:hint="eastAsia" w:ascii="黑体" w:hAnsi="宋体" w:eastAsia="黑体"/>
      <w:kern w:val="0"/>
      <w:sz w:val="44"/>
      <w:szCs w:val="44"/>
    </w:rPr>
  </w:style>
  <w:style w:type="paragraph" w:customStyle="1" w:styleId="135">
    <w:name w:val="格式1"/>
    <w:basedOn w:val="1"/>
    <w:qFormat/>
    <w:uiPriority w:val="0"/>
    <w:pPr>
      <w:spacing w:beforeLines="50"/>
      <w:jc w:val="center"/>
    </w:pPr>
    <w:rPr>
      <w:rFonts w:ascii="黑体" w:hAnsi="宋体" w:eastAsia="黑体"/>
      <w:b/>
      <w:bCs/>
      <w:color w:val="000000"/>
      <w:sz w:val="32"/>
      <w:szCs w:val="20"/>
    </w:rPr>
  </w:style>
  <w:style w:type="paragraph" w:customStyle="1" w:styleId="136">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137">
    <w:name w:val="副 标 题"/>
    <w:basedOn w:val="1"/>
    <w:qFormat/>
    <w:uiPriority w:val="0"/>
    <w:pPr>
      <w:widowControl/>
      <w:jc w:val="center"/>
    </w:pPr>
    <w:rPr>
      <w:rFonts w:eastAsia="仿宋" w:cs="宋体"/>
      <w:sz w:val="24"/>
    </w:rPr>
  </w:style>
  <w:style w:type="paragraph" w:customStyle="1" w:styleId="138">
    <w:name w:val="样式 标题 2 + 居中 行距: 多倍行距 1.25 字行"/>
    <w:basedOn w:val="3"/>
    <w:qFormat/>
    <w:uiPriority w:val="0"/>
    <w:pPr>
      <w:spacing w:line="300" w:lineRule="auto"/>
    </w:pPr>
    <w:rPr>
      <w:rFonts w:ascii="隶书" w:eastAsia="隶书" w:cs="宋体"/>
      <w:b w:val="0"/>
      <w:sz w:val="28"/>
      <w:szCs w:val="20"/>
    </w:rPr>
  </w:style>
  <w:style w:type="paragraph" w:customStyle="1" w:styleId="13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0">
    <w:name w:val="样式17"/>
    <w:basedOn w:val="1"/>
    <w:qFormat/>
    <w:uiPriority w:val="0"/>
    <w:pPr>
      <w:adjustRightInd w:val="0"/>
      <w:snapToGrid w:val="0"/>
      <w:spacing w:before="120" w:after="120"/>
    </w:pPr>
    <w:rPr>
      <w:sz w:val="24"/>
    </w:rPr>
  </w:style>
  <w:style w:type="paragraph" w:customStyle="1" w:styleId="141">
    <w:name w:val="汇编正文"/>
    <w:basedOn w:val="1"/>
    <w:qFormat/>
    <w:uiPriority w:val="0"/>
    <w:pPr>
      <w:widowControl/>
      <w:spacing w:line="300" w:lineRule="auto"/>
      <w:ind w:firstLine="200" w:firstLineChars="200"/>
      <w:jc w:val="left"/>
    </w:pPr>
    <w:rPr>
      <w:rFonts w:cs="宋体"/>
      <w:szCs w:val="21"/>
    </w:rPr>
  </w:style>
  <w:style w:type="paragraph" w:customStyle="1" w:styleId="142">
    <w:name w:val="xl42"/>
    <w:basedOn w:val="1"/>
    <w:qFormat/>
    <w:uiPriority w:val="0"/>
    <w:pPr>
      <w:widowControl/>
      <w:pBdr>
        <w:top w:val="single" w:color="auto" w:sz="4" w:space="0"/>
        <w:left w:val="single" w:color="auto" w:sz="4" w:space="0"/>
        <w:bottom w:val="single" w:color="auto" w:sz="4" w:space="0"/>
        <w:right w:val="single" w:color="auto" w:sz="4" w:space="0"/>
      </w:pBdr>
      <w:tabs>
        <w:tab w:val="left" w:pos="480"/>
      </w:tabs>
      <w:spacing w:before="100" w:beforeAutospacing="1" w:after="100" w:afterAutospacing="1"/>
      <w:jc w:val="left"/>
    </w:pPr>
    <w:rPr>
      <w:rFonts w:ascii="Arial Unicode MS" w:hAnsi="Arial Unicode MS" w:eastAsia="Arial Unicode MS"/>
      <w:kern w:val="0"/>
      <w:sz w:val="18"/>
      <w:szCs w:val="20"/>
    </w:rPr>
  </w:style>
  <w:style w:type="paragraph" w:customStyle="1" w:styleId="143">
    <w:name w:val="格式10"/>
    <w:basedOn w:val="1"/>
    <w:qFormat/>
    <w:uiPriority w:val="0"/>
    <w:pPr>
      <w:spacing w:line="360" w:lineRule="exact"/>
      <w:ind w:left="480"/>
    </w:pPr>
    <w:rPr>
      <w:sz w:val="24"/>
    </w:rPr>
  </w:style>
  <w:style w:type="paragraph" w:customStyle="1" w:styleId="144">
    <w:name w:val="样式 标题 1 + 小四"/>
    <w:basedOn w:val="2"/>
    <w:qFormat/>
    <w:uiPriority w:val="0"/>
    <w:pPr>
      <w:keepLines w:val="0"/>
      <w:spacing w:before="0" w:after="0" w:line="360" w:lineRule="auto"/>
      <w:jc w:val="center"/>
    </w:pPr>
    <w:rPr>
      <w:rFonts w:ascii="仿宋_GB2312" w:eastAsia="黑体"/>
      <w:b w:val="0"/>
      <w:bCs w:val="0"/>
      <w:kern w:val="2"/>
      <w:sz w:val="32"/>
      <w:szCs w:val="24"/>
    </w:rPr>
  </w:style>
  <w:style w:type="paragraph" w:customStyle="1" w:styleId="145">
    <w:name w:val="1"/>
    <w:basedOn w:val="1"/>
    <w:next w:val="1"/>
    <w:qFormat/>
    <w:uiPriority w:val="0"/>
  </w:style>
  <w:style w:type="paragraph" w:customStyle="1" w:styleId="146">
    <w:name w:val="z-窗体顶端1"/>
    <w:basedOn w:val="1"/>
    <w:next w:val="1"/>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47">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8">
    <w:name w:val="样式 标题 2 + 行距: 多倍行距 1.25 字行"/>
    <w:basedOn w:val="3"/>
    <w:qFormat/>
    <w:uiPriority w:val="0"/>
    <w:pPr>
      <w:spacing w:line="300" w:lineRule="auto"/>
    </w:pPr>
    <w:rPr>
      <w:rFonts w:cs="宋体"/>
      <w:b w:val="0"/>
      <w:sz w:val="28"/>
      <w:szCs w:val="20"/>
    </w:rPr>
  </w:style>
  <w:style w:type="paragraph" w:customStyle="1" w:styleId="149">
    <w:name w:val="默认段落字体 Para Char Char Char Char Char Char Char"/>
    <w:basedOn w:val="13"/>
    <w:qFormat/>
    <w:uiPriority w:val="0"/>
    <w:pPr>
      <w:adjustRightInd w:val="0"/>
      <w:spacing w:line="436" w:lineRule="exact"/>
      <w:ind w:left="357"/>
      <w:jc w:val="left"/>
      <w:outlineLvl w:val="3"/>
    </w:pPr>
    <w:rPr>
      <w:rFonts w:ascii="Tahoma" w:hAnsi="Tahoma"/>
      <w:b/>
      <w:sz w:val="24"/>
    </w:rPr>
  </w:style>
  <w:style w:type="paragraph" w:customStyle="1" w:styleId="150">
    <w:name w:val="样式 样式 (中文) 黑体 四号 加粗 居中 行距: 多倍行距 1.25 字行 + 左侧:  2 字符"/>
    <w:basedOn w:val="3"/>
    <w:qFormat/>
    <w:uiPriority w:val="0"/>
    <w:pPr>
      <w:ind w:left="400"/>
    </w:pPr>
    <w:rPr>
      <w:bCs w:val="0"/>
      <w:szCs w:val="20"/>
    </w:rPr>
  </w:style>
  <w:style w:type="paragraph" w:customStyle="1" w:styleId="151">
    <w:name w:val="Table Paragraph"/>
    <w:basedOn w:val="1"/>
    <w:qFormat/>
    <w:uiPriority w:val="1"/>
    <w:pPr>
      <w:autoSpaceDE w:val="0"/>
      <w:autoSpaceDN w:val="0"/>
      <w:adjustRightInd w:val="0"/>
      <w:jc w:val="left"/>
    </w:pPr>
    <w:rPr>
      <w:kern w:val="0"/>
      <w:sz w:val="24"/>
    </w:rPr>
  </w:style>
  <w:style w:type="character" w:customStyle="1" w:styleId="152">
    <w:name w:val="标题 2 Char1"/>
    <w:qFormat/>
    <w:locked/>
    <w:uiPriority w:val="0"/>
    <w:rPr>
      <w:rFonts w:ascii="Arial" w:hAnsi="Arial" w:eastAsia="黑体"/>
      <w:b/>
      <w:bCs/>
      <w:kern w:val="2"/>
      <w:sz w:val="32"/>
      <w:szCs w:val="32"/>
    </w:rPr>
  </w:style>
  <w:style w:type="paragraph" w:customStyle="1" w:styleId="153">
    <w:name w:val="样式 样式 标题 2 + Times New Roman 居中 段前: 0 磅 段后: 0 磅 行距: 单倍行距 + 段前: 2..."/>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154">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155">
    <w:name w:val="font31"/>
    <w:basedOn w:val="46"/>
    <w:qFormat/>
    <w:uiPriority w:val="0"/>
    <w:rPr>
      <w:rFonts w:hint="eastAsia" w:ascii="楷体" w:hAnsi="楷体" w:eastAsia="楷体" w:cs="楷体"/>
      <w:color w:val="000000"/>
      <w:sz w:val="24"/>
      <w:szCs w:val="24"/>
      <w:u w:val="none"/>
    </w:rPr>
  </w:style>
  <w:style w:type="character" w:customStyle="1" w:styleId="156">
    <w:name w:val="font61"/>
    <w:basedOn w:val="46"/>
    <w:qFormat/>
    <w:uiPriority w:val="0"/>
    <w:rPr>
      <w:rFonts w:hint="eastAsia" w:ascii="楷体" w:hAnsi="楷体" w:eastAsia="楷体" w:cs="楷体"/>
      <w:color w:val="000000"/>
      <w:sz w:val="24"/>
      <w:szCs w:val="24"/>
      <w:u w:val="none"/>
    </w:rPr>
  </w:style>
  <w:style w:type="character" w:customStyle="1" w:styleId="157">
    <w:name w:val="font41"/>
    <w:basedOn w:val="46"/>
    <w:qFormat/>
    <w:uiPriority w:val="0"/>
    <w:rPr>
      <w:rFonts w:hint="eastAsia" w:ascii="楷体" w:hAnsi="楷体" w:eastAsia="楷体" w:cs="楷体"/>
      <w:b/>
      <w:bCs/>
      <w:color w:val="000000"/>
      <w:sz w:val="24"/>
      <w:szCs w:val="24"/>
      <w:u w:val="none"/>
    </w:rPr>
  </w:style>
  <w:style w:type="character" w:customStyle="1" w:styleId="158">
    <w:name w:val="font51"/>
    <w:basedOn w:val="46"/>
    <w:qFormat/>
    <w:uiPriority w:val="0"/>
    <w:rPr>
      <w:rFonts w:hint="eastAsia" w:ascii="楷体" w:hAnsi="楷体" w:eastAsia="楷体" w:cs="楷体"/>
      <w:color w:val="000000"/>
      <w:sz w:val="24"/>
      <w:szCs w:val="24"/>
      <w:u w:val="none"/>
    </w:rPr>
  </w:style>
  <w:style w:type="character" w:customStyle="1" w:styleId="159">
    <w:name w:val="正文文本 字符"/>
    <w:link w:val="16"/>
    <w:qFormat/>
    <w:uiPriority w:val="0"/>
    <w:rPr>
      <w:kern w:val="2"/>
      <w:sz w:val="21"/>
      <w:szCs w:val="24"/>
    </w:rPr>
  </w:style>
  <w:style w:type="character" w:customStyle="1" w:styleId="160">
    <w:name w:val="font21"/>
    <w:basedOn w:val="46"/>
    <w:qFormat/>
    <w:uiPriority w:val="0"/>
    <w:rPr>
      <w:rFonts w:hint="eastAsia" w:ascii="宋体" w:hAnsi="宋体" w:eastAsia="宋体" w:cs="宋体"/>
      <w:color w:val="000000"/>
      <w:sz w:val="22"/>
      <w:szCs w:val="22"/>
      <w:u w:val="none"/>
    </w:rPr>
  </w:style>
  <w:style w:type="paragraph" w:customStyle="1" w:styleId="161">
    <w:name w:val="zw123"/>
    <w:basedOn w:val="1"/>
    <w:qFormat/>
    <w:uiPriority w:val="99"/>
    <w:pPr>
      <w:autoSpaceDE w:val="0"/>
      <w:autoSpaceDN w:val="0"/>
      <w:adjustRightInd w:val="0"/>
      <w:spacing w:line="360" w:lineRule="auto"/>
      <w:ind w:firstLine="480" w:firstLineChars="200"/>
    </w:pPr>
    <w:rPr>
      <w:rFonts w:ascii="宋体" w:hAnsi="宋体"/>
      <w:sz w:val="22"/>
      <w:szCs w:val="22"/>
    </w:rPr>
  </w:style>
  <w:style w:type="table" w:customStyle="1" w:styleId="162">
    <w:name w:val="Table Normal"/>
    <w:unhideWhenUsed/>
    <w:qFormat/>
    <w:uiPriority w:val="2"/>
    <w:tblPr>
      <w:tblCellMar>
        <w:top w:w="0" w:type="dxa"/>
        <w:left w:w="0" w:type="dxa"/>
        <w:bottom w:w="0" w:type="dxa"/>
        <w:right w:w="0" w:type="dxa"/>
      </w:tblCellMar>
    </w:tblPr>
  </w:style>
  <w:style w:type="character" w:customStyle="1" w:styleId="163">
    <w:name w:val="font11"/>
    <w:basedOn w:val="46"/>
    <w:qFormat/>
    <w:uiPriority w:val="0"/>
    <w:rPr>
      <w:rFonts w:hint="eastAsia" w:ascii="宋体" w:hAnsi="宋体" w:eastAsia="宋体" w:cs="宋体"/>
      <w:color w:val="000000"/>
      <w:sz w:val="24"/>
      <w:szCs w:val="24"/>
      <w:u w:val="none"/>
    </w:rPr>
  </w:style>
  <w:style w:type="character" w:customStyle="1" w:styleId="164">
    <w:name w:val="font71"/>
    <w:basedOn w:val="46"/>
    <w:qFormat/>
    <w:uiPriority w:val="0"/>
    <w:rPr>
      <w:rFonts w:hint="default" w:ascii="Times New Roman" w:hAnsi="Times New Roman" w:cs="Times New Roman"/>
      <w:color w:val="000000"/>
      <w:sz w:val="24"/>
      <w:szCs w:val="24"/>
      <w:u w:val="none"/>
    </w:rPr>
  </w:style>
  <w:style w:type="paragraph" w:customStyle="1" w:styleId="16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7F8B0-D5C5-4014-8154-BA5012A38AF5}">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78</Pages>
  <Words>4014</Words>
  <Characters>4236</Characters>
  <Lines>266</Lines>
  <Paragraphs>75</Paragraphs>
  <TotalTime>0</TotalTime>
  <ScaleCrop>false</ScaleCrop>
  <LinksUpToDate>false</LinksUpToDate>
  <CharactersWithSpaces>4357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2023-08-29T09:34:00Z</dcterms:created>
  <dc:creator>萝卜家园</dc:creator>
  <cp:lastModifiedBy>王凌杰</cp:lastModifiedBy>
  <cp:lastPrinted>2021-06-03T09:11:00Z</cp:lastPrinted>
  <dcterms:modified xsi:type="dcterms:W3CDTF">2025-09-15T02:18:32Z</dcterms:modified>
  <dc:title>中华人民共和国交通运输部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25B95DE102D84CA88295DA2EC5D79A6F</vt:lpwstr>
  </property>
  <property fmtid="{D5CDD505-2E9C-101B-9397-08002B2CF9AE}" pid="4" name="KSOTemplateDocerSaveRecord">
    <vt:lpwstr>eyJoZGlkIjoiMWVjY2FhZGE4MjliNjBiMmNlMTIzMGZjMWQ1M2FiNmEiLCJ1c2VySWQiOiI3NzEzMDE0NzEifQ==</vt:lpwstr>
  </property>
</Properties>
</file>