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附件1： </w:t>
      </w:r>
      <w:r>
        <w:rPr>
          <w:rFonts w:hint="eastAsia"/>
          <w:b/>
          <w:sz w:val="36"/>
          <w:u w:val="single"/>
        </w:rPr>
        <w:t>南通港沿海港区引航站引航、移泊申请单</w:t>
      </w:r>
    </w:p>
    <w:tbl>
      <w:tblPr>
        <w:tblStyle w:val="7"/>
        <w:tblW w:w="87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440"/>
        <w:gridCol w:w="900"/>
        <w:gridCol w:w="1440"/>
        <w:gridCol w:w="108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exac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548" w:type="dxa"/>
            <w:vMerge w:val="continue"/>
            <w:vAlign w:val="center"/>
          </w:tcPr>
          <w:p/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37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呼号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exac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船舶所有人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37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exact"/>
        </w:trPr>
        <w:tc>
          <w:tcPr>
            <w:tcW w:w="1548" w:type="dxa"/>
            <w:vMerge w:val="continue"/>
            <w:vAlign w:val="center"/>
          </w:tcPr>
          <w:p/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37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航线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exac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船舶尺度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长度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宽度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水面以上</w:t>
            </w:r>
          </w:p>
          <w:p>
            <w:pPr>
              <w:jc w:val="center"/>
            </w:pPr>
            <w:r>
              <w:rPr>
                <w:rFonts w:hint="eastAsia"/>
              </w:rPr>
              <w:t>最大高度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exact"/>
        </w:trPr>
        <w:tc>
          <w:tcPr>
            <w:tcW w:w="1548" w:type="dxa"/>
            <w:vMerge w:val="continue"/>
            <w:vAlign w:val="center"/>
          </w:tcPr>
          <w:p/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总吨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净吨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载重吨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吃水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前/后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实际排水量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主机种类</w:t>
            </w:r>
          </w:p>
          <w:p>
            <w:pPr>
              <w:jc w:val="center"/>
            </w:pPr>
            <w:r>
              <w:rPr>
                <w:rFonts w:hint="eastAsia"/>
              </w:rPr>
              <w:t>及功率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侧推器种类及功率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航速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船舶建造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载货名称</w:t>
            </w:r>
          </w:p>
          <w:p>
            <w:pPr>
              <w:jc w:val="center"/>
            </w:pPr>
            <w:r>
              <w:rPr>
                <w:rFonts w:hint="eastAsia"/>
              </w:rPr>
              <w:t>/数量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预计抵达</w:t>
            </w:r>
          </w:p>
          <w:p>
            <w:pPr>
              <w:jc w:val="center"/>
            </w:pPr>
            <w:r>
              <w:rPr>
                <w:rFonts w:hint="eastAsia"/>
              </w:rPr>
              <w:t>（离泊）时间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始发港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目的港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申请引航时间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预靠、离</w:t>
            </w:r>
          </w:p>
          <w:p>
            <w:pPr>
              <w:jc w:val="center"/>
            </w:pPr>
            <w:r>
              <w:rPr>
                <w:rFonts w:hint="eastAsia"/>
              </w:rPr>
              <w:t>泊位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申请引领航段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申请移泊</w:t>
            </w:r>
          </w:p>
          <w:p>
            <w:pPr>
              <w:jc w:val="center"/>
            </w:pPr>
            <w:r>
              <w:rPr>
                <w:rFonts w:hint="eastAsia"/>
              </w:rPr>
              <w:t>航段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702" w:type="dxa"/>
            <w:gridSpan w:val="7"/>
            <w:vAlign w:val="center"/>
          </w:tcPr>
          <w:p>
            <w:r>
              <w:rPr>
                <w:rFonts w:hint="eastAsia"/>
              </w:rPr>
              <w:t>以下内容由引航站填写：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702" w:type="dxa"/>
            <w:gridSpan w:val="7"/>
            <w:vAlign w:val="center"/>
          </w:tcPr>
          <w:p>
            <w:r>
              <w:rPr>
                <w:rFonts w:hint="eastAsia"/>
              </w:rPr>
              <w:t xml:space="preserve">引航站意见：    </w:t>
            </w:r>
            <w:r>
              <w:t xml:space="preserve">   </w:t>
            </w:r>
            <w:r>
              <w:rPr>
                <w:rFonts w:hint="eastAsia" w:ascii="宋体"/>
                <w:sz w:val="32"/>
              </w:rPr>
              <w:t xml:space="preserve">□ </w:t>
            </w:r>
            <w:r>
              <w:rPr>
                <w:rFonts w:hint="eastAsia" w:ascii="宋体"/>
              </w:rPr>
              <w:t xml:space="preserve">受理             </w:t>
            </w:r>
            <w:r>
              <w:rPr>
                <w:rFonts w:hint="eastAsia" w:ascii="宋体"/>
                <w:sz w:val="32"/>
              </w:rPr>
              <w:t xml:space="preserve">□ </w:t>
            </w:r>
            <w:r>
              <w:rPr>
                <w:rFonts w:hint="eastAsia" w:ascii="宋体"/>
              </w:rPr>
              <w:t xml:space="preserve">不受理            </w:t>
            </w:r>
            <w:r>
              <w:rPr>
                <w:rFonts w:hint="eastAsia" w:ascii="宋体"/>
                <w:sz w:val="32"/>
              </w:rPr>
              <w:t xml:space="preserve">□ </w:t>
            </w:r>
            <w:r>
              <w:rPr>
                <w:rFonts w:hint="eastAsia" w:ascii="宋体"/>
              </w:rPr>
              <w:t>待确定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702" w:type="dxa"/>
            <w:gridSpan w:val="7"/>
            <w:vAlign w:val="center"/>
          </w:tcPr>
          <w:p>
            <w:r>
              <w:rPr>
                <w:rFonts w:hint="eastAsia"/>
              </w:rPr>
              <w:t>回复申请人时间：                          调度员签名：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</w:trPr>
        <w:tc>
          <w:tcPr>
            <w:tcW w:w="8702" w:type="dxa"/>
            <w:gridSpan w:val="7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备注：（不受理原因或附条件受理的要求）</w:t>
            </w:r>
          </w:p>
        </w:tc>
      </w:tr>
    </w:tbl>
    <w:p>
      <w:pPr>
        <w:ind w:left="945" w:hanging="945" w:hangingChars="450"/>
      </w:pPr>
      <w:r>
        <w:rPr>
          <w:rFonts w:hint="eastAsia"/>
        </w:rPr>
        <w:t>说明：1、通常船舶代理应将船舶的进出口或移泊计划提前48小时报引航站，至少应在24前确报引航站，引航调度将于本日的1600时左右向船舶代理告知次日的船舶进出口或移泊引航计划，逾时将不再受理；</w:t>
      </w:r>
    </w:p>
    <w:p>
      <w:pPr>
        <w:ind w:left="945" w:leftChars="300" w:hanging="315" w:hangingChars="150"/>
      </w:pPr>
      <w:r>
        <w:rPr>
          <w:rFonts w:hint="eastAsia"/>
        </w:rPr>
        <w:t>2、超过申请引航时间仍不能靠离泊或移泊者取消当日计划，撤回引航员，所发生的往返交通费等由申请单位支付；</w:t>
      </w:r>
    </w:p>
    <w:p>
      <w:pPr>
        <w:ind w:firstLine="630" w:firstLineChars="300"/>
        <w:rPr>
          <w:rFonts w:hint="eastAsia"/>
        </w:rPr>
      </w:pPr>
      <w:r>
        <mc:AlternateContent>
          <mc:Choice Requires="wps">
            <w:drawing>
              <wp:anchor distT="0" distB="0" distL="113665" distR="113665" simplePos="0" relativeHeight="25165926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328930</wp:posOffset>
                </wp:positionV>
                <wp:extent cx="5715000" cy="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50" o:spid="_x0000_s1026" o:spt="20" style="position:absolute;left:0pt;margin-left:-18pt;margin-top:25.9pt;height:0pt;width:450pt;z-index:251659264;mso-width-relative:page;mso-height-relative:page;" filled="f" stroked="t" coordsize="21600,21600" o:allowincell="f" o:gfxdata="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+axXYAAAACQEAAA8AAAAAAAAAAQAgAAAAIgAAAGRycy9kb3ducmV2Lnht&#10;bFBLAQIUABQAAAAIAIdO4kArZp3gwAEAAJQDAAAOAAAAAAAAAAEAIAAAACcBAABkcnMvZTJvRG9j&#10;LnhtbFBLBQYAAAAABgAGAFkBAABZ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3、请申请单位完整填写以上内容。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ind w:firstLine="630" w:firstLineChars="300"/>
        <w:rPr>
          <w:rFonts w:hint="eastAsia"/>
        </w:rPr>
      </w:pPr>
      <w:bookmarkStart w:id="0" w:name="_GoBack"/>
      <w:bookmarkEnd w:id="0"/>
    </w:p>
    <w:p>
      <w:pPr>
        <w:spacing w:line="480" w:lineRule="exact"/>
        <w:ind w:firstLine="540"/>
        <w:jc w:val="left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附件2：南通港沿海港区引航站收费标准公示</w:t>
      </w:r>
    </w:p>
    <w:p>
      <w:pPr>
        <w:pStyle w:val="11"/>
        <w:spacing w:line="440" w:lineRule="exact"/>
        <w:ind w:left="480" w:firstLine="560"/>
        <w:jc w:val="left"/>
        <w:rPr>
          <w:rFonts w:ascii="宋体"/>
          <w:sz w:val="28"/>
          <w:szCs w:val="28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收费名称</w:t>
      </w:r>
    </w:p>
    <w:p>
      <w:pPr>
        <w:pStyle w:val="11"/>
        <w:spacing w:line="600" w:lineRule="exact"/>
        <w:ind w:left="480"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引航、移泊费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收费单位</w:t>
      </w:r>
    </w:p>
    <w:p>
      <w:pPr>
        <w:pStyle w:val="11"/>
        <w:spacing w:line="600" w:lineRule="exact"/>
        <w:ind w:left="480"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南通港沿海港区引航站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收费依据</w:t>
      </w:r>
    </w:p>
    <w:p>
      <w:pPr>
        <w:pStyle w:val="11"/>
        <w:spacing w:line="600" w:lineRule="exact"/>
        <w:ind w:left="480"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交水规【2019】2号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计费标准</w:t>
      </w:r>
    </w:p>
    <w:p>
      <w:pPr>
        <w:spacing w:line="6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表一  航行国际航线船舶引航费计费标准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082"/>
        <w:gridCol w:w="2551"/>
        <w:gridCol w:w="1560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60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收费项目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计费单位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费率（元）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78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费</w:t>
            </w:r>
          </w:p>
        </w:tc>
        <w:tc>
          <w:tcPr>
            <w:tcW w:w="208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≤40000</w:t>
            </w:r>
          </w:p>
        </w:tc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净吨（马力）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0.45</w:t>
            </w:r>
          </w:p>
        </w:tc>
        <w:tc>
          <w:tcPr>
            <w:tcW w:w="1751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两者取大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8" w:type="dxa"/>
            <w:vMerge w:val="continue"/>
          </w:tcPr>
          <w:p/>
        </w:tc>
        <w:tc>
          <w:tcPr>
            <w:tcW w:w="208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40001～80000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0.40</w:t>
            </w: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</w:tcPr>
          <w:p/>
        </w:tc>
        <w:tc>
          <w:tcPr>
            <w:tcW w:w="208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80001～120000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0.375</w:t>
            </w: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60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移泊费</w:t>
            </w:r>
          </w:p>
        </w:tc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净吨（马力）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0.20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港内移泊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60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超程费</w:t>
            </w:r>
          </w:p>
        </w:tc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净吨（马力）/海里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0.004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60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非基本港附加费</w:t>
            </w:r>
          </w:p>
        </w:tc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净吨（马力）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0.27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节假日/夜航加班费</w:t>
            </w:r>
          </w:p>
        </w:tc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净吨（马力）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基</w:t>
            </w:r>
            <w:r>
              <w:rPr>
                <w:rFonts w:ascii="宋体"/>
                <w:sz w:val="28"/>
                <w:szCs w:val="28"/>
              </w:rPr>
              <w:t>本</w:t>
            </w:r>
            <w:r>
              <w:rPr>
                <w:rFonts w:hint="eastAsia" w:ascii="宋体"/>
                <w:sz w:val="28"/>
                <w:szCs w:val="28"/>
              </w:rPr>
              <w:t>费率×45%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分别加收</w:t>
            </w:r>
          </w:p>
        </w:tc>
      </w:tr>
    </w:tbl>
    <w:p>
      <w:pPr>
        <w:pStyle w:val="11"/>
        <w:spacing w:line="600" w:lineRule="exact"/>
        <w:ind w:firstLine="560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备注：</w:t>
      </w:r>
    </w:p>
    <w:p>
      <w:pPr>
        <w:pStyle w:val="11"/>
        <w:numPr>
          <w:ilvl w:val="0"/>
          <w:numId w:val="2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航行国际航线船舶引航费起码计费吨为2000净吨</w:t>
      </w:r>
      <w:r>
        <w:rPr>
          <w:rFonts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马力</w:t>
      </w:r>
      <w:r>
        <w:rPr>
          <w:rFonts w:ascii="宋体"/>
          <w:sz w:val="28"/>
          <w:szCs w:val="28"/>
        </w:rPr>
        <w:t>）</w:t>
      </w:r>
      <w:r>
        <w:rPr>
          <w:rFonts w:hint="eastAsia" w:ascii="宋体"/>
          <w:sz w:val="28"/>
          <w:szCs w:val="28"/>
        </w:rPr>
        <w:t>；</w:t>
      </w:r>
    </w:p>
    <w:p>
      <w:pPr>
        <w:pStyle w:val="11"/>
        <w:numPr>
          <w:ilvl w:val="0"/>
          <w:numId w:val="2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航行国际航线船舶计费净吨分为40000净吨以下、40001-80000净吨、80001-120000净吨以及超过120000净吨部分共四档；</w:t>
      </w:r>
    </w:p>
    <w:p>
      <w:pPr>
        <w:pStyle w:val="11"/>
        <w:numPr>
          <w:ilvl w:val="0"/>
          <w:numId w:val="2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夜间引航作业时间为2200至次日0600；</w:t>
      </w:r>
    </w:p>
    <w:p>
      <w:pPr>
        <w:pStyle w:val="11"/>
        <w:numPr>
          <w:ilvl w:val="0"/>
          <w:numId w:val="2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节假日、夜间引航（移泊）作业分别加收基</w:t>
      </w:r>
      <w:r>
        <w:rPr>
          <w:rFonts w:ascii="宋体"/>
          <w:sz w:val="28"/>
          <w:szCs w:val="28"/>
        </w:rPr>
        <w:t>本</w:t>
      </w:r>
      <w:r>
        <w:rPr>
          <w:rFonts w:hint="eastAsia" w:ascii="宋体"/>
          <w:sz w:val="28"/>
          <w:szCs w:val="28"/>
        </w:rPr>
        <w:t>费率的45%</w:t>
      </w:r>
      <w:r>
        <w:rPr>
          <w:rFonts w:ascii="宋体"/>
          <w:sz w:val="28"/>
          <w:szCs w:val="28"/>
        </w:rPr>
        <w:t>；</w:t>
      </w:r>
    </w:p>
    <w:p>
      <w:pPr>
        <w:pStyle w:val="11"/>
        <w:numPr>
          <w:ilvl w:val="0"/>
          <w:numId w:val="2"/>
        </w:numPr>
        <w:spacing w:line="600" w:lineRule="exact"/>
        <w:ind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引航距离＜10海里，净吨＞120000，引航费按照49000元计收。</w:t>
      </w:r>
    </w:p>
    <w:p>
      <w:pPr>
        <w:spacing w:line="6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表二  航行国内航线船舶引航费计费标准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551"/>
        <w:gridCol w:w="1560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收费项目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计费单位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费率（元）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60" w:type="dxa"/>
          </w:tcPr>
          <w:p>
            <w:pPr>
              <w:ind w:firstLine="140" w:firstLineChar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基本费</w:t>
            </w:r>
          </w:p>
        </w:tc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净吨（马力）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两者取大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6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移泊费</w:t>
            </w:r>
          </w:p>
        </w:tc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净吨（马力）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0.135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港内移泊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超程费</w:t>
            </w:r>
          </w:p>
        </w:tc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净吨（马力）/海里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0.0018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tabs>
          <w:tab w:val="left" w:pos="3560"/>
        </w:tabs>
        <w:spacing w:line="600" w:lineRule="exact"/>
        <w:ind w:left="840" w:hanging="840" w:hangingChars="300"/>
      </w:pPr>
      <w:r>
        <w:rPr>
          <w:rFonts w:ascii="宋体"/>
          <w:sz w:val="28"/>
          <w:szCs w:val="28"/>
        </w:rPr>
        <w:t>备注：</w:t>
      </w:r>
      <w:r>
        <w:rPr>
          <w:rFonts w:hint="eastAsia" w:ascii="宋体"/>
          <w:sz w:val="28"/>
          <w:szCs w:val="28"/>
        </w:rPr>
        <w:t>航行国内航线船舶引航费起码计费吨为500净吨</w:t>
      </w:r>
      <w:r>
        <w:rPr>
          <w:rFonts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马力</w:t>
      </w:r>
      <w:r>
        <w:rPr>
          <w:rFonts w:ascii="宋体"/>
          <w:sz w:val="28"/>
          <w:szCs w:val="28"/>
        </w:rPr>
        <w:t>）</w:t>
      </w:r>
      <w:r>
        <w:rPr>
          <w:rFonts w:hint="eastAsia" w:ascii="宋体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监督电话</w:t>
      </w:r>
    </w:p>
    <w:p>
      <w:pPr>
        <w:pStyle w:val="11"/>
        <w:spacing w:line="600" w:lineRule="exact"/>
        <w:ind w:left="480" w:firstLine="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0513-12345，12358</w:t>
      </w:r>
    </w:p>
    <w:p>
      <w:pPr>
        <w:tabs>
          <w:tab w:val="left" w:pos="3560"/>
        </w:tabs>
        <w:spacing w:line="60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0787B"/>
    <w:multiLevelType w:val="multilevel"/>
    <w:tmpl w:val="02E0787B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3090F74"/>
    <w:multiLevelType w:val="multilevel"/>
    <w:tmpl w:val="03090F7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ZjMwOGMzZjQyMDg2OWYyOGZkYjBhNjcxNmYwY2YifQ=="/>
  </w:docVars>
  <w:rsids>
    <w:rsidRoot w:val="00E713E1"/>
    <w:rsid w:val="00755681"/>
    <w:rsid w:val="00867D5A"/>
    <w:rsid w:val="00B12AEA"/>
    <w:rsid w:val="00C72C7D"/>
    <w:rsid w:val="00D24568"/>
    <w:rsid w:val="00E713E1"/>
    <w:rsid w:val="13F75AFE"/>
    <w:rsid w:val="2C8F4AE2"/>
    <w:rsid w:val="473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character" w:customStyle="1" w:styleId="12">
    <w:name w:val="未处理的提及1"/>
    <w:basedOn w:val="8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93B89-31F7-4EA8-B60A-322B1A10D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372</Words>
  <Characters>2125</Characters>
  <Lines>17</Lines>
  <Paragraphs>4</Paragraphs>
  <TotalTime>1911</TotalTime>
  <ScaleCrop>false</ScaleCrop>
  <LinksUpToDate>false</LinksUpToDate>
  <CharactersWithSpaces>2493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2020-04-01T01:38:00Z</dcterms:created>
  <dc:creator>dell</dc:creator>
  <cp:lastModifiedBy>Administrator</cp:lastModifiedBy>
  <dcterms:modified xsi:type="dcterms:W3CDTF">2024-01-05T02:39:53Z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8EF9E44BE4BF4CCCB7B2545F11935EA8_12</vt:lpwstr>
  </property>
</Properties>
</file>