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C2" w:rsidRPr="00F65FC8" w:rsidRDefault="00BC59C2" w:rsidP="00BC59C2">
      <w:pPr>
        <w:tabs>
          <w:tab w:val="left" w:pos="1276"/>
          <w:tab w:val="left" w:pos="1540"/>
        </w:tabs>
        <w:autoSpaceDE/>
        <w:snapToGrid/>
        <w:spacing w:beforeLines="50" w:before="156" w:afterLines="50" w:after="156" w:line="540" w:lineRule="exact"/>
        <w:ind w:left="628" w:firstLine="0"/>
        <w:outlineLvl w:val="1"/>
        <w:rPr>
          <w:rFonts w:eastAsia="方正黑体_GBK"/>
          <w:bCs/>
          <w:kern w:val="2"/>
          <w:szCs w:val="32"/>
        </w:rPr>
      </w:pPr>
      <w:bookmarkStart w:id="0" w:name="_GoBack"/>
      <w:r w:rsidRPr="00F65FC8">
        <w:rPr>
          <w:rFonts w:eastAsia="方正黑体_GBK" w:hint="eastAsia"/>
          <w:kern w:val="2"/>
          <w:sz w:val="30"/>
          <w:szCs w:val="30"/>
        </w:rPr>
        <w:t>附件</w:t>
      </w:r>
      <w:r w:rsidRPr="00F65FC8">
        <w:rPr>
          <w:rFonts w:eastAsia="方正黑体_GBK"/>
          <w:kern w:val="2"/>
          <w:sz w:val="30"/>
          <w:szCs w:val="30"/>
        </w:rPr>
        <w:t xml:space="preserve">2 </w:t>
      </w:r>
      <w:r w:rsidRPr="00F65FC8">
        <w:rPr>
          <w:rFonts w:eastAsia="方正黑体_GBK" w:hint="eastAsia"/>
          <w:kern w:val="2"/>
          <w:sz w:val="30"/>
          <w:szCs w:val="30"/>
        </w:rPr>
        <w:t>江苏省内河航道船舶过闸信用评分标准（</w:t>
      </w:r>
      <w:r w:rsidRPr="00F65FC8">
        <w:rPr>
          <w:rFonts w:eastAsia="方正黑体_GBK"/>
          <w:kern w:val="2"/>
          <w:sz w:val="30"/>
          <w:szCs w:val="30"/>
        </w:rPr>
        <w:t>2021</w:t>
      </w:r>
      <w:r w:rsidRPr="00F65FC8">
        <w:rPr>
          <w:rFonts w:eastAsia="方正黑体_GBK" w:hint="eastAsia"/>
          <w:kern w:val="2"/>
          <w:sz w:val="30"/>
          <w:szCs w:val="30"/>
        </w:rPr>
        <w:t>年版）</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87"/>
        <w:gridCol w:w="4800"/>
        <w:gridCol w:w="1974"/>
        <w:gridCol w:w="880"/>
      </w:tblGrid>
      <w:tr w:rsidR="00BC59C2" w:rsidTr="003A569B">
        <w:trPr>
          <w:tblHeader/>
          <w:jc w:val="center"/>
        </w:trPr>
        <w:tc>
          <w:tcPr>
            <w:tcW w:w="1287" w:type="dxa"/>
            <w:tcBorders>
              <w:top w:val="single" w:sz="12" w:space="0" w:color="000000"/>
              <w:left w:val="single" w:sz="12" w:space="0" w:color="000000"/>
              <w:bottom w:val="single" w:sz="6" w:space="0" w:color="000000"/>
              <w:right w:val="single" w:sz="6" w:space="0" w:color="000000"/>
            </w:tcBorders>
            <w:vAlign w:val="center"/>
            <w:hideMark/>
          </w:tcPr>
          <w:bookmarkEnd w:id="0"/>
          <w:p w:rsidR="00BC59C2" w:rsidRDefault="00BC59C2" w:rsidP="003A569B">
            <w:pPr>
              <w:autoSpaceDE/>
              <w:snapToGrid/>
              <w:spacing w:line="240" w:lineRule="auto"/>
              <w:ind w:firstLine="0"/>
              <w:jc w:val="center"/>
              <w:textAlignment w:val="center"/>
              <w:rPr>
                <w:rFonts w:eastAsia="仿宋_GB2312"/>
                <w:b/>
                <w:kern w:val="2"/>
                <w:sz w:val="24"/>
                <w:szCs w:val="21"/>
              </w:rPr>
            </w:pPr>
            <w:r>
              <w:rPr>
                <w:rFonts w:eastAsia="仿宋_GB2312" w:hint="eastAsia"/>
                <w:b/>
                <w:kern w:val="2"/>
                <w:sz w:val="24"/>
                <w:szCs w:val="21"/>
              </w:rPr>
              <w:t>记分类型</w:t>
            </w:r>
          </w:p>
        </w:tc>
        <w:tc>
          <w:tcPr>
            <w:tcW w:w="4800" w:type="dxa"/>
            <w:tcBorders>
              <w:top w:val="single" w:sz="12"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b/>
                <w:kern w:val="2"/>
                <w:sz w:val="24"/>
                <w:szCs w:val="21"/>
              </w:rPr>
            </w:pPr>
            <w:r>
              <w:rPr>
                <w:rFonts w:eastAsia="仿宋_GB2312" w:hint="eastAsia"/>
                <w:b/>
                <w:kern w:val="2"/>
                <w:sz w:val="24"/>
                <w:szCs w:val="21"/>
              </w:rPr>
              <w:t>记分内容</w:t>
            </w:r>
          </w:p>
        </w:tc>
        <w:tc>
          <w:tcPr>
            <w:tcW w:w="1974" w:type="dxa"/>
            <w:tcBorders>
              <w:top w:val="single" w:sz="12"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b/>
                <w:kern w:val="2"/>
                <w:sz w:val="24"/>
                <w:szCs w:val="21"/>
              </w:rPr>
            </w:pPr>
            <w:r>
              <w:rPr>
                <w:rFonts w:eastAsia="仿宋_GB2312" w:hint="eastAsia"/>
                <w:b/>
                <w:kern w:val="2"/>
                <w:sz w:val="24"/>
                <w:szCs w:val="21"/>
              </w:rPr>
              <w:t>对应分值</w:t>
            </w:r>
          </w:p>
        </w:tc>
        <w:tc>
          <w:tcPr>
            <w:tcW w:w="880" w:type="dxa"/>
            <w:tcBorders>
              <w:top w:val="single" w:sz="12" w:space="0" w:color="000000"/>
              <w:left w:val="single" w:sz="6" w:space="0" w:color="000000"/>
              <w:bottom w:val="single" w:sz="6" w:space="0" w:color="000000"/>
              <w:right w:val="single" w:sz="12" w:space="0" w:color="000000"/>
            </w:tcBorders>
            <w:hideMark/>
          </w:tcPr>
          <w:p w:rsidR="00BC59C2" w:rsidRDefault="00BC59C2" w:rsidP="003A569B">
            <w:pPr>
              <w:autoSpaceDE/>
              <w:snapToGrid/>
              <w:spacing w:line="240" w:lineRule="auto"/>
              <w:ind w:firstLine="0"/>
              <w:jc w:val="center"/>
              <w:textAlignment w:val="center"/>
              <w:rPr>
                <w:rFonts w:eastAsia="仿宋_GB2312"/>
                <w:b/>
                <w:kern w:val="2"/>
                <w:sz w:val="24"/>
                <w:szCs w:val="21"/>
              </w:rPr>
            </w:pPr>
            <w:r>
              <w:rPr>
                <w:rFonts w:eastAsia="仿宋_GB2312" w:hint="eastAsia"/>
                <w:b/>
                <w:kern w:val="2"/>
                <w:sz w:val="24"/>
                <w:szCs w:val="21"/>
              </w:rPr>
              <w:t>有关说明</w:t>
            </w:r>
          </w:p>
        </w:tc>
      </w:tr>
      <w:tr w:rsidR="00BC59C2" w:rsidTr="003A569B">
        <w:trPr>
          <w:jc w:val="center"/>
        </w:trPr>
        <w:tc>
          <w:tcPr>
            <w:tcW w:w="1287" w:type="dxa"/>
            <w:vMerge w:val="restart"/>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hint="eastAsia"/>
                <w:kern w:val="2"/>
                <w:sz w:val="21"/>
                <w:szCs w:val="21"/>
              </w:rPr>
              <w:t>初始分值</w:t>
            </w:r>
          </w:p>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hint="eastAsia"/>
                <w:kern w:val="2"/>
                <w:sz w:val="21"/>
                <w:szCs w:val="21"/>
              </w:rPr>
              <w:t>设定</w:t>
            </w: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已在系统内注册且船证相符、资料齐全的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200</w:t>
            </w:r>
            <w:r>
              <w:rPr>
                <w:rFonts w:eastAsia="仿宋_GB2312" w:hint="eastAsia"/>
                <w:kern w:val="2"/>
                <w:sz w:val="21"/>
                <w:szCs w:val="21"/>
              </w:rPr>
              <w:t>分</w:t>
            </w:r>
          </w:p>
        </w:tc>
        <w:tc>
          <w:tcPr>
            <w:tcW w:w="880" w:type="dxa"/>
            <w:tcBorders>
              <w:top w:val="single" w:sz="6" w:space="0" w:color="000000"/>
              <w:left w:val="single" w:sz="6" w:space="0" w:color="000000"/>
              <w:bottom w:val="single" w:sz="6" w:space="0" w:color="000000"/>
              <w:right w:val="single" w:sz="12" w:space="0" w:color="000000"/>
            </w:tcBorders>
          </w:tcPr>
          <w:p w:rsidR="00BC59C2" w:rsidRDefault="00BC59C2" w:rsidP="003A569B">
            <w:pPr>
              <w:autoSpaceDE/>
              <w:snapToGrid/>
              <w:spacing w:line="240" w:lineRule="auto"/>
              <w:ind w:firstLine="0"/>
              <w:jc w:val="center"/>
              <w:textAlignment w:val="center"/>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在系统内资料不全的</w:t>
            </w:r>
            <w:r>
              <w:rPr>
                <w:rFonts w:eastAsia="仿宋_GB2312"/>
                <w:kern w:val="2"/>
                <w:sz w:val="21"/>
                <w:szCs w:val="21"/>
              </w:rPr>
              <w:t xml:space="preserve"> </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100</w:t>
            </w:r>
            <w:r>
              <w:rPr>
                <w:rFonts w:eastAsia="仿宋_GB2312" w:hint="eastAsia"/>
                <w:kern w:val="2"/>
                <w:sz w:val="21"/>
                <w:szCs w:val="21"/>
              </w:rPr>
              <w:t>分</w:t>
            </w:r>
          </w:p>
        </w:tc>
        <w:tc>
          <w:tcPr>
            <w:tcW w:w="880" w:type="dxa"/>
            <w:tcBorders>
              <w:top w:val="single" w:sz="6" w:space="0" w:color="000000"/>
              <w:left w:val="single" w:sz="6" w:space="0" w:color="000000"/>
              <w:bottom w:val="single" w:sz="6" w:space="0" w:color="000000"/>
              <w:right w:val="single" w:sz="12" w:space="0" w:color="000000"/>
            </w:tcBorders>
          </w:tcPr>
          <w:p w:rsidR="00BC59C2" w:rsidRDefault="00BC59C2" w:rsidP="003A569B">
            <w:pPr>
              <w:autoSpaceDE/>
              <w:snapToGrid/>
              <w:spacing w:line="240" w:lineRule="auto"/>
              <w:ind w:firstLine="0"/>
              <w:jc w:val="center"/>
              <w:textAlignment w:val="center"/>
              <w:rPr>
                <w:rFonts w:eastAsia="仿宋_GB2312"/>
                <w:kern w:val="2"/>
                <w:sz w:val="21"/>
                <w:szCs w:val="21"/>
              </w:rPr>
            </w:pPr>
          </w:p>
        </w:tc>
      </w:tr>
      <w:tr w:rsidR="00BC59C2" w:rsidTr="003A569B">
        <w:trPr>
          <w:jc w:val="center"/>
        </w:trPr>
        <w:tc>
          <w:tcPr>
            <w:tcW w:w="1287" w:type="dxa"/>
            <w:vMerge w:val="restart"/>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hint="eastAsia"/>
                <w:kern w:val="2"/>
                <w:sz w:val="21"/>
                <w:szCs w:val="21"/>
              </w:rPr>
              <w:t>加分</w:t>
            </w: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遵守船闸管理规定，安全过闸无违章行为，每通过一闸次</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w:t>
            </w:r>
            <w:r>
              <w:rPr>
                <w:rFonts w:eastAsia="仿宋_GB2312" w:hint="eastAsia"/>
                <w:kern w:val="2"/>
                <w:sz w:val="21"/>
                <w:szCs w:val="21"/>
              </w:rPr>
              <w:t>分</w:t>
            </w:r>
          </w:p>
        </w:tc>
        <w:tc>
          <w:tcPr>
            <w:tcW w:w="880" w:type="dxa"/>
            <w:vMerge w:val="restart"/>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hint="eastAsia"/>
                <w:kern w:val="2"/>
                <w:sz w:val="21"/>
                <w:szCs w:val="21"/>
              </w:rPr>
              <w:t>系统自动加分</w:t>
            </w:r>
          </w:p>
        </w:tc>
      </w:tr>
      <w:tr w:rsidR="00BC59C2" w:rsidTr="003A569B">
        <w:trPr>
          <w:trHeight w:val="90"/>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享受优先、免费过闸政策的船舶，每通过一闸次</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w:t>
            </w:r>
            <w:r>
              <w:rPr>
                <w:rFonts w:eastAsia="仿宋_GB2312" w:hint="eastAsia"/>
                <w:kern w:val="2"/>
                <w:sz w:val="21"/>
                <w:szCs w:val="21"/>
              </w:rPr>
              <w:t>分</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使用</w:t>
            </w:r>
            <w:r>
              <w:rPr>
                <w:rFonts w:eastAsia="仿宋_GB2312"/>
                <w:kern w:val="2"/>
                <w:sz w:val="21"/>
                <w:szCs w:val="21"/>
              </w:rPr>
              <w:t>LNG</w:t>
            </w:r>
            <w:r>
              <w:rPr>
                <w:rFonts w:eastAsia="仿宋_GB2312" w:hint="eastAsia"/>
                <w:kern w:val="2"/>
                <w:sz w:val="21"/>
                <w:szCs w:val="21"/>
              </w:rPr>
              <w:t>等绿色清洁能源过闸的船舶，每通过一闸次</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w:t>
            </w:r>
            <w:r>
              <w:rPr>
                <w:rFonts w:eastAsia="仿宋_GB2312" w:hint="eastAsia"/>
                <w:kern w:val="2"/>
                <w:sz w:val="21"/>
                <w:szCs w:val="21"/>
              </w:rPr>
              <w:t>分</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按要求在指定地点投放生活垃圾、污水、废油的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hint="eastAsia"/>
                <w:kern w:val="2"/>
                <w:sz w:val="21"/>
                <w:szCs w:val="21"/>
              </w:rPr>
              <w:t>（每日最高</w:t>
            </w:r>
            <w:r>
              <w:rPr>
                <w:rFonts w:eastAsia="仿宋_GB2312"/>
                <w:kern w:val="2"/>
                <w:sz w:val="21"/>
                <w:szCs w:val="21"/>
              </w:rPr>
              <w:t>10</w:t>
            </w:r>
            <w:r>
              <w:rPr>
                <w:rFonts w:eastAsia="仿宋_GB2312" w:hint="eastAsia"/>
                <w:kern w:val="2"/>
                <w:sz w:val="21"/>
                <w:szCs w:val="21"/>
              </w:rPr>
              <w:t>分）</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积极配合和协助船闸管理工作的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val="restart"/>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hint="eastAsia"/>
                <w:kern w:val="2"/>
                <w:sz w:val="21"/>
                <w:szCs w:val="21"/>
              </w:rPr>
              <w:t>经船闸运行单位（部门）研究并审核后人工加分</w:t>
            </w: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更换船主后，主动向船闸运行单位更新船舶过闸信用信息的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主动报告或消除船闸安全隐患的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20-100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90"/>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协助港航部门完成演习任务的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nil"/>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协助船闸抢险救灾或有见义勇为行为的</w:t>
            </w:r>
          </w:p>
        </w:tc>
        <w:tc>
          <w:tcPr>
            <w:tcW w:w="1974" w:type="dxa"/>
            <w:tcBorders>
              <w:top w:val="single" w:sz="6" w:space="0" w:color="000000"/>
              <w:left w:val="single" w:sz="6" w:space="0" w:color="000000"/>
              <w:bottom w:val="nil"/>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20-100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举报其他船舶违法违章行为经查属实的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4" w:space="0" w:color="auto"/>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举报船闸工作人员违法违纪行为经查属实的</w:t>
            </w:r>
          </w:p>
        </w:tc>
        <w:tc>
          <w:tcPr>
            <w:tcW w:w="1974" w:type="dxa"/>
            <w:tcBorders>
              <w:top w:val="single" w:sz="6" w:space="0" w:color="000000"/>
              <w:left w:val="single" w:sz="6" w:space="0" w:color="000000"/>
              <w:bottom w:val="single" w:sz="4" w:space="0" w:color="auto"/>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90"/>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4" w:space="0" w:color="auto"/>
              <w:left w:val="single" w:sz="4" w:space="0" w:color="auto"/>
              <w:bottom w:val="nil"/>
              <w:right w:val="single" w:sz="4" w:space="0" w:color="auto"/>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为航道、船闸（港航部门）提供有效信息或合理化建议被采纳的</w:t>
            </w:r>
          </w:p>
        </w:tc>
        <w:tc>
          <w:tcPr>
            <w:tcW w:w="1974" w:type="dxa"/>
            <w:tcBorders>
              <w:top w:val="single" w:sz="4" w:space="0" w:color="auto"/>
              <w:left w:val="single" w:sz="4" w:space="0" w:color="auto"/>
              <w:bottom w:val="nil"/>
              <w:right w:val="single" w:sz="4" w:space="0" w:color="auto"/>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90"/>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4" w:space="0" w:color="auto"/>
              <w:left w:val="single" w:sz="4" w:space="0" w:color="auto"/>
              <w:bottom w:val="nil"/>
              <w:right w:val="single" w:sz="4" w:space="0" w:color="auto"/>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与相关单位进行联合奖励的</w:t>
            </w:r>
          </w:p>
        </w:tc>
        <w:tc>
          <w:tcPr>
            <w:tcW w:w="1974" w:type="dxa"/>
            <w:tcBorders>
              <w:top w:val="single" w:sz="4" w:space="0" w:color="auto"/>
              <w:left w:val="single" w:sz="4" w:space="0" w:color="auto"/>
              <w:bottom w:val="nil"/>
              <w:right w:val="single" w:sz="4" w:space="0" w:color="auto"/>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10-200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90"/>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4" w:space="0" w:color="auto"/>
              <w:left w:val="single" w:sz="4" w:space="0" w:color="auto"/>
              <w:bottom w:val="nil"/>
              <w:right w:val="single" w:sz="4" w:space="0" w:color="auto"/>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其他依法依规应当加分的情形</w:t>
            </w:r>
          </w:p>
        </w:tc>
        <w:tc>
          <w:tcPr>
            <w:tcW w:w="1974" w:type="dxa"/>
            <w:tcBorders>
              <w:top w:val="single" w:sz="4" w:space="0" w:color="auto"/>
              <w:left w:val="single" w:sz="4" w:space="0" w:color="auto"/>
              <w:bottom w:val="nil"/>
              <w:right w:val="single" w:sz="4" w:space="0" w:color="auto"/>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327"/>
          <w:jc w:val="center"/>
        </w:trPr>
        <w:tc>
          <w:tcPr>
            <w:tcW w:w="1287" w:type="dxa"/>
            <w:vMerge w:val="restart"/>
            <w:tcBorders>
              <w:top w:val="single" w:sz="4" w:space="0" w:color="auto"/>
              <w:left w:val="single" w:sz="12"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hint="eastAsia"/>
                <w:kern w:val="2"/>
                <w:sz w:val="21"/>
                <w:szCs w:val="21"/>
              </w:rPr>
              <w:t>减分</w:t>
            </w: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登记后未及时缴费，被系统超时删除，影响船闸运行秩序的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val="restart"/>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hint="eastAsia"/>
                <w:kern w:val="2"/>
                <w:sz w:val="21"/>
                <w:szCs w:val="21"/>
              </w:rPr>
              <w:t>系统自动减分</w:t>
            </w:r>
          </w:p>
        </w:tc>
      </w:tr>
      <w:tr w:rsidR="00BC59C2" w:rsidTr="003A569B">
        <w:trPr>
          <w:jc w:val="center"/>
        </w:trPr>
        <w:tc>
          <w:tcPr>
            <w:tcW w:w="1287" w:type="dxa"/>
            <w:vMerge/>
            <w:tcBorders>
              <w:top w:val="single" w:sz="4" w:space="0" w:color="auto"/>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船舶不符合登记条件通过系统申报被拒绝后，再次申报被拒绝的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4" w:space="0" w:color="auto"/>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船舶不符合登记条件通过系统申报被拒绝后，再次申报被拒绝，第三次申报被拒绝的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4" w:space="0" w:color="auto"/>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船舶存在延时行为，影响船闸运行秩序的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4" w:space="0" w:color="auto"/>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船舶存在虚假申报等行为导致退费的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4" w:space="0" w:color="auto"/>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船舶</w:t>
            </w:r>
            <w:proofErr w:type="gramStart"/>
            <w:r>
              <w:rPr>
                <w:rFonts w:eastAsia="仿宋_GB2312" w:hint="eastAsia"/>
                <w:kern w:val="2"/>
                <w:sz w:val="21"/>
                <w:szCs w:val="21"/>
              </w:rPr>
              <w:t>存在过号行为</w:t>
            </w:r>
            <w:proofErr w:type="gramEnd"/>
            <w:r>
              <w:rPr>
                <w:rFonts w:eastAsia="仿宋_GB2312" w:hint="eastAsia"/>
                <w:kern w:val="2"/>
                <w:sz w:val="21"/>
                <w:szCs w:val="21"/>
              </w:rPr>
              <w:t>，影响船闸运行秩序的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30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4" w:space="0" w:color="auto"/>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未持有效船舶证书过闸的（包含未随船携带或证书失效等）</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val="restart"/>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hint="eastAsia"/>
                <w:kern w:val="2"/>
                <w:sz w:val="21"/>
                <w:szCs w:val="21"/>
              </w:rPr>
              <w:t>经船闸运行单位（部门）研究并审核后人工减分</w:t>
            </w:r>
          </w:p>
        </w:tc>
      </w:tr>
      <w:tr w:rsidR="00BC59C2" w:rsidTr="003A569B">
        <w:trPr>
          <w:jc w:val="center"/>
        </w:trPr>
        <w:tc>
          <w:tcPr>
            <w:tcW w:w="1287" w:type="dxa"/>
            <w:vMerge/>
            <w:tcBorders>
              <w:top w:val="single" w:sz="4" w:space="0" w:color="auto"/>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未按规定开启</w:t>
            </w:r>
            <w:r>
              <w:rPr>
                <w:rFonts w:eastAsia="仿宋_GB2312"/>
                <w:kern w:val="2"/>
                <w:sz w:val="21"/>
                <w:szCs w:val="21"/>
              </w:rPr>
              <w:t>AIS</w:t>
            </w:r>
            <w:r>
              <w:rPr>
                <w:rFonts w:eastAsia="仿宋_GB2312" w:hint="eastAsia"/>
                <w:kern w:val="2"/>
                <w:sz w:val="21"/>
                <w:szCs w:val="21"/>
              </w:rPr>
              <w:t>等船舶定位设备，无法调度船舶的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90"/>
          <w:jc w:val="center"/>
        </w:trPr>
        <w:tc>
          <w:tcPr>
            <w:tcW w:w="1287" w:type="dxa"/>
            <w:vMerge/>
            <w:tcBorders>
              <w:top w:val="single" w:sz="4" w:space="0" w:color="auto"/>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未按要求履行水上救助义务的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90"/>
          <w:jc w:val="center"/>
        </w:trPr>
        <w:tc>
          <w:tcPr>
            <w:tcW w:w="1287" w:type="dxa"/>
            <w:vMerge/>
            <w:tcBorders>
              <w:top w:val="single" w:sz="4" w:space="0" w:color="auto"/>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船名船号、灯箱等标志标识不全或不规范的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90"/>
          <w:jc w:val="center"/>
        </w:trPr>
        <w:tc>
          <w:tcPr>
            <w:tcW w:w="1287" w:type="dxa"/>
            <w:vMerge/>
            <w:tcBorders>
              <w:top w:val="single" w:sz="4" w:space="0" w:color="auto"/>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过闸船舶机动</w:t>
            </w:r>
            <w:proofErr w:type="gramStart"/>
            <w:r>
              <w:rPr>
                <w:rFonts w:eastAsia="仿宋_GB2312" w:hint="eastAsia"/>
                <w:kern w:val="2"/>
                <w:sz w:val="21"/>
                <w:szCs w:val="21"/>
              </w:rPr>
              <w:t>筏</w:t>
            </w:r>
            <w:proofErr w:type="gramEnd"/>
            <w:r>
              <w:rPr>
                <w:rFonts w:eastAsia="仿宋_GB2312" w:hint="eastAsia"/>
                <w:kern w:val="2"/>
                <w:sz w:val="21"/>
                <w:szCs w:val="21"/>
              </w:rPr>
              <w:t>悬挂超出船体位置，不主动整改的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90"/>
          <w:jc w:val="center"/>
        </w:trPr>
        <w:tc>
          <w:tcPr>
            <w:tcW w:w="1287" w:type="dxa"/>
            <w:vMerge w:val="restart"/>
            <w:tcBorders>
              <w:top w:val="single" w:sz="6" w:space="0" w:color="000000"/>
              <w:left w:val="single" w:sz="12" w:space="0" w:color="000000"/>
              <w:bottom w:val="single" w:sz="6" w:space="0" w:color="000000"/>
              <w:right w:val="single" w:sz="6" w:space="0" w:color="000000"/>
            </w:tcBorders>
            <w:vAlign w:val="center"/>
          </w:tcPr>
          <w:p w:rsidR="00BC59C2" w:rsidRDefault="00BC59C2" w:rsidP="003A569B">
            <w:pPr>
              <w:autoSpaceDE/>
              <w:snapToGrid/>
              <w:spacing w:line="240" w:lineRule="auto"/>
              <w:ind w:firstLine="0"/>
              <w:jc w:val="center"/>
              <w:textAlignment w:val="center"/>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过闸过程中，在甲板上从事烧焊等使用明火作业的</w:t>
            </w:r>
            <w:r>
              <w:rPr>
                <w:rFonts w:eastAsia="仿宋_GB2312" w:hint="eastAsia"/>
                <w:kern w:val="2"/>
                <w:sz w:val="21"/>
                <w:szCs w:val="21"/>
              </w:rPr>
              <w:lastRenderedPageBreak/>
              <w:t>（</w:t>
            </w:r>
            <w:proofErr w:type="gramStart"/>
            <w:r>
              <w:rPr>
                <w:rFonts w:eastAsia="仿宋_GB2312" w:hint="eastAsia"/>
                <w:kern w:val="2"/>
                <w:sz w:val="21"/>
                <w:szCs w:val="21"/>
              </w:rPr>
              <w:t>危化品</w:t>
            </w:r>
            <w:proofErr w:type="gramEnd"/>
            <w:r>
              <w:rPr>
                <w:rFonts w:eastAsia="仿宋_GB2312" w:hint="eastAsia"/>
                <w:kern w:val="2"/>
                <w:sz w:val="21"/>
                <w:szCs w:val="21"/>
              </w:rPr>
              <w:t>船舶</w:t>
            </w:r>
            <w:r>
              <w:rPr>
                <w:rFonts w:eastAsia="仿宋_GB2312"/>
                <w:kern w:val="2"/>
                <w:sz w:val="21"/>
                <w:szCs w:val="21"/>
              </w:rPr>
              <w:t>100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lastRenderedPageBreak/>
              <w:t>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90"/>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在船闸管理范围内装运危险货物的船舶进行洗（清）舱的（</w:t>
            </w:r>
            <w:proofErr w:type="gramStart"/>
            <w:r>
              <w:rPr>
                <w:rFonts w:eastAsia="仿宋_GB2312" w:hint="eastAsia"/>
                <w:kern w:val="2"/>
                <w:sz w:val="21"/>
                <w:szCs w:val="21"/>
              </w:rPr>
              <w:t>危化品</w:t>
            </w:r>
            <w:proofErr w:type="gramEnd"/>
            <w:r>
              <w:rPr>
                <w:rFonts w:eastAsia="仿宋_GB2312" w:hint="eastAsia"/>
                <w:kern w:val="2"/>
                <w:sz w:val="21"/>
                <w:szCs w:val="21"/>
              </w:rPr>
              <w:t>船舶</w:t>
            </w:r>
            <w:r>
              <w:rPr>
                <w:rFonts w:eastAsia="仿宋_GB2312"/>
                <w:kern w:val="2"/>
                <w:sz w:val="21"/>
                <w:szCs w:val="21"/>
              </w:rPr>
              <w:t>100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90"/>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过闸过程中，船员未穿戴救生衣的</w:t>
            </w:r>
            <w:r>
              <w:rPr>
                <w:rFonts w:eastAsia="仿宋_GB2312"/>
                <w:kern w:val="2"/>
                <w:sz w:val="21"/>
                <w:szCs w:val="21"/>
              </w:rPr>
              <w:t xml:space="preserve"> </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人次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90"/>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骗取优先过闸资格的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未如实申报船舶过闸信息，未造成后果的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过闸过程中，不服从工作人员指挥调度的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所属船员对船闸或船闸工作人员进行恶意评价的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所属船员辱骂、污蔑、诽谤、殴打工作人员的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50-100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擅自在闸室、闸口或者引航道内滞留的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宋体"/>
                <w:kern w:val="2"/>
                <w:sz w:val="21"/>
                <w:szCs w:val="21"/>
              </w:rPr>
            </w:pPr>
            <w:r>
              <w:rPr>
                <w:rFonts w:eastAsia="仿宋_GB2312" w:hint="eastAsia"/>
                <w:kern w:val="2"/>
                <w:sz w:val="21"/>
                <w:szCs w:val="21"/>
              </w:rPr>
              <w:t>进出闸室时抛锚、拖锚的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过闸过程中，违反所属船闸运行单位制定的引航道停靠规定，违规停靠、进出闸室时抢档、超越的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过闸过程中，故意隐瞒动力、舵机操纵设备等发生故障，或者船体损坏漏水影响航行安全的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所属船员擅自在通航建筑物及其引航道和船舶调度区内从事水上货物交易、货物装卸、水上加油（气）、船舶维修、捕鱼、打捞沉船或沉物等影响通航建筑物正常运行的活动的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长时间恶意占用公用</w:t>
            </w:r>
            <w:proofErr w:type="gramStart"/>
            <w:r>
              <w:rPr>
                <w:rFonts w:eastAsia="仿宋_GB2312" w:hint="eastAsia"/>
                <w:kern w:val="2"/>
                <w:sz w:val="21"/>
                <w:szCs w:val="21"/>
              </w:rPr>
              <w:t>通讯联络</w:t>
            </w:r>
            <w:proofErr w:type="gramEnd"/>
            <w:r>
              <w:rPr>
                <w:rFonts w:eastAsia="仿宋_GB2312" w:hint="eastAsia"/>
                <w:kern w:val="2"/>
                <w:sz w:val="21"/>
                <w:szCs w:val="21"/>
              </w:rPr>
              <w:t>高频资源的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20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nil"/>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航行过程中碰撞船闸设施，导致损坏的</w:t>
            </w:r>
          </w:p>
        </w:tc>
        <w:tc>
          <w:tcPr>
            <w:tcW w:w="1974" w:type="dxa"/>
            <w:tcBorders>
              <w:top w:val="single" w:sz="6" w:space="0" w:color="000000"/>
              <w:left w:val="single" w:sz="6" w:space="0" w:color="000000"/>
              <w:bottom w:val="nil"/>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未落实垃圾分类要求，存在乱排乱抛行为的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trHeight w:val="310"/>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与相关单位进行联合惩戒的</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10-100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vMerge/>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其他依法依规应当减分的情形</w:t>
            </w:r>
          </w:p>
        </w:tc>
        <w:tc>
          <w:tcPr>
            <w:tcW w:w="1974" w:type="dxa"/>
            <w:tcBorders>
              <w:top w:val="single" w:sz="6" w:space="0" w:color="000000"/>
              <w:left w:val="single" w:sz="6"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10-50</w:t>
            </w:r>
            <w:r>
              <w:rPr>
                <w:rFonts w:eastAsia="仿宋_GB2312" w:hint="eastAsia"/>
                <w:kern w:val="2"/>
                <w:sz w:val="21"/>
                <w:szCs w:val="21"/>
              </w:rPr>
              <w:t>分</w:t>
            </w:r>
            <w:r>
              <w:rPr>
                <w:rFonts w:eastAsia="仿宋_GB2312"/>
                <w:kern w:val="2"/>
                <w:sz w:val="21"/>
                <w:szCs w:val="21"/>
              </w:rPr>
              <w:t>/</w:t>
            </w:r>
            <w:r>
              <w:rPr>
                <w:rFonts w:eastAsia="仿宋_GB2312" w:hint="eastAsia"/>
                <w:kern w:val="2"/>
                <w:sz w:val="21"/>
                <w:szCs w:val="21"/>
              </w:rPr>
              <w:t>次</w:t>
            </w:r>
          </w:p>
        </w:tc>
        <w:tc>
          <w:tcPr>
            <w:tcW w:w="880" w:type="dxa"/>
            <w:vMerge/>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widowControl/>
              <w:autoSpaceDE/>
              <w:autoSpaceDN/>
              <w:snapToGrid/>
              <w:spacing w:line="240" w:lineRule="auto"/>
              <w:ind w:firstLine="0"/>
              <w:jc w:val="left"/>
              <w:rPr>
                <w:rFonts w:eastAsia="仿宋_GB2312"/>
                <w:kern w:val="2"/>
                <w:sz w:val="21"/>
                <w:szCs w:val="21"/>
              </w:rPr>
            </w:pPr>
          </w:p>
        </w:tc>
      </w:tr>
      <w:tr w:rsidR="00BC59C2" w:rsidTr="003A569B">
        <w:trPr>
          <w:jc w:val="center"/>
        </w:trPr>
        <w:tc>
          <w:tcPr>
            <w:tcW w:w="1287" w:type="dxa"/>
            <w:tcBorders>
              <w:top w:val="single" w:sz="6" w:space="0" w:color="000000"/>
              <w:left w:val="single" w:sz="12" w:space="0" w:color="000000"/>
              <w:bottom w:val="single" w:sz="12"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hint="eastAsia"/>
                <w:kern w:val="2"/>
                <w:sz w:val="21"/>
                <w:szCs w:val="21"/>
              </w:rPr>
              <w:t>直接降分至</w:t>
            </w:r>
            <w:r>
              <w:rPr>
                <w:rFonts w:eastAsia="仿宋_GB2312"/>
                <w:kern w:val="2"/>
                <w:sz w:val="21"/>
                <w:szCs w:val="21"/>
              </w:rPr>
              <w:t>51</w:t>
            </w:r>
            <w:r>
              <w:rPr>
                <w:rFonts w:eastAsia="仿宋_GB2312" w:hint="eastAsia"/>
                <w:kern w:val="2"/>
                <w:sz w:val="21"/>
                <w:szCs w:val="21"/>
              </w:rPr>
              <w:t>分或</w:t>
            </w:r>
            <w:r>
              <w:rPr>
                <w:rFonts w:eastAsia="仿宋_GB2312"/>
                <w:kern w:val="2"/>
                <w:sz w:val="21"/>
                <w:szCs w:val="21"/>
              </w:rPr>
              <w:t>0</w:t>
            </w:r>
            <w:r>
              <w:rPr>
                <w:rFonts w:eastAsia="仿宋_GB2312" w:hint="eastAsia"/>
                <w:kern w:val="2"/>
                <w:sz w:val="21"/>
                <w:szCs w:val="21"/>
              </w:rPr>
              <w:t>分</w:t>
            </w:r>
          </w:p>
        </w:tc>
        <w:tc>
          <w:tcPr>
            <w:tcW w:w="4800" w:type="dxa"/>
            <w:tcBorders>
              <w:top w:val="single" w:sz="6" w:space="0" w:color="000000"/>
              <w:left w:val="single" w:sz="6" w:space="0" w:color="000000"/>
              <w:bottom w:val="single" w:sz="12" w:space="0" w:color="000000"/>
              <w:right w:val="single" w:sz="6" w:space="0" w:color="000000"/>
            </w:tcBorders>
            <w:vAlign w:val="center"/>
            <w:hideMark/>
          </w:tcPr>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（一）船舶实际尺度与所持船舶证件尺度严重不符的；</w:t>
            </w:r>
          </w:p>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（二）船队超长的；</w:t>
            </w:r>
          </w:p>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（三）利用虚假证件办理船舶过闸业务或者冒用其它船舶信息过闸的；</w:t>
            </w:r>
          </w:p>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（四）未经调度强行进闸等影响船闸运行调度秩序的；</w:t>
            </w:r>
          </w:p>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（五）故意损毁船闸设施，造成严重后果的；</w:t>
            </w:r>
          </w:p>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（六）未如实申报船舶过闸信息，造成搁浅或者碰撞等严重后果的；</w:t>
            </w:r>
          </w:p>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（七）拒不纠正违章、违法行为或者抗拒阻挠工作人员管理、执法的；</w:t>
            </w:r>
          </w:p>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（八）辱骂、污蔑、诽谤、殴打工作人员，干扰正常工作秩序，情节严重的；</w:t>
            </w:r>
          </w:p>
          <w:p w:rsidR="00BC59C2" w:rsidRDefault="00BC59C2" w:rsidP="003A569B">
            <w:pPr>
              <w:autoSpaceDE/>
              <w:snapToGrid/>
              <w:spacing w:line="240" w:lineRule="auto"/>
              <w:ind w:firstLine="0"/>
              <w:textAlignment w:val="center"/>
              <w:rPr>
                <w:rFonts w:eastAsia="仿宋_GB2312"/>
                <w:kern w:val="2"/>
                <w:sz w:val="21"/>
                <w:szCs w:val="21"/>
              </w:rPr>
            </w:pPr>
            <w:r>
              <w:rPr>
                <w:rFonts w:eastAsia="仿宋_GB2312" w:hint="eastAsia"/>
                <w:kern w:val="2"/>
                <w:sz w:val="21"/>
                <w:szCs w:val="21"/>
              </w:rPr>
              <w:t>（九）其他应当直接降分的严重违法违规行为。</w:t>
            </w:r>
          </w:p>
        </w:tc>
        <w:tc>
          <w:tcPr>
            <w:tcW w:w="1974" w:type="dxa"/>
            <w:tcBorders>
              <w:top w:val="single" w:sz="6" w:space="0" w:color="000000"/>
              <w:left w:val="single" w:sz="6" w:space="0" w:color="000000"/>
              <w:bottom w:val="single" w:sz="12" w:space="0" w:color="000000"/>
              <w:right w:val="single" w:sz="6" w:space="0" w:color="000000"/>
            </w:tcBorders>
            <w:vAlign w:val="center"/>
          </w:tcPr>
          <w:p w:rsidR="00BC59C2" w:rsidRDefault="00BC59C2" w:rsidP="003A569B">
            <w:pPr>
              <w:autoSpaceDE/>
              <w:snapToGrid/>
              <w:spacing w:line="240" w:lineRule="auto"/>
              <w:ind w:firstLine="0"/>
              <w:jc w:val="center"/>
              <w:textAlignment w:val="center"/>
              <w:rPr>
                <w:rFonts w:eastAsia="仿宋_GB2312"/>
                <w:kern w:val="2"/>
                <w:sz w:val="21"/>
                <w:szCs w:val="21"/>
              </w:rPr>
            </w:pPr>
          </w:p>
        </w:tc>
        <w:tc>
          <w:tcPr>
            <w:tcW w:w="880" w:type="dxa"/>
            <w:tcBorders>
              <w:top w:val="single" w:sz="6" w:space="0" w:color="000000"/>
              <w:left w:val="single" w:sz="6" w:space="0" w:color="000000"/>
              <w:bottom w:val="single" w:sz="12" w:space="0" w:color="000000"/>
              <w:right w:val="single" w:sz="12" w:space="0" w:color="000000"/>
            </w:tcBorders>
          </w:tcPr>
          <w:p w:rsidR="00BC59C2" w:rsidRDefault="00BC59C2" w:rsidP="003A569B">
            <w:pPr>
              <w:autoSpaceDE/>
              <w:snapToGrid/>
              <w:spacing w:line="240" w:lineRule="auto"/>
              <w:ind w:firstLine="0"/>
              <w:jc w:val="center"/>
              <w:textAlignment w:val="center"/>
              <w:rPr>
                <w:rFonts w:eastAsia="仿宋_GB2312"/>
                <w:kern w:val="2"/>
                <w:sz w:val="21"/>
                <w:szCs w:val="21"/>
              </w:rPr>
            </w:pPr>
          </w:p>
        </w:tc>
      </w:tr>
    </w:tbl>
    <w:p w:rsidR="00BC59C2" w:rsidRDefault="00BC59C2" w:rsidP="00BC59C2">
      <w:pPr>
        <w:autoSpaceDE/>
        <w:snapToGrid/>
        <w:spacing w:line="240" w:lineRule="auto"/>
        <w:ind w:firstLine="0"/>
        <w:jc w:val="left"/>
        <w:rPr>
          <w:rFonts w:eastAsia="黑体"/>
          <w:b/>
          <w:kern w:val="2"/>
          <w:sz w:val="30"/>
          <w:szCs w:val="30"/>
        </w:rPr>
      </w:pPr>
    </w:p>
    <w:p w:rsidR="00BC59C2" w:rsidRDefault="00BC59C2" w:rsidP="00BC59C2">
      <w:pPr>
        <w:autoSpaceDE/>
        <w:snapToGrid/>
        <w:spacing w:line="240" w:lineRule="auto"/>
        <w:ind w:firstLine="0"/>
        <w:jc w:val="center"/>
        <w:outlineLvl w:val="0"/>
        <w:rPr>
          <w:rFonts w:eastAsia="方正黑体_GBK"/>
          <w:bCs/>
          <w:kern w:val="2"/>
          <w:sz w:val="30"/>
          <w:szCs w:val="30"/>
        </w:rPr>
      </w:pPr>
    </w:p>
    <w:p w:rsidR="00BC59C2" w:rsidRDefault="00BC59C2" w:rsidP="00BC59C2">
      <w:pPr>
        <w:autoSpaceDE/>
        <w:snapToGrid/>
        <w:spacing w:line="240" w:lineRule="auto"/>
        <w:ind w:firstLine="0"/>
        <w:jc w:val="center"/>
        <w:outlineLvl w:val="0"/>
        <w:rPr>
          <w:rFonts w:eastAsia="方正黑体_GBK"/>
          <w:bCs/>
          <w:kern w:val="2"/>
          <w:sz w:val="30"/>
          <w:szCs w:val="30"/>
        </w:rPr>
      </w:pPr>
      <w:r>
        <w:rPr>
          <w:rFonts w:eastAsia="方正黑体_GBK" w:hint="eastAsia"/>
          <w:bCs/>
          <w:kern w:val="2"/>
          <w:sz w:val="30"/>
          <w:szCs w:val="30"/>
        </w:rPr>
        <w:t>附件</w:t>
      </w:r>
      <w:r>
        <w:rPr>
          <w:rFonts w:eastAsia="方正黑体_GBK"/>
          <w:bCs/>
          <w:kern w:val="2"/>
          <w:sz w:val="30"/>
          <w:szCs w:val="30"/>
        </w:rPr>
        <w:t xml:space="preserve">3 </w:t>
      </w:r>
      <w:r>
        <w:rPr>
          <w:rFonts w:eastAsia="方正黑体_GBK" w:hint="eastAsia"/>
          <w:bCs/>
          <w:kern w:val="2"/>
          <w:sz w:val="30"/>
          <w:szCs w:val="30"/>
        </w:rPr>
        <w:t>江苏省内河航道船舶过闸守信激励与失信约束措施</w:t>
      </w:r>
    </w:p>
    <w:p w:rsidR="00BC59C2" w:rsidRDefault="00BC59C2" w:rsidP="00BC59C2">
      <w:pPr>
        <w:autoSpaceDE/>
        <w:snapToGrid/>
        <w:spacing w:line="240" w:lineRule="auto"/>
        <w:ind w:firstLine="0"/>
        <w:jc w:val="center"/>
        <w:outlineLvl w:val="0"/>
        <w:rPr>
          <w:rFonts w:eastAsia="方正黑体_GBK"/>
          <w:bCs/>
          <w:kern w:val="2"/>
          <w:sz w:val="30"/>
          <w:szCs w:val="30"/>
        </w:rPr>
      </w:pPr>
      <w:r>
        <w:rPr>
          <w:rFonts w:eastAsia="方正黑体_GBK" w:hint="eastAsia"/>
          <w:bCs/>
          <w:kern w:val="2"/>
          <w:sz w:val="30"/>
          <w:szCs w:val="30"/>
        </w:rPr>
        <w:t>（</w:t>
      </w:r>
      <w:r>
        <w:rPr>
          <w:rFonts w:eastAsia="方正黑体_GBK"/>
          <w:bCs/>
          <w:kern w:val="2"/>
          <w:sz w:val="30"/>
          <w:szCs w:val="30"/>
        </w:rPr>
        <w:t>2021</w:t>
      </w:r>
      <w:r>
        <w:rPr>
          <w:rFonts w:eastAsia="方正黑体_GBK" w:hint="eastAsia"/>
          <w:bCs/>
          <w:kern w:val="2"/>
          <w:sz w:val="30"/>
          <w:szCs w:val="30"/>
        </w:rPr>
        <w:t>年版）</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66"/>
        <w:gridCol w:w="7375"/>
      </w:tblGrid>
      <w:tr w:rsidR="00BC59C2" w:rsidTr="003A569B">
        <w:trPr>
          <w:tblHeader/>
          <w:jc w:val="center"/>
        </w:trPr>
        <w:tc>
          <w:tcPr>
            <w:tcW w:w="1566" w:type="dxa"/>
            <w:tcBorders>
              <w:top w:val="single" w:sz="12" w:space="0" w:color="000000"/>
              <w:left w:val="single" w:sz="12" w:space="0" w:color="000000"/>
              <w:bottom w:val="single" w:sz="6" w:space="0" w:color="000000"/>
              <w:right w:val="single" w:sz="6" w:space="0" w:color="000000"/>
            </w:tcBorders>
            <w:hideMark/>
          </w:tcPr>
          <w:p w:rsidR="00BC59C2" w:rsidRDefault="00BC59C2" w:rsidP="003A569B">
            <w:pPr>
              <w:autoSpaceDE/>
              <w:snapToGrid/>
              <w:spacing w:line="240" w:lineRule="auto"/>
              <w:ind w:firstLine="0"/>
              <w:jc w:val="center"/>
              <w:textAlignment w:val="center"/>
              <w:rPr>
                <w:rFonts w:eastAsia="仿宋_GB2312"/>
                <w:b/>
                <w:kern w:val="2"/>
                <w:sz w:val="24"/>
                <w:szCs w:val="21"/>
              </w:rPr>
            </w:pPr>
            <w:r>
              <w:rPr>
                <w:rFonts w:eastAsia="仿宋_GB2312" w:hint="eastAsia"/>
                <w:b/>
                <w:kern w:val="2"/>
                <w:sz w:val="24"/>
                <w:szCs w:val="21"/>
              </w:rPr>
              <w:t>船舶等级</w:t>
            </w:r>
          </w:p>
        </w:tc>
        <w:tc>
          <w:tcPr>
            <w:tcW w:w="7375" w:type="dxa"/>
            <w:tcBorders>
              <w:top w:val="single" w:sz="12" w:space="0" w:color="000000"/>
              <w:left w:val="single" w:sz="6" w:space="0" w:color="000000"/>
              <w:bottom w:val="single" w:sz="6" w:space="0" w:color="000000"/>
              <w:right w:val="single" w:sz="12" w:space="0" w:color="000000"/>
            </w:tcBorders>
            <w:vAlign w:val="center"/>
            <w:hideMark/>
          </w:tcPr>
          <w:p w:rsidR="00BC59C2" w:rsidRDefault="00BC59C2" w:rsidP="003A569B">
            <w:pPr>
              <w:autoSpaceDE/>
              <w:snapToGrid/>
              <w:spacing w:line="240" w:lineRule="auto"/>
              <w:ind w:firstLine="0"/>
              <w:jc w:val="center"/>
              <w:textAlignment w:val="center"/>
              <w:rPr>
                <w:rFonts w:ascii="仿宋" w:hAnsi="仿宋"/>
                <w:b/>
                <w:kern w:val="2"/>
                <w:sz w:val="24"/>
                <w:szCs w:val="24"/>
              </w:rPr>
            </w:pPr>
            <w:r>
              <w:rPr>
                <w:rFonts w:ascii="仿宋" w:hAnsi="仿宋" w:hint="eastAsia"/>
                <w:b/>
                <w:bCs/>
                <w:kern w:val="2"/>
                <w:sz w:val="24"/>
                <w:szCs w:val="24"/>
              </w:rPr>
              <w:t>守信激励与失信约束</w:t>
            </w:r>
            <w:r>
              <w:rPr>
                <w:rFonts w:ascii="仿宋" w:hAnsi="仿宋" w:hint="eastAsia"/>
                <w:b/>
                <w:kern w:val="2"/>
                <w:sz w:val="24"/>
                <w:szCs w:val="24"/>
              </w:rPr>
              <w:t>措施</w:t>
            </w:r>
          </w:p>
        </w:tc>
      </w:tr>
      <w:tr w:rsidR="00BC59C2" w:rsidTr="003A569B">
        <w:trPr>
          <w:jc w:val="center"/>
        </w:trPr>
        <w:tc>
          <w:tcPr>
            <w:tcW w:w="1566" w:type="dxa"/>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AA</w:t>
            </w:r>
            <w:r>
              <w:rPr>
                <w:rFonts w:eastAsia="仿宋_GB2312" w:hint="eastAsia"/>
                <w:kern w:val="2"/>
                <w:sz w:val="21"/>
                <w:szCs w:val="21"/>
              </w:rPr>
              <w:t>级</w:t>
            </w:r>
          </w:p>
        </w:tc>
        <w:tc>
          <w:tcPr>
            <w:tcW w:w="7375" w:type="dxa"/>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（一）获得有关诚信方面的评比表彰资格；</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（二）船舶过闸时可实行船舶吃水申报承诺制；</w:t>
            </w:r>
            <w:r>
              <w:rPr>
                <w:rFonts w:eastAsia="仿宋_GB2312"/>
                <w:kern w:val="2"/>
                <w:sz w:val="21"/>
                <w:szCs w:val="21"/>
              </w:rPr>
              <w:t xml:space="preserve"> </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（三）除专项检查、专项整治外，不再复核船舶相关信息；</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（四）享受便捷过闸各项服务；</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（五）用不低于</w:t>
            </w:r>
            <w:r>
              <w:rPr>
                <w:rFonts w:eastAsia="仿宋_GB2312"/>
                <w:kern w:val="2"/>
                <w:sz w:val="21"/>
                <w:szCs w:val="21"/>
              </w:rPr>
              <w:t>100</w:t>
            </w:r>
            <w:r>
              <w:rPr>
                <w:rFonts w:eastAsia="仿宋_GB2312" w:hint="eastAsia"/>
                <w:kern w:val="2"/>
                <w:sz w:val="21"/>
                <w:szCs w:val="21"/>
              </w:rPr>
              <w:t>信用积分可兑换一次优先过闸，一年内最多使用</w:t>
            </w:r>
            <w:r>
              <w:rPr>
                <w:rFonts w:eastAsia="仿宋_GB2312"/>
                <w:kern w:val="2"/>
                <w:sz w:val="21"/>
                <w:szCs w:val="21"/>
              </w:rPr>
              <w:t>2</w:t>
            </w:r>
            <w:r>
              <w:rPr>
                <w:rFonts w:eastAsia="仿宋_GB2312" w:hint="eastAsia"/>
                <w:kern w:val="2"/>
                <w:sz w:val="21"/>
                <w:szCs w:val="21"/>
              </w:rPr>
              <w:t>次；</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（六）每航次</w:t>
            </w:r>
            <w:proofErr w:type="gramStart"/>
            <w:r>
              <w:rPr>
                <w:rFonts w:eastAsia="仿宋_GB2312" w:hint="eastAsia"/>
                <w:kern w:val="2"/>
                <w:sz w:val="21"/>
                <w:szCs w:val="21"/>
              </w:rPr>
              <w:t>首闸需</w:t>
            </w:r>
            <w:proofErr w:type="gramEnd"/>
            <w:r>
              <w:rPr>
                <w:rFonts w:eastAsia="仿宋_GB2312" w:hint="eastAsia"/>
                <w:kern w:val="2"/>
                <w:sz w:val="21"/>
                <w:szCs w:val="21"/>
              </w:rPr>
              <w:t>核查航行手续，免除实船丈量复核；</w:t>
            </w:r>
            <w:r>
              <w:rPr>
                <w:rFonts w:eastAsia="仿宋_GB2312"/>
                <w:kern w:val="2"/>
                <w:sz w:val="21"/>
                <w:szCs w:val="21"/>
              </w:rPr>
              <w:t xml:space="preserve"> </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（七）免费享受船闸运行单位提供的相应便民服务。</w:t>
            </w:r>
          </w:p>
        </w:tc>
      </w:tr>
      <w:tr w:rsidR="00BC59C2" w:rsidTr="003A569B">
        <w:trPr>
          <w:jc w:val="center"/>
        </w:trPr>
        <w:tc>
          <w:tcPr>
            <w:tcW w:w="1566" w:type="dxa"/>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A</w:t>
            </w:r>
            <w:r>
              <w:rPr>
                <w:rFonts w:eastAsia="仿宋_GB2312" w:hint="eastAsia"/>
                <w:kern w:val="2"/>
                <w:sz w:val="21"/>
                <w:szCs w:val="21"/>
              </w:rPr>
              <w:t>级</w:t>
            </w:r>
          </w:p>
        </w:tc>
        <w:tc>
          <w:tcPr>
            <w:tcW w:w="7375" w:type="dxa"/>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（一）船舶过闸时可实行船舶吃水申报承诺制；</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（二）除专项检查、专项整治外，一定期限内原则上不再复核船舶相关信息；</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（三）享受便捷过闸各项服务；</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（四）用不低于</w:t>
            </w:r>
            <w:r>
              <w:rPr>
                <w:rFonts w:eastAsia="仿宋_GB2312"/>
                <w:kern w:val="2"/>
                <w:sz w:val="21"/>
                <w:szCs w:val="21"/>
              </w:rPr>
              <w:t>100</w:t>
            </w:r>
            <w:r>
              <w:rPr>
                <w:rFonts w:eastAsia="仿宋_GB2312" w:hint="eastAsia"/>
                <w:kern w:val="2"/>
                <w:sz w:val="21"/>
                <w:szCs w:val="21"/>
              </w:rPr>
              <w:t>信用积分可兑换一次优先过闸，且兑换后积分不低于</w:t>
            </w:r>
            <w:r>
              <w:rPr>
                <w:rFonts w:eastAsia="仿宋_GB2312"/>
                <w:kern w:val="2"/>
                <w:sz w:val="21"/>
                <w:szCs w:val="21"/>
              </w:rPr>
              <w:t>A</w:t>
            </w:r>
            <w:r>
              <w:rPr>
                <w:rFonts w:eastAsia="仿宋_GB2312" w:hint="eastAsia"/>
                <w:kern w:val="2"/>
                <w:sz w:val="21"/>
                <w:szCs w:val="21"/>
              </w:rPr>
              <w:t>级船舶，一年内最多使用</w:t>
            </w:r>
            <w:r>
              <w:rPr>
                <w:rFonts w:eastAsia="仿宋_GB2312"/>
                <w:kern w:val="2"/>
                <w:sz w:val="21"/>
                <w:szCs w:val="21"/>
              </w:rPr>
              <w:t>1</w:t>
            </w:r>
            <w:r>
              <w:rPr>
                <w:rFonts w:eastAsia="仿宋_GB2312" w:hint="eastAsia"/>
                <w:kern w:val="2"/>
                <w:sz w:val="21"/>
                <w:szCs w:val="21"/>
              </w:rPr>
              <w:t>次；</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（五）每航次</w:t>
            </w:r>
            <w:proofErr w:type="gramStart"/>
            <w:r>
              <w:rPr>
                <w:rFonts w:eastAsia="仿宋_GB2312" w:hint="eastAsia"/>
                <w:kern w:val="2"/>
                <w:sz w:val="21"/>
                <w:szCs w:val="21"/>
              </w:rPr>
              <w:t>首闸需</w:t>
            </w:r>
            <w:proofErr w:type="gramEnd"/>
            <w:r>
              <w:rPr>
                <w:rFonts w:eastAsia="仿宋_GB2312" w:hint="eastAsia"/>
                <w:kern w:val="2"/>
                <w:sz w:val="21"/>
                <w:szCs w:val="21"/>
              </w:rPr>
              <w:t>核查航行手续，免除实船丈量复核；</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（六）免费享受船闸运行单位提供的相应便民服务。</w:t>
            </w:r>
          </w:p>
        </w:tc>
      </w:tr>
      <w:tr w:rsidR="00BC59C2" w:rsidTr="003A569B">
        <w:trPr>
          <w:jc w:val="center"/>
        </w:trPr>
        <w:tc>
          <w:tcPr>
            <w:tcW w:w="1566" w:type="dxa"/>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B</w:t>
            </w:r>
            <w:r>
              <w:rPr>
                <w:rFonts w:eastAsia="仿宋_GB2312" w:hint="eastAsia"/>
                <w:kern w:val="2"/>
                <w:sz w:val="21"/>
                <w:szCs w:val="21"/>
              </w:rPr>
              <w:t>级</w:t>
            </w:r>
          </w:p>
        </w:tc>
        <w:tc>
          <w:tcPr>
            <w:tcW w:w="7375" w:type="dxa"/>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（一）船舶过闸时可实行船舶吃水申报承诺制；</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（二）享受便捷过闸各项服务；</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（三）每航次</w:t>
            </w:r>
            <w:proofErr w:type="gramStart"/>
            <w:r>
              <w:rPr>
                <w:rFonts w:eastAsia="仿宋_GB2312" w:hint="eastAsia"/>
                <w:kern w:val="2"/>
                <w:sz w:val="21"/>
                <w:szCs w:val="21"/>
              </w:rPr>
              <w:t>首闸需</w:t>
            </w:r>
            <w:proofErr w:type="gramEnd"/>
            <w:r>
              <w:rPr>
                <w:rFonts w:eastAsia="仿宋_GB2312" w:hint="eastAsia"/>
                <w:kern w:val="2"/>
                <w:sz w:val="21"/>
                <w:szCs w:val="21"/>
              </w:rPr>
              <w:t>核查航行手续，免除实船丈量复核；</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（四）免费享受船闸运行单位提供的相应便民服务。</w:t>
            </w:r>
          </w:p>
        </w:tc>
      </w:tr>
      <w:tr w:rsidR="00BC59C2" w:rsidTr="003A569B">
        <w:trPr>
          <w:jc w:val="center"/>
        </w:trPr>
        <w:tc>
          <w:tcPr>
            <w:tcW w:w="1566" w:type="dxa"/>
            <w:tcBorders>
              <w:top w:val="single" w:sz="6" w:space="0" w:color="000000"/>
              <w:left w:val="single" w:sz="12" w:space="0" w:color="000000"/>
              <w:bottom w:val="single" w:sz="6"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C</w:t>
            </w:r>
            <w:r>
              <w:rPr>
                <w:rFonts w:eastAsia="仿宋_GB2312" w:hint="eastAsia"/>
                <w:kern w:val="2"/>
                <w:sz w:val="21"/>
                <w:szCs w:val="21"/>
              </w:rPr>
              <w:t>级</w:t>
            </w:r>
          </w:p>
        </w:tc>
        <w:tc>
          <w:tcPr>
            <w:tcW w:w="7375" w:type="dxa"/>
            <w:tcBorders>
              <w:top w:val="single" w:sz="6" w:space="0" w:color="000000"/>
              <w:left w:val="single" w:sz="6" w:space="0" w:color="000000"/>
              <w:bottom w:val="single" w:sz="6" w:space="0" w:color="000000"/>
              <w:right w:val="single" w:sz="12" w:space="0" w:color="000000"/>
            </w:tcBorders>
            <w:vAlign w:val="center"/>
            <w:hideMark/>
          </w:tcPr>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（一）船舶过闸时可实行船舶吃水申报承诺制；</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（二）约谈船主；</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（三）所属船员接受诚信教育；</w:t>
            </w:r>
          </w:p>
          <w:p w:rsidR="00BC59C2" w:rsidRDefault="00BC59C2" w:rsidP="003A569B">
            <w:pPr>
              <w:autoSpaceDE/>
              <w:snapToGrid/>
              <w:spacing w:line="240" w:lineRule="auto"/>
              <w:ind w:firstLine="0"/>
              <w:rPr>
                <w:rFonts w:eastAsia="宋体"/>
                <w:kern w:val="2"/>
                <w:sz w:val="21"/>
                <w:szCs w:val="22"/>
              </w:rPr>
            </w:pPr>
            <w:r>
              <w:rPr>
                <w:rFonts w:eastAsia="仿宋_GB2312" w:hint="eastAsia"/>
                <w:kern w:val="2"/>
                <w:sz w:val="21"/>
                <w:szCs w:val="21"/>
              </w:rPr>
              <w:t>（四）每航次</w:t>
            </w:r>
            <w:proofErr w:type="gramStart"/>
            <w:r>
              <w:rPr>
                <w:rFonts w:eastAsia="仿宋_GB2312" w:hint="eastAsia"/>
                <w:kern w:val="2"/>
                <w:sz w:val="21"/>
                <w:szCs w:val="21"/>
              </w:rPr>
              <w:t>首闸需</w:t>
            </w:r>
            <w:proofErr w:type="gramEnd"/>
            <w:r>
              <w:rPr>
                <w:rFonts w:eastAsia="仿宋_GB2312" w:hint="eastAsia"/>
                <w:kern w:val="2"/>
                <w:sz w:val="21"/>
                <w:szCs w:val="21"/>
              </w:rPr>
              <w:t>核查航行手续，实船丈量复核；</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（五）三个月内不得享受便捷过闸远程登记、缴费服务，三个月后船舶等级达到升级标准可享受相应等级待遇。</w:t>
            </w:r>
          </w:p>
        </w:tc>
      </w:tr>
      <w:tr w:rsidR="00BC59C2" w:rsidTr="003A569B">
        <w:trPr>
          <w:jc w:val="center"/>
        </w:trPr>
        <w:tc>
          <w:tcPr>
            <w:tcW w:w="1566" w:type="dxa"/>
            <w:tcBorders>
              <w:top w:val="single" w:sz="6" w:space="0" w:color="000000"/>
              <w:left w:val="single" w:sz="12" w:space="0" w:color="000000"/>
              <w:bottom w:val="single" w:sz="12" w:space="0" w:color="000000"/>
              <w:right w:val="single" w:sz="6" w:space="0" w:color="000000"/>
            </w:tcBorders>
            <w:vAlign w:val="center"/>
            <w:hideMark/>
          </w:tcPr>
          <w:p w:rsidR="00BC59C2" w:rsidRDefault="00BC59C2" w:rsidP="003A569B">
            <w:pPr>
              <w:autoSpaceDE/>
              <w:snapToGrid/>
              <w:spacing w:line="240" w:lineRule="auto"/>
              <w:ind w:firstLine="0"/>
              <w:jc w:val="center"/>
              <w:textAlignment w:val="center"/>
              <w:rPr>
                <w:rFonts w:eastAsia="仿宋_GB2312"/>
                <w:kern w:val="2"/>
                <w:sz w:val="21"/>
                <w:szCs w:val="21"/>
              </w:rPr>
            </w:pPr>
            <w:r>
              <w:rPr>
                <w:rFonts w:eastAsia="仿宋_GB2312"/>
                <w:kern w:val="2"/>
                <w:sz w:val="21"/>
                <w:szCs w:val="21"/>
              </w:rPr>
              <w:t>D</w:t>
            </w:r>
            <w:r>
              <w:rPr>
                <w:rFonts w:eastAsia="仿宋_GB2312" w:hint="eastAsia"/>
                <w:kern w:val="2"/>
                <w:sz w:val="21"/>
                <w:szCs w:val="21"/>
              </w:rPr>
              <w:t>级</w:t>
            </w:r>
          </w:p>
        </w:tc>
        <w:tc>
          <w:tcPr>
            <w:tcW w:w="7375" w:type="dxa"/>
            <w:tcBorders>
              <w:top w:val="single" w:sz="6" w:space="0" w:color="000000"/>
              <w:left w:val="single" w:sz="6" w:space="0" w:color="000000"/>
              <w:bottom w:val="single" w:sz="12" w:space="0" w:color="000000"/>
              <w:right w:val="single" w:sz="12" w:space="0" w:color="000000"/>
            </w:tcBorders>
            <w:vAlign w:val="center"/>
            <w:hideMark/>
          </w:tcPr>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（一）船舶过闸时可实行船舶吃水申报承诺制；</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（二）约谈船舶所属公司法人代表、安全负责人及船主等相关人员；</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（三）船舶所属公司法人代表及船主签订承诺书，若其后一年中发生更换船主的均需重新签订承诺书；</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（四）所属船员接受诚信教育；</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（五）每航次</w:t>
            </w:r>
            <w:proofErr w:type="gramStart"/>
            <w:r>
              <w:rPr>
                <w:rFonts w:eastAsia="仿宋_GB2312" w:hint="eastAsia"/>
                <w:kern w:val="2"/>
                <w:sz w:val="21"/>
                <w:szCs w:val="21"/>
              </w:rPr>
              <w:t>首闸需</w:t>
            </w:r>
            <w:proofErr w:type="gramEnd"/>
            <w:r>
              <w:rPr>
                <w:rFonts w:eastAsia="仿宋_GB2312" w:hint="eastAsia"/>
                <w:kern w:val="2"/>
                <w:sz w:val="21"/>
                <w:szCs w:val="21"/>
              </w:rPr>
              <w:t>核查航行手续，实船丈量复核；</w:t>
            </w:r>
          </w:p>
          <w:p w:rsidR="00BC59C2" w:rsidRDefault="00BC59C2" w:rsidP="003A569B">
            <w:pPr>
              <w:autoSpaceDE/>
              <w:snapToGrid/>
              <w:spacing w:line="240" w:lineRule="auto"/>
              <w:ind w:firstLine="0"/>
              <w:rPr>
                <w:rFonts w:eastAsia="仿宋_GB2312"/>
                <w:kern w:val="2"/>
                <w:sz w:val="21"/>
                <w:szCs w:val="21"/>
              </w:rPr>
            </w:pPr>
            <w:r>
              <w:rPr>
                <w:rFonts w:eastAsia="仿宋_GB2312" w:hint="eastAsia"/>
                <w:kern w:val="2"/>
                <w:sz w:val="21"/>
                <w:szCs w:val="21"/>
              </w:rPr>
              <w:t>（六）六个月内不得享受便捷过闸远程登记、缴费服务，待船舶等级达到升级标准可享受相应等级待遇。</w:t>
            </w:r>
          </w:p>
        </w:tc>
      </w:tr>
    </w:tbl>
    <w:p w:rsidR="009B42EC" w:rsidRPr="00BC59C2" w:rsidRDefault="007947CB" w:rsidP="00BC59C2">
      <w:pPr>
        <w:ind w:firstLine="0"/>
      </w:pPr>
    </w:p>
    <w:sectPr w:rsidR="009B42EC" w:rsidRPr="00BC59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CB" w:rsidRDefault="007947CB" w:rsidP="00BC59C2">
      <w:pPr>
        <w:spacing w:line="240" w:lineRule="auto"/>
      </w:pPr>
      <w:r>
        <w:separator/>
      </w:r>
    </w:p>
  </w:endnote>
  <w:endnote w:type="continuationSeparator" w:id="0">
    <w:p w:rsidR="007947CB" w:rsidRDefault="007947CB" w:rsidP="00BC5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CB" w:rsidRDefault="007947CB" w:rsidP="00BC59C2">
      <w:pPr>
        <w:spacing w:line="240" w:lineRule="auto"/>
      </w:pPr>
      <w:r>
        <w:separator/>
      </w:r>
    </w:p>
  </w:footnote>
  <w:footnote w:type="continuationSeparator" w:id="0">
    <w:p w:rsidR="007947CB" w:rsidRDefault="007947CB" w:rsidP="00BC59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79"/>
    <w:rsid w:val="007947CB"/>
    <w:rsid w:val="008D6816"/>
    <w:rsid w:val="00A63DAC"/>
    <w:rsid w:val="00B25A01"/>
    <w:rsid w:val="00BC59C2"/>
    <w:rsid w:val="00C66779"/>
    <w:rsid w:val="00F65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C2"/>
    <w:pPr>
      <w:widowControl w:val="0"/>
      <w:autoSpaceDE w:val="0"/>
      <w:autoSpaceDN w:val="0"/>
      <w:snapToGrid w:val="0"/>
      <w:spacing w:line="590" w:lineRule="atLeast"/>
      <w:ind w:firstLine="624"/>
      <w:jc w:val="both"/>
    </w:pPr>
    <w:rPr>
      <w:rFonts w:ascii="Times New Roman" w:eastAsia="仿宋"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9C2"/>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C59C2"/>
    <w:rPr>
      <w:sz w:val="18"/>
      <w:szCs w:val="18"/>
    </w:rPr>
  </w:style>
  <w:style w:type="paragraph" w:styleId="a4">
    <w:name w:val="footer"/>
    <w:basedOn w:val="a"/>
    <w:link w:val="Char0"/>
    <w:uiPriority w:val="99"/>
    <w:unhideWhenUsed/>
    <w:rsid w:val="00BC59C2"/>
    <w:pPr>
      <w:tabs>
        <w:tab w:val="center" w:pos="4153"/>
        <w:tab w:val="right" w:pos="8306"/>
      </w:tabs>
      <w:autoSpaceDE/>
      <w:autoSpaceDN/>
      <w:spacing w:line="240" w:lineRule="auto"/>
      <w:ind w:firstLine="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C59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C2"/>
    <w:pPr>
      <w:widowControl w:val="0"/>
      <w:autoSpaceDE w:val="0"/>
      <w:autoSpaceDN w:val="0"/>
      <w:snapToGrid w:val="0"/>
      <w:spacing w:line="590" w:lineRule="atLeast"/>
      <w:ind w:firstLine="624"/>
      <w:jc w:val="both"/>
    </w:pPr>
    <w:rPr>
      <w:rFonts w:ascii="Times New Roman" w:eastAsia="仿宋"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9C2"/>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C59C2"/>
    <w:rPr>
      <w:sz w:val="18"/>
      <w:szCs w:val="18"/>
    </w:rPr>
  </w:style>
  <w:style w:type="paragraph" w:styleId="a4">
    <w:name w:val="footer"/>
    <w:basedOn w:val="a"/>
    <w:link w:val="Char0"/>
    <w:uiPriority w:val="99"/>
    <w:unhideWhenUsed/>
    <w:rsid w:val="00BC59C2"/>
    <w:pPr>
      <w:tabs>
        <w:tab w:val="center" w:pos="4153"/>
        <w:tab w:val="right" w:pos="8306"/>
      </w:tabs>
      <w:autoSpaceDE/>
      <w:autoSpaceDN/>
      <w:spacing w:line="240" w:lineRule="auto"/>
      <w:ind w:firstLine="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C59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2256</Characters>
  <Application>Microsoft Office Word</Application>
  <DocSecurity>0</DocSecurity>
  <Lines>18</Lines>
  <Paragraphs>5</Paragraphs>
  <ScaleCrop>false</ScaleCrop>
  <Company>Microsoft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仲秋</dc:creator>
  <cp:keywords/>
  <dc:description/>
  <cp:lastModifiedBy>仲秋</cp:lastModifiedBy>
  <cp:revision>3</cp:revision>
  <dcterms:created xsi:type="dcterms:W3CDTF">2021-05-11T02:55:00Z</dcterms:created>
  <dcterms:modified xsi:type="dcterms:W3CDTF">2021-05-11T02:56:00Z</dcterms:modified>
</cp:coreProperties>
</file>