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9529CA">
      <w:pPr>
        <w:rPr>
          <w:rFonts w:ascii="宋体" w:hAnsi="宋体" w:cs="宋体"/>
          <w:b/>
          <w:color w:val="auto"/>
          <w:sz w:val="36"/>
          <w:szCs w:val="36"/>
          <w:highlight w:val="none"/>
        </w:rPr>
      </w:pPr>
    </w:p>
    <w:p w14:paraId="1CABD1ED">
      <w:pPr>
        <w:autoSpaceDE w:val="0"/>
        <w:autoSpaceDN w:val="0"/>
        <w:adjustRightInd w:val="0"/>
        <w:spacing w:line="1000" w:lineRule="exact"/>
        <w:jc w:val="center"/>
        <w:rPr>
          <w:rFonts w:hint="eastAsia" w:ascii="宋体" w:hAnsi="宋体" w:eastAsia="宋体" w:cs="宋体"/>
          <w:b/>
          <w:color w:val="auto"/>
          <w:sz w:val="44"/>
          <w:szCs w:val="44"/>
          <w:highlight w:val="none"/>
          <w:lang w:eastAsia="zh-CN"/>
        </w:rPr>
      </w:pPr>
      <w:r>
        <w:rPr>
          <w:rFonts w:hint="eastAsia" w:ascii="宋体" w:hAnsi="宋体" w:cs="宋体"/>
          <w:b/>
          <w:color w:val="auto"/>
          <w:sz w:val="44"/>
          <w:szCs w:val="44"/>
          <w:highlight w:val="none"/>
          <w:lang w:eastAsia="zh-CN"/>
        </w:rPr>
        <w:t>2025年南通市农村公路涉水桥梁下部结构风险隐患排查市级抽查项目</w:t>
      </w:r>
    </w:p>
    <w:p w14:paraId="42FAF2FB">
      <w:pPr>
        <w:pStyle w:val="17"/>
        <w:rPr>
          <w:rFonts w:ascii="宋体" w:hAnsi="宋体" w:cs="宋体"/>
          <w:color w:val="auto"/>
          <w:highlight w:val="none"/>
        </w:rPr>
      </w:pPr>
    </w:p>
    <w:p w14:paraId="05AC2C92">
      <w:pPr>
        <w:pStyle w:val="17"/>
        <w:rPr>
          <w:rFonts w:ascii="宋体" w:hAnsi="宋体" w:cs="宋体"/>
          <w:color w:val="auto"/>
          <w:highlight w:val="none"/>
        </w:rPr>
      </w:pPr>
    </w:p>
    <w:p w14:paraId="6C5B0957">
      <w:pPr>
        <w:tabs>
          <w:tab w:val="left" w:pos="6300"/>
        </w:tabs>
        <w:snapToGrid w:val="0"/>
        <w:spacing w:line="300" w:lineRule="auto"/>
        <w:jc w:val="center"/>
        <w:rPr>
          <w:rFonts w:ascii="宋体" w:hAnsi="宋体" w:cs="宋体"/>
          <w:b/>
          <w:color w:val="auto"/>
          <w:w w:val="80"/>
          <w:sz w:val="96"/>
          <w:szCs w:val="96"/>
          <w:highlight w:val="none"/>
        </w:rPr>
      </w:pPr>
      <w:r>
        <w:rPr>
          <w:rFonts w:hint="eastAsia" w:ascii="宋体" w:hAnsi="宋体" w:cs="宋体"/>
          <w:b/>
          <w:color w:val="auto"/>
          <w:w w:val="80"/>
          <w:sz w:val="96"/>
          <w:szCs w:val="96"/>
          <w:highlight w:val="none"/>
        </w:rPr>
        <w:t>竞争性磋商文件</w:t>
      </w:r>
    </w:p>
    <w:p w14:paraId="4D87F24F">
      <w:pPr>
        <w:tabs>
          <w:tab w:val="left" w:pos="6300"/>
        </w:tabs>
        <w:snapToGrid w:val="0"/>
        <w:spacing w:line="300" w:lineRule="auto"/>
        <w:ind w:firstLine="3087" w:firstLineChars="1200"/>
        <w:jc w:val="both"/>
        <w:rPr>
          <w:rFonts w:hint="eastAsia" w:ascii="宋体" w:hAnsi="宋体" w:cs="宋体"/>
          <w:b/>
          <w:color w:val="auto"/>
          <w:w w:val="80"/>
          <w:sz w:val="32"/>
          <w:szCs w:val="32"/>
          <w:highlight w:val="none"/>
          <w:lang w:val="en-US" w:eastAsia="zh-CN"/>
        </w:rPr>
      </w:pPr>
      <w:r>
        <w:rPr>
          <w:rFonts w:hint="eastAsia" w:ascii="宋体" w:hAnsi="宋体" w:cs="宋体"/>
          <w:b/>
          <w:color w:val="auto"/>
          <w:w w:val="80"/>
          <w:sz w:val="32"/>
          <w:szCs w:val="32"/>
          <w:highlight w:val="none"/>
          <w:lang w:val="en-US" w:eastAsia="zh-CN"/>
        </w:rPr>
        <w:t>项目编号：2025NLSXZ</w:t>
      </w:r>
    </w:p>
    <w:p w14:paraId="36959DCD">
      <w:pPr>
        <w:tabs>
          <w:tab w:val="left" w:pos="6300"/>
        </w:tabs>
        <w:snapToGrid w:val="0"/>
        <w:spacing w:line="300" w:lineRule="auto"/>
        <w:ind w:firstLine="3087" w:firstLineChars="1200"/>
        <w:jc w:val="both"/>
        <w:rPr>
          <w:rFonts w:hint="default" w:ascii="宋体" w:hAnsi="宋体" w:eastAsia="宋体" w:cs="宋体"/>
          <w:b/>
          <w:color w:val="auto"/>
          <w:w w:val="80"/>
          <w:sz w:val="32"/>
          <w:szCs w:val="32"/>
          <w:highlight w:val="none"/>
          <w:lang w:val="en-US" w:eastAsia="zh-CN"/>
        </w:rPr>
      </w:pPr>
      <w:r>
        <w:rPr>
          <w:rFonts w:hint="eastAsia" w:ascii="宋体" w:hAnsi="宋体" w:cs="宋体"/>
          <w:b/>
          <w:color w:val="auto"/>
          <w:w w:val="80"/>
          <w:sz w:val="32"/>
          <w:szCs w:val="32"/>
          <w:highlight w:val="none"/>
        </w:rPr>
        <w:t>档案编号：</w:t>
      </w:r>
      <w:r>
        <w:rPr>
          <w:rFonts w:hint="eastAsia" w:ascii="宋体" w:hAnsi="宋体" w:cs="宋体"/>
          <w:b/>
          <w:color w:val="auto"/>
          <w:w w:val="80"/>
          <w:sz w:val="32"/>
          <w:szCs w:val="32"/>
          <w:highlight w:val="none"/>
          <w:lang w:val="en-US" w:eastAsia="zh-CN"/>
        </w:rPr>
        <w:t>20251116</w:t>
      </w:r>
    </w:p>
    <w:p w14:paraId="4784C0F7">
      <w:pPr>
        <w:tabs>
          <w:tab w:val="left" w:pos="6300"/>
        </w:tabs>
        <w:snapToGrid w:val="0"/>
        <w:spacing w:line="300" w:lineRule="auto"/>
        <w:ind w:firstLine="2830" w:firstLineChars="1100"/>
        <w:rPr>
          <w:rFonts w:ascii="宋体" w:hAnsi="宋体" w:cs="宋体"/>
          <w:b/>
          <w:snapToGrid w:val="0"/>
          <w:color w:val="auto"/>
          <w:w w:val="80"/>
          <w:kern w:val="0"/>
          <w:sz w:val="32"/>
          <w:szCs w:val="32"/>
          <w:highlight w:val="none"/>
        </w:rPr>
      </w:pPr>
    </w:p>
    <w:p w14:paraId="1C272296">
      <w:pPr>
        <w:autoSpaceDE w:val="0"/>
        <w:autoSpaceDN w:val="0"/>
        <w:adjustRightInd w:val="0"/>
        <w:spacing w:line="360" w:lineRule="auto"/>
        <w:ind w:firstLine="420"/>
        <w:jc w:val="center"/>
        <w:rPr>
          <w:rFonts w:ascii="宋体" w:hAnsi="宋体" w:cs="宋体"/>
          <w:color w:val="auto"/>
          <w:szCs w:val="21"/>
          <w:highlight w:val="none"/>
        </w:rPr>
      </w:pPr>
    </w:p>
    <w:p w14:paraId="075DEF2F">
      <w:pPr>
        <w:autoSpaceDE w:val="0"/>
        <w:autoSpaceDN w:val="0"/>
        <w:adjustRightInd w:val="0"/>
        <w:spacing w:line="360" w:lineRule="auto"/>
        <w:ind w:firstLine="420"/>
        <w:jc w:val="center"/>
        <w:rPr>
          <w:rFonts w:ascii="宋体" w:hAnsi="宋体" w:cs="宋体"/>
          <w:color w:val="auto"/>
          <w:szCs w:val="21"/>
          <w:highlight w:val="none"/>
        </w:rPr>
      </w:pPr>
    </w:p>
    <w:p w14:paraId="046A3A87">
      <w:pPr>
        <w:autoSpaceDE w:val="0"/>
        <w:autoSpaceDN w:val="0"/>
        <w:adjustRightInd w:val="0"/>
        <w:spacing w:line="360" w:lineRule="auto"/>
        <w:ind w:firstLine="420"/>
        <w:jc w:val="center"/>
        <w:rPr>
          <w:rFonts w:ascii="宋体" w:hAnsi="宋体" w:cs="宋体"/>
          <w:color w:val="auto"/>
          <w:szCs w:val="21"/>
          <w:highlight w:val="none"/>
        </w:rPr>
      </w:pPr>
    </w:p>
    <w:p w14:paraId="7A2C676B">
      <w:pPr>
        <w:autoSpaceDE w:val="0"/>
        <w:autoSpaceDN w:val="0"/>
        <w:adjustRightInd w:val="0"/>
        <w:spacing w:line="360" w:lineRule="auto"/>
        <w:ind w:firstLine="420"/>
        <w:jc w:val="center"/>
        <w:rPr>
          <w:rFonts w:ascii="宋体" w:hAnsi="宋体" w:cs="宋体"/>
          <w:color w:val="auto"/>
          <w:szCs w:val="21"/>
          <w:highlight w:val="none"/>
        </w:rPr>
      </w:pPr>
    </w:p>
    <w:p w14:paraId="3346916F">
      <w:pPr>
        <w:autoSpaceDE w:val="0"/>
        <w:autoSpaceDN w:val="0"/>
        <w:adjustRightInd w:val="0"/>
        <w:spacing w:line="360" w:lineRule="auto"/>
        <w:ind w:firstLine="420"/>
        <w:jc w:val="center"/>
        <w:rPr>
          <w:rFonts w:ascii="宋体" w:hAnsi="宋体" w:cs="宋体"/>
          <w:color w:val="auto"/>
          <w:szCs w:val="21"/>
          <w:highlight w:val="none"/>
        </w:rPr>
      </w:pPr>
    </w:p>
    <w:p w14:paraId="67C81B8C">
      <w:pPr>
        <w:autoSpaceDE w:val="0"/>
        <w:autoSpaceDN w:val="0"/>
        <w:adjustRightInd w:val="0"/>
        <w:spacing w:line="360" w:lineRule="auto"/>
        <w:ind w:firstLine="420"/>
        <w:jc w:val="center"/>
        <w:rPr>
          <w:rFonts w:ascii="宋体" w:hAnsi="宋体" w:cs="宋体"/>
          <w:color w:val="auto"/>
          <w:szCs w:val="21"/>
          <w:highlight w:val="none"/>
        </w:rPr>
      </w:pPr>
    </w:p>
    <w:p w14:paraId="18802255">
      <w:pPr>
        <w:autoSpaceDE w:val="0"/>
        <w:autoSpaceDN w:val="0"/>
        <w:adjustRightInd w:val="0"/>
        <w:spacing w:line="360" w:lineRule="auto"/>
        <w:ind w:firstLine="420"/>
        <w:jc w:val="center"/>
        <w:rPr>
          <w:rFonts w:ascii="宋体" w:hAnsi="宋体" w:cs="宋体"/>
          <w:color w:val="auto"/>
          <w:szCs w:val="21"/>
          <w:highlight w:val="none"/>
        </w:rPr>
      </w:pPr>
    </w:p>
    <w:p w14:paraId="47AF95AA">
      <w:pPr>
        <w:autoSpaceDE w:val="0"/>
        <w:autoSpaceDN w:val="0"/>
        <w:adjustRightInd w:val="0"/>
        <w:jc w:val="center"/>
        <w:rPr>
          <w:rFonts w:ascii="宋体" w:hAnsi="宋体" w:cs="宋体"/>
          <w:color w:val="auto"/>
          <w:szCs w:val="21"/>
          <w:highlight w:val="none"/>
        </w:rPr>
      </w:pPr>
    </w:p>
    <w:p w14:paraId="7ABA66A7">
      <w:pPr>
        <w:autoSpaceDE w:val="0"/>
        <w:autoSpaceDN w:val="0"/>
        <w:adjustRightInd w:val="0"/>
        <w:spacing w:line="360" w:lineRule="auto"/>
        <w:ind w:firstLine="420"/>
        <w:jc w:val="center"/>
        <w:rPr>
          <w:rFonts w:ascii="宋体" w:hAnsi="宋体" w:cs="宋体"/>
          <w:color w:val="auto"/>
          <w:szCs w:val="21"/>
          <w:highlight w:val="none"/>
        </w:rPr>
      </w:pPr>
    </w:p>
    <w:p w14:paraId="220D0DF3">
      <w:pPr>
        <w:autoSpaceDE w:val="0"/>
        <w:autoSpaceDN w:val="0"/>
        <w:adjustRightInd w:val="0"/>
        <w:spacing w:line="360" w:lineRule="auto"/>
        <w:ind w:firstLine="420"/>
        <w:jc w:val="center"/>
        <w:rPr>
          <w:rFonts w:ascii="宋体" w:hAnsi="宋体" w:cs="宋体"/>
          <w:color w:val="auto"/>
          <w:szCs w:val="21"/>
          <w:highlight w:val="none"/>
        </w:rPr>
      </w:pPr>
    </w:p>
    <w:p w14:paraId="2C27A476">
      <w:pPr>
        <w:autoSpaceDE w:val="0"/>
        <w:autoSpaceDN w:val="0"/>
        <w:adjustRightInd w:val="0"/>
        <w:spacing w:line="360" w:lineRule="auto"/>
        <w:rPr>
          <w:rFonts w:ascii="宋体" w:hAnsi="宋体" w:cs="宋体"/>
          <w:color w:val="auto"/>
          <w:szCs w:val="21"/>
          <w:highlight w:val="none"/>
        </w:rPr>
      </w:pPr>
    </w:p>
    <w:p w14:paraId="57A0D841">
      <w:pPr>
        <w:adjustRightInd w:val="0"/>
        <w:snapToGrid w:val="0"/>
        <w:spacing w:line="360" w:lineRule="auto"/>
        <w:ind w:firstLine="602" w:firstLineChars="200"/>
        <w:jc w:val="left"/>
        <w:rPr>
          <w:rFonts w:ascii="宋体" w:hAnsi="宋体" w:cs="宋体"/>
          <w:b/>
          <w:color w:val="auto"/>
          <w:sz w:val="30"/>
          <w:szCs w:val="30"/>
          <w:highlight w:val="none"/>
        </w:rPr>
      </w:pPr>
      <w:r>
        <w:rPr>
          <w:rFonts w:hint="eastAsia" w:ascii="宋体" w:hAnsi="宋体" w:cs="宋体"/>
          <w:b/>
          <w:color w:val="auto"/>
          <w:sz w:val="30"/>
          <w:szCs w:val="30"/>
          <w:highlight w:val="none"/>
        </w:rPr>
        <w:t>采   购   人：南通市公路事业发展中心</w:t>
      </w:r>
    </w:p>
    <w:p w14:paraId="571CC6FD">
      <w:pPr>
        <w:adjustRightInd w:val="0"/>
        <w:snapToGrid w:val="0"/>
        <w:spacing w:line="360" w:lineRule="auto"/>
        <w:ind w:firstLine="602" w:firstLineChars="200"/>
        <w:jc w:val="left"/>
        <w:rPr>
          <w:rFonts w:ascii="宋体" w:hAnsi="宋体" w:cs="宋体"/>
          <w:b/>
          <w:color w:val="auto"/>
          <w:sz w:val="30"/>
          <w:szCs w:val="30"/>
          <w:highlight w:val="none"/>
        </w:rPr>
      </w:pPr>
      <w:r>
        <w:rPr>
          <w:rFonts w:hint="eastAsia" w:ascii="宋体" w:hAnsi="宋体" w:cs="宋体"/>
          <w:b/>
          <w:color w:val="auto"/>
          <w:sz w:val="30"/>
          <w:szCs w:val="30"/>
          <w:highlight w:val="none"/>
        </w:rPr>
        <w:t>采购代理机构：江苏睿致诚工程咨询有限公司</w:t>
      </w:r>
    </w:p>
    <w:p w14:paraId="023EADAB">
      <w:pPr>
        <w:adjustRightInd w:val="0"/>
        <w:snapToGrid w:val="0"/>
        <w:spacing w:line="360" w:lineRule="auto"/>
        <w:ind w:firstLine="602" w:firstLineChars="200"/>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2025年</w:t>
      </w:r>
      <w:r>
        <w:rPr>
          <w:rFonts w:hint="eastAsia" w:ascii="宋体" w:hAnsi="宋体" w:cs="宋体"/>
          <w:b/>
          <w:color w:val="auto"/>
          <w:sz w:val="30"/>
          <w:szCs w:val="30"/>
          <w:highlight w:val="none"/>
          <w:lang w:val="en-US" w:eastAsia="zh-CN"/>
        </w:rPr>
        <w:t>10</w:t>
      </w:r>
      <w:r>
        <w:rPr>
          <w:rFonts w:hint="eastAsia" w:ascii="宋体" w:hAnsi="宋体" w:cs="宋体"/>
          <w:b/>
          <w:color w:val="auto"/>
          <w:sz w:val="30"/>
          <w:szCs w:val="30"/>
          <w:highlight w:val="none"/>
        </w:rPr>
        <w:t>月</w:t>
      </w:r>
    </w:p>
    <w:p w14:paraId="743EA168">
      <w:pPr>
        <w:autoSpaceDE w:val="0"/>
        <w:autoSpaceDN w:val="0"/>
        <w:adjustRightInd w:val="0"/>
        <w:spacing w:line="360" w:lineRule="auto"/>
        <w:jc w:val="center"/>
        <w:outlineLvl w:val="0"/>
        <w:rPr>
          <w:rFonts w:ascii="宋体" w:hAnsi="宋体" w:cs="宋体"/>
          <w:b/>
          <w:bCs/>
          <w:color w:val="auto"/>
          <w:sz w:val="44"/>
          <w:szCs w:val="44"/>
          <w:highlight w:val="none"/>
          <w:lang w:val="zh-CN"/>
        </w:rPr>
      </w:pPr>
      <w:r>
        <w:rPr>
          <w:rFonts w:hint="eastAsia" w:ascii="宋体" w:hAnsi="宋体" w:cs="宋体"/>
          <w:b/>
          <w:bCs/>
          <w:color w:val="auto"/>
          <w:sz w:val="44"/>
          <w:szCs w:val="44"/>
          <w:highlight w:val="none"/>
          <w:lang w:val="zh-CN"/>
        </w:rPr>
        <w:br w:type="page"/>
      </w:r>
      <w:r>
        <w:rPr>
          <w:rFonts w:hint="eastAsia" w:ascii="宋体" w:hAnsi="宋体" w:cs="宋体"/>
          <w:b/>
          <w:bCs/>
          <w:color w:val="auto"/>
          <w:sz w:val="44"/>
          <w:szCs w:val="44"/>
          <w:highlight w:val="none"/>
          <w:lang w:val="zh-CN"/>
        </w:rPr>
        <w:t>目   录</w:t>
      </w:r>
    </w:p>
    <w:p w14:paraId="45D8E3E1">
      <w:pPr>
        <w:autoSpaceDE w:val="0"/>
        <w:autoSpaceDN w:val="0"/>
        <w:adjustRightInd w:val="0"/>
        <w:spacing w:line="480" w:lineRule="auto"/>
        <w:ind w:firstLine="556"/>
        <w:rPr>
          <w:rFonts w:ascii="宋体" w:hAnsi="宋体" w:cs="宋体"/>
          <w:b/>
          <w:bCs/>
          <w:color w:val="auto"/>
          <w:sz w:val="32"/>
          <w:szCs w:val="32"/>
          <w:highlight w:val="none"/>
        </w:rPr>
      </w:pPr>
    </w:p>
    <w:p w14:paraId="5CF6BA9E">
      <w:pPr>
        <w:autoSpaceDE w:val="0"/>
        <w:autoSpaceDN w:val="0"/>
        <w:adjustRightInd w:val="0"/>
        <w:spacing w:line="480" w:lineRule="auto"/>
        <w:ind w:firstLine="556"/>
        <w:rPr>
          <w:rFonts w:ascii="宋体" w:hAnsi="宋体" w:cs="宋体"/>
          <w:b/>
          <w:bCs/>
          <w:color w:val="auto"/>
          <w:sz w:val="32"/>
          <w:szCs w:val="32"/>
          <w:highlight w:val="none"/>
        </w:rPr>
      </w:pPr>
      <w:r>
        <w:rPr>
          <w:rFonts w:hint="eastAsia" w:ascii="宋体" w:hAnsi="宋体" w:cs="宋体"/>
          <w:b/>
          <w:bCs/>
          <w:color w:val="auto"/>
          <w:sz w:val="32"/>
          <w:szCs w:val="32"/>
          <w:highlight w:val="none"/>
        </w:rPr>
        <w:t>第一部分  竞争性磋商公告</w:t>
      </w:r>
    </w:p>
    <w:p w14:paraId="5120B71D">
      <w:pPr>
        <w:autoSpaceDE w:val="0"/>
        <w:autoSpaceDN w:val="0"/>
        <w:adjustRightInd w:val="0"/>
        <w:spacing w:line="480" w:lineRule="auto"/>
        <w:ind w:firstLine="556"/>
        <w:rPr>
          <w:rFonts w:ascii="宋体" w:hAnsi="宋体" w:cs="宋体"/>
          <w:b/>
          <w:bCs/>
          <w:color w:val="auto"/>
          <w:sz w:val="32"/>
          <w:szCs w:val="32"/>
          <w:highlight w:val="none"/>
        </w:rPr>
      </w:pPr>
      <w:r>
        <w:rPr>
          <w:rFonts w:hint="eastAsia" w:ascii="宋体" w:hAnsi="宋体" w:cs="宋体"/>
          <w:b/>
          <w:bCs/>
          <w:color w:val="auto"/>
          <w:sz w:val="32"/>
          <w:szCs w:val="32"/>
          <w:highlight w:val="none"/>
        </w:rPr>
        <w:t>第二部分  磋商须知</w:t>
      </w:r>
    </w:p>
    <w:p w14:paraId="61CFB728">
      <w:pPr>
        <w:autoSpaceDE w:val="0"/>
        <w:autoSpaceDN w:val="0"/>
        <w:adjustRightInd w:val="0"/>
        <w:spacing w:line="480" w:lineRule="auto"/>
        <w:ind w:firstLine="556"/>
        <w:rPr>
          <w:rFonts w:ascii="宋体" w:hAnsi="宋体" w:cs="宋体"/>
          <w:b/>
          <w:bCs/>
          <w:color w:val="auto"/>
          <w:sz w:val="32"/>
          <w:szCs w:val="32"/>
          <w:highlight w:val="none"/>
        </w:rPr>
      </w:pPr>
      <w:r>
        <w:rPr>
          <w:rFonts w:hint="eastAsia" w:ascii="宋体" w:hAnsi="宋体" w:cs="宋体"/>
          <w:b/>
          <w:bCs/>
          <w:color w:val="auto"/>
          <w:sz w:val="32"/>
          <w:szCs w:val="32"/>
          <w:highlight w:val="none"/>
        </w:rPr>
        <w:t>第三部分  项目需求</w:t>
      </w:r>
    </w:p>
    <w:p w14:paraId="7D7C8609">
      <w:pPr>
        <w:autoSpaceDE w:val="0"/>
        <w:autoSpaceDN w:val="0"/>
        <w:adjustRightInd w:val="0"/>
        <w:spacing w:line="480" w:lineRule="auto"/>
        <w:ind w:firstLine="556"/>
        <w:rPr>
          <w:rFonts w:ascii="宋体" w:hAnsi="宋体" w:cs="宋体"/>
          <w:b/>
          <w:bCs/>
          <w:color w:val="auto"/>
          <w:sz w:val="32"/>
          <w:szCs w:val="32"/>
          <w:highlight w:val="none"/>
        </w:rPr>
      </w:pPr>
      <w:r>
        <w:rPr>
          <w:rFonts w:hint="eastAsia" w:ascii="宋体" w:hAnsi="宋体" w:cs="宋体"/>
          <w:b/>
          <w:bCs/>
          <w:color w:val="auto"/>
          <w:sz w:val="32"/>
          <w:szCs w:val="32"/>
          <w:highlight w:val="none"/>
        </w:rPr>
        <w:t>第四部分  磋商程序和内容</w:t>
      </w:r>
    </w:p>
    <w:p w14:paraId="01884277">
      <w:pPr>
        <w:autoSpaceDE w:val="0"/>
        <w:autoSpaceDN w:val="0"/>
        <w:adjustRightInd w:val="0"/>
        <w:spacing w:line="480" w:lineRule="auto"/>
        <w:ind w:firstLine="556"/>
        <w:rPr>
          <w:rFonts w:ascii="宋体" w:hAnsi="宋体" w:cs="宋体"/>
          <w:b/>
          <w:bCs/>
          <w:color w:val="auto"/>
          <w:sz w:val="32"/>
          <w:szCs w:val="32"/>
          <w:highlight w:val="none"/>
        </w:rPr>
      </w:pPr>
      <w:r>
        <w:rPr>
          <w:rFonts w:hint="eastAsia" w:ascii="宋体" w:hAnsi="宋体" w:cs="宋体"/>
          <w:b/>
          <w:bCs/>
          <w:color w:val="auto"/>
          <w:sz w:val="32"/>
          <w:szCs w:val="32"/>
          <w:highlight w:val="none"/>
        </w:rPr>
        <w:t>第五部分  合同签订与验收付款</w:t>
      </w:r>
    </w:p>
    <w:p w14:paraId="330CC46A">
      <w:pPr>
        <w:autoSpaceDE w:val="0"/>
        <w:autoSpaceDN w:val="0"/>
        <w:adjustRightInd w:val="0"/>
        <w:spacing w:line="480" w:lineRule="auto"/>
        <w:ind w:firstLine="556"/>
        <w:rPr>
          <w:rFonts w:ascii="宋体" w:hAnsi="宋体" w:cs="宋体"/>
          <w:b/>
          <w:bCs/>
          <w:color w:val="auto"/>
          <w:sz w:val="32"/>
          <w:szCs w:val="32"/>
          <w:highlight w:val="none"/>
        </w:rPr>
      </w:pPr>
      <w:r>
        <w:rPr>
          <w:rFonts w:hint="eastAsia" w:ascii="宋体" w:hAnsi="宋体" w:cs="宋体"/>
          <w:b/>
          <w:bCs/>
          <w:color w:val="auto"/>
          <w:sz w:val="32"/>
          <w:szCs w:val="32"/>
          <w:highlight w:val="none"/>
        </w:rPr>
        <w:t>第六部分  质疑提出和处理</w:t>
      </w:r>
    </w:p>
    <w:p w14:paraId="48E188C5">
      <w:pPr>
        <w:autoSpaceDE w:val="0"/>
        <w:autoSpaceDN w:val="0"/>
        <w:adjustRightInd w:val="0"/>
        <w:spacing w:line="480" w:lineRule="auto"/>
        <w:ind w:firstLine="556"/>
        <w:rPr>
          <w:rFonts w:ascii="宋体" w:hAnsi="宋体" w:cs="宋体"/>
          <w:b/>
          <w:bCs/>
          <w:color w:val="auto"/>
          <w:sz w:val="32"/>
          <w:szCs w:val="32"/>
          <w:highlight w:val="none"/>
        </w:rPr>
      </w:pPr>
      <w:r>
        <w:rPr>
          <w:rFonts w:hint="eastAsia" w:ascii="宋体" w:hAnsi="宋体" w:cs="宋体"/>
          <w:b/>
          <w:bCs/>
          <w:color w:val="auto"/>
          <w:sz w:val="32"/>
          <w:szCs w:val="32"/>
          <w:highlight w:val="none"/>
        </w:rPr>
        <w:t>第七部分  响应文件组成</w:t>
      </w:r>
    </w:p>
    <w:p w14:paraId="7A603905">
      <w:pPr>
        <w:tabs>
          <w:tab w:val="left" w:pos="7740"/>
        </w:tabs>
        <w:spacing w:line="500" w:lineRule="exact"/>
        <w:rPr>
          <w:rFonts w:ascii="宋体" w:hAnsi="宋体" w:cs="宋体"/>
          <w:b/>
          <w:color w:val="auto"/>
          <w:spacing w:val="2"/>
          <w:sz w:val="32"/>
          <w:szCs w:val="32"/>
          <w:highlight w:val="none"/>
        </w:rPr>
      </w:pPr>
    </w:p>
    <w:p w14:paraId="0CE77F72">
      <w:pPr>
        <w:autoSpaceDE w:val="0"/>
        <w:autoSpaceDN w:val="0"/>
        <w:adjustRightInd w:val="0"/>
        <w:spacing w:line="540" w:lineRule="exact"/>
        <w:jc w:val="center"/>
        <w:rPr>
          <w:rFonts w:ascii="宋体" w:hAnsi="宋体" w:cs="宋体"/>
          <w:b/>
          <w:bCs/>
          <w:color w:val="auto"/>
          <w:sz w:val="36"/>
          <w:szCs w:val="36"/>
          <w:highlight w:val="none"/>
          <w:lang w:val="zh-CN"/>
        </w:rPr>
      </w:pPr>
    </w:p>
    <w:p w14:paraId="7EB15FC8">
      <w:pPr>
        <w:autoSpaceDE w:val="0"/>
        <w:autoSpaceDN w:val="0"/>
        <w:adjustRightInd w:val="0"/>
        <w:spacing w:line="540" w:lineRule="exact"/>
        <w:rPr>
          <w:rFonts w:ascii="宋体" w:hAnsi="宋体" w:cs="宋体"/>
          <w:b/>
          <w:bCs/>
          <w:color w:val="auto"/>
          <w:sz w:val="36"/>
          <w:szCs w:val="36"/>
          <w:highlight w:val="none"/>
          <w:lang w:val="zh-CN"/>
        </w:rPr>
      </w:pPr>
    </w:p>
    <w:p w14:paraId="76BFA547">
      <w:pPr>
        <w:autoSpaceDE w:val="0"/>
        <w:autoSpaceDN w:val="0"/>
        <w:adjustRightInd w:val="0"/>
        <w:spacing w:line="540" w:lineRule="exact"/>
        <w:jc w:val="center"/>
        <w:rPr>
          <w:rFonts w:ascii="宋体" w:hAnsi="宋体" w:cs="宋体"/>
          <w:b/>
          <w:bCs/>
          <w:color w:val="auto"/>
          <w:sz w:val="36"/>
          <w:szCs w:val="36"/>
          <w:highlight w:val="none"/>
          <w:lang w:val="zh-CN"/>
        </w:rPr>
      </w:pPr>
    </w:p>
    <w:p w14:paraId="7F345DE2">
      <w:pPr>
        <w:autoSpaceDE w:val="0"/>
        <w:autoSpaceDN w:val="0"/>
        <w:adjustRightInd w:val="0"/>
        <w:spacing w:line="540" w:lineRule="exact"/>
        <w:jc w:val="center"/>
        <w:rPr>
          <w:rFonts w:ascii="宋体" w:hAnsi="宋体" w:cs="宋体"/>
          <w:b/>
          <w:bCs/>
          <w:color w:val="auto"/>
          <w:sz w:val="36"/>
          <w:szCs w:val="36"/>
          <w:highlight w:val="none"/>
          <w:lang w:val="zh-CN"/>
        </w:rPr>
      </w:pPr>
    </w:p>
    <w:p w14:paraId="0B7B5570">
      <w:pPr>
        <w:autoSpaceDE w:val="0"/>
        <w:autoSpaceDN w:val="0"/>
        <w:adjustRightInd w:val="0"/>
        <w:spacing w:line="540" w:lineRule="exact"/>
        <w:jc w:val="center"/>
        <w:rPr>
          <w:rFonts w:ascii="宋体" w:hAnsi="宋体" w:cs="宋体"/>
          <w:b/>
          <w:bCs/>
          <w:color w:val="auto"/>
          <w:sz w:val="36"/>
          <w:szCs w:val="36"/>
          <w:highlight w:val="none"/>
          <w:lang w:val="zh-CN"/>
        </w:rPr>
      </w:pPr>
    </w:p>
    <w:p w14:paraId="266007DB">
      <w:pPr>
        <w:autoSpaceDE w:val="0"/>
        <w:autoSpaceDN w:val="0"/>
        <w:adjustRightInd w:val="0"/>
        <w:spacing w:line="540" w:lineRule="exact"/>
        <w:jc w:val="center"/>
        <w:rPr>
          <w:rFonts w:ascii="宋体" w:hAnsi="宋体" w:cs="宋体"/>
          <w:b/>
          <w:bCs/>
          <w:color w:val="auto"/>
          <w:sz w:val="36"/>
          <w:szCs w:val="36"/>
          <w:highlight w:val="none"/>
          <w:lang w:val="zh-CN"/>
        </w:rPr>
      </w:pPr>
    </w:p>
    <w:p w14:paraId="5F5D402A">
      <w:pPr>
        <w:autoSpaceDE w:val="0"/>
        <w:autoSpaceDN w:val="0"/>
        <w:adjustRightInd w:val="0"/>
        <w:spacing w:line="540" w:lineRule="exact"/>
        <w:rPr>
          <w:rFonts w:ascii="宋体" w:hAnsi="宋体" w:cs="宋体"/>
          <w:b/>
          <w:bCs/>
          <w:color w:val="auto"/>
          <w:sz w:val="36"/>
          <w:szCs w:val="36"/>
          <w:highlight w:val="none"/>
          <w:lang w:val="zh-CN"/>
        </w:rPr>
      </w:pPr>
    </w:p>
    <w:p w14:paraId="0EE00D08">
      <w:pPr>
        <w:autoSpaceDE w:val="0"/>
        <w:autoSpaceDN w:val="0"/>
        <w:adjustRightInd w:val="0"/>
        <w:snapToGrid w:val="0"/>
        <w:spacing w:line="300" w:lineRule="auto"/>
        <w:jc w:val="center"/>
        <w:outlineLvl w:val="0"/>
        <w:rPr>
          <w:rFonts w:ascii="宋体" w:hAnsi="宋体" w:cs="宋体"/>
          <w:b/>
          <w:bCs/>
          <w:color w:val="auto"/>
          <w:sz w:val="36"/>
          <w:szCs w:val="36"/>
          <w:highlight w:val="none"/>
          <w:lang w:val="zh-CN"/>
        </w:rPr>
      </w:pPr>
      <w:r>
        <w:rPr>
          <w:rFonts w:hint="eastAsia" w:ascii="宋体" w:hAnsi="宋体" w:cs="宋体"/>
          <w:b/>
          <w:bCs/>
          <w:color w:val="auto"/>
          <w:sz w:val="36"/>
          <w:szCs w:val="36"/>
          <w:highlight w:val="none"/>
          <w:lang w:val="zh-CN"/>
        </w:rPr>
        <w:br w:type="page"/>
      </w:r>
      <w:r>
        <w:rPr>
          <w:rFonts w:hint="eastAsia" w:ascii="宋体" w:hAnsi="宋体" w:cs="宋体"/>
          <w:b/>
          <w:bCs/>
          <w:color w:val="auto"/>
          <w:sz w:val="36"/>
          <w:szCs w:val="36"/>
          <w:highlight w:val="none"/>
          <w:lang w:val="zh-CN"/>
        </w:rPr>
        <w:t xml:space="preserve">第一部分  </w:t>
      </w:r>
      <w:bookmarkStart w:id="0" w:name="_Hlk156306618"/>
      <w:r>
        <w:rPr>
          <w:rFonts w:hint="eastAsia" w:ascii="宋体" w:hAnsi="宋体" w:cs="宋体"/>
          <w:b/>
          <w:bCs/>
          <w:color w:val="auto"/>
          <w:sz w:val="36"/>
          <w:szCs w:val="36"/>
          <w:highlight w:val="none"/>
          <w:lang w:val="zh-CN"/>
        </w:rPr>
        <w:t>竞争性磋商公告</w:t>
      </w:r>
    </w:p>
    <w:p w14:paraId="356A4314">
      <w:pPr>
        <w:keepNext w:val="0"/>
        <w:keepLines w:val="0"/>
        <w:pageBreakBefore w:val="0"/>
        <w:topLinePunct w:val="0"/>
        <w:bidi w:val="0"/>
        <w:adjustRightInd w:val="0"/>
        <w:snapToGrid w:val="0"/>
        <w:spacing w:line="360" w:lineRule="auto"/>
        <w:ind w:firstLine="482" w:firstLineChars="200"/>
        <w:textAlignment w:val="auto"/>
        <w:rPr>
          <w:rFonts w:ascii="宋体" w:hAnsi="宋体" w:cs="宋体"/>
          <w:b/>
          <w:color w:val="auto"/>
          <w:sz w:val="24"/>
          <w:highlight w:val="none"/>
        </w:rPr>
      </w:pPr>
      <w:r>
        <w:rPr>
          <w:rFonts w:hint="eastAsia" w:ascii="宋体" w:hAnsi="宋体" w:cs="宋体"/>
          <w:b/>
          <w:color w:val="auto"/>
          <w:sz w:val="24"/>
          <w:highlight w:val="none"/>
        </w:rPr>
        <w:t>一、项目基本情况</w:t>
      </w:r>
    </w:p>
    <w:p w14:paraId="60F89A2D">
      <w:pPr>
        <w:keepNext w:val="0"/>
        <w:keepLines w:val="0"/>
        <w:pageBreakBefore w:val="0"/>
        <w:topLinePunct w:val="0"/>
        <w:bidi w:val="0"/>
        <w:adjustRightInd w:val="0"/>
        <w:snapToGrid w:val="0"/>
        <w:spacing w:line="360" w:lineRule="auto"/>
        <w:ind w:firstLine="480" w:firstLineChars="200"/>
        <w:textAlignment w:val="auto"/>
        <w:rPr>
          <w:rFonts w:hint="eastAsia" w:ascii="宋体" w:hAnsi="宋体" w:cs="宋体"/>
          <w:color w:val="auto"/>
          <w:sz w:val="24"/>
          <w:highlight w:val="none"/>
          <w:lang w:eastAsia="zh-CN"/>
        </w:rPr>
      </w:pPr>
      <w:r>
        <w:rPr>
          <w:rFonts w:hint="eastAsia" w:ascii="宋体" w:hAnsi="宋体" w:cs="宋体"/>
          <w:color w:val="auto"/>
          <w:sz w:val="24"/>
          <w:highlight w:val="none"/>
        </w:rPr>
        <w:t>1.项目</w:t>
      </w:r>
      <w:r>
        <w:rPr>
          <w:rFonts w:hint="eastAsia" w:ascii="宋体" w:hAnsi="宋体" w:cs="宋体"/>
          <w:color w:val="auto"/>
          <w:sz w:val="24"/>
          <w:highlight w:val="none"/>
          <w:lang w:eastAsia="zh-CN"/>
        </w:rPr>
        <w:t>编号：2025NLSXZ</w:t>
      </w:r>
    </w:p>
    <w:p w14:paraId="427437DB">
      <w:pPr>
        <w:keepNext w:val="0"/>
        <w:keepLines w:val="0"/>
        <w:pageBreakBefore w:val="0"/>
        <w:topLinePunct w:val="0"/>
        <w:bidi w:val="0"/>
        <w:adjustRightInd w:val="0"/>
        <w:snapToGrid w:val="0"/>
        <w:spacing w:line="360" w:lineRule="auto"/>
        <w:ind w:firstLine="480" w:firstLineChars="200"/>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2.项目名称：</w:t>
      </w:r>
      <w:r>
        <w:rPr>
          <w:rFonts w:hint="eastAsia" w:ascii="宋体" w:hAnsi="宋体" w:cs="宋体"/>
          <w:color w:val="auto"/>
          <w:sz w:val="24"/>
          <w:highlight w:val="none"/>
          <w:lang w:eastAsia="zh-CN"/>
        </w:rPr>
        <w:t>2025年南通市农村公路涉水桥梁下部结构风险隐患排查市级抽查项目</w:t>
      </w:r>
    </w:p>
    <w:p w14:paraId="1FE19460">
      <w:pPr>
        <w:keepNext w:val="0"/>
        <w:keepLines w:val="0"/>
        <w:pageBreakBefore w:val="0"/>
        <w:topLinePunct w:val="0"/>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3.项目类型：服务</w:t>
      </w:r>
    </w:p>
    <w:p w14:paraId="0118130B">
      <w:pPr>
        <w:keepNext w:val="0"/>
        <w:keepLines w:val="0"/>
        <w:pageBreakBefore w:val="0"/>
        <w:topLinePunct w:val="0"/>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4.所属行业：其他未列明行业</w:t>
      </w:r>
    </w:p>
    <w:p w14:paraId="18B9B0DB">
      <w:pPr>
        <w:keepNext w:val="0"/>
        <w:keepLines w:val="0"/>
        <w:pageBreakBefore w:val="0"/>
        <w:topLinePunct w:val="0"/>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5.预算金额：人民币</w:t>
      </w:r>
      <w:r>
        <w:rPr>
          <w:rFonts w:hint="eastAsia" w:ascii="宋体" w:hAnsi="宋体" w:cs="宋体"/>
          <w:color w:val="auto"/>
          <w:sz w:val="24"/>
          <w:highlight w:val="none"/>
          <w:lang w:val="en-US" w:eastAsia="zh-CN"/>
        </w:rPr>
        <w:t>肆拾伍万柒仟元整</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457000</w:t>
      </w:r>
      <w:r>
        <w:rPr>
          <w:rFonts w:hint="eastAsia" w:ascii="宋体" w:hAnsi="宋体" w:cs="宋体"/>
          <w:color w:val="auto"/>
          <w:sz w:val="24"/>
          <w:highlight w:val="none"/>
        </w:rPr>
        <w:t>）</w:t>
      </w:r>
    </w:p>
    <w:p w14:paraId="26F39804">
      <w:pPr>
        <w:keepNext w:val="0"/>
        <w:keepLines w:val="0"/>
        <w:pageBreakBefore w:val="0"/>
        <w:topLinePunct w:val="0"/>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最高投标限价为人民币</w:t>
      </w:r>
      <w:r>
        <w:rPr>
          <w:rFonts w:hint="eastAsia" w:ascii="宋体" w:hAnsi="宋体" w:cs="宋体"/>
          <w:color w:val="auto"/>
          <w:sz w:val="24"/>
          <w:highlight w:val="none"/>
          <w:lang w:val="en-US" w:eastAsia="zh-CN"/>
        </w:rPr>
        <w:t>肆拾伍万柒仟元整</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457000</w:t>
      </w:r>
      <w:r>
        <w:rPr>
          <w:rFonts w:hint="eastAsia" w:ascii="宋体" w:hAnsi="宋体" w:cs="宋体"/>
          <w:color w:val="auto"/>
          <w:sz w:val="24"/>
          <w:highlight w:val="none"/>
        </w:rPr>
        <w:t>）</w:t>
      </w:r>
    </w:p>
    <w:p w14:paraId="2BBDDC3A">
      <w:pPr>
        <w:keepNext w:val="0"/>
        <w:keepLines w:val="0"/>
        <w:pageBreakBefore w:val="0"/>
        <w:topLinePunct w:val="0"/>
        <w:bidi w:val="0"/>
        <w:adjustRightInd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6.采购需求：</w:t>
      </w:r>
      <w:r>
        <w:rPr>
          <w:rFonts w:hint="eastAsia" w:ascii="宋体" w:hAnsi="宋体" w:cs="宋体"/>
          <w:color w:val="auto"/>
          <w:sz w:val="24"/>
          <w:highlight w:val="none"/>
          <w:lang w:val="en-US" w:eastAsia="zh-CN"/>
        </w:rPr>
        <w:t>本项目主要为对南通市域范围内农村公路31座涉水桥梁的下部结构152根桩和其中4座桥的桥墩（台）开展风险隐患检查工作，形成病害及风险隐患记录，分析并评定桥梁下部结构技术状况，并提出养护建议（含日常养护、维修、加固），并核查县级农村公路涉水桥梁下部结构风险隐患排查报告完整性和符合性。具体</w:t>
      </w:r>
      <w:r>
        <w:rPr>
          <w:rFonts w:hint="eastAsia" w:ascii="宋体" w:hAnsi="宋体" w:cs="宋体"/>
          <w:color w:val="auto"/>
          <w:sz w:val="24"/>
          <w:highlight w:val="none"/>
        </w:rPr>
        <w:t>详见《第三部分项目需求》，请仔细研究。</w:t>
      </w:r>
    </w:p>
    <w:p w14:paraId="00B83890">
      <w:pPr>
        <w:keepNext w:val="0"/>
        <w:keepLines w:val="0"/>
        <w:pageBreakBefore w:val="0"/>
        <w:topLinePunct w:val="0"/>
        <w:bidi w:val="0"/>
        <w:adjustRightInd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合同履行期限：计划2025年11月开工，2025年12月20日前提交成果报告并通过采购人审查。</w:t>
      </w:r>
    </w:p>
    <w:p w14:paraId="4F62FF1B">
      <w:pPr>
        <w:keepNext w:val="0"/>
        <w:keepLines w:val="0"/>
        <w:pageBreakBefore w:val="0"/>
        <w:topLinePunct w:val="0"/>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8.本项目不接受联合体磋商。</w:t>
      </w:r>
    </w:p>
    <w:p w14:paraId="49B76DCA">
      <w:pPr>
        <w:keepNext w:val="0"/>
        <w:keepLines w:val="0"/>
        <w:pageBreakBefore w:val="0"/>
        <w:topLinePunct w:val="0"/>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9.</w:t>
      </w:r>
      <w:r>
        <w:rPr>
          <w:rFonts w:hint="eastAsia" w:cs="宋体" w:asciiTheme="minorEastAsia" w:hAnsiTheme="minorEastAsia" w:eastAsiaTheme="minorEastAsia"/>
          <w:color w:val="auto"/>
          <w:sz w:val="24"/>
          <w:highlight w:val="none"/>
        </w:rPr>
        <w:t>本项目</w:t>
      </w:r>
      <w:r>
        <w:rPr>
          <w:rFonts w:hint="eastAsia" w:cs="宋体" w:asciiTheme="minorEastAsia" w:hAnsiTheme="minorEastAsia" w:eastAsiaTheme="minorEastAsia"/>
          <w:color w:val="auto"/>
          <w:sz w:val="24"/>
          <w:highlight w:val="none"/>
          <w:lang w:val="en-US" w:eastAsia="zh-CN"/>
        </w:rPr>
        <w:t>不允许</w:t>
      </w:r>
      <w:r>
        <w:rPr>
          <w:rFonts w:hint="eastAsia" w:cs="宋体" w:asciiTheme="minorEastAsia" w:hAnsiTheme="minorEastAsia" w:eastAsiaTheme="minorEastAsia"/>
          <w:color w:val="auto"/>
          <w:sz w:val="24"/>
          <w:highlight w:val="none"/>
        </w:rPr>
        <w:t>分包。</w:t>
      </w:r>
    </w:p>
    <w:p w14:paraId="2523C3BB">
      <w:pPr>
        <w:keepNext w:val="0"/>
        <w:keepLines w:val="0"/>
        <w:pageBreakBefore w:val="0"/>
        <w:topLinePunct w:val="0"/>
        <w:bidi w:val="0"/>
        <w:adjustRightInd w:val="0"/>
        <w:snapToGrid w:val="0"/>
        <w:spacing w:line="360" w:lineRule="auto"/>
        <w:ind w:firstLine="482" w:firstLineChars="200"/>
        <w:textAlignment w:val="auto"/>
        <w:rPr>
          <w:rFonts w:ascii="宋体" w:hAnsi="宋体" w:cs="宋体"/>
          <w:b/>
          <w:color w:val="auto"/>
          <w:sz w:val="24"/>
          <w:highlight w:val="none"/>
        </w:rPr>
      </w:pPr>
      <w:r>
        <w:rPr>
          <w:rFonts w:hint="eastAsia" w:ascii="宋体" w:hAnsi="宋体" w:cs="宋体"/>
          <w:b/>
          <w:color w:val="auto"/>
          <w:sz w:val="24"/>
          <w:highlight w:val="none"/>
        </w:rPr>
        <w:t>二、供应商资格要求</w:t>
      </w:r>
    </w:p>
    <w:p w14:paraId="739C8A67">
      <w:pPr>
        <w:keepNext w:val="0"/>
        <w:keepLines w:val="0"/>
        <w:pageBreakBefore w:val="0"/>
        <w:topLinePunct w:val="0"/>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1.符合《中华人民共和国政府采购法》第二十二条规定。</w:t>
      </w:r>
    </w:p>
    <w:p w14:paraId="5124F58C">
      <w:pPr>
        <w:keepNext w:val="0"/>
        <w:keepLines w:val="0"/>
        <w:pageBreakBefore w:val="0"/>
        <w:topLinePunct w:val="0"/>
        <w:bidi w:val="0"/>
        <w:adjustRightInd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2.落实政府采购政策需满足的资格要求：本项目</w:t>
      </w:r>
      <w:r>
        <w:rPr>
          <w:rFonts w:hint="eastAsia" w:ascii="宋体" w:hAnsi="宋体" w:cs="宋体"/>
          <w:color w:val="auto"/>
          <w:sz w:val="24"/>
          <w:highlight w:val="none"/>
          <w:lang w:val="en-US" w:eastAsia="zh-CN"/>
        </w:rPr>
        <w:t>不</w:t>
      </w:r>
      <w:r>
        <w:rPr>
          <w:rFonts w:hint="eastAsia" w:ascii="宋体" w:hAnsi="宋体" w:cs="宋体"/>
          <w:color w:val="auto"/>
          <w:sz w:val="24"/>
          <w:highlight w:val="none"/>
        </w:rPr>
        <w:t>专门面向中小微企业采购。</w:t>
      </w:r>
    </w:p>
    <w:p w14:paraId="0221ED0E">
      <w:pPr>
        <w:keepNext w:val="0"/>
        <w:keepLines w:val="0"/>
        <w:pageBreakBefore w:val="0"/>
        <w:topLinePunct w:val="0"/>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3.本项目的特定资格要求：</w:t>
      </w:r>
    </w:p>
    <w:p w14:paraId="49CBE25A">
      <w:pPr>
        <w:keepNext w:val="0"/>
        <w:keepLines w:val="0"/>
        <w:pageBreakBefore w:val="0"/>
        <w:topLinePunct w:val="0"/>
        <w:bidi w:val="0"/>
        <w:adjustRightInd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w:t>
      </w:r>
      <w:r>
        <w:rPr>
          <w:rFonts w:hint="eastAsia" w:ascii="宋体" w:hAnsi="宋体" w:cs="宋体"/>
          <w:color w:val="auto"/>
          <w:sz w:val="24"/>
          <w:highlight w:val="none"/>
        </w:rPr>
        <w:t>资质要求：供应商具有有效的交通运输部门颁发的公路工程试验检测综合甲级资质或公路工程试验检测-甲级资质或公路工程桥梁隧道工程专项检测资质，并具有有效的省级或以上主管部门颁发的计量认证证书（或资质认定证书）。</w:t>
      </w:r>
    </w:p>
    <w:p w14:paraId="7AB639FB">
      <w:pPr>
        <w:keepNext w:val="0"/>
        <w:keepLines w:val="0"/>
        <w:pageBreakBefore w:val="0"/>
        <w:topLinePunct w:val="0"/>
        <w:bidi w:val="0"/>
        <w:adjustRightInd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w:t>
      </w:r>
      <w:r>
        <w:rPr>
          <w:rFonts w:hint="eastAsia" w:ascii="宋体" w:hAnsi="宋体" w:cs="宋体"/>
          <w:color w:val="auto"/>
          <w:sz w:val="24"/>
          <w:highlight w:val="none"/>
        </w:rPr>
        <w:t>项目负责人要求：项目负责人具有交通运输部公路工程试验检测师（或试验检测工程师）资格（桥梁或桥梁隧道工程专业）。</w:t>
      </w:r>
    </w:p>
    <w:p w14:paraId="412D5C45">
      <w:pPr>
        <w:keepNext w:val="0"/>
        <w:keepLines w:val="0"/>
        <w:pageBreakBefore w:val="0"/>
        <w:topLinePunct w:val="0"/>
        <w:bidi w:val="0"/>
        <w:adjustRightInd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lang w:eastAsia="zh-CN"/>
        </w:rPr>
        <w:t>）</w:t>
      </w:r>
      <w:r>
        <w:rPr>
          <w:rFonts w:hint="eastAsia" w:ascii="宋体" w:hAnsi="宋体" w:cs="宋体"/>
          <w:color w:val="auto"/>
          <w:sz w:val="24"/>
          <w:highlight w:val="none"/>
        </w:rPr>
        <w:t>拟投入本项目的其他人员（除项目负责人外）不少于3名，且均需具有交通运输部公路工程试验检测师（或试验检测工程师）资格（桥梁或桥梁隧道工程专业）。</w:t>
      </w:r>
    </w:p>
    <w:p w14:paraId="13C0C54D">
      <w:pPr>
        <w:keepNext w:val="0"/>
        <w:keepLines w:val="0"/>
        <w:pageBreakBefore w:val="0"/>
        <w:topLinePunct w:val="0"/>
        <w:bidi w:val="0"/>
        <w:adjustRightInd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lang w:eastAsia="zh-CN"/>
        </w:rPr>
        <w:t>）</w:t>
      </w:r>
      <w:r>
        <w:rPr>
          <w:rFonts w:hint="eastAsia" w:ascii="宋体" w:hAnsi="宋体" w:cs="宋体"/>
          <w:color w:val="auto"/>
          <w:sz w:val="24"/>
          <w:highlight w:val="none"/>
        </w:rPr>
        <w:t>投标供应商拟投入本项目的项目负责人及其他人员均须为投标供应商自有员工，出具投标供应商为其缴纳的近3个月</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2025年8月至2025年10月</w:t>
      </w:r>
      <w:r>
        <w:rPr>
          <w:rFonts w:hint="eastAsia" w:ascii="宋体" w:hAnsi="宋体" w:cs="宋体"/>
          <w:color w:val="auto"/>
          <w:sz w:val="24"/>
          <w:highlight w:val="none"/>
          <w:lang w:eastAsia="zh-CN"/>
        </w:rPr>
        <w:t>）</w:t>
      </w:r>
      <w:r>
        <w:rPr>
          <w:rFonts w:hint="eastAsia" w:ascii="宋体" w:hAnsi="宋体" w:cs="宋体"/>
          <w:color w:val="auto"/>
          <w:sz w:val="24"/>
          <w:highlight w:val="none"/>
        </w:rPr>
        <w:t>内任意一个月社保缴费证明，社保缴纳证明材料需含缴费起止时间、缴费单位、缴费人员姓名并由社保机构加盖缴费证明专用章，社保机构官网上打印件与线下的盖章件具有同等效力，缴费单位须与投标供应商名称一致（投标供应商下属不具备独立法人资格的分支机构缴纳的社保视为本单位）。</w:t>
      </w:r>
    </w:p>
    <w:p w14:paraId="202DBD9E">
      <w:pPr>
        <w:keepNext w:val="0"/>
        <w:keepLines w:val="0"/>
        <w:pageBreakBefore w:val="0"/>
        <w:topLinePunct w:val="0"/>
        <w:bidi w:val="0"/>
        <w:adjustRightInd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信誉要求：响应文件递交截止日，供应商未被“信用中国”网站（www.creditchina.gov.cn）列入失信被执行人、重大税收违法失信主体，未被国家企业信用信息公示系统（http://www.gsxt.gov.cn/）列入严重违法失信企业名单，未被“中国政府采购网”（http://www.ccgp.gov.cn/）列入政府采购严重失信行为记录名单（评审时以现场网络截图为准，响应文件无需提供证明）</w:t>
      </w:r>
    </w:p>
    <w:p w14:paraId="45C23310">
      <w:pPr>
        <w:keepNext w:val="0"/>
        <w:keepLines w:val="0"/>
        <w:pageBreakBefore w:val="0"/>
        <w:topLinePunct w:val="0"/>
        <w:bidi w:val="0"/>
        <w:adjustRightInd w:val="0"/>
        <w:snapToGri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4.与采购人存在利害关系可能影响公正性的单位，单位负责人为同一人或者存在直接控股、管理关系的不同供应商</w:t>
      </w:r>
      <w:r>
        <w:rPr>
          <w:rFonts w:hint="eastAsia" w:ascii="宋体" w:hAnsi="宋体" w:cs="宋体"/>
          <w:color w:val="auto"/>
          <w:sz w:val="24"/>
          <w:highlight w:val="none"/>
          <w:lang w:eastAsia="zh-CN"/>
        </w:rPr>
        <w:t>，</w:t>
      </w:r>
      <w:r>
        <w:rPr>
          <w:rFonts w:hint="eastAsia" w:ascii="宋体" w:hAnsi="宋体" w:cs="宋体"/>
          <w:color w:val="auto"/>
          <w:sz w:val="24"/>
          <w:highlight w:val="none"/>
        </w:rPr>
        <w:t>不得参加同一合同项下的政府采购活动。若同时参加同一合同项下的政府采购活动，则相关供应商的投标均做无效投标处理。</w:t>
      </w:r>
    </w:p>
    <w:p w14:paraId="0573EDA1">
      <w:pPr>
        <w:pStyle w:val="33"/>
        <w:keepNext w:val="0"/>
        <w:keepLines w:val="0"/>
        <w:pageBreakBefore w:val="0"/>
        <w:topLinePunct w:val="0"/>
        <w:bidi w:val="0"/>
        <w:adjustRightInd w:val="0"/>
        <w:snapToGrid w:val="0"/>
        <w:spacing w:line="360" w:lineRule="auto"/>
        <w:ind w:firstLine="482" w:firstLineChars="200"/>
        <w:textAlignment w:val="auto"/>
        <w:rPr>
          <w:rFonts w:eastAsia="宋体" w:cs="宋体"/>
          <w:b/>
          <w:bCs/>
          <w:color w:val="auto"/>
          <w:highlight w:val="none"/>
        </w:rPr>
      </w:pPr>
      <w:r>
        <w:rPr>
          <w:rFonts w:hint="eastAsia" w:eastAsia="宋体" w:cs="宋体"/>
          <w:b/>
          <w:color w:val="auto"/>
          <w:kern w:val="0"/>
          <w:highlight w:val="none"/>
        </w:rPr>
        <w:t>注：请供应商认真对照资格要求，如不符合要求，无意或故意参与投标的，所产生的一切后果由供应商承担。对提供虚假材料的供应商作无效标处理，将报相关主管部门后将其列入黑名单，视情形在相关网站上公示。供应商应依照规定提交各类声明函、承诺函，不再同时提供原件备查或提供有关部门出具的相关证明文件。但中标或成交供应商，应做好提交声明函、承诺函相应原件的核查准备；核查后发现虚假或违背承诺的，依照相关法律法规规定处理。</w:t>
      </w:r>
    </w:p>
    <w:p w14:paraId="3CD1244F">
      <w:pPr>
        <w:keepNext w:val="0"/>
        <w:keepLines w:val="0"/>
        <w:pageBreakBefore w:val="0"/>
        <w:topLinePunct w:val="0"/>
        <w:bidi w:val="0"/>
        <w:adjustRightInd w:val="0"/>
        <w:snapToGrid w:val="0"/>
        <w:spacing w:line="360" w:lineRule="auto"/>
        <w:ind w:firstLine="482" w:firstLineChars="200"/>
        <w:textAlignment w:val="auto"/>
        <w:rPr>
          <w:rFonts w:ascii="宋体" w:hAnsi="宋体" w:cs="宋体"/>
          <w:b/>
          <w:bCs/>
          <w:color w:val="auto"/>
          <w:sz w:val="24"/>
          <w:highlight w:val="none"/>
        </w:rPr>
      </w:pPr>
      <w:r>
        <w:rPr>
          <w:rFonts w:hint="eastAsia" w:ascii="宋体" w:hAnsi="宋体" w:cs="宋体"/>
          <w:b/>
          <w:bCs/>
          <w:color w:val="auto"/>
          <w:sz w:val="24"/>
          <w:highlight w:val="none"/>
        </w:rPr>
        <w:t>三、获取磋商文件</w:t>
      </w:r>
    </w:p>
    <w:p w14:paraId="78616546">
      <w:pPr>
        <w:keepNext w:val="0"/>
        <w:keepLines w:val="0"/>
        <w:pageBreakBefore w:val="0"/>
        <w:topLinePunct w:val="0"/>
        <w:bidi w:val="0"/>
        <w:adjustRightInd w:val="0"/>
        <w:snapToGrid w:val="0"/>
        <w:spacing w:line="360" w:lineRule="auto"/>
        <w:ind w:firstLine="508" w:firstLineChars="200"/>
        <w:contextualSpacing/>
        <w:textAlignment w:val="auto"/>
        <w:rPr>
          <w:rFonts w:ascii="宋体" w:hAnsi="宋体" w:cs="宋体"/>
          <w:color w:val="auto"/>
          <w:spacing w:val="7"/>
          <w:kern w:val="0"/>
          <w:sz w:val="24"/>
          <w:highlight w:val="none"/>
        </w:rPr>
      </w:pPr>
      <w:r>
        <w:rPr>
          <w:rFonts w:hint="eastAsia" w:ascii="宋体" w:hAnsi="宋体" w:cs="宋体"/>
          <w:color w:val="auto"/>
          <w:spacing w:val="7"/>
          <w:kern w:val="0"/>
          <w:sz w:val="24"/>
          <w:highlight w:val="none"/>
        </w:rPr>
        <w:t>1.申请</w:t>
      </w:r>
    </w:p>
    <w:p w14:paraId="2AA113E6">
      <w:pPr>
        <w:keepNext w:val="0"/>
        <w:keepLines w:val="0"/>
        <w:pageBreakBefore w:val="0"/>
        <w:topLinePunct w:val="0"/>
        <w:bidi w:val="0"/>
        <w:adjustRightInd w:val="0"/>
        <w:snapToGrid w:val="0"/>
        <w:spacing w:line="360" w:lineRule="auto"/>
        <w:ind w:firstLine="508" w:firstLineChars="200"/>
        <w:contextualSpacing/>
        <w:textAlignment w:val="auto"/>
        <w:rPr>
          <w:rFonts w:ascii="宋体" w:hAnsi="宋体" w:cs="宋体"/>
          <w:color w:val="auto"/>
          <w:spacing w:val="7"/>
          <w:kern w:val="0"/>
          <w:sz w:val="24"/>
          <w:highlight w:val="none"/>
        </w:rPr>
      </w:pPr>
      <w:r>
        <w:rPr>
          <w:rFonts w:hint="eastAsia" w:ascii="宋体" w:hAnsi="宋体" w:cs="宋体"/>
          <w:color w:val="auto"/>
          <w:spacing w:val="7"/>
          <w:kern w:val="0"/>
          <w:sz w:val="24"/>
          <w:highlight w:val="none"/>
        </w:rPr>
        <w:t>申请时间：自公告上网发布之日起至</w:t>
      </w:r>
      <w:r>
        <w:rPr>
          <w:rFonts w:hint="eastAsia" w:ascii="宋体" w:hAnsi="宋体" w:cs="宋体"/>
          <w:color w:val="auto"/>
          <w:spacing w:val="7"/>
          <w:kern w:val="0"/>
          <w:sz w:val="24"/>
          <w:highlight w:val="none"/>
          <w:u w:val="single"/>
        </w:rPr>
        <w:t>2025</w:t>
      </w:r>
      <w:r>
        <w:rPr>
          <w:rFonts w:hint="eastAsia" w:ascii="宋体" w:hAnsi="宋体" w:cs="宋体"/>
          <w:color w:val="auto"/>
          <w:spacing w:val="7"/>
          <w:kern w:val="0"/>
          <w:sz w:val="24"/>
          <w:highlight w:val="none"/>
        </w:rPr>
        <w:t>年</w:t>
      </w:r>
      <w:r>
        <w:rPr>
          <w:rFonts w:hint="eastAsia" w:ascii="宋体" w:hAnsi="宋体" w:cs="宋体"/>
          <w:color w:val="auto"/>
          <w:spacing w:val="7"/>
          <w:kern w:val="0"/>
          <w:sz w:val="24"/>
          <w:highlight w:val="none"/>
          <w:u w:val="single"/>
          <w:lang w:val="en-US" w:eastAsia="zh-CN"/>
        </w:rPr>
        <w:t>11</w:t>
      </w:r>
      <w:r>
        <w:rPr>
          <w:rFonts w:hint="eastAsia" w:ascii="宋体" w:hAnsi="宋体" w:cs="宋体"/>
          <w:color w:val="auto"/>
          <w:spacing w:val="7"/>
          <w:kern w:val="0"/>
          <w:sz w:val="24"/>
          <w:highlight w:val="none"/>
        </w:rPr>
        <w:t>月</w:t>
      </w:r>
      <w:r>
        <w:rPr>
          <w:rFonts w:hint="eastAsia" w:ascii="宋体" w:hAnsi="宋体" w:cs="宋体"/>
          <w:color w:val="auto"/>
          <w:spacing w:val="7"/>
          <w:kern w:val="0"/>
          <w:sz w:val="24"/>
          <w:highlight w:val="none"/>
          <w:u w:val="single"/>
          <w:lang w:val="en-US" w:eastAsia="zh-CN"/>
        </w:rPr>
        <w:t>3</w:t>
      </w:r>
      <w:r>
        <w:rPr>
          <w:rFonts w:hint="eastAsia" w:ascii="宋体" w:hAnsi="宋体" w:cs="宋体"/>
          <w:color w:val="auto"/>
          <w:spacing w:val="7"/>
          <w:kern w:val="0"/>
          <w:sz w:val="24"/>
          <w:highlight w:val="none"/>
        </w:rPr>
        <w:t>日，每日工作时间：上午9:00—11:30整，</w:t>
      </w:r>
      <w:r>
        <w:rPr>
          <w:rFonts w:hint="eastAsia" w:ascii="宋体" w:hAnsi="宋体" w:cs="宋体"/>
          <w:color w:val="auto"/>
          <w:spacing w:val="7"/>
          <w:kern w:val="0"/>
          <w:sz w:val="24"/>
          <w:highlight w:val="none"/>
          <w:lang w:eastAsia="zh-CN"/>
        </w:rPr>
        <w:t>13:30</w:t>
      </w:r>
      <w:r>
        <w:rPr>
          <w:rFonts w:hint="eastAsia" w:ascii="宋体" w:hAnsi="宋体" w:cs="宋体"/>
          <w:color w:val="auto"/>
          <w:spacing w:val="7"/>
          <w:kern w:val="0"/>
          <w:sz w:val="24"/>
          <w:highlight w:val="none"/>
        </w:rPr>
        <w:t>—17:30整（节假日除外）。</w:t>
      </w:r>
    </w:p>
    <w:p w14:paraId="4D250A0F">
      <w:pPr>
        <w:keepNext w:val="0"/>
        <w:keepLines w:val="0"/>
        <w:pageBreakBefore w:val="0"/>
        <w:topLinePunct w:val="0"/>
        <w:bidi w:val="0"/>
        <w:adjustRightInd w:val="0"/>
        <w:snapToGrid w:val="0"/>
        <w:spacing w:line="360" w:lineRule="auto"/>
        <w:ind w:firstLine="480" w:firstLineChars="200"/>
        <w:contextualSpacing/>
        <w:textAlignment w:val="auto"/>
        <w:rPr>
          <w:rFonts w:ascii="宋体" w:hAnsi="宋体" w:cs="宋体"/>
          <w:color w:val="auto"/>
          <w:spacing w:val="7"/>
          <w:kern w:val="0"/>
          <w:sz w:val="24"/>
          <w:highlight w:val="none"/>
        </w:rPr>
      </w:pPr>
      <w:r>
        <w:rPr>
          <w:rFonts w:hint="eastAsia" w:ascii="宋体" w:hAnsi="宋体" w:cs="宋体"/>
          <w:color w:val="auto"/>
          <w:kern w:val="0"/>
          <w:sz w:val="24"/>
          <w:highlight w:val="none"/>
        </w:rPr>
        <w:t>按照磋商公告下附件《申请函》的形式，回函（加盖单位章）发彩色扫描件至邮箱中（联系人：陆工，联系电话：18260596237），并致电代理机构确认邮件送达，确认是否参与本次投标的相关事宜。</w:t>
      </w:r>
    </w:p>
    <w:p w14:paraId="02C1359E">
      <w:pPr>
        <w:keepNext w:val="0"/>
        <w:keepLines w:val="0"/>
        <w:pageBreakBefore w:val="0"/>
        <w:topLinePunct w:val="0"/>
        <w:bidi w:val="0"/>
        <w:adjustRightInd w:val="0"/>
        <w:snapToGrid w:val="0"/>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申请提供资料：按附件提供《申请函》</w:t>
      </w:r>
    </w:p>
    <w:p w14:paraId="26D52649">
      <w:pPr>
        <w:keepNext w:val="0"/>
        <w:keepLines w:val="0"/>
        <w:pageBreakBefore w:val="0"/>
        <w:topLinePunct w:val="0"/>
        <w:bidi w:val="0"/>
        <w:adjustRightInd w:val="0"/>
        <w:snapToGrid w:val="0"/>
        <w:spacing w:line="360" w:lineRule="auto"/>
        <w:ind w:firstLine="482" w:firstLineChars="200"/>
        <w:contextualSpacing/>
        <w:textAlignment w:val="auto"/>
        <w:rPr>
          <w:rFonts w:ascii="宋体" w:hAnsi="宋体" w:cs="宋体"/>
          <w:color w:val="auto"/>
          <w:spacing w:val="7"/>
          <w:kern w:val="0"/>
          <w:sz w:val="24"/>
          <w:highlight w:val="none"/>
        </w:rPr>
      </w:pPr>
      <w:r>
        <w:rPr>
          <w:rFonts w:hint="eastAsia" w:ascii="宋体" w:hAnsi="宋体" w:cs="宋体"/>
          <w:b/>
          <w:bCs/>
          <w:color w:val="auto"/>
          <w:kern w:val="0"/>
          <w:sz w:val="24"/>
          <w:highlight w:val="none"/>
        </w:rPr>
        <w:t>未按要求进行申请的不具备磋商资格。</w:t>
      </w:r>
    </w:p>
    <w:p w14:paraId="4599E885">
      <w:pPr>
        <w:keepNext w:val="0"/>
        <w:keepLines w:val="0"/>
        <w:pageBreakBefore w:val="0"/>
        <w:topLinePunct w:val="0"/>
        <w:bidi w:val="0"/>
        <w:adjustRightInd w:val="0"/>
        <w:snapToGrid w:val="0"/>
        <w:spacing w:line="360" w:lineRule="auto"/>
        <w:ind w:firstLine="508" w:firstLineChars="200"/>
        <w:contextualSpacing/>
        <w:textAlignment w:val="auto"/>
        <w:rPr>
          <w:rFonts w:ascii="宋体" w:hAnsi="宋体" w:cs="宋体"/>
          <w:color w:val="auto"/>
          <w:spacing w:val="7"/>
          <w:kern w:val="0"/>
          <w:sz w:val="24"/>
          <w:highlight w:val="none"/>
        </w:rPr>
      </w:pPr>
      <w:r>
        <w:rPr>
          <w:rFonts w:hint="eastAsia" w:ascii="宋体" w:hAnsi="宋体" w:cs="宋体"/>
          <w:color w:val="auto"/>
          <w:spacing w:val="7"/>
          <w:kern w:val="0"/>
          <w:sz w:val="24"/>
          <w:highlight w:val="none"/>
        </w:rPr>
        <w:t>2.获取磋商文件</w:t>
      </w:r>
    </w:p>
    <w:p w14:paraId="4305950B">
      <w:pPr>
        <w:keepNext w:val="0"/>
        <w:keepLines w:val="0"/>
        <w:pageBreakBefore w:val="0"/>
        <w:topLinePunct w:val="0"/>
        <w:bidi w:val="0"/>
        <w:adjustRightInd w:val="0"/>
        <w:snapToGrid w:val="0"/>
        <w:spacing w:line="360" w:lineRule="auto"/>
        <w:ind w:firstLine="508" w:firstLineChars="200"/>
        <w:contextualSpacing/>
        <w:jc w:val="left"/>
        <w:textAlignment w:val="auto"/>
        <w:rPr>
          <w:rFonts w:ascii="宋体" w:hAnsi="宋体" w:cs="宋体"/>
          <w:color w:val="auto"/>
          <w:spacing w:val="7"/>
          <w:kern w:val="0"/>
          <w:sz w:val="24"/>
          <w:highlight w:val="none"/>
        </w:rPr>
      </w:pPr>
      <w:r>
        <w:rPr>
          <w:rFonts w:ascii="宋体" w:hAnsi="宋体" w:cs="宋体"/>
          <w:color w:val="auto"/>
          <w:spacing w:val="7"/>
          <w:kern w:val="0"/>
          <w:sz w:val="24"/>
          <w:highlight w:val="none"/>
        </w:rPr>
        <w:t>各申请人</w:t>
      </w:r>
      <w:r>
        <w:rPr>
          <w:rFonts w:hint="eastAsia" w:ascii="宋体" w:cs="宋体"/>
          <w:color w:val="auto"/>
          <w:sz w:val="24"/>
          <w:highlight w:val="none"/>
        </w:rPr>
        <w:t>在南通市交通运输局网站（网址：</w:t>
      </w:r>
      <w:r>
        <w:rPr>
          <w:rFonts w:hint="eastAsia" w:ascii="宋体" w:hAnsi="Times New Roman" w:eastAsia="宋体" w:cs="宋体"/>
          <w:color w:val="auto"/>
          <w:sz w:val="24"/>
          <w:highlight w:val="none"/>
        </w:rPr>
        <w:fldChar w:fldCharType="begin"/>
      </w:r>
      <w:r>
        <w:rPr>
          <w:rFonts w:hint="eastAsia" w:ascii="宋体" w:hAnsi="Times New Roman" w:eastAsia="宋体" w:cs="宋体"/>
          <w:color w:val="auto"/>
          <w:sz w:val="24"/>
          <w:highlight w:val="none"/>
        </w:rPr>
        <w:instrText xml:space="preserve"> HYPERLINK "http://jtysj.nantong.gov.cn/）上。南通市交通运输局网站是本项目竞争性谈判公告、补遗书、谈判文件澄清、成交结果公告等采购信息约定的唯一公开发布媒介。" </w:instrText>
      </w:r>
      <w:r>
        <w:rPr>
          <w:rFonts w:hint="eastAsia" w:ascii="宋体" w:hAnsi="Times New Roman" w:eastAsia="宋体" w:cs="宋体"/>
          <w:color w:val="auto"/>
          <w:sz w:val="24"/>
          <w:highlight w:val="none"/>
        </w:rPr>
        <w:fldChar w:fldCharType="separate"/>
      </w:r>
      <w:r>
        <w:rPr>
          <w:rFonts w:hint="eastAsia" w:ascii="宋体" w:hAnsi="Times New Roman" w:eastAsia="宋体" w:cs="宋体"/>
          <w:color w:val="auto"/>
          <w:sz w:val="24"/>
          <w:highlight w:val="none"/>
        </w:rPr>
        <w:t>http://jtysj.nantong.gov.cn/）</w:t>
      </w:r>
      <w:r>
        <w:rPr>
          <w:rFonts w:hint="eastAsia" w:ascii="宋体" w:hAnsi="Times New Roman" w:eastAsia="宋体" w:cs="宋体"/>
          <w:color w:val="auto"/>
          <w:sz w:val="24"/>
          <w:highlight w:val="none"/>
          <w:lang w:val="en-US" w:eastAsia="zh-CN"/>
        </w:rPr>
        <w:t>本项目</w:t>
      </w:r>
      <w:r>
        <w:rPr>
          <w:rFonts w:hint="eastAsia" w:ascii="宋体" w:hAnsi="Times New Roman" w:eastAsia="宋体" w:cs="宋体"/>
          <w:color w:val="auto"/>
          <w:sz w:val="24"/>
          <w:highlight w:val="none"/>
        </w:rPr>
        <w:fldChar w:fldCharType="end"/>
      </w:r>
      <w:r>
        <w:rPr>
          <w:rFonts w:hint="eastAsia" w:ascii="宋体" w:cs="宋体"/>
          <w:color w:val="auto"/>
          <w:sz w:val="24"/>
          <w:highlight w:val="none"/>
          <w:lang w:val="en-US" w:eastAsia="zh-CN"/>
        </w:rPr>
        <w:t>磋商公告下附件自行下载</w:t>
      </w:r>
      <w:r>
        <w:rPr>
          <w:rFonts w:ascii="宋体" w:hAnsi="宋体" w:cs="宋体"/>
          <w:color w:val="auto"/>
          <w:spacing w:val="7"/>
          <w:kern w:val="0"/>
          <w:sz w:val="24"/>
          <w:highlight w:val="none"/>
        </w:rPr>
        <w:t>。</w:t>
      </w:r>
    </w:p>
    <w:p w14:paraId="1DF93979">
      <w:pPr>
        <w:keepNext w:val="0"/>
        <w:keepLines w:val="0"/>
        <w:pageBreakBefore w:val="0"/>
        <w:topLinePunct w:val="0"/>
        <w:bidi w:val="0"/>
        <w:adjustRightInd w:val="0"/>
        <w:snapToGrid w:val="0"/>
        <w:spacing w:line="360"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磋商文件售价</w:t>
      </w:r>
      <w:r>
        <w:rPr>
          <w:rFonts w:hint="eastAsia" w:ascii="宋体" w:hAnsi="宋体" w:cs="宋体"/>
          <w:color w:val="auto"/>
          <w:kern w:val="0"/>
          <w:sz w:val="24"/>
          <w:highlight w:val="none"/>
          <w:lang w:val="en-US" w:eastAsia="zh-CN"/>
        </w:rPr>
        <w:t>0</w:t>
      </w:r>
      <w:r>
        <w:rPr>
          <w:rFonts w:hint="eastAsia" w:ascii="宋体" w:hAnsi="宋体" w:cs="宋体"/>
          <w:color w:val="auto"/>
          <w:kern w:val="0"/>
          <w:sz w:val="24"/>
          <w:highlight w:val="none"/>
        </w:rPr>
        <w:t>元/供应商。</w:t>
      </w:r>
    </w:p>
    <w:p w14:paraId="750BC059">
      <w:pPr>
        <w:keepNext w:val="0"/>
        <w:keepLines w:val="0"/>
        <w:pageBreakBefore w:val="0"/>
        <w:topLinePunct w:val="0"/>
        <w:bidi w:val="0"/>
        <w:adjustRightInd w:val="0"/>
        <w:snapToGrid w:val="0"/>
        <w:spacing w:line="360" w:lineRule="auto"/>
        <w:ind w:firstLine="480" w:firstLineChars="200"/>
        <w:contextualSpacing/>
        <w:textAlignment w:val="auto"/>
        <w:rPr>
          <w:rFonts w:ascii="宋体" w:hAnsi="宋体" w:cs="宋体"/>
          <w:color w:val="auto"/>
          <w:spacing w:val="7"/>
          <w:kern w:val="0"/>
          <w:sz w:val="24"/>
          <w:highlight w:val="none"/>
        </w:rPr>
      </w:pPr>
      <w:r>
        <w:rPr>
          <w:rFonts w:hint="eastAsia" w:ascii="宋体" w:hAnsi="宋体" w:cs="宋体"/>
          <w:color w:val="auto"/>
          <w:kern w:val="0"/>
          <w:sz w:val="24"/>
          <w:highlight w:val="none"/>
        </w:rPr>
        <w:t>3.已获取磋商文件的供应商，不得擅自放弃，若因故确需放弃，则须在递交磋商响应文件截止之日3天前书面告知采购人或采购代理机构，如无故不参加磋商而造成参加磋商的供应商不足3家而重新采购的，若重新采购的采购范围、规模和资格要求等未发生改变，采购人可以拒绝其参加重新采购的投标。</w:t>
      </w:r>
    </w:p>
    <w:p w14:paraId="16390A38">
      <w:pPr>
        <w:keepNext w:val="0"/>
        <w:keepLines w:val="0"/>
        <w:pageBreakBefore w:val="0"/>
        <w:widowControl/>
        <w:shd w:val="clear" w:color="auto" w:fill="FFFFFF"/>
        <w:topLinePunct w:val="0"/>
        <w:bidi w:val="0"/>
        <w:adjustRightInd w:val="0"/>
        <w:snapToGrid w:val="0"/>
        <w:spacing w:line="360" w:lineRule="auto"/>
        <w:ind w:firstLine="510" w:firstLineChars="200"/>
        <w:textAlignment w:val="auto"/>
        <w:rPr>
          <w:rFonts w:ascii="宋体" w:hAnsi="宋体" w:cs="宋体"/>
          <w:b/>
          <w:color w:val="auto"/>
          <w:spacing w:val="7"/>
          <w:kern w:val="0"/>
          <w:sz w:val="24"/>
          <w:highlight w:val="none"/>
        </w:rPr>
      </w:pPr>
      <w:r>
        <w:rPr>
          <w:rFonts w:hint="eastAsia" w:ascii="宋体" w:hAnsi="宋体" w:cs="宋体"/>
          <w:b/>
          <w:color w:val="auto"/>
          <w:spacing w:val="7"/>
          <w:kern w:val="0"/>
          <w:sz w:val="24"/>
          <w:highlight w:val="none"/>
        </w:rPr>
        <w:t>四、磋商响应文件递交</w:t>
      </w:r>
    </w:p>
    <w:p w14:paraId="1807663D">
      <w:pPr>
        <w:keepNext w:val="0"/>
        <w:keepLines w:val="0"/>
        <w:pageBreakBefore w:val="0"/>
        <w:widowControl/>
        <w:shd w:val="clear" w:color="auto" w:fill="FFFFFF"/>
        <w:topLinePunct w:val="0"/>
        <w:bidi w:val="0"/>
        <w:adjustRightInd w:val="0"/>
        <w:snapToGrid w:val="0"/>
        <w:spacing w:line="360" w:lineRule="auto"/>
        <w:ind w:firstLine="508" w:firstLineChars="200"/>
        <w:textAlignment w:val="auto"/>
        <w:rPr>
          <w:rFonts w:ascii="宋体" w:hAnsi="宋体" w:cs="宋体"/>
          <w:i/>
          <w:color w:val="auto"/>
          <w:spacing w:val="7"/>
          <w:kern w:val="0"/>
          <w:sz w:val="24"/>
          <w:highlight w:val="none"/>
          <w:u w:val="single"/>
        </w:rPr>
      </w:pPr>
      <w:r>
        <w:rPr>
          <w:rFonts w:hint="eastAsia" w:ascii="宋体" w:hAnsi="宋体" w:cs="宋体"/>
          <w:color w:val="auto"/>
          <w:spacing w:val="7"/>
          <w:kern w:val="0"/>
          <w:sz w:val="24"/>
          <w:highlight w:val="none"/>
        </w:rPr>
        <w:t>截止时间：</w:t>
      </w:r>
      <w:r>
        <w:rPr>
          <w:rFonts w:hint="eastAsia" w:ascii="宋体" w:hAnsi="宋体" w:cs="宋体"/>
          <w:color w:val="auto"/>
          <w:spacing w:val="7"/>
          <w:kern w:val="0"/>
          <w:sz w:val="24"/>
          <w:highlight w:val="none"/>
          <w:u w:val="single"/>
        </w:rPr>
        <w:t>2025</w:t>
      </w:r>
      <w:r>
        <w:rPr>
          <w:rFonts w:hint="eastAsia" w:ascii="宋体" w:hAnsi="宋体" w:cs="宋体"/>
          <w:color w:val="auto"/>
          <w:spacing w:val="7"/>
          <w:kern w:val="0"/>
          <w:sz w:val="24"/>
          <w:highlight w:val="none"/>
        </w:rPr>
        <w:t>年</w:t>
      </w:r>
      <w:r>
        <w:rPr>
          <w:rFonts w:hint="eastAsia" w:ascii="宋体" w:hAnsi="宋体" w:cs="宋体"/>
          <w:color w:val="auto"/>
          <w:spacing w:val="7"/>
          <w:kern w:val="0"/>
          <w:sz w:val="24"/>
          <w:highlight w:val="none"/>
          <w:u w:val="single"/>
          <w:lang w:val="en-US" w:eastAsia="zh-CN"/>
        </w:rPr>
        <w:t>11</w:t>
      </w:r>
      <w:r>
        <w:rPr>
          <w:rFonts w:hint="eastAsia" w:ascii="宋体" w:hAnsi="宋体" w:cs="宋体"/>
          <w:color w:val="auto"/>
          <w:spacing w:val="7"/>
          <w:kern w:val="0"/>
          <w:sz w:val="24"/>
          <w:highlight w:val="none"/>
        </w:rPr>
        <w:t>月</w:t>
      </w:r>
      <w:r>
        <w:rPr>
          <w:rFonts w:hint="eastAsia" w:ascii="宋体" w:hAnsi="宋体" w:cs="宋体"/>
          <w:color w:val="auto"/>
          <w:spacing w:val="7"/>
          <w:kern w:val="0"/>
          <w:sz w:val="24"/>
          <w:highlight w:val="none"/>
          <w:u w:val="single"/>
          <w:lang w:val="en-US" w:eastAsia="zh-CN"/>
        </w:rPr>
        <w:t>4</w:t>
      </w:r>
      <w:r>
        <w:rPr>
          <w:rFonts w:hint="eastAsia" w:ascii="宋体" w:hAnsi="宋体" w:cs="宋体"/>
          <w:color w:val="auto"/>
          <w:spacing w:val="7"/>
          <w:kern w:val="0"/>
          <w:sz w:val="24"/>
          <w:highlight w:val="none"/>
        </w:rPr>
        <w:t>日</w:t>
      </w:r>
      <w:r>
        <w:rPr>
          <w:rFonts w:hint="eastAsia" w:ascii="宋体" w:hAnsi="宋体" w:cs="宋体"/>
          <w:color w:val="auto"/>
          <w:sz w:val="24"/>
          <w:highlight w:val="none"/>
          <w:u w:val="single"/>
        </w:rPr>
        <w:t>9</w:t>
      </w:r>
      <w:r>
        <w:rPr>
          <w:rFonts w:hint="eastAsia" w:ascii="宋体" w:hAnsi="宋体" w:cs="宋体"/>
          <w:color w:val="auto"/>
          <w:spacing w:val="7"/>
          <w:kern w:val="0"/>
          <w:sz w:val="24"/>
          <w:highlight w:val="none"/>
        </w:rPr>
        <w:t>时</w:t>
      </w:r>
      <w:r>
        <w:rPr>
          <w:rFonts w:hint="eastAsia" w:ascii="宋体" w:hAnsi="宋体" w:cs="宋体"/>
          <w:color w:val="auto"/>
          <w:sz w:val="24"/>
          <w:highlight w:val="none"/>
          <w:u w:val="single"/>
        </w:rPr>
        <w:t>00</w:t>
      </w:r>
      <w:r>
        <w:rPr>
          <w:rFonts w:hint="eastAsia" w:ascii="宋体" w:hAnsi="宋体" w:cs="宋体"/>
          <w:color w:val="auto"/>
          <w:spacing w:val="7"/>
          <w:kern w:val="0"/>
          <w:sz w:val="24"/>
          <w:highlight w:val="none"/>
        </w:rPr>
        <w:t>分（北京时间）</w:t>
      </w:r>
    </w:p>
    <w:p w14:paraId="0F827D5B">
      <w:pPr>
        <w:keepNext w:val="0"/>
        <w:keepLines w:val="0"/>
        <w:pageBreakBefore w:val="0"/>
        <w:topLinePunct w:val="0"/>
        <w:bidi w:val="0"/>
        <w:adjustRightInd w:val="0"/>
        <w:snapToGrid w:val="0"/>
        <w:spacing w:line="360" w:lineRule="auto"/>
        <w:ind w:firstLine="508" w:firstLineChars="200"/>
        <w:contextualSpacing/>
        <w:textAlignment w:val="auto"/>
        <w:rPr>
          <w:rFonts w:ascii="宋体" w:hAnsi="宋体" w:cs="宋体"/>
          <w:color w:val="auto"/>
          <w:spacing w:val="7"/>
          <w:kern w:val="0"/>
          <w:sz w:val="24"/>
          <w:highlight w:val="none"/>
        </w:rPr>
      </w:pPr>
      <w:r>
        <w:rPr>
          <w:rFonts w:hint="eastAsia" w:ascii="宋体" w:hAnsi="宋体" w:cs="宋体"/>
          <w:color w:val="auto"/>
          <w:spacing w:val="7"/>
          <w:kern w:val="0"/>
          <w:sz w:val="24"/>
          <w:highlight w:val="none"/>
        </w:rPr>
        <w:t>逾时，将不予接收。</w:t>
      </w:r>
    </w:p>
    <w:p w14:paraId="363F2697">
      <w:pPr>
        <w:keepNext w:val="0"/>
        <w:keepLines w:val="0"/>
        <w:pageBreakBefore w:val="0"/>
        <w:topLinePunct w:val="0"/>
        <w:bidi w:val="0"/>
        <w:adjustRightInd w:val="0"/>
        <w:snapToGrid w:val="0"/>
        <w:spacing w:line="360" w:lineRule="auto"/>
        <w:ind w:firstLine="508" w:firstLineChars="200"/>
        <w:contextualSpacing/>
        <w:textAlignment w:val="auto"/>
        <w:rPr>
          <w:rFonts w:ascii="宋体" w:hAnsi="宋体" w:cs="宋体"/>
          <w:color w:val="auto"/>
          <w:spacing w:val="7"/>
          <w:kern w:val="0"/>
          <w:sz w:val="24"/>
          <w:highlight w:val="none"/>
        </w:rPr>
      </w:pPr>
      <w:r>
        <w:rPr>
          <w:rFonts w:hint="eastAsia" w:ascii="宋体" w:hAnsi="宋体" w:cs="宋体"/>
          <w:color w:val="auto"/>
          <w:spacing w:val="7"/>
          <w:kern w:val="0"/>
          <w:sz w:val="24"/>
          <w:highlight w:val="none"/>
        </w:rPr>
        <w:t>地点：南通市公路事业发展中心1楼信访接待室（地址：南通市跃龙路4号），如有变动另行通知。</w:t>
      </w:r>
    </w:p>
    <w:p w14:paraId="58404184">
      <w:pPr>
        <w:keepNext w:val="0"/>
        <w:keepLines w:val="0"/>
        <w:pageBreakBefore w:val="0"/>
        <w:widowControl/>
        <w:shd w:val="clear" w:color="auto" w:fill="FFFFFF"/>
        <w:topLinePunct w:val="0"/>
        <w:bidi w:val="0"/>
        <w:adjustRightInd w:val="0"/>
        <w:snapToGrid w:val="0"/>
        <w:spacing w:line="360" w:lineRule="auto"/>
        <w:ind w:firstLine="510" w:firstLineChars="200"/>
        <w:textAlignment w:val="auto"/>
        <w:rPr>
          <w:rFonts w:ascii="宋体" w:hAnsi="宋体" w:cs="宋体"/>
          <w:b/>
          <w:color w:val="auto"/>
          <w:spacing w:val="7"/>
          <w:kern w:val="0"/>
          <w:sz w:val="24"/>
          <w:highlight w:val="none"/>
        </w:rPr>
      </w:pPr>
      <w:r>
        <w:rPr>
          <w:rFonts w:hint="eastAsia" w:ascii="宋体" w:hAnsi="宋体" w:cs="宋体"/>
          <w:b/>
          <w:color w:val="auto"/>
          <w:spacing w:val="7"/>
          <w:kern w:val="0"/>
          <w:sz w:val="24"/>
          <w:highlight w:val="none"/>
        </w:rPr>
        <w:t>五、磋商响应文件开启</w:t>
      </w:r>
    </w:p>
    <w:p w14:paraId="769CE567">
      <w:pPr>
        <w:keepNext w:val="0"/>
        <w:keepLines w:val="0"/>
        <w:pageBreakBefore w:val="0"/>
        <w:topLinePunct w:val="0"/>
        <w:bidi w:val="0"/>
        <w:adjustRightInd w:val="0"/>
        <w:snapToGrid w:val="0"/>
        <w:spacing w:line="360" w:lineRule="auto"/>
        <w:ind w:firstLine="508" w:firstLineChars="200"/>
        <w:contextualSpacing/>
        <w:textAlignment w:val="auto"/>
        <w:rPr>
          <w:rFonts w:ascii="宋体" w:hAnsi="宋体" w:cs="宋体"/>
          <w:color w:val="auto"/>
          <w:spacing w:val="7"/>
          <w:kern w:val="0"/>
          <w:sz w:val="24"/>
          <w:highlight w:val="none"/>
        </w:rPr>
      </w:pPr>
      <w:r>
        <w:rPr>
          <w:rFonts w:hint="eastAsia" w:ascii="宋体" w:hAnsi="宋体" w:cs="宋体"/>
          <w:color w:val="auto"/>
          <w:spacing w:val="7"/>
          <w:kern w:val="0"/>
          <w:sz w:val="24"/>
          <w:highlight w:val="none"/>
        </w:rPr>
        <w:t>时间：</w:t>
      </w:r>
      <w:r>
        <w:rPr>
          <w:rFonts w:hint="eastAsia" w:ascii="宋体" w:hAnsi="宋体" w:cs="宋体"/>
          <w:color w:val="auto"/>
          <w:kern w:val="0"/>
          <w:sz w:val="24"/>
          <w:highlight w:val="none"/>
        </w:rPr>
        <w:t>同磋商响应文件递交截止时间</w:t>
      </w:r>
    </w:p>
    <w:p w14:paraId="0A5DE407">
      <w:pPr>
        <w:keepNext w:val="0"/>
        <w:keepLines w:val="0"/>
        <w:pageBreakBefore w:val="0"/>
        <w:topLinePunct w:val="0"/>
        <w:bidi w:val="0"/>
        <w:adjustRightInd w:val="0"/>
        <w:snapToGrid w:val="0"/>
        <w:spacing w:line="360" w:lineRule="auto"/>
        <w:ind w:firstLine="508" w:firstLineChars="200"/>
        <w:contextualSpacing/>
        <w:textAlignment w:val="auto"/>
        <w:rPr>
          <w:rFonts w:ascii="宋体" w:hAnsi="宋体" w:cs="宋体"/>
          <w:color w:val="auto"/>
          <w:spacing w:val="7"/>
          <w:kern w:val="0"/>
          <w:sz w:val="24"/>
          <w:highlight w:val="none"/>
        </w:rPr>
      </w:pPr>
      <w:r>
        <w:rPr>
          <w:rFonts w:hint="eastAsia" w:ascii="宋体" w:hAnsi="宋体" w:cs="宋体"/>
          <w:color w:val="auto"/>
          <w:spacing w:val="7"/>
          <w:kern w:val="0"/>
          <w:sz w:val="24"/>
          <w:highlight w:val="none"/>
        </w:rPr>
        <w:t>地点：南通市公路事业发展中心1楼信访接待室（地址：南通市跃龙路4号），如有变动另行通知。</w:t>
      </w:r>
    </w:p>
    <w:p w14:paraId="03601D4D">
      <w:pPr>
        <w:keepNext w:val="0"/>
        <w:keepLines w:val="0"/>
        <w:pageBreakBefore w:val="0"/>
        <w:widowControl/>
        <w:shd w:val="clear" w:color="auto" w:fill="FFFFFF"/>
        <w:topLinePunct w:val="0"/>
        <w:bidi w:val="0"/>
        <w:adjustRightInd w:val="0"/>
        <w:snapToGrid w:val="0"/>
        <w:spacing w:line="360" w:lineRule="auto"/>
        <w:ind w:firstLine="510" w:firstLineChars="200"/>
        <w:textAlignment w:val="auto"/>
        <w:rPr>
          <w:rFonts w:ascii="宋体" w:hAnsi="宋体" w:cs="宋体"/>
          <w:b/>
          <w:color w:val="auto"/>
          <w:spacing w:val="7"/>
          <w:kern w:val="0"/>
          <w:sz w:val="24"/>
          <w:highlight w:val="none"/>
        </w:rPr>
      </w:pPr>
      <w:r>
        <w:rPr>
          <w:rFonts w:hint="eastAsia" w:ascii="宋体" w:hAnsi="宋体" w:cs="宋体"/>
          <w:b/>
          <w:color w:val="auto"/>
          <w:spacing w:val="7"/>
          <w:kern w:val="0"/>
          <w:sz w:val="24"/>
          <w:highlight w:val="none"/>
        </w:rPr>
        <w:t>六、公告期限</w:t>
      </w:r>
    </w:p>
    <w:p w14:paraId="6CF2374B">
      <w:pPr>
        <w:keepNext w:val="0"/>
        <w:keepLines w:val="0"/>
        <w:pageBreakBefore w:val="0"/>
        <w:topLinePunct w:val="0"/>
        <w:bidi w:val="0"/>
        <w:adjustRightInd w:val="0"/>
        <w:snapToGrid w:val="0"/>
        <w:spacing w:line="360" w:lineRule="auto"/>
        <w:ind w:firstLine="508"/>
        <w:contextualSpacing/>
        <w:textAlignment w:val="auto"/>
        <w:rPr>
          <w:rFonts w:ascii="宋体" w:hAnsi="宋体" w:cs="宋体"/>
          <w:color w:val="auto"/>
          <w:spacing w:val="7"/>
          <w:kern w:val="0"/>
          <w:sz w:val="24"/>
          <w:highlight w:val="none"/>
        </w:rPr>
      </w:pPr>
      <w:r>
        <w:rPr>
          <w:rFonts w:hint="eastAsia" w:ascii="宋体" w:hAnsi="宋体" w:cs="宋体"/>
          <w:color w:val="auto"/>
          <w:spacing w:val="7"/>
          <w:kern w:val="0"/>
          <w:sz w:val="24"/>
          <w:highlight w:val="none"/>
        </w:rPr>
        <w:t>自本公告发布之日起10日。</w:t>
      </w:r>
    </w:p>
    <w:p w14:paraId="4ED8F5A9">
      <w:pPr>
        <w:keepNext w:val="0"/>
        <w:keepLines w:val="0"/>
        <w:pageBreakBefore w:val="0"/>
        <w:topLinePunct w:val="0"/>
        <w:bidi w:val="0"/>
        <w:adjustRightInd w:val="0"/>
        <w:snapToGrid w:val="0"/>
        <w:spacing w:line="360" w:lineRule="auto"/>
        <w:ind w:firstLine="510" w:firstLineChars="200"/>
        <w:textAlignment w:val="auto"/>
        <w:rPr>
          <w:rFonts w:ascii="宋体" w:hAnsi="宋体" w:cs="宋体"/>
          <w:color w:val="auto"/>
          <w:kern w:val="0"/>
          <w:sz w:val="24"/>
          <w:highlight w:val="none"/>
        </w:rPr>
      </w:pPr>
      <w:r>
        <w:rPr>
          <w:rFonts w:hint="eastAsia" w:ascii="宋体" w:hAnsi="宋体" w:cs="宋体"/>
          <w:b/>
          <w:color w:val="auto"/>
          <w:spacing w:val="7"/>
          <w:kern w:val="0"/>
          <w:sz w:val="24"/>
          <w:highlight w:val="none"/>
        </w:rPr>
        <w:t>七、</w:t>
      </w:r>
      <w:r>
        <w:rPr>
          <w:rFonts w:hint="eastAsia" w:ascii="宋体" w:hAnsi="宋体" w:cs="宋体"/>
          <w:b/>
          <w:bCs/>
          <w:color w:val="auto"/>
          <w:sz w:val="24"/>
          <w:highlight w:val="none"/>
          <w:lang w:val="zh-CN"/>
        </w:rPr>
        <w:t>支付方式</w:t>
      </w:r>
      <w:r>
        <w:rPr>
          <w:rFonts w:hint="eastAsia" w:ascii="宋体" w:hAnsi="宋体" w:cs="宋体"/>
          <w:b/>
          <w:bCs/>
          <w:color w:val="auto"/>
          <w:sz w:val="24"/>
          <w:highlight w:val="none"/>
        </w:rPr>
        <w:t>：</w:t>
      </w:r>
    </w:p>
    <w:p w14:paraId="10271C46">
      <w:pPr>
        <w:keepNext w:val="0"/>
        <w:keepLines w:val="0"/>
        <w:pageBreakBefore w:val="0"/>
        <w:topLinePunct w:val="0"/>
        <w:bidi w:val="0"/>
        <w:adjustRightInd w:val="0"/>
        <w:snapToGrid w:val="0"/>
        <w:spacing w:line="360" w:lineRule="auto"/>
        <w:ind w:firstLine="508" w:firstLineChars="200"/>
        <w:contextualSpacing/>
        <w:textAlignment w:val="auto"/>
        <w:rPr>
          <w:rFonts w:hint="eastAsia" w:ascii="宋体" w:hAnsi="宋体" w:cs="宋体"/>
          <w:color w:val="auto"/>
          <w:spacing w:val="7"/>
          <w:kern w:val="0"/>
          <w:sz w:val="24"/>
          <w:highlight w:val="none"/>
        </w:rPr>
      </w:pPr>
      <w:r>
        <w:rPr>
          <w:rFonts w:hint="eastAsia" w:ascii="宋体" w:hAnsi="宋体" w:cs="宋体"/>
          <w:color w:val="auto"/>
          <w:spacing w:val="7"/>
          <w:kern w:val="0"/>
          <w:sz w:val="24"/>
          <w:highlight w:val="none"/>
        </w:rPr>
        <w:t>本项目为总价合同，支付方式：</w:t>
      </w:r>
    </w:p>
    <w:p w14:paraId="5C2406F1">
      <w:pPr>
        <w:keepNext w:val="0"/>
        <w:keepLines w:val="0"/>
        <w:pageBreakBefore w:val="0"/>
        <w:topLinePunct w:val="0"/>
        <w:bidi w:val="0"/>
        <w:adjustRightInd w:val="0"/>
        <w:snapToGrid w:val="0"/>
        <w:spacing w:line="360" w:lineRule="auto"/>
        <w:ind w:firstLine="508" w:firstLineChars="200"/>
        <w:contextualSpacing/>
        <w:textAlignment w:val="auto"/>
        <w:rPr>
          <w:rFonts w:hint="eastAsia" w:ascii="宋体" w:hAnsi="宋体" w:cs="宋体"/>
          <w:color w:val="auto"/>
          <w:spacing w:val="7"/>
          <w:kern w:val="0"/>
          <w:sz w:val="24"/>
          <w:highlight w:val="none"/>
        </w:rPr>
      </w:pPr>
      <w:r>
        <w:rPr>
          <w:rFonts w:hint="eastAsia" w:ascii="宋体" w:hAnsi="宋体" w:cs="宋体"/>
          <w:color w:val="auto"/>
          <w:spacing w:val="7"/>
          <w:kern w:val="0"/>
          <w:sz w:val="24"/>
          <w:highlight w:val="none"/>
          <w:lang w:val="en-US" w:eastAsia="zh-CN"/>
        </w:rPr>
        <w:t>1.</w:t>
      </w:r>
      <w:r>
        <w:rPr>
          <w:rFonts w:hint="eastAsia" w:ascii="宋体" w:hAnsi="宋体" w:cs="宋体"/>
          <w:color w:val="auto"/>
          <w:spacing w:val="7"/>
          <w:kern w:val="0"/>
          <w:sz w:val="24"/>
          <w:highlight w:val="none"/>
        </w:rPr>
        <w:t>合同签订后15个工作日内，支付合同价30%为预付款；</w:t>
      </w:r>
    </w:p>
    <w:p w14:paraId="7C09AA65">
      <w:pPr>
        <w:keepNext w:val="0"/>
        <w:keepLines w:val="0"/>
        <w:pageBreakBefore w:val="0"/>
        <w:topLinePunct w:val="0"/>
        <w:bidi w:val="0"/>
        <w:adjustRightInd w:val="0"/>
        <w:snapToGrid w:val="0"/>
        <w:spacing w:line="360" w:lineRule="auto"/>
        <w:ind w:firstLine="508" w:firstLineChars="200"/>
        <w:contextualSpacing/>
        <w:textAlignment w:val="auto"/>
        <w:rPr>
          <w:rFonts w:hint="eastAsia" w:ascii="宋体" w:hAnsi="宋体" w:cs="宋体"/>
          <w:color w:val="auto"/>
          <w:spacing w:val="7"/>
          <w:kern w:val="0"/>
          <w:sz w:val="24"/>
          <w:highlight w:val="none"/>
        </w:rPr>
      </w:pPr>
      <w:r>
        <w:rPr>
          <w:rFonts w:hint="eastAsia" w:ascii="宋体" w:hAnsi="宋体" w:cs="宋体"/>
          <w:color w:val="auto"/>
          <w:spacing w:val="7"/>
          <w:kern w:val="0"/>
          <w:sz w:val="24"/>
          <w:highlight w:val="none"/>
          <w:lang w:val="en-US" w:eastAsia="zh-CN"/>
        </w:rPr>
        <w:t>2.</w:t>
      </w:r>
      <w:r>
        <w:rPr>
          <w:rFonts w:hint="eastAsia" w:ascii="宋体" w:hAnsi="宋体" w:cs="宋体"/>
          <w:color w:val="auto"/>
          <w:spacing w:val="7"/>
          <w:kern w:val="0"/>
          <w:sz w:val="24"/>
          <w:highlight w:val="none"/>
        </w:rPr>
        <w:t>完成全部服务内容且成果报告通过采购人审查并修改完善后，付清尾款。</w:t>
      </w:r>
    </w:p>
    <w:p w14:paraId="74283D94">
      <w:pPr>
        <w:keepNext w:val="0"/>
        <w:keepLines w:val="0"/>
        <w:pageBreakBefore w:val="0"/>
        <w:topLinePunct w:val="0"/>
        <w:bidi w:val="0"/>
        <w:adjustRightInd w:val="0"/>
        <w:snapToGrid w:val="0"/>
        <w:spacing w:line="360" w:lineRule="auto"/>
        <w:ind w:firstLine="508" w:firstLineChars="200"/>
        <w:contextualSpacing/>
        <w:textAlignment w:val="auto"/>
        <w:rPr>
          <w:rFonts w:hint="eastAsia" w:ascii="宋体" w:hAnsi="宋体" w:cs="宋体"/>
          <w:color w:val="auto"/>
          <w:spacing w:val="7"/>
          <w:kern w:val="0"/>
          <w:sz w:val="24"/>
          <w:highlight w:val="none"/>
        </w:rPr>
      </w:pPr>
      <w:r>
        <w:rPr>
          <w:rFonts w:hint="eastAsia" w:ascii="宋体" w:hAnsi="宋体" w:cs="宋体"/>
          <w:color w:val="auto"/>
          <w:spacing w:val="7"/>
          <w:kern w:val="0"/>
          <w:sz w:val="24"/>
          <w:highlight w:val="none"/>
        </w:rPr>
        <w:t>注：</w:t>
      </w:r>
      <w:r>
        <w:rPr>
          <w:rFonts w:hint="eastAsia" w:ascii="宋体" w:hAnsi="宋体" w:cs="宋体"/>
          <w:color w:val="auto"/>
          <w:spacing w:val="7"/>
          <w:kern w:val="0"/>
          <w:sz w:val="24"/>
          <w:highlight w:val="none"/>
          <w:lang w:eastAsia="zh-CN"/>
        </w:rPr>
        <w:t>（</w:t>
      </w:r>
      <w:r>
        <w:rPr>
          <w:rFonts w:hint="eastAsia" w:ascii="宋体" w:hAnsi="宋体" w:cs="宋体"/>
          <w:color w:val="auto"/>
          <w:spacing w:val="7"/>
          <w:kern w:val="0"/>
          <w:sz w:val="24"/>
          <w:highlight w:val="none"/>
          <w:lang w:val="en-US" w:eastAsia="zh-CN"/>
        </w:rPr>
        <w:t>1</w:t>
      </w:r>
      <w:r>
        <w:rPr>
          <w:rFonts w:hint="eastAsia" w:ascii="宋体" w:hAnsi="宋体" w:cs="宋体"/>
          <w:color w:val="auto"/>
          <w:spacing w:val="7"/>
          <w:kern w:val="0"/>
          <w:sz w:val="24"/>
          <w:highlight w:val="none"/>
          <w:lang w:eastAsia="zh-CN"/>
        </w:rPr>
        <w:t>）</w:t>
      </w:r>
      <w:r>
        <w:rPr>
          <w:rFonts w:hint="eastAsia" w:ascii="宋体" w:hAnsi="宋体" w:cs="宋体"/>
          <w:color w:val="auto"/>
          <w:spacing w:val="7"/>
          <w:kern w:val="0"/>
          <w:sz w:val="24"/>
          <w:highlight w:val="none"/>
        </w:rPr>
        <w:t>每次付款须按合同扣减违约金和赔偿款；</w:t>
      </w:r>
    </w:p>
    <w:p w14:paraId="17813404">
      <w:pPr>
        <w:keepNext w:val="0"/>
        <w:keepLines w:val="0"/>
        <w:pageBreakBefore w:val="0"/>
        <w:topLinePunct w:val="0"/>
        <w:bidi w:val="0"/>
        <w:adjustRightInd w:val="0"/>
        <w:snapToGrid w:val="0"/>
        <w:spacing w:line="360" w:lineRule="auto"/>
        <w:ind w:firstLine="508" w:firstLineChars="200"/>
        <w:contextualSpacing/>
        <w:textAlignment w:val="auto"/>
        <w:rPr>
          <w:rFonts w:hint="eastAsia" w:ascii="宋体" w:hAnsi="宋体" w:cs="宋体"/>
          <w:color w:val="auto"/>
          <w:spacing w:val="7"/>
          <w:kern w:val="0"/>
          <w:sz w:val="24"/>
          <w:highlight w:val="none"/>
        </w:rPr>
      </w:pPr>
      <w:r>
        <w:rPr>
          <w:rFonts w:hint="eastAsia" w:ascii="宋体" w:hAnsi="宋体" w:cs="宋体"/>
          <w:color w:val="auto"/>
          <w:spacing w:val="7"/>
          <w:kern w:val="0"/>
          <w:sz w:val="24"/>
          <w:highlight w:val="none"/>
          <w:lang w:eastAsia="zh-CN"/>
        </w:rPr>
        <w:t>（</w:t>
      </w:r>
      <w:r>
        <w:rPr>
          <w:rFonts w:hint="eastAsia" w:ascii="宋体" w:hAnsi="宋体" w:cs="宋体"/>
          <w:color w:val="auto"/>
          <w:spacing w:val="7"/>
          <w:kern w:val="0"/>
          <w:sz w:val="24"/>
          <w:highlight w:val="none"/>
          <w:lang w:val="en-US" w:eastAsia="zh-CN"/>
        </w:rPr>
        <w:t>2</w:t>
      </w:r>
      <w:r>
        <w:rPr>
          <w:rFonts w:hint="eastAsia" w:ascii="宋体" w:hAnsi="宋体" w:cs="宋体"/>
          <w:color w:val="auto"/>
          <w:spacing w:val="7"/>
          <w:kern w:val="0"/>
          <w:sz w:val="24"/>
          <w:highlight w:val="none"/>
          <w:lang w:eastAsia="zh-CN"/>
        </w:rPr>
        <w:t>）</w:t>
      </w:r>
      <w:r>
        <w:rPr>
          <w:rFonts w:hint="eastAsia" w:ascii="宋体" w:hAnsi="宋体" w:cs="宋体"/>
          <w:color w:val="auto"/>
          <w:spacing w:val="7"/>
          <w:kern w:val="0"/>
          <w:sz w:val="24"/>
          <w:highlight w:val="none"/>
        </w:rPr>
        <w:t>付款前供应商须提供等额合规发票及相关申请资料，否则采购人可以拒付；</w:t>
      </w:r>
    </w:p>
    <w:p w14:paraId="15CDBB1D">
      <w:pPr>
        <w:keepNext w:val="0"/>
        <w:keepLines w:val="0"/>
        <w:pageBreakBefore w:val="0"/>
        <w:topLinePunct w:val="0"/>
        <w:bidi w:val="0"/>
        <w:adjustRightInd w:val="0"/>
        <w:snapToGrid w:val="0"/>
        <w:spacing w:line="360" w:lineRule="auto"/>
        <w:ind w:firstLine="508" w:firstLineChars="200"/>
        <w:contextualSpacing/>
        <w:textAlignment w:val="auto"/>
        <w:rPr>
          <w:rFonts w:hint="eastAsia" w:ascii="宋体" w:hAnsi="宋体" w:cs="宋体"/>
          <w:color w:val="auto"/>
          <w:spacing w:val="7"/>
          <w:kern w:val="0"/>
          <w:sz w:val="24"/>
          <w:highlight w:val="none"/>
        </w:rPr>
      </w:pPr>
      <w:r>
        <w:rPr>
          <w:rFonts w:hint="eastAsia" w:ascii="宋体" w:hAnsi="宋体" w:cs="宋体"/>
          <w:color w:val="auto"/>
          <w:spacing w:val="7"/>
          <w:kern w:val="0"/>
          <w:sz w:val="24"/>
          <w:highlight w:val="none"/>
          <w:lang w:eastAsia="zh-CN"/>
        </w:rPr>
        <w:t>（</w:t>
      </w:r>
      <w:r>
        <w:rPr>
          <w:rFonts w:hint="eastAsia" w:ascii="宋体" w:hAnsi="宋体" w:cs="宋体"/>
          <w:color w:val="auto"/>
          <w:spacing w:val="7"/>
          <w:kern w:val="0"/>
          <w:sz w:val="24"/>
          <w:highlight w:val="none"/>
          <w:lang w:val="en-US" w:eastAsia="zh-CN"/>
        </w:rPr>
        <w:t>3</w:t>
      </w:r>
      <w:r>
        <w:rPr>
          <w:rFonts w:hint="eastAsia" w:ascii="宋体" w:hAnsi="宋体" w:cs="宋体"/>
          <w:color w:val="auto"/>
          <w:spacing w:val="7"/>
          <w:kern w:val="0"/>
          <w:sz w:val="24"/>
          <w:highlight w:val="none"/>
          <w:lang w:eastAsia="zh-CN"/>
        </w:rPr>
        <w:t>）</w:t>
      </w:r>
      <w:r>
        <w:rPr>
          <w:rFonts w:hint="eastAsia" w:ascii="宋体" w:hAnsi="宋体" w:cs="宋体"/>
          <w:color w:val="auto"/>
          <w:spacing w:val="7"/>
          <w:kern w:val="0"/>
          <w:sz w:val="24"/>
          <w:highlight w:val="none"/>
        </w:rPr>
        <w:t>所有付款均不计利息。</w:t>
      </w:r>
    </w:p>
    <w:p w14:paraId="6D8BA8A2">
      <w:pPr>
        <w:keepNext w:val="0"/>
        <w:keepLines w:val="0"/>
        <w:pageBreakBefore w:val="0"/>
        <w:topLinePunct w:val="0"/>
        <w:bidi w:val="0"/>
        <w:adjustRightInd w:val="0"/>
        <w:snapToGrid w:val="0"/>
        <w:spacing w:line="360" w:lineRule="auto"/>
        <w:ind w:firstLine="482" w:firstLineChars="200"/>
        <w:jc w:val="left"/>
        <w:textAlignment w:val="auto"/>
        <w:rPr>
          <w:rFonts w:ascii="宋体" w:hAnsi="宋体" w:cs="宋体"/>
          <w:b/>
          <w:color w:val="auto"/>
          <w:sz w:val="24"/>
          <w:highlight w:val="none"/>
        </w:rPr>
      </w:pPr>
      <w:r>
        <w:rPr>
          <w:rFonts w:hint="eastAsia" w:ascii="宋体" w:hAnsi="宋体" w:cs="宋体"/>
          <w:b/>
          <w:bCs/>
          <w:color w:val="auto"/>
          <w:sz w:val="24"/>
          <w:highlight w:val="none"/>
          <w:lang w:val="zh-CN"/>
        </w:rPr>
        <w:t>八、</w:t>
      </w:r>
      <w:r>
        <w:rPr>
          <w:rFonts w:hint="eastAsia" w:ascii="宋体" w:hAnsi="宋体" w:cs="宋体"/>
          <w:b/>
          <w:color w:val="auto"/>
          <w:sz w:val="24"/>
          <w:highlight w:val="none"/>
        </w:rPr>
        <w:t>公告媒介</w:t>
      </w:r>
    </w:p>
    <w:p w14:paraId="41CBE7F5">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本次竞争性磋商公告发布在南通市交通运输局网站（网址：http://jtysj.nantong.gov.cn/）上。南通市交通运输局网站是本项目竞争性磋商公告、补遗书、磋商文件澄清、成交结果公告等采购信息约定的唯一公开发布媒介。</w:t>
      </w:r>
    </w:p>
    <w:p w14:paraId="01B56013">
      <w:pPr>
        <w:keepNext w:val="0"/>
        <w:keepLines w:val="0"/>
        <w:pageBreakBefore w:val="0"/>
        <w:widowControl/>
        <w:shd w:val="clear" w:color="auto" w:fill="FFFFFF"/>
        <w:topLinePunct w:val="0"/>
        <w:bidi w:val="0"/>
        <w:adjustRightInd w:val="0"/>
        <w:snapToGrid w:val="0"/>
        <w:spacing w:line="360" w:lineRule="auto"/>
        <w:ind w:firstLine="510" w:firstLineChars="200"/>
        <w:textAlignment w:val="auto"/>
        <w:rPr>
          <w:rFonts w:ascii="宋体" w:hAnsi="宋体" w:cs="宋体"/>
          <w:b/>
          <w:color w:val="auto"/>
          <w:spacing w:val="7"/>
          <w:kern w:val="0"/>
          <w:sz w:val="24"/>
          <w:highlight w:val="none"/>
        </w:rPr>
      </w:pPr>
      <w:r>
        <w:rPr>
          <w:rFonts w:hint="eastAsia" w:ascii="宋体" w:hAnsi="宋体" w:cs="宋体"/>
          <w:b/>
          <w:color w:val="auto"/>
          <w:spacing w:val="7"/>
          <w:kern w:val="0"/>
          <w:sz w:val="24"/>
          <w:highlight w:val="none"/>
        </w:rPr>
        <w:t>九、凡对本次采购提出询问，请按以下方式联系。</w:t>
      </w:r>
    </w:p>
    <w:p w14:paraId="32DBE446">
      <w:pPr>
        <w:keepNext w:val="0"/>
        <w:keepLines w:val="0"/>
        <w:pageBreakBefore w:val="0"/>
        <w:topLinePunct w:val="0"/>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1.采购人信息</w:t>
      </w:r>
    </w:p>
    <w:p w14:paraId="0AFC13B1">
      <w:pPr>
        <w:keepNext w:val="0"/>
        <w:keepLines w:val="0"/>
        <w:pageBreakBefore w:val="0"/>
        <w:topLinePunct w:val="0"/>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 xml:space="preserve">名  称：南通市公路事业发展中心 </w:t>
      </w:r>
    </w:p>
    <w:p w14:paraId="5682FBD2">
      <w:pPr>
        <w:keepNext w:val="0"/>
        <w:keepLines w:val="0"/>
        <w:pageBreakBefore w:val="0"/>
        <w:topLinePunct w:val="0"/>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 xml:space="preserve">地  址：江苏省南通市跃龙路4号 </w:t>
      </w:r>
    </w:p>
    <w:p w14:paraId="7242BAD0">
      <w:pPr>
        <w:keepNext w:val="0"/>
        <w:keepLines w:val="0"/>
        <w:pageBreakBefore w:val="0"/>
        <w:topLinePunct w:val="0"/>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 xml:space="preserve">联 系 人：周先生 </w:t>
      </w:r>
    </w:p>
    <w:p w14:paraId="769BD185">
      <w:pPr>
        <w:keepNext w:val="0"/>
        <w:keepLines w:val="0"/>
        <w:pageBreakBefore w:val="0"/>
        <w:topLinePunct w:val="0"/>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联系方式：0513-85524439</w:t>
      </w:r>
    </w:p>
    <w:p w14:paraId="7C8398F1">
      <w:pPr>
        <w:keepNext w:val="0"/>
        <w:keepLines w:val="0"/>
        <w:pageBreakBefore w:val="0"/>
        <w:topLinePunct w:val="0"/>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2.采购代理机构信息</w:t>
      </w:r>
    </w:p>
    <w:p w14:paraId="6806BDB6">
      <w:pPr>
        <w:keepNext w:val="0"/>
        <w:keepLines w:val="0"/>
        <w:pageBreakBefore w:val="0"/>
        <w:topLinePunct w:val="0"/>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名 称：江苏睿致诚工程咨询有限公司</w:t>
      </w:r>
    </w:p>
    <w:p w14:paraId="1D996013">
      <w:pPr>
        <w:keepNext w:val="0"/>
        <w:keepLines w:val="0"/>
        <w:pageBreakBefore w:val="0"/>
        <w:topLinePunct w:val="0"/>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地  址：南京市江宁区江南路697号金轮星际中心A1栋7楼</w:t>
      </w:r>
    </w:p>
    <w:p w14:paraId="6535713A">
      <w:pPr>
        <w:keepNext w:val="0"/>
        <w:keepLines w:val="0"/>
        <w:pageBreakBefore w:val="0"/>
        <w:topLinePunct w:val="0"/>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联系人：尹建、陈小龙</w:t>
      </w:r>
    </w:p>
    <w:p w14:paraId="7058A137">
      <w:pPr>
        <w:keepNext w:val="0"/>
        <w:keepLines w:val="0"/>
        <w:pageBreakBefore w:val="0"/>
        <w:topLinePunct w:val="0"/>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联系电话：18906275357（尹建），18932207883（陈小龙）</w:t>
      </w:r>
    </w:p>
    <w:p w14:paraId="75B61B57">
      <w:pPr>
        <w:keepNext w:val="0"/>
        <w:keepLines w:val="0"/>
        <w:pageBreakBefore w:val="0"/>
        <w:topLinePunct w:val="0"/>
        <w:bidi w:val="0"/>
        <w:adjustRightInd w:val="0"/>
        <w:snapToGrid w:val="0"/>
        <w:spacing w:line="360" w:lineRule="auto"/>
        <w:ind w:firstLine="560" w:firstLineChars="200"/>
        <w:contextualSpacing/>
        <w:textAlignment w:val="auto"/>
        <w:rPr>
          <w:rFonts w:ascii="宋体" w:hAnsi="宋体" w:cs="宋体"/>
          <w:color w:val="auto"/>
          <w:sz w:val="28"/>
          <w:szCs w:val="28"/>
          <w:highlight w:val="none"/>
        </w:rPr>
      </w:pPr>
    </w:p>
    <w:p w14:paraId="1535F652">
      <w:pPr>
        <w:keepNext w:val="0"/>
        <w:keepLines w:val="0"/>
        <w:pageBreakBefore w:val="0"/>
        <w:wordWrap w:val="0"/>
        <w:topLinePunct w:val="0"/>
        <w:bidi w:val="0"/>
        <w:adjustRightInd w:val="0"/>
        <w:snapToGrid w:val="0"/>
        <w:spacing w:line="360" w:lineRule="auto"/>
        <w:ind w:firstLine="508" w:firstLineChars="200"/>
        <w:contextualSpacing/>
        <w:jc w:val="right"/>
        <w:textAlignment w:val="auto"/>
        <w:rPr>
          <w:rFonts w:ascii="宋体" w:hAnsi="宋体" w:cs="宋体"/>
          <w:color w:val="auto"/>
          <w:sz w:val="28"/>
          <w:szCs w:val="28"/>
          <w:highlight w:val="none"/>
        </w:rPr>
      </w:pPr>
      <w:r>
        <w:rPr>
          <w:rFonts w:hint="eastAsia" w:ascii="宋体" w:hAnsi="宋体" w:cs="宋体"/>
          <w:color w:val="auto"/>
          <w:spacing w:val="7"/>
          <w:kern w:val="0"/>
          <w:sz w:val="24"/>
          <w:highlight w:val="none"/>
        </w:rPr>
        <w:t xml:space="preserve">   </w:t>
      </w:r>
      <w:r>
        <w:rPr>
          <w:rFonts w:hint="eastAsia" w:ascii="宋体" w:hAnsi="宋体" w:cs="宋体"/>
          <w:color w:val="auto"/>
          <w:spacing w:val="7"/>
          <w:kern w:val="0"/>
          <w:sz w:val="24"/>
          <w:highlight w:val="none"/>
          <w:u w:val="single"/>
        </w:rPr>
        <w:t>2025</w:t>
      </w:r>
      <w:r>
        <w:rPr>
          <w:rFonts w:hint="eastAsia" w:ascii="宋体" w:hAnsi="宋体" w:cs="宋体"/>
          <w:color w:val="auto"/>
          <w:spacing w:val="7"/>
          <w:kern w:val="0"/>
          <w:sz w:val="24"/>
          <w:highlight w:val="none"/>
        </w:rPr>
        <w:t>年</w:t>
      </w:r>
      <w:r>
        <w:rPr>
          <w:rFonts w:hint="eastAsia" w:ascii="宋体" w:hAnsi="宋体" w:cs="宋体"/>
          <w:color w:val="auto"/>
          <w:spacing w:val="7"/>
          <w:kern w:val="0"/>
          <w:sz w:val="24"/>
          <w:highlight w:val="none"/>
          <w:u w:val="single"/>
          <w:lang w:val="en-US" w:eastAsia="zh-CN"/>
        </w:rPr>
        <w:t>10</w:t>
      </w:r>
      <w:r>
        <w:rPr>
          <w:rFonts w:hint="eastAsia" w:ascii="宋体" w:hAnsi="宋体" w:cs="宋体"/>
          <w:color w:val="auto"/>
          <w:spacing w:val="7"/>
          <w:kern w:val="0"/>
          <w:sz w:val="24"/>
          <w:highlight w:val="none"/>
        </w:rPr>
        <w:t>月</w:t>
      </w:r>
      <w:r>
        <w:rPr>
          <w:rFonts w:hint="eastAsia" w:ascii="宋体" w:hAnsi="宋体" w:cs="宋体"/>
          <w:color w:val="auto"/>
          <w:spacing w:val="7"/>
          <w:kern w:val="0"/>
          <w:sz w:val="24"/>
          <w:highlight w:val="none"/>
          <w:u w:val="single"/>
          <w:lang w:val="en-US" w:eastAsia="zh-CN"/>
        </w:rPr>
        <w:t>24</w:t>
      </w:r>
      <w:r>
        <w:rPr>
          <w:rFonts w:hint="eastAsia" w:ascii="宋体" w:hAnsi="宋体" w:cs="宋体"/>
          <w:color w:val="auto"/>
          <w:spacing w:val="7"/>
          <w:kern w:val="0"/>
          <w:sz w:val="24"/>
          <w:highlight w:val="none"/>
        </w:rPr>
        <w:t>日</w:t>
      </w:r>
      <w:bookmarkEnd w:id="0"/>
    </w:p>
    <w:p w14:paraId="644D31AD">
      <w:pPr>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br w:type="page"/>
      </w:r>
    </w:p>
    <w:p w14:paraId="4190C032">
      <w:pPr>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附件1</w:t>
      </w:r>
    </w:p>
    <w:p w14:paraId="27B347C5">
      <w:pPr>
        <w:spacing w:line="420" w:lineRule="exact"/>
        <w:jc w:val="center"/>
        <w:rPr>
          <w:rFonts w:ascii="宋体" w:hAnsi="宋体" w:cs="宋体"/>
          <w:b/>
          <w:color w:val="auto"/>
          <w:kern w:val="0"/>
          <w:sz w:val="32"/>
          <w:szCs w:val="20"/>
          <w:highlight w:val="none"/>
        </w:rPr>
      </w:pPr>
      <w:r>
        <w:rPr>
          <w:rFonts w:hint="eastAsia" w:ascii="宋体" w:hAnsi="宋体" w:cs="宋体"/>
          <w:b/>
          <w:color w:val="auto"/>
          <w:kern w:val="0"/>
          <w:sz w:val="32"/>
          <w:szCs w:val="20"/>
          <w:highlight w:val="none"/>
        </w:rPr>
        <w:t>申请函</w:t>
      </w:r>
    </w:p>
    <w:p w14:paraId="6FC83043">
      <w:pPr>
        <w:spacing w:line="420" w:lineRule="exact"/>
        <w:jc w:val="left"/>
        <w:rPr>
          <w:rFonts w:ascii="宋体" w:hAnsi="宋体" w:cs="宋体"/>
          <w:b/>
          <w:color w:val="auto"/>
          <w:kern w:val="0"/>
          <w:sz w:val="32"/>
          <w:szCs w:val="20"/>
          <w:highlight w:val="none"/>
        </w:rPr>
      </w:pPr>
    </w:p>
    <w:p w14:paraId="2EFD2A6F">
      <w:pPr>
        <w:spacing w:line="360" w:lineRule="auto"/>
        <w:jc w:val="left"/>
        <w:rPr>
          <w:rFonts w:ascii="宋体" w:hAnsi="宋体" w:cs="宋体"/>
          <w:b/>
          <w:color w:val="auto"/>
          <w:kern w:val="0"/>
          <w:sz w:val="24"/>
          <w:highlight w:val="none"/>
          <w:u w:val="single"/>
        </w:rPr>
      </w:pPr>
      <w:r>
        <w:rPr>
          <w:rFonts w:hint="eastAsia" w:ascii="宋体" w:hAnsi="宋体" w:cs="宋体"/>
          <w:b/>
          <w:color w:val="auto"/>
          <w:kern w:val="0"/>
          <w:sz w:val="24"/>
          <w:highlight w:val="none"/>
        </w:rPr>
        <w:t>致：</w:t>
      </w:r>
      <w:r>
        <w:rPr>
          <w:rFonts w:hint="eastAsia" w:ascii="宋体" w:hAnsi="宋体" w:cs="宋体"/>
          <w:b/>
          <w:color w:val="auto"/>
          <w:kern w:val="0"/>
          <w:sz w:val="24"/>
          <w:highlight w:val="none"/>
          <w:u w:val="single"/>
        </w:rPr>
        <w:t>南通市公路事业发展中心</w:t>
      </w:r>
    </w:p>
    <w:p w14:paraId="6B0D611B">
      <w:pPr>
        <w:widowControl/>
        <w:shd w:val="clear" w:color="auto" w:fill="FFFFFF"/>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我公司已获悉贵单位发出的</w:t>
      </w:r>
      <w:r>
        <w:rPr>
          <w:rFonts w:hint="eastAsia" w:ascii="宋体" w:hAnsi="宋体" w:cs="宋体"/>
          <w:color w:val="auto"/>
          <w:spacing w:val="7"/>
          <w:kern w:val="0"/>
          <w:sz w:val="24"/>
          <w:highlight w:val="none"/>
          <w:u w:val="single"/>
          <w:lang w:eastAsia="zh-CN"/>
        </w:rPr>
        <w:t>2025年南通市农村公路涉水桥梁下部结构风险隐患排查市级抽查项目</w:t>
      </w:r>
      <w:r>
        <w:rPr>
          <w:rFonts w:hint="eastAsia" w:ascii="宋体" w:hAnsi="宋体" w:cs="宋体"/>
          <w:color w:val="auto"/>
          <w:spacing w:val="7"/>
          <w:kern w:val="0"/>
          <w:sz w:val="24"/>
          <w:highlight w:val="none"/>
        </w:rPr>
        <w:t>竞争性磋商公告</w:t>
      </w:r>
      <w:r>
        <w:rPr>
          <w:rFonts w:hint="eastAsia" w:ascii="宋体" w:hAnsi="宋体" w:cs="宋体"/>
          <w:color w:val="auto"/>
          <w:kern w:val="0"/>
          <w:sz w:val="24"/>
          <w:highlight w:val="none"/>
        </w:rPr>
        <w:t>，经研究，我单位拟参加本项目磋商，现申请获取磋商文件。</w:t>
      </w:r>
    </w:p>
    <w:p w14:paraId="514BBC01">
      <w:pPr>
        <w:spacing w:line="360" w:lineRule="auto"/>
        <w:ind w:firstLine="480" w:firstLineChars="200"/>
        <w:jc w:val="left"/>
        <w:rPr>
          <w:rFonts w:ascii="宋体" w:hAnsi="宋体" w:cs="宋体"/>
          <w:color w:val="auto"/>
          <w:kern w:val="0"/>
          <w:sz w:val="24"/>
          <w:highlight w:val="none"/>
        </w:rPr>
      </w:pPr>
    </w:p>
    <w:p w14:paraId="1146575E">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联系人：</w:t>
      </w:r>
      <w:r>
        <w:rPr>
          <w:rFonts w:hint="eastAsia" w:ascii="宋体" w:hAnsi="宋体" w:cs="宋体"/>
          <w:color w:val="auto"/>
          <w:spacing w:val="7"/>
          <w:kern w:val="0"/>
          <w:sz w:val="24"/>
          <w:highlight w:val="none"/>
          <w:u w:val="single"/>
        </w:rPr>
        <w:t xml:space="preserve">   </w:t>
      </w:r>
    </w:p>
    <w:p w14:paraId="472E9D1E">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联系电话：</w:t>
      </w:r>
      <w:r>
        <w:rPr>
          <w:rFonts w:hint="eastAsia" w:ascii="宋体" w:hAnsi="宋体" w:cs="宋体"/>
          <w:color w:val="auto"/>
          <w:spacing w:val="7"/>
          <w:kern w:val="0"/>
          <w:sz w:val="24"/>
          <w:highlight w:val="none"/>
          <w:u w:val="single"/>
        </w:rPr>
        <w:t xml:space="preserve">   </w:t>
      </w:r>
    </w:p>
    <w:p w14:paraId="611B9FA1">
      <w:pPr>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E-MAIL地址：</w:t>
      </w:r>
      <w:r>
        <w:rPr>
          <w:rFonts w:hint="eastAsia" w:ascii="宋体" w:hAnsi="宋体" w:cs="宋体"/>
          <w:color w:val="auto"/>
          <w:spacing w:val="7"/>
          <w:kern w:val="0"/>
          <w:sz w:val="24"/>
          <w:highlight w:val="none"/>
          <w:u w:val="single"/>
        </w:rPr>
        <w:t xml:space="preserve">   </w:t>
      </w:r>
    </w:p>
    <w:p w14:paraId="3E0DF138">
      <w:pPr>
        <w:spacing w:line="360" w:lineRule="auto"/>
        <w:jc w:val="left"/>
        <w:rPr>
          <w:rFonts w:ascii="宋体" w:hAnsi="宋体" w:cs="宋体"/>
          <w:color w:val="auto"/>
          <w:kern w:val="0"/>
          <w:sz w:val="24"/>
          <w:highlight w:val="none"/>
          <w:lang w:val="zh-CN"/>
        </w:rPr>
      </w:pPr>
    </w:p>
    <w:p w14:paraId="71109941">
      <w:pPr>
        <w:spacing w:line="360" w:lineRule="auto"/>
        <w:jc w:val="left"/>
        <w:rPr>
          <w:rFonts w:ascii="宋体" w:hAnsi="宋体" w:cs="宋体"/>
          <w:b/>
          <w:color w:val="auto"/>
          <w:kern w:val="0"/>
          <w:sz w:val="24"/>
          <w:highlight w:val="none"/>
          <w:lang w:val="zh-CN"/>
        </w:rPr>
      </w:pPr>
    </w:p>
    <w:p w14:paraId="435D64D7">
      <w:pPr>
        <w:spacing w:line="360" w:lineRule="auto"/>
        <w:jc w:val="left"/>
        <w:rPr>
          <w:rFonts w:ascii="宋体" w:hAnsi="宋体" w:cs="宋体"/>
          <w:b/>
          <w:color w:val="auto"/>
          <w:kern w:val="0"/>
          <w:sz w:val="24"/>
          <w:highlight w:val="none"/>
          <w:lang w:val="zh-CN"/>
        </w:rPr>
      </w:pPr>
    </w:p>
    <w:p w14:paraId="2D2C363E">
      <w:pPr>
        <w:spacing w:line="360" w:lineRule="auto"/>
        <w:jc w:val="left"/>
        <w:rPr>
          <w:rFonts w:ascii="宋体" w:hAnsi="宋体" w:cs="宋体"/>
          <w:b/>
          <w:color w:val="auto"/>
          <w:kern w:val="0"/>
          <w:sz w:val="24"/>
          <w:highlight w:val="none"/>
          <w:lang w:val="zh-CN"/>
        </w:rPr>
      </w:pPr>
    </w:p>
    <w:p w14:paraId="2FE9CEB1">
      <w:pPr>
        <w:spacing w:line="360" w:lineRule="auto"/>
        <w:ind w:firstLine="5280" w:firstLineChars="2200"/>
        <w:jc w:val="left"/>
        <w:rPr>
          <w:rFonts w:ascii="宋体" w:hAnsi="宋体" w:cs="宋体"/>
          <w:color w:val="auto"/>
          <w:kern w:val="0"/>
          <w:sz w:val="24"/>
          <w:highlight w:val="none"/>
          <w:u w:val="single"/>
          <w:lang w:val="zh-CN"/>
        </w:rPr>
      </w:pPr>
      <w:r>
        <w:rPr>
          <w:rFonts w:hint="eastAsia" w:ascii="宋体" w:hAnsi="宋体" w:cs="宋体"/>
          <w:color w:val="auto"/>
          <w:kern w:val="0"/>
          <w:sz w:val="24"/>
          <w:highlight w:val="none"/>
          <w:lang w:val="zh-CN"/>
        </w:rPr>
        <w:t>单位：</w:t>
      </w:r>
      <w:r>
        <w:rPr>
          <w:rFonts w:hint="eastAsia" w:ascii="宋体" w:hAnsi="宋体" w:cs="宋体"/>
          <w:color w:val="auto"/>
          <w:kern w:val="0"/>
          <w:sz w:val="24"/>
          <w:highlight w:val="none"/>
          <w:u w:val="single"/>
          <w:lang w:val="zh-CN"/>
        </w:rPr>
        <w:t xml:space="preserve"> （盖章）                 </w:t>
      </w:r>
    </w:p>
    <w:p w14:paraId="390CCEBB">
      <w:pPr>
        <w:spacing w:line="360" w:lineRule="auto"/>
        <w:jc w:val="right"/>
        <w:rPr>
          <w:rFonts w:ascii="宋体" w:hAnsi="宋体" w:cs="宋体"/>
          <w:color w:val="auto"/>
          <w:kern w:val="0"/>
          <w:sz w:val="24"/>
          <w:highlight w:val="none"/>
        </w:rPr>
      </w:pPr>
      <w:r>
        <w:rPr>
          <w:rFonts w:hint="eastAsia" w:ascii="宋体" w:hAnsi="宋体" w:cs="宋体"/>
          <w:color w:val="auto"/>
          <w:spacing w:val="7"/>
          <w:kern w:val="0"/>
          <w:sz w:val="24"/>
          <w:highlight w:val="none"/>
          <w:u w:val="single"/>
        </w:rPr>
        <w:t xml:space="preserve">   </w:t>
      </w:r>
      <w:r>
        <w:rPr>
          <w:rFonts w:hint="eastAsia" w:ascii="宋体" w:hAnsi="宋体" w:cs="宋体"/>
          <w:color w:val="auto"/>
          <w:kern w:val="0"/>
          <w:sz w:val="24"/>
          <w:highlight w:val="none"/>
          <w:lang w:val="zh-CN"/>
        </w:rPr>
        <w:t>年</w:t>
      </w:r>
      <w:r>
        <w:rPr>
          <w:rFonts w:hint="eastAsia" w:ascii="宋体" w:hAnsi="宋体" w:cs="宋体"/>
          <w:color w:val="auto"/>
          <w:spacing w:val="7"/>
          <w:kern w:val="0"/>
          <w:sz w:val="24"/>
          <w:highlight w:val="none"/>
          <w:u w:val="single"/>
        </w:rPr>
        <w:t xml:space="preserve">   </w:t>
      </w:r>
      <w:r>
        <w:rPr>
          <w:rFonts w:hint="eastAsia" w:ascii="宋体" w:hAnsi="宋体" w:cs="宋体"/>
          <w:color w:val="auto"/>
          <w:kern w:val="0"/>
          <w:sz w:val="24"/>
          <w:highlight w:val="none"/>
          <w:lang w:val="zh-CN"/>
        </w:rPr>
        <w:t>月</w:t>
      </w:r>
      <w:r>
        <w:rPr>
          <w:rFonts w:hint="eastAsia" w:ascii="宋体" w:hAnsi="宋体" w:cs="宋体"/>
          <w:color w:val="auto"/>
          <w:spacing w:val="7"/>
          <w:kern w:val="0"/>
          <w:sz w:val="24"/>
          <w:highlight w:val="none"/>
          <w:u w:val="single"/>
        </w:rPr>
        <w:t xml:space="preserve">   </w:t>
      </w:r>
      <w:r>
        <w:rPr>
          <w:rFonts w:hint="eastAsia" w:ascii="宋体" w:hAnsi="宋体" w:cs="宋体"/>
          <w:color w:val="auto"/>
          <w:kern w:val="0"/>
          <w:sz w:val="24"/>
          <w:highlight w:val="none"/>
          <w:lang w:val="zh-CN"/>
        </w:rPr>
        <w:t>日</w:t>
      </w:r>
    </w:p>
    <w:p w14:paraId="28A5AC4A">
      <w:pPr>
        <w:snapToGrid w:val="0"/>
        <w:spacing w:line="300" w:lineRule="auto"/>
        <w:ind w:firstLine="560" w:firstLineChars="200"/>
        <w:contextualSpacing/>
        <w:rPr>
          <w:rFonts w:ascii="宋体" w:hAnsi="宋体" w:cs="宋体"/>
          <w:color w:val="auto"/>
          <w:sz w:val="28"/>
          <w:szCs w:val="28"/>
          <w:highlight w:val="none"/>
        </w:rPr>
      </w:pPr>
    </w:p>
    <w:p w14:paraId="1D7E7084">
      <w:pPr>
        <w:snapToGrid w:val="0"/>
        <w:spacing w:line="300" w:lineRule="auto"/>
        <w:contextualSpacing/>
        <w:jc w:val="center"/>
        <w:rPr>
          <w:rFonts w:ascii="宋体" w:hAnsi="宋体" w:cs="宋体"/>
          <w:b/>
          <w:bCs/>
          <w:color w:val="auto"/>
          <w:sz w:val="36"/>
          <w:szCs w:val="36"/>
          <w:highlight w:val="none"/>
          <w:lang w:val="zh-CN"/>
        </w:rPr>
      </w:pPr>
      <w:r>
        <w:rPr>
          <w:rFonts w:hint="eastAsia" w:ascii="宋体" w:hAnsi="宋体" w:cs="宋体"/>
          <w:b/>
          <w:color w:val="auto"/>
          <w:sz w:val="28"/>
          <w:szCs w:val="28"/>
          <w:highlight w:val="none"/>
        </w:rPr>
        <w:br w:type="page"/>
      </w:r>
      <w:r>
        <w:rPr>
          <w:rFonts w:hint="eastAsia" w:ascii="宋体" w:hAnsi="宋体" w:cs="宋体"/>
          <w:b/>
          <w:bCs/>
          <w:color w:val="auto"/>
          <w:sz w:val="36"/>
          <w:szCs w:val="36"/>
          <w:highlight w:val="none"/>
          <w:lang w:val="zh-CN"/>
        </w:rPr>
        <w:t>第二部分 磋商须知</w:t>
      </w:r>
    </w:p>
    <w:p w14:paraId="3F74BE90">
      <w:pPr>
        <w:autoSpaceDE w:val="0"/>
        <w:autoSpaceDN w:val="0"/>
        <w:adjustRightInd w:val="0"/>
        <w:spacing w:line="360" w:lineRule="auto"/>
        <w:ind w:firstLine="482" w:firstLineChars="200"/>
        <w:outlineLvl w:val="1"/>
        <w:rPr>
          <w:rFonts w:ascii="宋体" w:hAnsi="宋体" w:cs="宋体"/>
          <w:b/>
          <w:color w:val="auto"/>
          <w:sz w:val="24"/>
          <w:highlight w:val="none"/>
          <w:lang w:val="zh-CN"/>
        </w:rPr>
      </w:pPr>
      <w:r>
        <w:rPr>
          <w:rFonts w:hint="eastAsia" w:ascii="宋体" w:hAnsi="宋体" w:cs="宋体"/>
          <w:b/>
          <w:color w:val="auto"/>
          <w:sz w:val="24"/>
          <w:highlight w:val="none"/>
          <w:lang w:val="zh-CN"/>
        </w:rPr>
        <w:t>一、说明</w:t>
      </w:r>
    </w:p>
    <w:p w14:paraId="16E09B9E">
      <w:pPr>
        <w:autoSpaceDE w:val="0"/>
        <w:autoSpaceDN w:val="0"/>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zh-CN"/>
        </w:rPr>
        <w:t>.</w:t>
      </w:r>
      <w:r>
        <w:rPr>
          <w:rFonts w:hint="eastAsia" w:ascii="宋体" w:hAnsi="宋体" w:cs="宋体"/>
          <w:color w:val="auto"/>
          <w:sz w:val="24"/>
          <w:highlight w:val="none"/>
        </w:rPr>
        <w:t>本竞争性磋商文件仅适用于采购人组织的竞争性磋商采购活动。</w:t>
      </w:r>
    </w:p>
    <w:p w14:paraId="7069155E">
      <w:pPr>
        <w:autoSpaceDE w:val="0"/>
        <w:autoSpaceDN w:val="0"/>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竞争性磋商活动及因本次磋商产生的合同受中国法律制约和保护。</w:t>
      </w:r>
    </w:p>
    <w:p w14:paraId="1DBAA131">
      <w:pPr>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3</w:t>
      </w:r>
      <w:r>
        <w:rPr>
          <w:rFonts w:hint="eastAsia" w:ascii="宋体" w:hAnsi="宋体" w:cs="宋体"/>
          <w:color w:val="auto"/>
          <w:sz w:val="24"/>
          <w:highlight w:val="none"/>
          <w:lang w:val="zh-CN"/>
        </w:rPr>
        <w:t>.</w:t>
      </w:r>
      <w:r>
        <w:rPr>
          <w:rFonts w:hint="eastAsia" w:ascii="宋体" w:hAnsi="宋体" w:cs="宋体"/>
          <w:bCs/>
          <w:color w:val="auto"/>
          <w:sz w:val="24"/>
          <w:highlight w:val="none"/>
        </w:rPr>
        <w:t>竞争性磋商文件的解释权属于采购人。</w:t>
      </w:r>
    </w:p>
    <w:p w14:paraId="6174F7BC">
      <w:pPr>
        <w:autoSpaceDE w:val="0"/>
        <w:autoSpaceDN w:val="0"/>
        <w:adjustRightInd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4</w:t>
      </w:r>
      <w:r>
        <w:rPr>
          <w:rFonts w:hint="eastAsia" w:ascii="宋体" w:hAnsi="宋体" w:cs="宋体"/>
          <w:color w:val="auto"/>
          <w:sz w:val="24"/>
          <w:highlight w:val="none"/>
          <w:lang w:val="zh-CN"/>
        </w:rPr>
        <w:t>.</w:t>
      </w:r>
      <w:r>
        <w:rPr>
          <w:rFonts w:hint="eastAsia" w:ascii="宋体" w:hAnsi="宋体" w:cs="宋体"/>
          <w:color w:val="auto"/>
          <w:sz w:val="24"/>
          <w:highlight w:val="none"/>
        </w:rPr>
        <w:t>供应商下载磋商文件后，应仔细检查磋商文件的所有内容。如内容中有页码短缺、资格要求以及任何设置有不合理的条件对供应商实行差别待遇或者歧视待遇的，</w:t>
      </w:r>
      <w:r>
        <w:rPr>
          <w:rFonts w:hint="eastAsia" w:ascii="宋体" w:hAnsi="宋体" w:cs="宋体"/>
          <w:color w:val="auto"/>
          <w:sz w:val="24"/>
          <w:highlight w:val="none"/>
          <w:lang w:val="zh-CN"/>
        </w:rPr>
        <w:t>供应商下载磋商</w:t>
      </w:r>
      <w:r>
        <w:rPr>
          <w:rFonts w:hint="eastAsia" w:ascii="宋体" w:hAnsi="宋体" w:cs="宋体"/>
          <w:color w:val="auto"/>
          <w:sz w:val="24"/>
          <w:highlight w:val="none"/>
        </w:rPr>
        <w:t>文件后，应在磋商文件发布后的</w:t>
      </w:r>
      <w:r>
        <w:rPr>
          <w:rFonts w:hint="eastAsia" w:ascii="宋体" w:hAnsi="宋体" w:cs="宋体"/>
          <w:b/>
          <w:color w:val="auto"/>
          <w:sz w:val="24"/>
          <w:highlight w:val="none"/>
          <w:lang w:val="zh-CN"/>
        </w:rPr>
        <w:t>3日内以书面形式向采购人或代理单位提出询问或疑问</w:t>
      </w:r>
      <w:r>
        <w:rPr>
          <w:rFonts w:hint="eastAsia" w:ascii="宋体" w:hAnsi="宋体" w:cs="宋体"/>
          <w:color w:val="auto"/>
          <w:sz w:val="24"/>
          <w:highlight w:val="none"/>
          <w:lang w:val="zh-CN"/>
        </w:rPr>
        <w:t>，未在规定的3日内提出询问或疑问的，视同供应商理解并接受本磋商文件所有内容，并由此引起的损失自负。</w:t>
      </w:r>
      <w:r>
        <w:rPr>
          <w:rFonts w:hint="eastAsia" w:ascii="宋体" w:hAnsi="宋体" w:cs="宋体"/>
          <w:b/>
          <w:color w:val="auto"/>
          <w:sz w:val="24"/>
          <w:highlight w:val="none"/>
        </w:rPr>
        <w:t>非书面形式的不作为日后质疑提出的依据。</w:t>
      </w:r>
    </w:p>
    <w:p w14:paraId="5D3F4A84">
      <w:pPr>
        <w:autoSpaceDE w:val="0"/>
        <w:autoSpaceDN w:val="0"/>
        <w:adjustRightInd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5.供应商应认真审阅磋商文件中所有的事项、格式、条款和规范要求等，如果供应商没有按照磋商文件要求提交响应文件，或者响应文件没有对磋商文件做出实质性响应，其投标将被拒绝，供应商自行承担责任。</w:t>
      </w:r>
    </w:p>
    <w:p w14:paraId="50875C6C">
      <w:pPr>
        <w:autoSpaceDE w:val="0"/>
        <w:autoSpaceDN w:val="0"/>
        <w:adjustRightInd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6.</w:t>
      </w:r>
      <w:r>
        <w:rPr>
          <w:rFonts w:hint="eastAsia" w:ascii="宋体" w:hAnsi="宋体" w:cs="宋体"/>
          <w:color w:val="auto"/>
          <w:sz w:val="24"/>
          <w:highlight w:val="none"/>
        </w:rPr>
        <w:t>供应商在磋商开始前自行踏勘现场，供应商务必自行认真踏勘现场条件，进一步获取所需信息，一旦成交不得对现场条件提出额外要求，不得要求增加费用，采购人可视情组织答疑会。</w:t>
      </w:r>
    </w:p>
    <w:p w14:paraId="4335C29F">
      <w:pPr>
        <w:snapToGrid w:val="0"/>
        <w:spacing w:line="360" w:lineRule="auto"/>
        <w:ind w:firstLine="482" w:firstLineChars="200"/>
        <w:contextualSpacing/>
        <w:rPr>
          <w:rFonts w:ascii="宋体" w:hAnsi="宋体" w:cs="宋体"/>
          <w:b/>
          <w:color w:val="auto"/>
          <w:sz w:val="24"/>
          <w:highlight w:val="none"/>
        </w:rPr>
      </w:pPr>
      <w:r>
        <w:rPr>
          <w:rFonts w:hint="eastAsia" w:ascii="宋体" w:hAnsi="宋体" w:cs="宋体"/>
          <w:b/>
          <w:color w:val="auto"/>
          <w:sz w:val="24"/>
          <w:highlight w:val="none"/>
        </w:rPr>
        <w:t>二、磋商文件的澄清、修改、答疑</w:t>
      </w:r>
    </w:p>
    <w:p w14:paraId="4E59600F">
      <w:pPr>
        <w:snapToGrid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zh-CN"/>
        </w:rPr>
        <w:t>.</w:t>
      </w:r>
      <w:r>
        <w:rPr>
          <w:rFonts w:hint="eastAsia" w:ascii="宋体" w:hAnsi="宋体" w:cs="宋体"/>
          <w:color w:val="auto"/>
          <w:sz w:val="24"/>
          <w:highlight w:val="none"/>
        </w:rPr>
        <w:t>采购人有权对发出的磋商文件进行必要的澄清、修改或补充。</w:t>
      </w:r>
    </w:p>
    <w:p w14:paraId="79D94935">
      <w:pPr>
        <w:snapToGrid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磋商文件的澄清、修改、补充等内容均以书面明确的形式发布，并以</w:t>
      </w:r>
      <w:r>
        <w:rPr>
          <w:rFonts w:hint="eastAsia" w:ascii="宋体" w:hAnsi="宋体" w:cs="宋体"/>
          <w:color w:val="auto"/>
          <w:spacing w:val="7"/>
          <w:kern w:val="0"/>
          <w:sz w:val="24"/>
          <w:highlight w:val="none"/>
        </w:rPr>
        <w:t>南通市交通运输局—公共资源交易栏目</w:t>
      </w:r>
      <w:r>
        <w:rPr>
          <w:rFonts w:hint="eastAsia" w:ascii="宋体" w:hAnsi="宋体" w:cs="宋体"/>
          <w:color w:val="auto"/>
          <w:sz w:val="24"/>
          <w:highlight w:val="none"/>
        </w:rPr>
        <w:t>发布的信息为准。</w:t>
      </w:r>
    </w:p>
    <w:p w14:paraId="099222C9">
      <w:pPr>
        <w:snapToGrid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zh-CN"/>
        </w:rPr>
        <w:t>.</w:t>
      </w:r>
      <w:r>
        <w:rPr>
          <w:rFonts w:hint="eastAsia" w:ascii="宋体" w:hAnsi="宋体" w:cs="宋体"/>
          <w:color w:val="auto"/>
          <w:sz w:val="24"/>
          <w:highlight w:val="none"/>
        </w:rPr>
        <w:t>采购人对磋商文件的澄清、修改将构成磋商文件的一部分，对响应磋商的供应商具有约束力。</w:t>
      </w:r>
    </w:p>
    <w:p w14:paraId="33B0CEFF">
      <w:pPr>
        <w:snapToGrid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sz w:val="24"/>
          <w:highlight w:val="none"/>
          <w:lang w:val="zh-CN"/>
        </w:rPr>
        <w:t>.</w:t>
      </w:r>
      <w:r>
        <w:rPr>
          <w:rFonts w:hint="eastAsia" w:ascii="宋体" w:hAnsi="宋体" w:cs="宋体"/>
          <w:color w:val="auto"/>
          <w:sz w:val="24"/>
          <w:highlight w:val="none"/>
        </w:rPr>
        <w:t>澄清或者修改的内容可能影响到响应文件编制的，采购人将在提交响应文件接收截止之日5日前，发布澄清或者修改公告，不足5日的，当顺延提交响应文件接收截止时间。</w:t>
      </w:r>
    </w:p>
    <w:p w14:paraId="6299F7CC">
      <w:pPr>
        <w:snapToGrid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w:t>
      </w:r>
      <w:r>
        <w:rPr>
          <w:rFonts w:hint="eastAsia" w:ascii="宋体" w:hAnsi="宋体" w:cs="宋体"/>
          <w:color w:val="auto"/>
          <w:sz w:val="24"/>
          <w:highlight w:val="none"/>
          <w:lang w:val="zh-CN"/>
        </w:rPr>
        <w:t>.</w:t>
      </w:r>
      <w:r>
        <w:rPr>
          <w:rFonts w:hint="eastAsia" w:ascii="宋体" w:hAnsi="宋体" w:cs="宋体"/>
          <w:color w:val="auto"/>
          <w:sz w:val="24"/>
          <w:highlight w:val="none"/>
        </w:rPr>
        <w:t>除非采购人以书面的形式对磋商文件作出澄清、修改及补充，供应商由于对磋商文件的任何推论和误解以及采购人对有关问题的口头解释所造成的后果，均由供应商自负。</w:t>
      </w:r>
    </w:p>
    <w:p w14:paraId="2F01F0F8">
      <w:pPr>
        <w:snapToGrid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w:t>
      </w:r>
      <w:r>
        <w:rPr>
          <w:rFonts w:hint="eastAsia" w:ascii="宋体" w:hAnsi="宋体" w:cs="宋体"/>
          <w:color w:val="auto"/>
          <w:sz w:val="24"/>
          <w:highlight w:val="none"/>
          <w:lang w:val="zh-CN"/>
        </w:rPr>
        <w:t>.</w:t>
      </w:r>
      <w:r>
        <w:rPr>
          <w:rFonts w:hint="eastAsia" w:ascii="宋体" w:hAnsi="宋体" w:cs="宋体"/>
          <w:color w:val="auto"/>
          <w:sz w:val="24"/>
          <w:highlight w:val="none"/>
        </w:rPr>
        <w:t>采购人视情况组织答疑会。如有产生答疑且对磋商文件内容有修改，采购人将按照本须知有关规定，以书面方式发出。</w:t>
      </w:r>
    </w:p>
    <w:p w14:paraId="74603044">
      <w:pPr>
        <w:snapToGrid w:val="0"/>
        <w:spacing w:line="360" w:lineRule="auto"/>
        <w:ind w:firstLine="482" w:firstLineChars="200"/>
        <w:contextualSpacing/>
        <w:rPr>
          <w:rFonts w:ascii="宋体" w:hAnsi="宋体" w:cs="宋体"/>
          <w:b/>
          <w:color w:val="auto"/>
          <w:sz w:val="24"/>
          <w:highlight w:val="none"/>
        </w:rPr>
      </w:pPr>
      <w:r>
        <w:rPr>
          <w:rFonts w:hint="eastAsia" w:ascii="宋体" w:hAnsi="宋体" w:cs="宋体"/>
          <w:b/>
          <w:color w:val="auto"/>
          <w:sz w:val="24"/>
          <w:highlight w:val="none"/>
        </w:rPr>
        <w:t>三、磋商项目涉及到的现场勘察</w:t>
      </w:r>
    </w:p>
    <w:p w14:paraId="08D5D859">
      <w:pPr>
        <w:snapToGrid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zh-CN"/>
        </w:rPr>
        <w:t>.</w:t>
      </w:r>
      <w:r>
        <w:rPr>
          <w:rFonts w:hint="eastAsia" w:ascii="宋体" w:hAnsi="宋体" w:cs="宋体"/>
          <w:color w:val="auto"/>
          <w:sz w:val="24"/>
          <w:highlight w:val="none"/>
        </w:rPr>
        <w:t>磋商文件所提供的项目相关数据仅做参考，根据自身需要，供应商可在磋商文件递交之日前对有关现场和周围环境进行勘察，以获取编制响应文件和签署合同所需的信息。勘察现场所发生的费用由供应商自己承担。</w:t>
      </w:r>
    </w:p>
    <w:p w14:paraId="5E78E2AC">
      <w:pPr>
        <w:snapToGrid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采购人向供应商提供的有关现场的资料和数据，是采购人现有的并认为能使供应商可利用的资料。采购人对供应商由此而做出的推论、理解和结论概不负责。</w:t>
      </w:r>
    </w:p>
    <w:p w14:paraId="565EF636">
      <w:pPr>
        <w:snapToGrid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zh-CN"/>
        </w:rPr>
        <w:t>.</w:t>
      </w:r>
      <w:r>
        <w:rPr>
          <w:rFonts w:hint="eastAsia" w:ascii="宋体" w:hAnsi="宋体" w:cs="宋体"/>
          <w:color w:val="auto"/>
          <w:sz w:val="24"/>
          <w:highlight w:val="none"/>
        </w:rPr>
        <w:t>经采购人允许，供应商可为勘察目的进入采购人的项目现场，但供应商不得因此使采购人承担有关的责任和蒙受损失。供应商应承担勘察现场的责任和风险。</w:t>
      </w:r>
    </w:p>
    <w:p w14:paraId="6B9399C0">
      <w:pPr>
        <w:snapToGrid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sz w:val="24"/>
          <w:highlight w:val="none"/>
          <w:lang w:val="zh-CN"/>
        </w:rPr>
        <w:t>.</w:t>
      </w:r>
      <w:r>
        <w:rPr>
          <w:rFonts w:hint="eastAsia" w:ascii="宋体" w:hAnsi="宋体" w:cs="宋体"/>
          <w:color w:val="auto"/>
          <w:sz w:val="24"/>
          <w:highlight w:val="none"/>
        </w:rPr>
        <w:t>供应商应认真踏勘现场。在现场勘察时，熟悉现场、现场周围交通道路等情况，以获得一切可能影响其投标的直接资料。供应商成交后，不得以不完全了解现场情况为理由而向采购人提出任何索赔的要求，对此采购人不承担任何责任并将不作任何答复与考虑。</w:t>
      </w:r>
    </w:p>
    <w:p w14:paraId="2E083565">
      <w:pPr>
        <w:autoSpaceDE w:val="0"/>
        <w:autoSpaceDN w:val="0"/>
        <w:adjustRightInd w:val="0"/>
        <w:snapToGrid w:val="0"/>
        <w:spacing w:line="360" w:lineRule="auto"/>
        <w:ind w:firstLine="482" w:firstLineChars="200"/>
        <w:contextualSpacing/>
        <w:rPr>
          <w:rFonts w:ascii="宋体" w:hAnsi="宋体" w:cs="宋体"/>
          <w:b/>
          <w:bCs/>
          <w:color w:val="auto"/>
          <w:sz w:val="24"/>
          <w:highlight w:val="none"/>
        </w:rPr>
      </w:pPr>
      <w:r>
        <w:rPr>
          <w:rFonts w:hint="eastAsia" w:ascii="宋体" w:hAnsi="宋体" w:cs="宋体"/>
          <w:b/>
          <w:bCs/>
          <w:color w:val="auto"/>
          <w:sz w:val="24"/>
          <w:highlight w:val="none"/>
          <w:lang w:val="zh-CN"/>
        </w:rPr>
        <w:t>四、响应文件的编写、密封及标记</w:t>
      </w:r>
    </w:p>
    <w:p w14:paraId="126ADC15">
      <w:pPr>
        <w:autoSpaceDE w:val="0"/>
        <w:autoSpaceDN w:val="0"/>
        <w:adjustRightInd w:val="0"/>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（一）响应文件的编写</w:t>
      </w:r>
    </w:p>
    <w:p w14:paraId="0164EE92">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1.供应商按“第七部分 响应文件组成”要求编写响应文件。但表格可以按同样格式扩展。除另有规定者外，磋商响应人不得修改。</w:t>
      </w:r>
    </w:p>
    <w:p w14:paraId="0B22A3A5">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2.响应文件规格幅面A4纸（图纸等除外）。</w:t>
      </w:r>
    </w:p>
    <w:p w14:paraId="7069ABD7">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3.按照磋商文件所规定的内容顺序，统一编制目录，逐页编码，由于编排混乱导致投标</w:t>
      </w:r>
      <w:r>
        <w:rPr>
          <w:rFonts w:hint="eastAsia" w:ascii="宋体" w:hAnsi="宋体" w:cs="宋体"/>
          <w:color w:val="auto"/>
          <w:sz w:val="24"/>
          <w:highlight w:val="none"/>
        </w:rPr>
        <w:t>响应</w:t>
      </w:r>
      <w:r>
        <w:rPr>
          <w:rFonts w:hint="eastAsia" w:ascii="宋体" w:hAnsi="宋体" w:cs="宋体"/>
          <w:color w:val="auto"/>
          <w:sz w:val="24"/>
          <w:highlight w:val="none"/>
          <w:lang w:val="zh-CN"/>
        </w:rPr>
        <w:t>文件被误读或查找不到，其责任应当由供应商承担；牢固装订成册，不允许使用活页夹、拉杆夹、文件夹、塑料方便式书脊（插入式或穿孔式）装订。</w:t>
      </w:r>
    </w:p>
    <w:p w14:paraId="22CF8947">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4.响应文件不得行间插字、涂改、增删，如修改错漏处，须经响应文件签署人签字并加盖公章。</w:t>
      </w:r>
    </w:p>
    <w:p w14:paraId="458221CE">
      <w:pPr>
        <w:autoSpaceDE w:val="0"/>
        <w:autoSpaceDN w:val="0"/>
        <w:adjustRightInd w:val="0"/>
        <w:snapToGrid w:val="0"/>
        <w:spacing w:line="360" w:lineRule="auto"/>
        <w:ind w:firstLine="482" w:firstLineChars="200"/>
        <w:contextualSpacing/>
        <w:rPr>
          <w:rFonts w:ascii="宋体" w:hAnsi="宋体" w:cs="宋体"/>
          <w:b/>
          <w:bCs/>
          <w:color w:val="auto"/>
          <w:sz w:val="24"/>
          <w:highlight w:val="none"/>
          <w:lang w:val="zh-CN"/>
        </w:rPr>
      </w:pPr>
      <w:r>
        <w:rPr>
          <w:rFonts w:hint="eastAsia" w:ascii="宋体" w:hAnsi="宋体" w:cs="宋体"/>
          <w:b/>
          <w:bCs/>
          <w:color w:val="auto"/>
          <w:sz w:val="24"/>
          <w:highlight w:val="none"/>
          <w:lang w:val="zh-CN"/>
        </w:rPr>
        <w:t>（二）响应文件的份数和签署</w:t>
      </w:r>
    </w:p>
    <w:p w14:paraId="1BC92B6A">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1.响应文件由：</w:t>
      </w:r>
      <w:r>
        <w:rPr>
          <w:rFonts w:hint="eastAsia" w:ascii="宋体" w:hAnsi="宋体" w:cs="宋体"/>
          <w:color w:val="auto"/>
          <w:sz w:val="24"/>
          <w:highlight w:val="none"/>
          <w:lang w:val="zh-CN"/>
        </w:rPr>
        <w:fldChar w:fldCharType="begin"/>
      </w:r>
      <w:r>
        <w:rPr>
          <w:rFonts w:hint="eastAsia" w:ascii="宋体" w:hAnsi="宋体" w:cs="宋体"/>
          <w:color w:val="auto"/>
          <w:sz w:val="24"/>
          <w:highlight w:val="none"/>
          <w:lang w:val="zh-CN"/>
        </w:rPr>
        <w:instrText xml:space="preserve"> = 1 \* GB3 </w:instrText>
      </w:r>
      <w:r>
        <w:rPr>
          <w:rFonts w:hint="eastAsia" w:ascii="宋体" w:hAnsi="宋体" w:cs="宋体"/>
          <w:color w:val="auto"/>
          <w:sz w:val="24"/>
          <w:highlight w:val="none"/>
          <w:lang w:val="zh-CN"/>
        </w:rPr>
        <w:fldChar w:fldCharType="separate"/>
      </w:r>
      <w:r>
        <w:rPr>
          <w:rFonts w:hint="eastAsia" w:ascii="宋体" w:hAnsi="宋体" w:cs="宋体"/>
          <w:color w:val="auto"/>
          <w:sz w:val="24"/>
          <w:highlight w:val="none"/>
          <w:lang w:val="zh-CN"/>
        </w:rPr>
        <w:t>①</w:t>
      </w:r>
      <w:r>
        <w:rPr>
          <w:rFonts w:hint="eastAsia" w:ascii="宋体" w:hAnsi="宋体" w:cs="宋体"/>
          <w:color w:val="auto"/>
          <w:sz w:val="24"/>
          <w:highlight w:val="none"/>
          <w:lang w:val="zh-CN"/>
        </w:rPr>
        <w:fldChar w:fldCharType="end"/>
      </w:r>
      <w:r>
        <w:rPr>
          <w:rFonts w:hint="eastAsia" w:ascii="宋体" w:hAnsi="宋体" w:cs="宋体"/>
          <w:color w:val="auto"/>
          <w:sz w:val="24"/>
          <w:highlight w:val="none"/>
          <w:lang w:val="zh-CN"/>
        </w:rPr>
        <w:t>资格审查、</w:t>
      </w:r>
      <w:r>
        <w:rPr>
          <w:rFonts w:hint="eastAsia" w:ascii="宋体" w:hAnsi="宋体" w:cs="宋体"/>
          <w:color w:val="auto"/>
          <w:sz w:val="24"/>
          <w:highlight w:val="none"/>
          <w:lang w:val="zh-CN"/>
        </w:rPr>
        <w:fldChar w:fldCharType="begin"/>
      </w:r>
      <w:r>
        <w:rPr>
          <w:rFonts w:hint="eastAsia" w:ascii="宋体" w:hAnsi="宋体" w:cs="宋体"/>
          <w:color w:val="auto"/>
          <w:sz w:val="24"/>
          <w:highlight w:val="none"/>
          <w:lang w:val="zh-CN"/>
        </w:rPr>
        <w:instrText xml:space="preserve"> = 2 \* GB3 </w:instrText>
      </w:r>
      <w:r>
        <w:rPr>
          <w:rFonts w:hint="eastAsia" w:ascii="宋体" w:hAnsi="宋体" w:cs="宋体"/>
          <w:color w:val="auto"/>
          <w:sz w:val="24"/>
          <w:highlight w:val="none"/>
          <w:lang w:val="zh-CN"/>
        </w:rPr>
        <w:fldChar w:fldCharType="separate"/>
      </w:r>
      <w:r>
        <w:rPr>
          <w:rFonts w:hint="eastAsia" w:ascii="宋体" w:hAnsi="宋体" w:cs="宋体"/>
          <w:color w:val="auto"/>
          <w:sz w:val="24"/>
          <w:highlight w:val="none"/>
          <w:lang w:val="zh-CN"/>
        </w:rPr>
        <w:t>②</w:t>
      </w:r>
      <w:r>
        <w:rPr>
          <w:rFonts w:hint="eastAsia" w:ascii="宋体" w:hAnsi="宋体" w:cs="宋体"/>
          <w:color w:val="auto"/>
          <w:sz w:val="24"/>
          <w:highlight w:val="none"/>
          <w:lang w:val="zh-CN"/>
        </w:rPr>
        <w:fldChar w:fldCharType="end"/>
      </w:r>
      <w:r>
        <w:rPr>
          <w:rFonts w:hint="eastAsia" w:ascii="宋体" w:hAnsi="宋体" w:cs="宋体"/>
          <w:color w:val="auto"/>
          <w:sz w:val="24"/>
          <w:highlight w:val="none"/>
          <w:lang w:val="zh-CN"/>
        </w:rPr>
        <w:t>商务技术响应文件、③价格响应文件、④电子</w:t>
      </w:r>
      <w:r>
        <w:rPr>
          <w:rFonts w:hint="eastAsia" w:ascii="宋体" w:hAnsi="宋体" w:cs="宋体"/>
          <w:color w:val="auto"/>
          <w:sz w:val="24"/>
          <w:highlight w:val="none"/>
        </w:rPr>
        <w:t>版响应</w:t>
      </w:r>
      <w:r>
        <w:rPr>
          <w:rFonts w:hint="eastAsia" w:ascii="宋体" w:hAnsi="宋体" w:cs="宋体"/>
          <w:color w:val="auto"/>
          <w:sz w:val="24"/>
          <w:highlight w:val="none"/>
          <w:lang w:val="zh-CN"/>
        </w:rPr>
        <w:t>文件共4部分组成（以下由文件序号代称）。</w:t>
      </w:r>
    </w:p>
    <w:p w14:paraId="1480D375">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2.纸质响应文件（</w:t>
      </w:r>
      <w:r>
        <w:rPr>
          <w:rFonts w:hint="eastAsia" w:ascii="宋体" w:hAnsi="宋体" w:cs="宋体"/>
          <w:color w:val="auto"/>
          <w:sz w:val="24"/>
          <w:highlight w:val="none"/>
        </w:rPr>
        <w:t>即</w:t>
      </w:r>
      <w:r>
        <w:rPr>
          <w:rFonts w:hint="eastAsia" w:ascii="宋体" w:hAnsi="宋体" w:cs="宋体"/>
          <w:color w:val="auto"/>
          <w:sz w:val="24"/>
          <w:highlight w:val="none"/>
          <w:lang w:val="zh-CN"/>
        </w:rPr>
        <w:fldChar w:fldCharType="begin"/>
      </w:r>
      <w:r>
        <w:rPr>
          <w:rFonts w:hint="eastAsia" w:ascii="宋体" w:hAnsi="宋体" w:cs="宋体"/>
          <w:color w:val="auto"/>
          <w:sz w:val="24"/>
          <w:highlight w:val="none"/>
          <w:lang w:val="zh-CN"/>
        </w:rPr>
        <w:instrText xml:space="preserve"> = 1 \* GB3 </w:instrText>
      </w:r>
      <w:r>
        <w:rPr>
          <w:rFonts w:hint="eastAsia" w:ascii="宋体" w:hAnsi="宋体" w:cs="宋体"/>
          <w:color w:val="auto"/>
          <w:sz w:val="24"/>
          <w:highlight w:val="none"/>
          <w:lang w:val="zh-CN"/>
        </w:rPr>
        <w:fldChar w:fldCharType="separate"/>
      </w:r>
      <w:r>
        <w:rPr>
          <w:rFonts w:hint="eastAsia" w:ascii="宋体" w:hAnsi="宋体" w:cs="宋体"/>
          <w:color w:val="auto"/>
          <w:sz w:val="24"/>
          <w:highlight w:val="none"/>
          <w:lang w:val="zh-CN"/>
        </w:rPr>
        <w:t>①</w:t>
      </w:r>
      <w:r>
        <w:rPr>
          <w:rFonts w:hint="eastAsia" w:ascii="宋体" w:hAnsi="宋体" w:cs="宋体"/>
          <w:color w:val="auto"/>
          <w:sz w:val="24"/>
          <w:highlight w:val="none"/>
          <w:lang w:val="zh-CN"/>
        </w:rPr>
        <w:fldChar w:fldCharType="end"/>
      </w:r>
      <w:r>
        <w:rPr>
          <w:rFonts w:hint="eastAsia" w:ascii="宋体" w:hAnsi="宋体" w:cs="宋体"/>
          <w:color w:val="auto"/>
          <w:sz w:val="24"/>
          <w:highlight w:val="none"/>
          <w:lang w:val="zh-CN"/>
        </w:rPr>
        <w:t>资格审查、</w:t>
      </w:r>
      <w:r>
        <w:rPr>
          <w:rFonts w:hint="eastAsia" w:ascii="宋体" w:hAnsi="宋体" w:cs="宋体"/>
          <w:color w:val="auto"/>
          <w:sz w:val="24"/>
          <w:highlight w:val="none"/>
          <w:lang w:val="zh-CN"/>
        </w:rPr>
        <w:fldChar w:fldCharType="begin"/>
      </w:r>
      <w:r>
        <w:rPr>
          <w:rFonts w:hint="eastAsia" w:ascii="宋体" w:hAnsi="宋体" w:cs="宋体"/>
          <w:color w:val="auto"/>
          <w:sz w:val="24"/>
          <w:highlight w:val="none"/>
          <w:lang w:val="zh-CN"/>
        </w:rPr>
        <w:instrText xml:space="preserve"> = 2 \* GB3 </w:instrText>
      </w:r>
      <w:r>
        <w:rPr>
          <w:rFonts w:hint="eastAsia" w:ascii="宋体" w:hAnsi="宋体" w:cs="宋体"/>
          <w:color w:val="auto"/>
          <w:sz w:val="24"/>
          <w:highlight w:val="none"/>
          <w:lang w:val="zh-CN"/>
        </w:rPr>
        <w:fldChar w:fldCharType="separate"/>
      </w:r>
      <w:r>
        <w:rPr>
          <w:rFonts w:hint="eastAsia" w:ascii="宋体" w:hAnsi="宋体" w:cs="宋体"/>
          <w:color w:val="auto"/>
          <w:sz w:val="24"/>
          <w:highlight w:val="none"/>
          <w:lang w:val="zh-CN"/>
        </w:rPr>
        <w:t>②</w:t>
      </w:r>
      <w:r>
        <w:rPr>
          <w:rFonts w:hint="eastAsia" w:ascii="宋体" w:hAnsi="宋体" w:cs="宋体"/>
          <w:color w:val="auto"/>
          <w:sz w:val="24"/>
          <w:highlight w:val="none"/>
          <w:lang w:val="zh-CN"/>
        </w:rPr>
        <w:fldChar w:fldCharType="end"/>
      </w:r>
      <w:r>
        <w:rPr>
          <w:rFonts w:hint="eastAsia" w:ascii="宋体" w:hAnsi="宋体" w:cs="宋体"/>
          <w:color w:val="auto"/>
          <w:sz w:val="24"/>
          <w:highlight w:val="none"/>
          <w:lang w:val="zh-CN"/>
        </w:rPr>
        <w:t>商务技术文件、③价格响应文件，</w:t>
      </w:r>
      <w:r>
        <w:rPr>
          <w:rFonts w:hint="eastAsia" w:ascii="宋体" w:hAnsi="宋体" w:cs="宋体"/>
          <w:color w:val="auto"/>
          <w:sz w:val="24"/>
          <w:highlight w:val="none"/>
        </w:rPr>
        <w:t>下同</w:t>
      </w:r>
      <w:r>
        <w:rPr>
          <w:rFonts w:hint="eastAsia" w:ascii="宋体" w:hAnsi="宋体" w:cs="宋体"/>
          <w:color w:val="auto"/>
          <w:sz w:val="24"/>
          <w:highlight w:val="none"/>
          <w:lang w:val="zh-CN"/>
        </w:rPr>
        <w:t>）均为一式叁份，其中“正本”壹份和“副本”贰份。电子</w:t>
      </w:r>
      <w:r>
        <w:rPr>
          <w:rFonts w:hint="eastAsia" w:ascii="宋体" w:hAnsi="宋体" w:cs="宋体"/>
          <w:color w:val="auto"/>
          <w:sz w:val="24"/>
          <w:highlight w:val="none"/>
        </w:rPr>
        <w:t>版响应</w:t>
      </w:r>
      <w:r>
        <w:rPr>
          <w:rFonts w:hint="eastAsia" w:ascii="宋体" w:hAnsi="宋体" w:cs="宋体"/>
          <w:color w:val="auto"/>
          <w:sz w:val="24"/>
          <w:highlight w:val="none"/>
          <w:lang w:val="zh-CN"/>
        </w:rPr>
        <w:t>文件1份（具体要求详见第七部分响应文件组成）。</w:t>
      </w:r>
    </w:p>
    <w:p w14:paraId="0CA20AB2">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3.在每份纸质响应文件上要明确标注项目名称、对应的响应文件名称、供应商的全称、日期、“正本”、“副本”字样。“正本”和“副本”若有差异，概以“正本”为准。</w:t>
      </w:r>
    </w:p>
    <w:p w14:paraId="425CEA52">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4.响应文件中的所有“正本”，其正文内容须按磋商文件要求由供应商法定代表人或被授权人签字（或盖章）并加盖单位公章。“副本”可复印，但须加盖单位公章。</w:t>
      </w:r>
    </w:p>
    <w:p w14:paraId="4C8C9A41">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5.电子版响应文件</w:t>
      </w:r>
    </w:p>
    <w:p w14:paraId="23B3A1E8">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电子版响应文件即为上述</w:t>
      </w:r>
      <w:r>
        <w:rPr>
          <w:rFonts w:hint="eastAsia" w:ascii="宋体" w:hAnsi="宋体" w:cs="宋体"/>
          <w:color w:val="auto"/>
          <w:sz w:val="24"/>
          <w:highlight w:val="none"/>
          <w:lang w:val="zh-CN"/>
        </w:rPr>
        <w:fldChar w:fldCharType="begin"/>
      </w:r>
      <w:r>
        <w:rPr>
          <w:rFonts w:hint="eastAsia" w:ascii="宋体" w:hAnsi="宋体" w:cs="宋体"/>
          <w:color w:val="auto"/>
          <w:sz w:val="24"/>
          <w:highlight w:val="none"/>
          <w:lang w:val="zh-CN"/>
        </w:rPr>
        <w:instrText xml:space="preserve"> = 1 \* GB3 </w:instrText>
      </w:r>
      <w:r>
        <w:rPr>
          <w:rFonts w:hint="eastAsia" w:ascii="宋体" w:hAnsi="宋体" w:cs="宋体"/>
          <w:color w:val="auto"/>
          <w:sz w:val="24"/>
          <w:highlight w:val="none"/>
          <w:lang w:val="zh-CN"/>
        </w:rPr>
        <w:fldChar w:fldCharType="separate"/>
      </w:r>
      <w:r>
        <w:rPr>
          <w:rFonts w:hint="eastAsia" w:ascii="宋体" w:hAnsi="宋体" w:cs="宋体"/>
          <w:color w:val="auto"/>
          <w:sz w:val="24"/>
          <w:highlight w:val="none"/>
          <w:lang w:val="zh-CN"/>
        </w:rPr>
        <w:t>①</w:t>
      </w:r>
      <w:r>
        <w:rPr>
          <w:rFonts w:hint="eastAsia" w:ascii="宋体" w:hAnsi="宋体" w:cs="宋体"/>
          <w:color w:val="auto"/>
          <w:sz w:val="24"/>
          <w:highlight w:val="none"/>
          <w:lang w:val="zh-CN"/>
        </w:rPr>
        <w:fldChar w:fldCharType="end"/>
      </w:r>
      <w:r>
        <w:rPr>
          <w:rFonts w:hint="eastAsia" w:ascii="宋体" w:hAnsi="宋体" w:cs="宋体"/>
          <w:color w:val="auto"/>
          <w:sz w:val="24"/>
          <w:highlight w:val="none"/>
          <w:lang w:val="zh-CN"/>
        </w:rPr>
        <w:t>资格审查、</w:t>
      </w:r>
      <w:r>
        <w:rPr>
          <w:rFonts w:hint="eastAsia" w:ascii="宋体" w:hAnsi="宋体" w:cs="宋体"/>
          <w:color w:val="auto"/>
          <w:sz w:val="24"/>
          <w:highlight w:val="none"/>
          <w:lang w:val="zh-CN"/>
        </w:rPr>
        <w:fldChar w:fldCharType="begin"/>
      </w:r>
      <w:r>
        <w:rPr>
          <w:rFonts w:hint="eastAsia" w:ascii="宋体" w:hAnsi="宋体" w:cs="宋体"/>
          <w:color w:val="auto"/>
          <w:sz w:val="24"/>
          <w:highlight w:val="none"/>
          <w:lang w:val="zh-CN"/>
        </w:rPr>
        <w:instrText xml:space="preserve"> = 2 \* GB3 </w:instrText>
      </w:r>
      <w:r>
        <w:rPr>
          <w:rFonts w:hint="eastAsia" w:ascii="宋体" w:hAnsi="宋体" w:cs="宋体"/>
          <w:color w:val="auto"/>
          <w:sz w:val="24"/>
          <w:highlight w:val="none"/>
          <w:lang w:val="zh-CN"/>
        </w:rPr>
        <w:fldChar w:fldCharType="separate"/>
      </w:r>
      <w:r>
        <w:rPr>
          <w:rFonts w:hint="eastAsia" w:ascii="宋体" w:hAnsi="宋体" w:cs="宋体"/>
          <w:color w:val="auto"/>
          <w:sz w:val="24"/>
          <w:highlight w:val="none"/>
          <w:lang w:val="zh-CN"/>
        </w:rPr>
        <w:t>②</w:t>
      </w:r>
      <w:r>
        <w:rPr>
          <w:rFonts w:hint="eastAsia" w:ascii="宋体" w:hAnsi="宋体" w:cs="宋体"/>
          <w:color w:val="auto"/>
          <w:sz w:val="24"/>
          <w:highlight w:val="none"/>
          <w:lang w:val="zh-CN"/>
        </w:rPr>
        <w:fldChar w:fldCharType="end"/>
      </w:r>
      <w:r>
        <w:rPr>
          <w:rFonts w:hint="eastAsia" w:ascii="宋体" w:hAnsi="宋体" w:cs="宋体"/>
          <w:color w:val="auto"/>
          <w:sz w:val="24"/>
          <w:highlight w:val="none"/>
          <w:lang w:val="zh-CN"/>
        </w:rPr>
        <w:t>商务技术文件、③价格响应文件签字盖章后纸质版响应文件的扫描件，全部内容均存入一份U盘即可。</w:t>
      </w:r>
    </w:p>
    <w:p w14:paraId="056459C0">
      <w:pPr>
        <w:autoSpaceDE w:val="0"/>
        <w:autoSpaceDN w:val="0"/>
        <w:adjustRightInd w:val="0"/>
        <w:snapToGrid w:val="0"/>
        <w:spacing w:line="360" w:lineRule="auto"/>
        <w:ind w:firstLine="482" w:firstLineChars="200"/>
        <w:contextualSpacing/>
        <w:jc w:val="left"/>
        <w:rPr>
          <w:rFonts w:ascii="宋体" w:hAnsi="宋体" w:cs="宋体"/>
          <w:b/>
          <w:bCs/>
          <w:color w:val="auto"/>
          <w:sz w:val="24"/>
          <w:highlight w:val="none"/>
          <w:lang w:val="zh-CN"/>
        </w:rPr>
      </w:pPr>
      <w:r>
        <w:rPr>
          <w:rFonts w:hint="eastAsia" w:ascii="宋体" w:hAnsi="宋体" w:cs="宋体"/>
          <w:b/>
          <w:bCs/>
          <w:color w:val="auto"/>
          <w:sz w:val="24"/>
          <w:highlight w:val="none"/>
          <w:lang w:val="zh-CN"/>
        </w:rPr>
        <w:t>（三）响应文件的密封及标记</w:t>
      </w:r>
    </w:p>
    <w:p w14:paraId="2D13FDB7">
      <w:pPr>
        <w:autoSpaceDE w:val="0"/>
        <w:autoSpaceDN w:val="0"/>
        <w:adjustRightInd w:val="0"/>
        <w:snapToGrid w:val="0"/>
        <w:spacing w:line="360" w:lineRule="auto"/>
        <w:ind w:firstLine="480" w:firstLineChars="200"/>
        <w:contextualSpacing/>
        <w:jc w:val="left"/>
        <w:rPr>
          <w:rFonts w:ascii="宋体" w:hAnsi="宋体" w:cs="宋体"/>
          <w:b/>
          <w:bCs/>
          <w:color w:val="auto"/>
          <w:sz w:val="24"/>
          <w:highlight w:val="none"/>
          <w:u w:val="double"/>
          <w:lang w:val="zh-CN"/>
        </w:rPr>
      </w:pPr>
      <w:r>
        <w:rPr>
          <w:rFonts w:hint="eastAsia" w:ascii="宋体" w:hAnsi="宋体" w:cs="宋体"/>
          <w:color w:val="auto"/>
          <w:sz w:val="24"/>
          <w:highlight w:val="none"/>
          <w:lang w:val="zh-CN"/>
        </w:rPr>
        <w:t>1.供应商须将本项目响应文件：</w:t>
      </w:r>
      <w:r>
        <w:rPr>
          <w:rFonts w:hint="eastAsia" w:ascii="宋体" w:hAnsi="宋体" w:cs="宋体"/>
          <w:b/>
          <w:bCs/>
          <w:color w:val="auto"/>
          <w:sz w:val="24"/>
          <w:highlight w:val="none"/>
          <w:u w:val="double"/>
          <w:lang w:val="zh-CN"/>
        </w:rPr>
        <w:fldChar w:fldCharType="begin"/>
      </w:r>
      <w:r>
        <w:rPr>
          <w:rFonts w:hint="eastAsia" w:ascii="宋体" w:hAnsi="宋体" w:cs="宋体"/>
          <w:b/>
          <w:bCs/>
          <w:color w:val="auto"/>
          <w:sz w:val="24"/>
          <w:highlight w:val="none"/>
          <w:u w:val="double"/>
          <w:lang w:val="zh-CN"/>
        </w:rPr>
        <w:instrText xml:space="preserve"> = 1 \* GB3 </w:instrText>
      </w:r>
      <w:r>
        <w:rPr>
          <w:rFonts w:hint="eastAsia" w:ascii="宋体" w:hAnsi="宋体" w:cs="宋体"/>
          <w:b/>
          <w:bCs/>
          <w:color w:val="auto"/>
          <w:sz w:val="24"/>
          <w:highlight w:val="none"/>
          <w:u w:val="double"/>
          <w:lang w:val="zh-CN"/>
        </w:rPr>
        <w:fldChar w:fldCharType="separate"/>
      </w:r>
      <w:r>
        <w:rPr>
          <w:rFonts w:hint="eastAsia" w:ascii="宋体" w:hAnsi="宋体" w:cs="宋体"/>
          <w:b/>
          <w:bCs/>
          <w:color w:val="auto"/>
          <w:sz w:val="24"/>
          <w:highlight w:val="none"/>
          <w:u w:val="double"/>
          <w:lang w:val="zh-CN"/>
        </w:rPr>
        <w:t>①</w:t>
      </w:r>
      <w:r>
        <w:rPr>
          <w:rFonts w:hint="eastAsia" w:ascii="宋体" w:hAnsi="宋体" w:cs="宋体"/>
          <w:b/>
          <w:bCs/>
          <w:color w:val="auto"/>
          <w:sz w:val="24"/>
          <w:highlight w:val="none"/>
          <w:u w:val="double"/>
          <w:lang w:val="zh-CN"/>
        </w:rPr>
        <w:fldChar w:fldCharType="end"/>
      </w:r>
      <w:r>
        <w:rPr>
          <w:rFonts w:hint="eastAsia" w:ascii="宋体" w:hAnsi="宋体" w:cs="宋体"/>
          <w:b/>
          <w:bCs/>
          <w:color w:val="auto"/>
          <w:sz w:val="24"/>
          <w:highlight w:val="none"/>
          <w:u w:val="double"/>
          <w:lang w:val="zh-CN"/>
        </w:rPr>
        <w:t>、</w:t>
      </w:r>
      <w:r>
        <w:rPr>
          <w:rFonts w:hint="eastAsia" w:ascii="宋体" w:hAnsi="宋体" w:cs="宋体"/>
          <w:b/>
          <w:bCs/>
          <w:color w:val="auto"/>
          <w:sz w:val="24"/>
          <w:highlight w:val="none"/>
          <w:u w:val="double"/>
          <w:lang w:val="zh-CN"/>
        </w:rPr>
        <w:fldChar w:fldCharType="begin"/>
      </w:r>
      <w:r>
        <w:rPr>
          <w:rFonts w:hint="eastAsia" w:ascii="宋体" w:hAnsi="宋体" w:cs="宋体"/>
          <w:b/>
          <w:bCs/>
          <w:color w:val="auto"/>
          <w:sz w:val="24"/>
          <w:highlight w:val="none"/>
          <w:u w:val="double"/>
          <w:lang w:val="zh-CN"/>
        </w:rPr>
        <w:instrText xml:space="preserve"> = 2 \* GB3 </w:instrText>
      </w:r>
      <w:r>
        <w:rPr>
          <w:rFonts w:hint="eastAsia" w:ascii="宋体" w:hAnsi="宋体" w:cs="宋体"/>
          <w:b/>
          <w:bCs/>
          <w:color w:val="auto"/>
          <w:sz w:val="24"/>
          <w:highlight w:val="none"/>
          <w:u w:val="double"/>
          <w:lang w:val="zh-CN"/>
        </w:rPr>
        <w:fldChar w:fldCharType="separate"/>
      </w:r>
      <w:r>
        <w:rPr>
          <w:rFonts w:hint="eastAsia" w:ascii="宋体" w:hAnsi="宋体" w:cs="宋体"/>
          <w:b/>
          <w:bCs/>
          <w:color w:val="auto"/>
          <w:sz w:val="24"/>
          <w:highlight w:val="none"/>
          <w:u w:val="double"/>
          <w:lang w:val="zh-CN"/>
        </w:rPr>
        <w:t>②</w:t>
      </w:r>
      <w:r>
        <w:rPr>
          <w:rFonts w:hint="eastAsia" w:ascii="宋体" w:hAnsi="宋体" w:cs="宋体"/>
          <w:b/>
          <w:bCs/>
          <w:color w:val="auto"/>
          <w:sz w:val="24"/>
          <w:highlight w:val="none"/>
          <w:u w:val="double"/>
          <w:lang w:val="zh-CN"/>
        </w:rPr>
        <w:fldChar w:fldCharType="end"/>
      </w:r>
      <w:r>
        <w:rPr>
          <w:rFonts w:hint="eastAsia" w:ascii="宋体" w:hAnsi="宋体" w:cs="宋体"/>
          <w:b/>
          <w:bCs/>
          <w:color w:val="auto"/>
          <w:sz w:val="24"/>
          <w:highlight w:val="none"/>
          <w:u w:val="double"/>
          <w:lang w:val="zh-CN"/>
        </w:rPr>
        <w:t>、③单独密封；④密封至③的封袋内。</w:t>
      </w:r>
    </w:p>
    <w:p w14:paraId="0F3498FA">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2.供应商可将响应文件正副本统一密封或分别密封，如正本和副本分别密封的，应在封袋或封箱上标明正、副本字样。</w:t>
      </w:r>
    </w:p>
    <w:p w14:paraId="037605D9">
      <w:pPr>
        <w:autoSpaceDE w:val="0"/>
        <w:autoSpaceDN w:val="0"/>
        <w:adjustRightInd w:val="0"/>
        <w:snapToGrid w:val="0"/>
        <w:spacing w:line="360" w:lineRule="auto"/>
        <w:ind w:firstLine="480" w:firstLineChars="200"/>
        <w:contextualSpacing/>
        <w:jc w:val="left"/>
        <w:rPr>
          <w:rFonts w:ascii="宋体" w:hAnsi="宋体" w:cs="宋体"/>
          <w:b/>
          <w:bCs/>
          <w:color w:val="auto"/>
          <w:sz w:val="24"/>
          <w:highlight w:val="none"/>
          <w:u w:val="double"/>
          <w:lang w:val="zh-CN"/>
        </w:rPr>
      </w:pPr>
      <w:r>
        <w:rPr>
          <w:rFonts w:hint="eastAsia" w:ascii="宋体" w:hAnsi="宋体" w:cs="宋体"/>
          <w:color w:val="auto"/>
          <w:sz w:val="24"/>
          <w:highlight w:val="none"/>
          <w:lang w:val="zh-CN"/>
        </w:rPr>
        <w:t>3.密封后，应在封袋或封箱上明确标注</w:t>
      </w:r>
      <w:r>
        <w:rPr>
          <w:rFonts w:hint="eastAsia" w:ascii="宋体" w:hAnsi="宋体" w:cs="宋体"/>
          <w:b/>
          <w:bCs/>
          <w:color w:val="auto"/>
          <w:sz w:val="24"/>
          <w:highlight w:val="none"/>
          <w:u w:val="double"/>
          <w:lang w:val="zh-CN"/>
        </w:rPr>
        <w:t>磋商项目名称、响应文件各自对应的名称、供应商的全称及日期。</w:t>
      </w:r>
    </w:p>
    <w:p w14:paraId="09CF111D">
      <w:pPr>
        <w:autoSpaceDE w:val="0"/>
        <w:autoSpaceDN w:val="0"/>
        <w:adjustRightInd w:val="0"/>
        <w:snapToGrid w:val="0"/>
        <w:spacing w:line="360" w:lineRule="auto"/>
        <w:ind w:firstLine="480" w:firstLineChars="200"/>
        <w:contextualSpacing/>
        <w:jc w:val="left"/>
        <w:rPr>
          <w:rFonts w:ascii="宋体" w:hAnsi="宋体" w:cs="宋体"/>
          <w:b/>
          <w:bCs/>
          <w:color w:val="auto"/>
          <w:sz w:val="24"/>
          <w:highlight w:val="none"/>
          <w:u w:val="double"/>
          <w:lang w:val="zh-CN"/>
        </w:rPr>
      </w:pPr>
      <w:r>
        <w:rPr>
          <w:rFonts w:hint="eastAsia" w:ascii="宋体" w:hAnsi="宋体" w:cs="宋体"/>
          <w:color w:val="auto"/>
          <w:sz w:val="24"/>
          <w:highlight w:val="none"/>
          <w:lang w:val="zh-CN"/>
        </w:rPr>
        <w:t>4.</w:t>
      </w:r>
      <w:r>
        <w:rPr>
          <w:rFonts w:hint="eastAsia" w:ascii="宋体" w:hAnsi="宋体" w:cs="宋体"/>
          <w:b/>
          <w:bCs/>
          <w:color w:val="auto"/>
          <w:sz w:val="24"/>
          <w:highlight w:val="none"/>
          <w:u w:val="double"/>
          <w:lang w:val="zh-CN"/>
        </w:rPr>
        <w:t>在边缝处加盖供应商公章或骑缝签字。</w:t>
      </w:r>
    </w:p>
    <w:p w14:paraId="200CD555">
      <w:pPr>
        <w:autoSpaceDE w:val="0"/>
        <w:autoSpaceDN w:val="0"/>
        <w:adjustRightInd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5.采购人将拒绝接收未按照磋商文件要求密封的响应文件。</w:t>
      </w:r>
    </w:p>
    <w:p w14:paraId="283C723B">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【特别提醒】响应文件中</w:t>
      </w:r>
      <w:r>
        <w:rPr>
          <w:rFonts w:hint="eastAsia" w:ascii="宋体" w:hAnsi="宋体" w:cs="宋体"/>
          <w:color w:val="auto"/>
          <w:sz w:val="24"/>
          <w:highlight w:val="none"/>
          <w:lang w:val="zh-CN"/>
        </w:rPr>
        <w:fldChar w:fldCharType="begin"/>
      </w:r>
      <w:r>
        <w:rPr>
          <w:rFonts w:hint="eastAsia" w:ascii="宋体" w:hAnsi="宋体" w:cs="宋体"/>
          <w:color w:val="auto"/>
          <w:sz w:val="24"/>
          <w:highlight w:val="none"/>
          <w:lang w:val="zh-CN"/>
        </w:rPr>
        <w:instrText xml:space="preserve"> = 1 \* GB3 </w:instrText>
      </w:r>
      <w:r>
        <w:rPr>
          <w:rFonts w:hint="eastAsia" w:ascii="宋体" w:hAnsi="宋体" w:cs="宋体"/>
          <w:color w:val="auto"/>
          <w:sz w:val="24"/>
          <w:highlight w:val="none"/>
          <w:lang w:val="zh-CN"/>
        </w:rPr>
        <w:fldChar w:fldCharType="separate"/>
      </w:r>
      <w:r>
        <w:rPr>
          <w:rFonts w:hint="eastAsia" w:ascii="宋体" w:hAnsi="宋体" w:cs="宋体"/>
          <w:color w:val="auto"/>
          <w:sz w:val="24"/>
          <w:highlight w:val="none"/>
          <w:lang w:val="zh-CN"/>
        </w:rPr>
        <w:t>①</w:t>
      </w:r>
      <w:r>
        <w:rPr>
          <w:rFonts w:hint="eastAsia" w:ascii="宋体" w:hAnsi="宋体" w:cs="宋体"/>
          <w:color w:val="auto"/>
          <w:sz w:val="24"/>
          <w:highlight w:val="none"/>
          <w:lang w:val="zh-CN"/>
        </w:rPr>
        <w:fldChar w:fldCharType="end"/>
      </w:r>
      <w:r>
        <w:rPr>
          <w:rFonts w:hint="eastAsia" w:ascii="宋体" w:hAnsi="宋体" w:cs="宋体"/>
          <w:color w:val="auto"/>
          <w:sz w:val="24"/>
          <w:highlight w:val="none"/>
          <w:lang w:val="zh-CN"/>
        </w:rPr>
        <w:t>、</w:t>
      </w:r>
      <w:r>
        <w:rPr>
          <w:rFonts w:hint="eastAsia" w:ascii="宋体" w:hAnsi="宋体" w:cs="宋体"/>
          <w:color w:val="auto"/>
          <w:sz w:val="24"/>
          <w:highlight w:val="none"/>
          <w:lang w:val="zh-CN"/>
        </w:rPr>
        <w:fldChar w:fldCharType="begin"/>
      </w:r>
      <w:r>
        <w:rPr>
          <w:rFonts w:hint="eastAsia" w:ascii="宋体" w:hAnsi="宋体" w:cs="宋体"/>
          <w:color w:val="auto"/>
          <w:sz w:val="24"/>
          <w:highlight w:val="none"/>
          <w:lang w:val="zh-CN"/>
        </w:rPr>
        <w:instrText xml:space="preserve"> = 2 \* GB3 </w:instrText>
      </w:r>
      <w:r>
        <w:rPr>
          <w:rFonts w:hint="eastAsia" w:ascii="宋体" w:hAnsi="宋体" w:cs="宋体"/>
          <w:color w:val="auto"/>
          <w:sz w:val="24"/>
          <w:highlight w:val="none"/>
          <w:lang w:val="zh-CN"/>
        </w:rPr>
        <w:fldChar w:fldCharType="separate"/>
      </w:r>
      <w:r>
        <w:rPr>
          <w:rFonts w:hint="eastAsia" w:ascii="宋体" w:hAnsi="宋体" w:cs="宋体"/>
          <w:color w:val="auto"/>
          <w:sz w:val="24"/>
          <w:highlight w:val="none"/>
          <w:lang w:val="zh-CN"/>
        </w:rPr>
        <w:t>②</w:t>
      </w:r>
      <w:r>
        <w:rPr>
          <w:rFonts w:hint="eastAsia" w:ascii="宋体" w:hAnsi="宋体" w:cs="宋体"/>
          <w:color w:val="auto"/>
          <w:sz w:val="24"/>
          <w:highlight w:val="none"/>
          <w:lang w:val="zh-CN"/>
        </w:rPr>
        <w:fldChar w:fldCharType="end"/>
      </w:r>
      <w:r>
        <w:rPr>
          <w:rFonts w:hint="eastAsia" w:ascii="宋体" w:hAnsi="宋体" w:cs="宋体"/>
          <w:color w:val="auto"/>
          <w:sz w:val="24"/>
          <w:highlight w:val="none"/>
          <w:lang w:val="zh-CN"/>
        </w:rPr>
        <w:t>的“正本”或“副本”中，</w:t>
      </w:r>
      <w:r>
        <w:rPr>
          <w:rFonts w:hint="eastAsia" w:ascii="宋体" w:hAnsi="宋体" w:cs="宋体"/>
          <w:b/>
          <w:bCs/>
          <w:color w:val="auto"/>
          <w:sz w:val="24"/>
          <w:highlight w:val="none"/>
          <w:u w:val="double"/>
          <w:lang w:val="zh-CN"/>
        </w:rPr>
        <w:t>均不得含有价格响应文件中报价表（报价单）内的任何项目价格，否则作无效响应处理</w:t>
      </w:r>
      <w:r>
        <w:rPr>
          <w:rFonts w:hint="eastAsia" w:ascii="宋体" w:hAnsi="宋体" w:cs="宋体"/>
          <w:color w:val="auto"/>
          <w:sz w:val="24"/>
          <w:highlight w:val="none"/>
          <w:lang w:val="zh-CN"/>
        </w:rPr>
        <w:t>。</w:t>
      </w:r>
    </w:p>
    <w:p w14:paraId="626418C4">
      <w:pPr>
        <w:autoSpaceDE w:val="0"/>
        <w:autoSpaceDN w:val="0"/>
        <w:adjustRightInd w:val="0"/>
        <w:snapToGrid w:val="0"/>
        <w:spacing w:line="360" w:lineRule="auto"/>
        <w:ind w:firstLine="482" w:firstLineChars="200"/>
        <w:contextualSpacing/>
        <w:jc w:val="left"/>
        <w:rPr>
          <w:rFonts w:ascii="宋体" w:hAnsi="宋体" w:cs="宋体"/>
          <w:b/>
          <w:bCs/>
          <w:color w:val="auto"/>
          <w:sz w:val="24"/>
          <w:highlight w:val="none"/>
          <w:lang w:val="zh-CN"/>
        </w:rPr>
      </w:pPr>
      <w:r>
        <w:rPr>
          <w:rFonts w:hint="eastAsia" w:ascii="宋体" w:hAnsi="宋体" w:cs="宋体"/>
          <w:b/>
          <w:bCs/>
          <w:color w:val="auto"/>
          <w:sz w:val="24"/>
          <w:highlight w:val="none"/>
          <w:lang w:val="zh-CN"/>
        </w:rPr>
        <w:t>（</w:t>
      </w:r>
      <w:r>
        <w:rPr>
          <w:rFonts w:hint="eastAsia" w:ascii="宋体" w:hAnsi="宋体" w:cs="宋体"/>
          <w:b/>
          <w:bCs/>
          <w:color w:val="auto"/>
          <w:sz w:val="24"/>
          <w:highlight w:val="none"/>
        </w:rPr>
        <w:t>四</w:t>
      </w:r>
      <w:r>
        <w:rPr>
          <w:rFonts w:hint="eastAsia" w:ascii="宋体" w:hAnsi="宋体" w:cs="宋体"/>
          <w:b/>
          <w:bCs/>
          <w:color w:val="auto"/>
          <w:sz w:val="24"/>
          <w:highlight w:val="none"/>
          <w:lang w:val="zh-CN"/>
        </w:rPr>
        <w:t>）磋商响应有效期</w:t>
      </w:r>
    </w:p>
    <w:p w14:paraId="7F468682">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磋商响应有效期为采购代理机构规定的响应文件提交截止时间后</w:t>
      </w:r>
      <w:r>
        <w:rPr>
          <w:rFonts w:hint="eastAsia" w:ascii="宋体" w:hAnsi="宋体" w:cs="宋体"/>
          <w:b/>
          <w:color w:val="auto"/>
          <w:sz w:val="24"/>
          <w:highlight w:val="none"/>
          <w:u w:val="single"/>
          <w:lang w:val="zh-CN"/>
        </w:rPr>
        <w:t>四十五（45）天</w:t>
      </w:r>
      <w:r>
        <w:rPr>
          <w:rFonts w:hint="eastAsia" w:ascii="宋体" w:hAnsi="宋体" w:cs="宋体"/>
          <w:color w:val="auto"/>
          <w:sz w:val="24"/>
          <w:highlight w:val="none"/>
          <w:lang w:val="zh-CN"/>
        </w:rPr>
        <w:t>。磋商响应有效期比规定短的将被视为非实质性响应而予以拒绝。</w:t>
      </w:r>
    </w:p>
    <w:p w14:paraId="708947B2">
      <w:pPr>
        <w:autoSpaceDE w:val="0"/>
        <w:autoSpaceDN w:val="0"/>
        <w:adjustRightInd w:val="0"/>
        <w:snapToGrid w:val="0"/>
        <w:spacing w:line="360" w:lineRule="auto"/>
        <w:ind w:firstLine="482" w:firstLineChars="200"/>
        <w:contextualSpacing/>
        <w:jc w:val="left"/>
        <w:rPr>
          <w:rFonts w:ascii="宋体" w:hAnsi="宋体" w:cs="宋体"/>
          <w:b/>
          <w:bCs/>
          <w:color w:val="auto"/>
          <w:sz w:val="24"/>
          <w:highlight w:val="none"/>
          <w:lang w:val="zh-CN"/>
        </w:rPr>
      </w:pPr>
      <w:r>
        <w:rPr>
          <w:rFonts w:hint="eastAsia" w:ascii="宋体" w:hAnsi="宋体" w:cs="宋体"/>
          <w:b/>
          <w:bCs/>
          <w:color w:val="auto"/>
          <w:sz w:val="24"/>
          <w:highlight w:val="none"/>
          <w:lang w:val="zh-CN"/>
        </w:rPr>
        <w:t>五、磋商报价</w:t>
      </w:r>
    </w:p>
    <w:p w14:paraId="3D64F22A">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1.本项目不接受任何有选择的报价。</w:t>
      </w:r>
    </w:p>
    <w:p w14:paraId="66FA41DB">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2.磋商报价均以人民币为报价的币种。</w:t>
      </w:r>
    </w:p>
    <w:p w14:paraId="3AB720C7">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3.磋商报价出现前后不一致的，按照下列规定修正：</w:t>
      </w:r>
    </w:p>
    <w:p w14:paraId="590FF69D">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（1）响应文件中开标一览表（报价表）内容与响应文件中相应内容不一致的，以开标一览表（报价表）为准；</w:t>
      </w:r>
    </w:p>
    <w:p w14:paraId="34BCA723">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（2）大写金额和小写金额不一致的，以大写金额为准；</w:t>
      </w:r>
    </w:p>
    <w:p w14:paraId="1C822C58">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（3）单价金额小数点或者百分比有明显错位的，以开标一览表（报价表）的总价为准，并修改单价；</w:t>
      </w:r>
    </w:p>
    <w:p w14:paraId="42C30A6F">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（4）总价金额与按单价汇总金额不一致的，以单价金额计算结果为准。</w:t>
      </w:r>
    </w:p>
    <w:p w14:paraId="208F795A">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同时出现两种以上不一致的，按照前款规定的顺序修正。修正后的报价经供应商确认后产生约束力，供应商不确认的，其投标无效。</w:t>
      </w:r>
    </w:p>
    <w:p w14:paraId="13C0D367">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4.报价方式及要求：</w:t>
      </w:r>
    </w:p>
    <w:p w14:paraId="2701DB89">
      <w:pPr>
        <w:snapToGrid w:val="0"/>
        <w:spacing w:line="360" w:lineRule="auto"/>
        <w:ind w:firstLine="480" w:firstLineChars="200"/>
        <w:rPr>
          <w:rFonts w:hint="eastAsia" w:cs="仿宋_GB2312" w:asciiTheme="minorEastAsia" w:hAnsiTheme="minorEastAsia" w:eastAsiaTheme="minorEastAsia"/>
          <w:color w:val="auto"/>
          <w:sz w:val="24"/>
          <w:highlight w:val="none"/>
          <w:lang w:val="zh-CN"/>
        </w:rPr>
      </w:pPr>
      <w:r>
        <w:rPr>
          <w:rFonts w:hint="eastAsia" w:cs="宋体" w:asciiTheme="minorEastAsia" w:hAnsiTheme="minorEastAsia" w:eastAsiaTheme="minorEastAsia"/>
          <w:color w:val="auto"/>
          <w:sz w:val="24"/>
          <w:highlight w:val="none"/>
        </w:rPr>
        <w:t>（1）</w:t>
      </w:r>
      <w:r>
        <w:rPr>
          <w:rFonts w:hint="eastAsia" w:cs="仿宋_GB2312" w:asciiTheme="minorEastAsia" w:hAnsiTheme="minorEastAsia" w:eastAsiaTheme="minorEastAsia"/>
          <w:color w:val="auto"/>
          <w:sz w:val="24"/>
          <w:highlight w:val="none"/>
          <w:lang w:val="zh-CN"/>
        </w:rPr>
        <w:t>本项目采用总价报价，最终报价</w:t>
      </w:r>
      <w:bookmarkStart w:id="1" w:name="_Hlk78137675"/>
      <w:r>
        <w:rPr>
          <w:rFonts w:hint="eastAsia" w:cs="仿宋_GB2312" w:asciiTheme="minorEastAsia" w:hAnsiTheme="minorEastAsia" w:eastAsiaTheme="minorEastAsia"/>
          <w:color w:val="auto"/>
          <w:sz w:val="24"/>
          <w:highlight w:val="none"/>
          <w:lang w:val="zh-CN"/>
        </w:rPr>
        <w:t>包括完成本项目各项服务可能发生的全部费用，包括但不限于检</w:t>
      </w:r>
      <w:r>
        <w:rPr>
          <w:rFonts w:hint="default" w:cs="仿宋_GB2312" w:asciiTheme="minorEastAsia" w:hAnsiTheme="minorEastAsia" w:eastAsiaTheme="minorEastAsia"/>
          <w:color w:val="auto"/>
          <w:sz w:val="24"/>
          <w:highlight w:val="none"/>
          <w:lang w:val="en-US"/>
        </w:rPr>
        <w:t>测</w:t>
      </w:r>
      <w:r>
        <w:rPr>
          <w:rFonts w:hint="eastAsia" w:cs="仿宋_GB2312" w:asciiTheme="minorEastAsia" w:hAnsiTheme="minorEastAsia" w:eastAsiaTheme="minorEastAsia"/>
          <w:color w:val="auto"/>
          <w:sz w:val="24"/>
          <w:highlight w:val="none"/>
          <w:lang w:val="zh-CN"/>
        </w:rPr>
        <w:t>及管理人员费用、检</w:t>
      </w:r>
      <w:r>
        <w:rPr>
          <w:rFonts w:hint="eastAsia" w:cs="仿宋_GB2312" w:asciiTheme="minorEastAsia" w:hAnsiTheme="minorEastAsia" w:eastAsiaTheme="minorEastAsia"/>
          <w:color w:val="auto"/>
          <w:sz w:val="24"/>
          <w:highlight w:val="none"/>
          <w:lang w:val="en-US" w:eastAsia="zh-CN"/>
        </w:rPr>
        <w:t>查</w:t>
      </w:r>
      <w:r>
        <w:rPr>
          <w:rFonts w:hint="eastAsia" w:cs="仿宋_GB2312" w:asciiTheme="minorEastAsia" w:hAnsiTheme="minorEastAsia" w:eastAsiaTheme="minorEastAsia"/>
          <w:color w:val="auto"/>
          <w:sz w:val="24"/>
          <w:highlight w:val="none"/>
          <w:lang w:val="zh-CN"/>
        </w:rPr>
        <w:t>报告费用、专家评审费用（</w:t>
      </w:r>
      <w:r>
        <w:rPr>
          <w:rFonts w:hint="eastAsia" w:cs="仿宋_GB2312" w:asciiTheme="minorEastAsia" w:hAnsiTheme="minorEastAsia" w:eastAsiaTheme="minorEastAsia"/>
          <w:color w:val="auto"/>
          <w:sz w:val="24"/>
          <w:highlight w:val="none"/>
          <w:lang w:val="en-US" w:eastAsia="zh-CN"/>
        </w:rPr>
        <w:t>如有</w:t>
      </w:r>
      <w:r>
        <w:rPr>
          <w:rFonts w:hint="eastAsia" w:cs="仿宋_GB2312" w:asciiTheme="minorEastAsia" w:hAnsiTheme="minorEastAsia" w:eastAsiaTheme="minorEastAsia"/>
          <w:color w:val="auto"/>
          <w:sz w:val="24"/>
          <w:highlight w:val="none"/>
          <w:lang w:val="zh-CN"/>
        </w:rPr>
        <w:t>）、现场费用、交通安全措施费用、交通工具及使用费、检测设备、测量仪器费及相关费用、公司取费、法定税金、保险、利润等本文件明示或暗示的所有一般风险、责任和义务等费用以及合同明示或暗示的所有一般风险责任和义务费用，采购人不另行支付其它任何费用。</w:t>
      </w:r>
      <w:bookmarkEnd w:id="1"/>
    </w:p>
    <w:p w14:paraId="316848A3">
      <w:pPr>
        <w:snapToGrid w:val="0"/>
        <w:spacing w:line="360" w:lineRule="auto"/>
        <w:ind w:firstLine="480" w:firstLineChars="200"/>
        <w:rPr>
          <w:rFonts w:hint="eastAsia" w:cs="仿宋_GB2312" w:asciiTheme="minorEastAsia" w:hAnsiTheme="minorEastAsia" w:eastAsiaTheme="minorEastAsia"/>
          <w:color w:val="auto"/>
          <w:sz w:val="24"/>
          <w:highlight w:val="none"/>
          <w:lang w:val="zh-CN"/>
        </w:rPr>
      </w:pPr>
      <w:r>
        <w:rPr>
          <w:rFonts w:hint="eastAsia" w:cs="仿宋_GB2312" w:asciiTheme="minorEastAsia" w:hAnsiTheme="minorEastAsia" w:eastAsiaTheme="minorEastAsia"/>
          <w:color w:val="auto"/>
          <w:sz w:val="24"/>
          <w:highlight w:val="none"/>
          <w:lang w:val="zh-CN"/>
        </w:rPr>
        <w:t>（</w:t>
      </w:r>
      <w:r>
        <w:rPr>
          <w:rFonts w:hint="eastAsia" w:cs="仿宋_GB2312" w:asciiTheme="minorEastAsia" w:hAnsiTheme="minorEastAsia" w:eastAsiaTheme="minorEastAsia"/>
          <w:color w:val="auto"/>
          <w:sz w:val="24"/>
          <w:highlight w:val="none"/>
          <w:lang w:val="en-US" w:eastAsia="zh-CN"/>
        </w:rPr>
        <w:t>2</w:t>
      </w:r>
      <w:r>
        <w:rPr>
          <w:rFonts w:hint="eastAsia" w:cs="仿宋_GB2312" w:asciiTheme="minorEastAsia" w:hAnsiTheme="minorEastAsia" w:eastAsiaTheme="minorEastAsia"/>
          <w:color w:val="auto"/>
          <w:sz w:val="24"/>
          <w:highlight w:val="none"/>
          <w:lang w:val="zh-CN"/>
        </w:rPr>
        <w:t>）成交供应商提交检</w:t>
      </w:r>
      <w:r>
        <w:rPr>
          <w:rFonts w:hint="eastAsia" w:cs="仿宋_GB2312" w:asciiTheme="minorEastAsia" w:hAnsiTheme="minorEastAsia" w:eastAsiaTheme="minorEastAsia"/>
          <w:color w:val="auto"/>
          <w:sz w:val="24"/>
          <w:highlight w:val="none"/>
          <w:lang w:val="en-US" w:eastAsia="zh-CN"/>
        </w:rPr>
        <w:t>查</w:t>
      </w:r>
      <w:r>
        <w:rPr>
          <w:rFonts w:hint="eastAsia" w:cs="仿宋_GB2312" w:asciiTheme="minorEastAsia" w:hAnsiTheme="minorEastAsia" w:eastAsiaTheme="minorEastAsia"/>
          <w:color w:val="auto"/>
          <w:sz w:val="24"/>
          <w:highlight w:val="none"/>
          <w:lang w:val="zh-CN"/>
        </w:rPr>
        <w:t>报告后，采购人将</w:t>
      </w:r>
      <w:r>
        <w:rPr>
          <w:rFonts w:hint="eastAsia" w:cs="仿宋_GB2312" w:asciiTheme="minorEastAsia" w:hAnsiTheme="minorEastAsia" w:eastAsiaTheme="minorEastAsia"/>
          <w:color w:val="auto"/>
          <w:sz w:val="24"/>
          <w:highlight w:val="none"/>
          <w:lang w:val="en-US" w:eastAsia="zh-CN"/>
        </w:rPr>
        <w:t>审核</w:t>
      </w:r>
      <w:r>
        <w:rPr>
          <w:rFonts w:hint="eastAsia" w:cs="仿宋_GB2312" w:asciiTheme="minorEastAsia" w:hAnsiTheme="minorEastAsia" w:eastAsiaTheme="minorEastAsia"/>
          <w:color w:val="auto"/>
          <w:sz w:val="24"/>
          <w:highlight w:val="none"/>
          <w:lang w:val="zh-CN"/>
        </w:rPr>
        <w:t>，成交供应商根据</w:t>
      </w:r>
      <w:r>
        <w:rPr>
          <w:rFonts w:hint="eastAsia" w:cs="仿宋_GB2312" w:asciiTheme="minorEastAsia" w:hAnsiTheme="minorEastAsia" w:eastAsiaTheme="minorEastAsia"/>
          <w:color w:val="auto"/>
          <w:sz w:val="24"/>
          <w:highlight w:val="none"/>
          <w:lang w:val="en-US" w:eastAsia="zh-CN"/>
        </w:rPr>
        <w:t>审核</w:t>
      </w:r>
      <w:r>
        <w:rPr>
          <w:rFonts w:hint="eastAsia" w:cs="仿宋_GB2312" w:asciiTheme="minorEastAsia" w:hAnsiTheme="minorEastAsia" w:eastAsiaTheme="minorEastAsia"/>
          <w:color w:val="auto"/>
          <w:sz w:val="24"/>
          <w:highlight w:val="none"/>
          <w:lang w:val="zh-CN"/>
        </w:rPr>
        <w:t>意见对报告进行完善后向采购人出具最终的</w:t>
      </w:r>
      <w:r>
        <w:rPr>
          <w:rFonts w:hint="eastAsia" w:cs="仿宋_GB2312" w:asciiTheme="minorEastAsia" w:hAnsiTheme="minorEastAsia" w:eastAsiaTheme="minorEastAsia"/>
          <w:color w:val="auto"/>
          <w:sz w:val="24"/>
          <w:highlight w:val="none"/>
          <w:lang w:val="en-US" w:eastAsia="zh-CN"/>
        </w:rPr>
        <w:t>成果</w:t>
      </w:r>
      <w:r>
        <w:rPr>
          <w:rFonts w:hint="eastAsia" w:cs="仿宋_GB2312" w:asciiTheme="minorEastAsia" w:hAnsiTheme="minorEastAsia" w:eastAsiaTheme="minorEastAsia"/>
          <w:color w:val="auto"/>
          <w:sz w:val="24"/>
          <w:highlight w:val="none"/>
          <w:lang w:val="zh-CN"/>
        </w:rPr>
        <w:t>报告。</w:t>
      </w:r>
      <w:r>
        <w:rPr>
          <w:rFonts w:hint="eastAsia" w:cs="仿宋_GB2312" w:asciiTheme="minorEastAsia" w:hAnsiTheme="minorEastAsia" w:eastAsiaTheme="minorEastAsia"/>
          <w:color w:val="auto"/>
          <w:sz w:val="24"/>
          <w:highlight w:val="none"/>
          <w:lang w:val="en-US" w:eastAsia="zh-CN"/>
        </w:rPr>
        <w:t>若涉及</w:t>
      </w:r>
      <w:r>
        <w:rPr>
          <w:rFonts w:hint="eastAsia" w:cs="仿宋_GB2312" w:asciiTheme="minorEastAsia" w:hAnsiTheme="minorEastAsia" w:eastAsiaTheme="minorEastAsia"/>
          <w:color w:val="auto"/>
          <w:sz w:val="24"/>
          <w:highlight w:val="none"/>
          <w:lang w:val="zh-CN"/>
        </w:rPr>
        <w:t>专家评审，</w:t>
      </w:r>
      <w:r>
        <w:rPr>
          <w:rFonts w:hint="eastAsia" w:cs="仿宋_GB2312" w:asciiTheme="minorEastAsia" w:hAnsiTheme="minorEastAsia" w:eastAsiaTheme="minorEastAsia"/>
          <w:color w:val="auto"/>
          <w:sz w:val="24"/>
          <w:highlight w:val="none"/>
          <w:lang w:val="en-US" w:eastAsia="zh-CN"/>
        </w:rPr>
        <w:t>则专家评审</w:t>
      </w:r>
      <w:r>
        <w:rPr>
          <w:rFonts w:hint="eastAsia" w:cs="仿宋_GB2312" w:asciiTheme="minorEastAsia" w:hAnsiTheme="minorEastAsia" w:eastAsiaTheme="minorEastAsia"/>
          <w:color w:val="auto"/>
          <w:sz w:val="24"/>
          <w:highlight w:val="none"/>
          <w:lang w:val="zh-CN"/>
        </w:rPr>
        <w:t>费包含在投标报价中。</w:t>
      </w:r>
    </w:p>
    <w:p w14:paraId="64CCAF94">
      <w:pPr>
        <w:snapToGrid w:val="0"/>
        <w:spacing w:line="360" w:lineRule="auto"/>
        <w:ind w:firstLine="480" w:firstLineChars="200"/>
        <w:rPr>
          <w:rFonts w:hint="eastAsia" w:cs="仿宋_GB2312" w:asciiTheme="minorEastAsia" w:hAnsiTheme="minorEastAsia" w:eastAsiaTheme="minorEastAsia"/>
          <w:color w:val="auto"/>
          <w:sz w:val="24"/>
          <w:highlight w:val="none"/>
          <w:lang w:val="zh-CN"/>
        </w:rPr>
      </w:pPr>
      <w:r>
        <w:rPr>
          <w:rFonts w:hint="eastAsia" w:cs="仿宋_GB2312" w:asciiTheme="minorEastAsia" w:hAnsiTheme="minorEastAsia" w:eastAsiaTheme="minorEastAsia"/>
          <w:color w:val="auto"/>
          <w:sz w:val="24"/>
          <w:highlight w:val="none"/>
          <w:lang w:val="zh-CN"/>
        </w:rPr>
        <w:t>（</w:t>
      </w:r>
      <w:r>
        <w:rPr>
          <w:rFonts w:hint="eastAsia" w:cs="仿宋_GB2312" w:asciiTheme="minorEastAsia" w:hAnsiTheme="minorEastAsia" w:eastAsiaTheme="minorEastAsia"/>
          <w:color w:val="auto"/>
          <w:sz w:val="24"/>
          <w:highlight w:val="none"/>
          <w:lang w:val="en-US" w:eastAsia="zh-CN"/>
        </w:rPr>
        <w:t>3</w:t>
      </w:r>
      <w:r>
        <w:rPr>
          <w:rFonts w:hint="eastAsia" w:cs="仿宋_GB2312" w:asciiTheme="minorEastAsia" w:hAnsiTheme="minorEastAsia" w:eastAsiaTheme="minorEastAsia"/>
          <w:color w:val="auto"/>
          <w:sz w:val="24"/>
          <w:highlight w:val="none"/>
          <w:lang w:val="zh-CN"/>
        </w:rPr>
        <w:t>）成交供应商须考虑检</w:t>
      </w:r>
      <w:r>
        <w:rPr>
          <w:rFonts w:hint="eastAsia" w:cs="仿宋_GB2312" w:asciiTheme="minorEastAsia" w:hAnsiTheme="minorEastAsia" w:eastAsiaTheme="minorEastAsia"/>
          <w:color w:val="auto"/>
          <w:sz w:val="24"/>
          <w:highlight w:val="none"/>
          <w:lang w:val="en-US" w:eastAsia="zh-CN"/>
        </w:rPr>
        <w:t>查</w:t>
      </w:r>
      <w:r>
        <w:rPr>
          <w:rFonts w:hint="eastAsia" w:cs="仿宋_GB2312" w:asciiTheme="minorEastAsia" w:hAnsiTheme="minorEastAsia" w:eastAsiaTheme="minorEastAsia"/>
          <w:color w:val="auto"/>
          <w:sz w:val="24"/>
          <w:highlight w:val="none"/>
          <w:lang w:val="zh-CN"/>
        </w:rPr>
        <w:t>服务过程中桥梁所在航道的通行情况，并制定相应的措施，由此产生的费用（包含到相关部门完善相关手续所需的相关费用）均包含在投标报价中。</w:t>
      </w:r>
    </w:p>
    <w:p w14:paraId="13AAD47C">
      <w:pPr>
        <w:autoSpaceDE w:val="0"/>
        <w:autoSpaceDN w:val="0"/>
        <w:adjustRightInd w:val="0"/>
        <w:snapToGrid w:val="0"/>
        <w:spacing w:line="360" w:lineRule="auto"/>
        <w:ind w:firstLine="480" w:firstLineChars="200"/>
        <w:jc w:val="left"/>
        <w:rPr>
          <w:rFonts w:asciiTheme="minorEastAsia" w:hAnsiTheme="minorEastAsia" w:eastAsiaTheme="minorEastAsia"/>
          <w:color w:val="auto"/>
          <w:sz w:val="24"/>
          <w:highlight w:val="none"/>
          <w:lang w:val="zh-CN"/>
        </w:rPr>
      </w:pPr>
      <w:r>
        <w:rPr>
          <w:rFonts w:hint="eastAsia" w:cs="仿宋_GB2312" w:asciiTheme="minorEastAsia" w:hAnsiTheme="minorEastAsia" w:eastAsiaTheme="minorEastAsia"/>
          <w:color w:val="auto"/>
          <w:sz w:val="24"/>
          <w:highlight w:val="none"/>
          <w:lang w:val="zh-CN"/>
        </w:rPr>
        <w:t>（</w:t>
      </w:r>
      <w:r>
        <w:rPr>
          <w:rFonts w:hint="eastAsia" w:cs="仿宋_GB2312" w:asciiTheme="minorEastAsia" w:hAnsiTheme="minorEastAsia" w:eastAsiaTheme="minorEastAsia"/>
          <w:color w:val="auto"/>
          <w:sz w:val="24"/>
          <w:highlight w:val="none"/>
          <w:lang w:val="en-US" w:eastAsia="zh-CN"/>
        </w:rPr>
        <w:t>4</w:t>
      </w:r>
      <w:r>
        <w:rPr>
          <w:rFonts w:hint="eastAsia" w:cs="仿宋_GB2312" w:asciiTheme="minorEastAsia" w:hAnsiTheme="minorEastAsia" w:eastAsiaTheme="minorEastAsia"/>
          <w:color w:val="auto"/>
          <w:sz w:val="24"/>
          <w:highlight w:val="none"/>
          <w:lang w:val="zh-CN"/>
        </w:rPr>
        <w:t>）供应商在投标时应主动查阅本项目的有关文件、技术经济等资料。作为一个有经验的供应商，应充分考虑到采购人提供的相关资料和数据与合同实施过程中存有偏差。供应商应综合考虑到报价中，采购对供应商的投标报价不因此而进行调整。</w:t>
      </w:r>
    </w:p>
    <w:p w14:paraId="343AD225">
      <w:pPr>
        <w:autoSpaceDE w:val="0"/>
        <w:autoSpaceDN w:val="0"/>
        <w:adjustRightInd w:val="0"/>
        <w:snapToGrid w:val="0"/>
        <w:spacing w:line="360" w:lineRule="auto"/>
        <w:ind w:firstLine="480" w:firstLineChars="200"/>
        <w:jc w:val="left"/>
        <w:rPr>
          <w:rFonts w:asciiTheme="minorEastAsia" w:hAnsiTheme="minorEastAsia" w:eastAsiaTheme="minorEastAsia"/>
          <w:color w:val="auto"/>
          <w:sz w:val="24"/>
          <w:highlight w:val="none"/>
          <w:lang w:val="zh-CN"/>
        </w:rPr>
      </w:pPr>
      <w:r>
        <w:rPr>
          <w:rFonts w:hint="eastAsia" w:cs="宋体" w:asciiTheme="minorEastAsia" w:hAnsiTheme="minorEastAsia" w:eastAsiaTheme="minorEastAsia"/>
          <w:color w:val="auto"/>
          <w:sz w:val="24"/>
          <w:highlight w:val="none"/>
          <w:lang w:val="zh-CN"/>
        </w:rPr>
        <w:t>（</w:t>
      </w:r>
      <w:r>
        <w:rPr>
          <w:rFonts w:hint="eastAsia" w:cs="宋体" w:asciiTheme="minorEastAsia" w:hAnsiTheme="minorEastAsia" w:eastAsiaTheme="minorEastAsia"/>
          <w:color w:val="auto"/>
          <w:sz w:val="24"/>
          <w:highlight w:val="none"/>
          <w:lang w:val="en-US" w:eastAsia="zh-CN"/>
        </w:rPr>
        <w:t>5</w:t>
      </w:r>
      <w:r>
        <w:rPr>
          <w:rFonts w:hint="eastAsia" w:cs="宋体" w:asciiTheme="minorEastAsia" w:hAnsiTheme="minorEastAsia" w:eastAsiaTheme="minorEastAsia"/>
          <w:color w:val="auto"/>
          <w:sz w:val="24"/>
          <w:highlight w:val="none"/>
          <w:lang w:val="zh-CN"/>
        </w:rPr>
        <w:t>）本项目不接受调价函。</w:t>
      </w:r>
    </w:p>
    <w:p w14:paraId="2DF8DF9F">
      <w:pPr>
        <w:autoSpaceDE w:val="0"/>
        <w:autoSpaceDN w:val="0"/>
        <w:adjustRightInd w:val="0"/>
        <w:snapToGrid w:val="0"/>
        <w:spacing w:line="360" w:lineRule="auto"/>
        <w:ind w:firstLine="480" w:firstLineChars="200"/>
        <w:jc w:val="left"/>
        <w:rPr>
          <w:rFonts w:asciiTheme="minorEastAsia" w:hAnsiTheme="minorEastAsia" w:eastAsiaTheme="minorEastAsia"/>
          <w:color w:val="auto"/>
          <w:sz w:val="24"/>
          <w:highlight w:val="none"/>
          <w:lang w:val="zh-CN"/>
        </w:rPr>
      </w:pPr>
      <w:r>
        <w:rPr>
          <w:rFonts w:hint="eastAsia" w:cs="宋体" w:asciiTheme="minorEastAsia" w:hAnsiTheme="minorEastAsia" w:eastAsiaTheme="minorEastAsia"/>
          <w:color w:val="auto"/>
          <w:sz w:val="24"/>
          <w:highlight w:val="none"/>
          <w:lang w:val="zh-CN"/>
        </w:rPr>
        <w:t>（</w:t>
      </w:r>
      <w:r>
        <w:rPr>
          <w:rFonts w:hint="eastAsia" w:cs="宋体" w:asciiTheme="minorEastAsia" w:hAnsiTheme="minorEastAsia" w:eastAsiaTheme="minorEastAsia"/>
          <w:color w:val="auto"/>
          <w:sz w:val="24"/>
          <w:highlight w:val="none"/>
          <w:lang w:val="en-US" w:eastAsia="zh-CN"/>
        </w:rPr>
        <w:t>6</w:t>
      </w:r>
      <w:r>
        <w:rPr>
          <w:rFonts w:hint="eastAsia" w:cs="宋体" w:asciiTheme="minorEastAsia" w:hAnsiTheme="minorEastAsia" w:eastAsiaTheme="minorEastAsia"/>
          <w:color w:val="auto"/>
          <w:sz w:val="24"/>
          <w:highlight w:val="none"/>
          <w:lang w:val="zh-CN"/>
        </w:rPr>
        <w:t>）竞争性磋商的最终报价为预期成交价。</w:t>
      </w:r>
    </w:p>
    <w:p w14:paraId="1B6A8A1F">
      <w:pPr>
        <w:autoSpaceDE w:val="0"/>
        <w:autoSpaceDN w:val="0"/>
        <w:adjustRightInd w:val="0"/>
        <w:spacing w:line="360" w:lineRule="auto"/>
        <w:ind w:firstLine="480" w:firstLineChars="200"/>
        <w:rPr>
          <w:rFonts w:cs="宋体" w:asciiTheme="minorEastAsia" w:hAnsiTheme="minorEastAsia" w:eastAsiaTheme="minorEastAsia"/>
          <w:color w:val="auto"/>
          <w:sz w:val="24"/>
          <w:highlight w:val="none"/>
          <w:lang w:val="zh-CN"/>
        </w:rPr>
      </w:pPr>
      <w:r>
        <w:rPr>
          <w:rFonts w:hint="eastAsia" w:cs="宋体" w:asciiTheme="minorEastAsia" w:hAnsiTheme="minorEastAsia" w:eastAsiaTheme="minorEastAsia"/>
          <w:color w:val="auto"/>
          <w:sz w:val="24"/>
          <w:highlight w:val="none"/>
          <w:lang w:val="zh-CN"/>
        </w:rPr>
        <w:t>（</w:t>
      </w:r>
      <w:r>
        <w:rPr>
          <w:rFonts w:hint="eastAsia" w:cs="宋体" w:asciiTheme="minorEastAsia" w:hAnsiTheme="minorEastAsia" w:eastAsiaTheme="minorEastAsia"/>
          <w:color w:val="auto"/>
          <w:sz w:val="24"/>
          <w:highlight w:val="none"/>
          <w:lang w:val="en-US" w:eastAsia="zh-CN"/>
        </w:rPr>
        <w:t>7</w:t>
      </w:r>
      <w:r>
        <w:rPr>
          <w:rFonts w:hint="eastAsia" w:cs="宋体" w:asciiTheme="minorEastAsia" w:hAnsiTheme="minorEastAsia" w:eastAsiaTheme="minorEastAsia"/>
          <w:color w:val="auto"/>
          <w:sz w:val="24"/>
          <w:highlight w:val="none"/>
          <w:lang w:val="zh-CN"/>
        </w:rPr>
        <w:t>）</w:t>
      </w:r>
      <w:r>
        <w:rPr>
          <w:rFonts w:hint="eastAsia" w:cs="宋体" w:asciiTheme="minorEastAsia" w:hAnsiTheme="minorEastAsia" w:eastAsiaTheme="minorEastAsia"/>
          <w:b/>
          <w:bCs/>
          <w:color w:val="auto"/>
          <w:sz w:val="24"/>
          <w:highlight w:val="none"/>
          <w:lang w:val="zh-CN"/>
        </w:rPr>
        <w:t>本项目首轮磋商报价最高投标限价为人民币</w:t>
      </w:r>
      <w:r>
        <w:rPr>
          <w:rFonts w:hint="eastAsia" w:cs="宋体" w:asciiTheme="minorEastAsia" w:hAnsiTheme="minorEastAsia" w:eastAsiaTheme="minorEastAsia"/>
          <w:b/>
          <w:bCs/>
          <w:color w:val="auto"/>
          <w:sz w:val="24"/>
          <w:highlight w:val="none"/>
          <w:lang w:val="en-US" w:eastAsia="zh-CN"/>
        </w:rPr>
        <w:t>肆拾伍万柒仟元整</w:t>
      </w:r>
      <w:r>
        <w:rPr>
          <w:rFonts w:hint="eastAsia" w:cs="宋体" w:asciiTheme="minorEastAsia" w:hAnsiTheme="minorEastAsia" w:eastAsiaTheme="minorEastAsia"/>
          <w:b/>
          <w:bCs/>
          <w:color w:val="auto"/>
          <w:sz w:val="24"/>
          <w:highlight w:val="none"/>
          <w:lang w:val="zh-CN"/>
        </w:rPr>
        <w:t>（¥</w:t>
      </w:r>
      <w:r>
        <w:rPr>
          <w:rFonts w:hint="eastAsia" w:cs="宋体" w:asciiTheme="minorEastAsia" w:hAnsiTheme="minorEastAsia" w:eastAsiaTheme="minorEastAsia"/>
          <w:b/>
          <w:bCs/>
          <w:color w:val="auto"/>
          <w:sz w:val="24"/>
          <w:highlight w:val="none"/>
          <w:lang w:val="en-US" w:eastAsia="zh-CN"/>
        </w:rPr>
        <w:t>457000</w:t>
      </w:r>
      <w:r>
        <w:rPr>
          <w:rFonts w:hint="eastAsia" w:cs="宋体" w:asciiTheme="minorEastAsia" w:hAnsiTheme="minorEastAsia" w:eastAsiaTheme="minorEastAsia"/>
          <w:b/>
          <w:bCs/>
          <w:color w:val="auto"/>
          <w:sz w:val="24"/>
          <w:highlight w:val="none"/>
          <w:lang w:val="zh-CN"/>
        </w:rPr>
        <w:t>）</w:t>
      </w:r>
      <w:r>
        <w:rPr>
          <w:rFonts w:hint="eastAsia" w:cs="宋体" w:asciiTheme="minorEastAsia" w:hAnsiTheme="minorEastAsia" w:eastAsiaTheme="minorEastAsia"/>
          <w:color w:val="auto"/>
          <w:sz w:val="24"/>
          <w:highlight w:val="none"/>
          <w:lang w:val="zh-CN"/>
        </w:rPr>
        <w:t>，投标总价超过最高投标限价的为无效响应文件。</w:t>
      </w:r>
    </w:p>
    <w:p w14:paraId="59754E4A">
      <w:pPr>
        <w:autoSpaceDE w:val="0"/>
        <w:autoSpaceDN w:val="0"/>
        <w:adjustRightInd w:val="0"/>
        <w:snapToGrid w:val="0"/>
        <w:spacing w:line="360" w:lineRule="auto"/>
        <w:ind w:firstLine="482" w:firstLineChars="200"/>
        <w:contextualSpacing/>
        <w:jc w:val="left"/>
        <w:rPr>
          <w:rFonts w:ascii="宋体" w:hAnsi="宋体" w:cs="宋体"/>
          <w:b/>
          <w:bCs/>
          <w:color w:val="auto"/>
          <w:sz w:val="24"/>
          <w:highlight w:val="none"/>
          <w:lang w:val="zh-CN"/>
        </w:rPr>
      </w:pPr>
      <w:r>
        <w:rPr>
          <w:rFonts w:hint="eastAsia" w:ascii="宋体" w:hAnsi="宋体" w:cs="宋体"/>
          <w:b/>
          <w:bCs/>
          <w:color w:val="auto"/>
          <w:sz w:val="24"/>
          <w:highlight w:val="none"/>
          <w:lang w:val="zh-CN"/>
        </w:rPr>
        <w:t>六、响应文件及磋商费用</w:t>
      </w:r>
    </w:p>
    <w:p w14:paraId="73001393">
      <w:pPr>
        <w:pStyle w:val="30"/>
        <w:snapToGrid w:val="0"/>
        <w:spacing w:line="360" w:lineRule="auto"/>
        <w:ind w:firstLine="494"/>
        <w:contextualSpacing/>
        <w:rPr>
          <w:rFonts w:ascii="宋体" w:eastAsia="宋体" w:cs="宋体"/>
          <w:color w:val="auto"/>
          <w:sz w:val="24"/>
          <w:szCs w:val="24"/>
          <w:highlight w:val="none"/>
        </w:rPr>
      </w:pPr>
      <w:r>
        <w:rPr>
          <w:rFonts w:hint="eastAsia" w:ascii="宋体" w:eastAsia="宋体" w:cs="宋体"/>
          <w:color w:val="auto"/>
          <w:sz w:val="24"/>
          <w:szCs w:val="24"/>
          <w:highlight w:val="none"/>
        </w:rPr>
        <w:t>1</w:t>
      </w:r>
      <w:r>
        <w:rPr>
          <w:rFonts w:hint="eastAsia" w:ascii="宋体" w:eastAsia="宋体" w:cs="宋体"/>
          <w:color w:val="auto"/>
          <w:sz w:val="24"/>
          <w:highlight w:val="none"/>
          <w:lang w:val="zh-CN"/>
        </w:rPr>
        <w:t>.</w:t>
      </w:r>
      <w:r>
        <w:rPr>
          <w:rFonts w:hint="eastAsia" w:ascii="宋体" w:eastAsia="宋体" w:cs="宋体"/>
          <w:color w:val="auto"/>
          <w:sz w:val="24"/>
          <w:szCs w:val="24"/>
          <w:highlight w:val="none"/>
        </w:rPr>
        <w:t>磋商程序顺利进行后，除供应商的原件可退回外，其余所有的响应文件都将作为档案保存，不论成交与否，均不退回（未拆封的除外）。</w:t>
      </w:r>
    </w:p>
    <w:p w14:paraId="02E08FD5">
      <w:pPr>
        <w:pStyle w:val="30"/>
        <w:snapToGrid w:val="0"/>
        <w:spacing w:line="360" w:lineRule="auto"/>
        <w:ind w:firstLine="494"/>
        <w:contextualSpacing/>
        <w:rPr>
          <w:rFonts w:ascii="宋体" w:eastAsia="宋体" w:cs="宋体"/>
          <w:color w:val="auto"/>
          <w:sz w:val="24"/>
          <w:szCs w:val="24"/>
          <w:highlight w:val="none"/>
        </w:rPr>
      </w:pPr>
      <w:r>
        <w:rPr>
          <w:rFonts w:hint="eastAsia" w:ascii="宋体" w:eastAsia="宋体" w:cs="宋体"/>
          <w:color w:val="auto"/>
          <w:sz w:val="24"/>
          <w:szCs w:val="24"/>
          <w:highlight w:val="none"/>
        </w:rPr>
        <w:t>2</w:t>
      </w:r>
      <w:r>
        <w:rPr>
          <w:rFonts w:hint="eastAsia" w:ascii="宋体" w:eastAsia="宋体" w:cs="宋体"/>
          <w:color w:val="auto"/>
          <w:sz w:val="24"/>
          <w:highlight w:val="none"/>
          <w:lang w:val="zh-CN"/>
        </w:rPr>
        <w:t>.</w:t>
      </w:r>
      <w:r>
        <w:rPr>
          <w:rFonts w:hint="eastAsia" w:ascii="宋体" w:eastAsia="宋体" w:cs="宋体"/>
          <w:color w:val="auto"/>
          <w:sz w:val="24"/>
          <w:szCs w:val="24"/>
          <w:highlight w:val="none"/>
        </w:rPr>
        <w:t>供应商承担参与磋商可能发生的全部费用，参加项目磋商的供应商自行承担与本次项目磋商有关的全部费用，采购人在任何情况下均无义务和责任承担这些费用。</w:t>
      </w:r>
    </w:p>
    <w:p w14:paraId="680D7BF4">
      <w:pPr>
        <w:snapToGrid w:val="0"/>
        <w:spacing w:line="360" w:lineRule="auto"/>
        <w:ind w:firstLine="463" w:firstLineChars="192"/>
        <w:rPr>
          <w:rFonts w:ascii="宋体" w:hAnsi="宋体" w:cs="宋体"/>
          <w:b/>
          <w:color w:val="auto"/>
          <w:sz w:val="24"/>
          <w:highlight w:val="none"/>
        </w:rPr>
      </w:pPr>
      <w:r>
        <w:rPr>
          <w:rFonts w:hint="eastAsia" w:ascii="宋体" w:hAnsi="宋体" w:cs="宋体"/>
          <w:b/>
          <w:bCs/>
          <w:color w:val="auto"/>
          <w:sz w:val="24"/>
          <w:highlight w:val="none"/>
        </w:rPr>
        <w:t>七、</w:t>
      </w:r>
      <w:r>
        <w:rPr>
          <w:rFonts w:hint="eastAsia" w:ascii="宋体" w:hAnsi="宋体" w:cs="宋体"/>
          <w:b/>
          <w:color w:val="auto"/>
          <w:sz w:val="24"/>
          <w:highlight w:val="none"/>
        </w:rPr>
        <w:t>保证金</w:t>
      </w:r>
    </w:p>
    <w:p w14:paraId="509BB367">
      <w:pPr>
        <w:snapToGrid w:val="0"/>
        <w:spacing w:line="360" w:lineRule="auto"/>
        <w:ind w:firstLine="463" w:firstLineChars="192"/>
        <w:rPr>
          <w:rFonts w:ascii="宋体" w:hAnsi="宋体" w:cs="宋体"/>
          <w:b/>
          <w:bCs/>
          <w:color w:val="auto"/>
          <w:sz w:val="24"/>
          <w:highlight w:val="none"/>
        </w:rPr>
      </w:pPr>
      <w:r>
        <w:rPr>
          <w:rFonts w:hint="eastAsia" w:ascii="宋体" w:hAnsi="宋体" w:cs="宋体"/>
          <w:b/>
          <w:bCs/>
          <w:color w:val="auto"/>
          <w:sz w:val="24"/>
          <w:highlight w:val="none"/>
        </w:rPr>
        <w:t>1.本项目不设磋商保证金。</w:t>
      </w:r>
    </w:p>
    <w:p w14:paraId="53F334E1">
      <w:pPr>
        <w:snapToGrid w:val="0"/>
        <w:spacing w:line="360" w:lineRule="auto"/>
        <w:ind w:firstLine="463" w:firstLineChars="192"/>
        <w:rPr>
          <w:rFonts w:ascii="宋体" w:hAnsi="宋体" w:cs="宋体"/>
          <w:b/>
          <w:bCs/>
          <w:color w:val="auto"/>
          <w:sz w:val="24"/>
          <w:highlight w:val="none"/>
        </w:rPr>
      </w:pPr>
      <w:r>
        <w:rPr>
          <w:rFonts w:hint="eastAsia" w:ascii="宋体" w:hAnsi="宋体" w:cs="宋体"/>
          <w:b/>
          <w:bCs/>
          <w:color w:val="auto"/>
          <w:sz w:val="24"/>
          <w:highlight w:val="none"/>
        </w:rPr>
        <w:t>2.</w:t>
      </w:r>
      <w:r>
        <w:rPr>
          <w:rFonts w:hint="eastAsia" w:ascii="宋体" w:hAnsi="宋体" w:cs="宋体"/>
          <w:b/>
          <w:color w:val="auto"/>
          <w:sz w:val="24"/>
          <w:highlight w:val="none"/>
        </w:rPr>
        <w:t>本项目不设履约保证金。</w:t>
      </w:r>
    </w:p>
    <w:p w14:paraId="5165A777">
      <w:pPr>
        <w:snapToGrid w:val="0"/>
        <w:spacing w:line="360" w:lineRule="auto"/>
        <w:ind w:firstLine="482" w:firstLineChars="200"/>
        <w:contextualSpacing/>
        <w:rPr>
          <w:rFonts w:ascii="宋体" w:hAnsi="宋体" w:cs="宋体"/>
          <w:b/>
          <w:color w:val="auto"/>
          <w:sz w:val="24"/>
          <w:highlight w:val="none"/>
        </w:rPr>
      </w:pPr>
      <w:r>
        <w:rPr>
          <w:rFonts w:hint="eastAsia" w:ascii="宋体" w:hAnsi="宋体" w:cs="宋体"/>
          <w:b/>
          <w:color w:val="auto"/>
          <w:sz w:val="24"/>
          <w:highlight w:val="none"/>
        </w:rPr>
        <w:t>八、分包</w:t>
      </w:r>
    </w:p>
    <w:p w14:paraId="3E49D980">
      <w:pPr>
        <w:snapToGrid w:val="0"/>
        <w:spacing w:line="360" w:lineRule="auto"/>
        <w:ind w:firstLine="460" w:firstLineChars="192"/>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本项目</w:t>
      </w:r>
      <w:r>
        <w:rPr>
          <w:rFonts w:hint="eastAsia" w:cs="宋体" w:asciiTheme="minorEastAsia" w:hAnsiTheme="minorEastAsia" w:eastAsiaTheme="minorEastAsia"/>
          <w:color w:val="auto"/>
          <w:sz w:val="24"/>
          <w:highlight w:val="none"/>
          <w:lang w:val="en-US" w:eastAsia="zh-CN"/>
        </w:rPr>
        <w:t>不</w:t>
      </w:r>
      <w:r>
        <w:rPr>
          <w:rFonts w:hint="eastAsia" w:cs="宋体" w:asciiTheme="minorEastAsia" w:hAnsiTheme="minorEastAsia" w:eastAsiaTheme="minorEastAsia"/>
          <w:color w:val="auto"/>
          <w:spacing w:val="7"/>
          <w:kern w:val="0"/>
          <w:sz w:val="24"/>
          <w:highlight w:val="none"/>
        </w:rPr>
        <w:t>允许分包。</w:t>
      </w:r>
    </w:p>
    <w:p w14:paraId="5E219C25">
      <w:pPr>
        <w:snapToGrid w:val="0"/>
        <w:spacing w:line="360" w:lineRule="auto"/>
        <w:ind w:firstLine="482" w:firstLineChars="200"/>
        <w:contextualSpacing/>
        <w:rPr>
          <w:rFonts w:ascii="宋体" w:hAnsi="宋体" w:cs="宋体"/>
          <w:b/>
          <w:color w:val="auto"/>
          <w:sz w:val="24"/>
          <w:highlight w:val="none"/>
        </w:rPr>
      </w:pPr>
      <w:r>
        <w:rPr>
          <w:rFonts w:hint="eastAsia" w:ascii="宋体" w:hAnsi="宋体" w:cs="宋体"/>
          <w:b/>
          <w:color w:val="auto"/>
          <w:sz w:val="24"/>
          <w:highlight w:val="none"/>
        </w:rPr>
        <w:t>九、未尽事宜</w:t>
      </w:r>
    </w:p>
    <w:p w14:paraId="6902AE4E">
      <w:pPr>
        <w:snapToGrid w:val="0"/>
        <w:spacing w:line="360" w:lineRule="auto"/>
        <w:ind w:firstLine="460" w:firstLineChars="192"/>
        <w:rPr>
          <w:rFonts w:ascii="宋体" w:hAnsi="宋体" w:cs="宋体"/>
          <w:color w:val="auto"/>
          <w:sz w:val="24"/>
          <w:highlight w:val="none"/>
        </w:rPr>
      </w:pPr>
      <w:r>
        <w:rPr>
          <w:rFonts w:hint="eastAsia" w:ascii="宋体" w:hAnsi="宋体" w:cs="宋体"/>
          <w:color w:val="auto"/>
          <w:sz w:val="24"/>
          <w:highlight w:val="none"/>
        </w:rPr>
        <w:t>参照《中华人民共和国政府采购法》、《政府采购竞争性磋商采购方式管理暂行办法》及其他有关法律法规和规范性文件的规定执行。</w:t>
      </w:r>
    </w:p>
    <w:p w14:paraId="69184942">
      <w:pPr>
        <w:autoSpaceDE w:val="0"/>
        <w:autoSpaceDN w:val="0"/>
        <w:adjustRightInd w:val="0"/>
        <w:snapToGrid w:val="0"/>
        <w:spacing w:line="300" w:lineRule="auto"/>
        <w:jc w:val="center"/>
        <w:outlineLvl w:val="0"/>
        <w:rPr>
          <w:rFonts w:ascii="宋体" w:hAnsi="宋体" w:cs="宋体"/>
          <w:b/>
          <w:bCs/>
          <w:color w:val="auto"/>
          <w:sz w:val="36"/>
          <w:szCs w:val="36"/>
          <w:highlight w:val="none"/>
          <w:lang w:val="zh-CN"/>
        </w:rPr>
      </w:pPr>
      <w:r>
        <w:rPr>
          <w:rFonts w:hint="eastAsia" w:ascii="宋体" w:hAnsi="宋体" w:cs="宋体"/>
          <w:b/>
          <w:bCs/>
          <w:color w:val="auto"/>
          <w:sz w:val="36"/>
          <w:szCs w:val="36"/>
          <w:highlight w:val="none"/>
          <w:lang w:val="zh-CN"/>
        </w:rPr>
        <w:br w:type="page"/>
      </w:r>
      <w:r>
        <w:rPr>
          <w:rFonts w:hint="eastAsia" w:ascii="宋体" w:hAnsi="宋体" w:cs="宋体"/>
          <w:b/>
          <w:bCs/>
          <w:color w:val="auto"/>
          <w:sz w:val="36"/>
          <w:szCs w:val="36"/>
          <w:highlight w:val="none"/>
          <w:lang w:val="zh-CN"/>
        </w:rPr>
        <w:t>第三部分 项目需求</w:t>
      </w:r>
    </w:p>
    <w:p w14:paraId="372EAFFE">
      <w:pPr>
        <w:pStyle w:val="30"/>
        <w:adjustRightInd w:val="0"/>
        <w:snapToGrid w:val="0"/>
        <w:spacing w:line="360" w:lineRule="auto"/>
        <w:ind w:firstLine="480" w:firstLineChars="200"/>
        <w:rPr>
          <w:rFonts w:ascii="宋体" w:eastAsia="宋体" w:cs="宋体"/>
          <w:color w:val="auto"/>
          <w:sz w:val="24"/>
          <w:szCs w:val="24"/>
          <w:highlight w:val="none"/>
        </w:rPr>
      </w:pPr>
      <w:r>
        <w:rPr>
          <w:rFonts w:hint="eastAsia" w:ascii="宋体" w:eastAsia="宋体" w:cs="宋体"/>
          <w:color w:val="auto"/>
          <w:sz w:val="24"/>
          <w:szCs w:val="24"/>
          <w:highlight w:val="none"/>
        </w:rPr>
        <w:t>请供应商在申请获取磋商文件前和制作响应文件时仔细研究项目需求说明。供应商不能简单照搬照抄采购人项目需求说明中的技术、商务要求，必须作实事求是的响应。如照搬照抄项目需求说明中的技术、商务要求的，成交后供应商在同采购人签订合同和履约环节中不得提出异议，一切后果和损失由成交供应商承担。</w:t>
      </w:r>
    </w:p>
    <w:p w14:paraId="24567925">
      <w:pPr>
        <w:adjustRightInd w:val="0"/>
        <w:snapToGrid w:val="0"/>
        <w:spacing w:line="360" w:lineRule="auto"/>
        <w:ind w:firstLine="482" w:firstLineChars="200"/>
        <w:rPr>
          <w:rFonts w:ascii="宋体" w:hAnsi="宋体" w:cs="宋体"/>
          <w:b/>
          <w:bCs/>
          <w:color w:val="auto"/>
          <w:kern w:val="0"/>
          <w:sz w:val="24"/>
          <w:highlight w:val="none"/>
        </w:rPr>
      </w:pPr>
      <w:r>
        <w:rPr>
          <w:rFonts w:hint="eastAsia" w:ascii="宋体" w:hAnsi="宋体" w:cs="宋体"/>
          <w:b/>
          <w:bCs/>
          <w:color w:val="auto"/>
          <w:sz w:val="24"/>
          <w:highlight w:val="none"/>
        </w:rPr>
        <w:t>一、</w:t>
      </w:r>
      <w:r>
        <w:rPr>
          <w:rFonts w:hint="eastAsia" w:ascii="宋体" w:hAnsi="宋体" w:cs="宋体"/>
          <w:b/>
          <w:bCs/>
          <w:color w:val="auto"/>
          <w:kern w:val="0"/>
          <w:sz w:val="24"/>
          <w:highlight w:val="none"/>
        </w:rPr>
        <w:t>采购项目概况</w:t>
      </w:r>
    </w:p>
    <w:p w14:paraId="0480FE8B">
      <w:pPr>
        <w:pStyle w:val="30"/>
        <w:adjustRightInd w:val="0"/>
        <w:snapToGrid w:val="0"/>
        <w:spacing w:line="360" w:lineRule="auto"/>
        <w:ind w:firstLine="480" w:firstLineChars="200"/>
        <w:rPr>
          <w:rFonts w:hint="eastAsia" w:ascii="宋体" w:eastAsia="宋体" w:cs="宋体"/>
          <w:color w:val="auto"/>
          <w:sz w:val="24"/>
          <w:szCs w:val="24"/>
          <w:highlight w:val="none"/>
        </w:rPr>
      </w:pPr>
      <w:r>
        <w:rPr>
          <w:rFonts w:hint="eastAsia" w:ascii="宋体" w:eastAsia="宋体" w:cs="宋体"/>
          <w:color w:val="auto"/>
          <w:sz w:val="24"/>
          <w:szCs w:val="24"/>
          <w:highlight w:val="none"/>
        </w:rPr>
        <w:t>按省厅公路中心《关于开展农村公路涉水桥梁下部结构风险隐患排查整治工作的通知》（苏交公便农管〔2025〕64号）要求，开展农村公路涉水桥梁下部结构风险隐患排查的市级抽查。</w:t>
      </w:r>
    </w:p>
    <w:p w14:paraId="78FDCC42">
      <w:pPr>
        <w:widowControl/>
        <w:numPr>
          <w:ilvl w:val="0"/>
          <w:numId w:val="0"/>
        </w:numPr>
        <w:adjustRightInd w:val="0"/>
        <w:snapToGrid w:val="0"/>
        <w:spacing w:line="360" w:lineRule="auto"/>
        <w:ind w:firstLine="482" w:firstLineChars="200"/>
        <w:textAlignment w:val="baseline"/>
        <w:rPr>
          <w:rFonts w:hint="eastAsia" w:ascii="宋体" w:hAnsi="宋体" w:eastAsia="宋体" w:cs="宋体"/>
          <w:b/>
          <w:bCs/>
          <w:color w:val="auto"/>
          <w:kern w:val="0"/>
          <w:sz w:val="24"/>
          <w:highlight w:val="none"/>
        </w:rPr>
      </w:pPr>
      <w:r>
        <w:rPr>
          <w:rFonts w:hint="eastAsia" w:ascii="宋体" w:hAnsi="宋体" w:cs="宋体"/>
          <w:b/>
          <w:bCs/>
          <w:color w:val="auto"/>
          <w:kern w:val="0"/>
          <w:sz w:val="24"/>
          <w:szCs w:val="24"/>
          <w:highlight w:val="none"/>
          <w:lang w:val="en-US" w:eastAsia="zh-CN" w:bidi="ar-SA"/>
        </w:rPr>
        <w:t>二</w:t>
      </w:r>
      <w:r>
        <w:rPr>
          <w:rFonts w:hint="eastAsia" w:ascii="宋体" w:hAnsi="宋体" w:eastAsia="宋体" w:cs="宋体"/>
          <w:b/>
          <w:bCs/>
          <w:color w:val="auto"/>
          <w:kern w:val="0"/>
          <w:sz w:val="24"/>
          <w:highlight w:val="none"/>
          <w:lang w:val="en-US" w:eastAsia="zh-CN"/>
        </w:rPr>
        <w:t>、</w:t>
      </w:r>
      <w:r>
        <w:rPr>
          <w:rFonts w:hint="eastAsia" w:ascii="宋体" w:hAnsi="宋体" w:eastAsia="宋体" w:cs="宋体"/>
          <w:b/>
          <w:bCs/>
          <w:color w:val="auto"/>
          <w:kern w:val="0"/>
          <w:sz w:val="24"/>
          <w:highlight w:val="none"/>
        </w:rPr>
        <w:t>采购标的数量、采购项目交付或者实施的时间和地点</w:t>
      </w:r>
    </w:p>
    <w:p w14:paraId="3B232B20">
      <w:pPr>
        <w:pStyle w:val="30"/>
        <w:adjustRightInd w:val="0"/>
        <w:snapToGrid w:val="0"/>
        <w:spacing w:line="360" w:lineRule="auto"/>
        <w:ind w:firstLine="480" w:firstLineChars="200"/>
        <w:rPr>
          <w:rFonts w:hint="eastAsia" w:ascii="宋体" w:eastAsia="宋体" w:cs="宋体"/>
          <w:color w:val="auto"/>
          <w:sz w:val="24"/>
          <w:szCs w:val="24"/>
          <w:highlight w:val="none"/>
        </w:rPr>
      </w:pPr>
      <w:r>
        <w:rPr>
          <w:rFonts w:hint="eastAsia" w:ascii="宋体" w:eastAsia="宋体" w:cs="宋体"/>
          <w:color w:val="auto"/>
          <w:sz w:val="24"/>
          <w:szCs w:val="24"/>
          <w:highlight w:val="none"/>
        </w:rPr>
        <w:t>本项目主要为对南通市域范围内农村公路31座涉水桥梁的下部结构152根桩和其中4座桥的桥墩（台）</w:t>
      </w:r>
      <w:r>
        <w:rPr>
          <w:rFonts w:hint="eastAsia" w:ascii="宋体" w:eastAsia="宋体" w:cs="宋体"/>
          <w:color w:val="auto"/>
          <w:sz w:val="24"/>
          <w:szCs w:val="24"/>
          <w:highlight w:val="none"/>
          <w:lang w:eastAsia="zh-CN"/>
        </w:rPr>
        <w:t>（</w:t>
      </w:r>
      <w:r>
        <w:rPr>
          <w:rFonts w:hint="eastAsia" w:ascii="宋体" w:eastAsia="宋体" w:cs="宋体"/>
          <w:color w:val="auto"/>
          <w:sz w:val="24"/>
          <w:szCs w:val="24"/>
          <w:highlight w:val="none"/>
          <w:lang w:val="en-US" w:eastAsia="zh-CN"/>
        </w:rPr>
        <w:t>详见附件</w:t>
      </w:r>
      <w:r>
        <w:rPr>
          <w:rFonts w:hint="eastAsia" w:ascii="宋体" w:eastAsia="宋体" w:cs="宋体"/>
          <w:color w:val="auto"/>
          <w:sz w:val="24"/>
          <w:szCs w:val="24"/>
          <w:highlight w:val="none"/>
          <w:lang w:eastAsia="zh-CN"/>
        </w:rPr>
        <w:t>）</w:t>
      </w:r>
      <w:r>
        <w:rPr>
          <w:rFonts w:hint="eastAsia" w:ascii="宋体" w:eastAsia="宋体" w:cs="宋体"/>
          <w:color w:val="auto"/>
          <w:sz w:val="24"/>
          <w:szCs w:val="24"/>
          <w:highlight w:val="none"/>
        </w:rPr>
        <w:t>开展风险隐患检查工作，形成病害及风险隐患记录，分析并评定桥梁下部结构技术状况，并提出养护建议（含日常养护、维修、加固），并核查县级农村公路涉水桥梁下部结构风险隐患排查报告完整性和符合性。具体要求如下：</w:t>
      </w:r>
    </w:p>
    <w:p w14:paraId="70A5CDE7">
      <w:pPr>
        <w:pStyle w:val="30"/>
        <w:adjustRightInd w:val="0"/>
        <w:snapToGrid w:val="0"/>
        <w:spacing w:line="360" w:lineRule="auto"/>
        <w:ind w:firstLine="480" w:firstLineChars="200"/>
        <w:rPr>
          <w:rFonts w:hint="eastAsia" w:ascii="宋体" w:eastAsia="宋体" w:cs="宋体"/>
          <w:color w:val="auto"/>
          <w:sz w:val="24"/>
          <w:szCs w:val="24"/>
          <w:highlight w:val="none"/>
        </w:rPr>
      </w:pPr>
      <w:r>
        <w:rPr>
          <w:rFonts w:hint="eastAsia" w:ascii="宋体" w:eastAsia="宋体" w:cs="宋体"/>
          <w:color w:val="auto"/>
          <w:sz w:val="24"/>
          <w:szCs w:val="24"/>
          <w:highlight w:val="none"/>
        </w:rPr>
        <w:t>1.工作要求：根据《公路桥涵养护规范》（JTG 5120-2021）、《公路桥梁技术状况评定标准》（JTG/T H21-2011）等技术规范开展内业核查及外业检查。内业主要核查县级农村公路涉水桥梁下部结构风险隐患排查报告完整性和符合性；外业重点检查桥墩是否发生剥落、露筋、空洞、孔洞、钢筋锈蚀、位移、裂缝；桥台是否发生剥落、空洞、孔洞、位移、裂缝；基础是否发生冲刷、淘空、剥落、露筋、冲蚀、沉降、滑移、倾斜、裂缝，以及上述规范规定的其他情形。重点关注桥梁墩、台基础埋深不够，浅基础无防护或防护被冲空面积超过20%，以及墩、台冲蚀、剥落严重，桩顶外露或有缩颈、露筋及钢筋锈蚀严重等问题。</w:t>
      </w:r>
    </w:p>
    <w:p w14:paraId="3600CA2E">
      <w:pPr>
        <w:pStyle w:val="30"/>
        <w:adjustRightInd w:val="0"/>
        <w:snapToGrid w:val="0"/>
        <w:spacing w:line="360" w:lineRule="auto"/>
        <w:ind w:firstLine="480" w:firstLineChars="200"/>
        <w:rPr>
          <w:rFonts w:hint="eastAsia" w:ascii="宋体" w:eastAsia="宋体" w:cs="宋体"/>
          <w:color w:val="auto"/>
          <w:sz w:val="24"/>
          <w:szCs w:val="24"/>
          <w:highlight w:val="none"/>
        </w:rPr>
      </w:pPr>
      <w:r>
        <w:rPr>
          <w:rFonts w:hint="eastAsia" w:ascii="宋体" w:eastAsia="宋体" w:cs="宋体"/>
          <w:color w:val="auto"/>
          <w:sz w:val="24"/>
          <w:szCs w:val="24"/>
          <w:highlight w:val="none"/>
        </w:rPr>
        <w:t>2.成果要求：提交南通市农村公路涉水桥梁下部结构风险隐患核查和检查报告，在此期间须协助南通各县（市、区）交通运输部门完成农村公路桥梁相关基础数据更新工作。</w:t>
      </w:r>
    </w:p>
    <w:p w14:paraId="18A37F97">
      <w:pPr>
        <w:pStyle w:val="30"/>
        <w:adjustRightInd w:val="0"/>
        <w:snapToGrid w:val="0"/>
        <w:spacing w:line="360" w:lineRule="auto"/>
        <w:ind w:firstLine="480" w:firstLineChars="200"/>
        <w:rPr>
          <w:rFonts w:cs="宋体" w:asciiTheme="minorEastAsia" w:hAnsiTheme="minorEastAsia" w:eastAsiaTheme="minorEastAsia"/>
          <w:b/>
          <w:bCs/>
          <w:color w:val="auto"/>
          <w:kern w:val="0"/>
          <w:sz w:val="24"/>
          <w:highlight w:val="none"/>
        </w:rPr>
      </w:pPr>
      <w:r>
        <w:rPr>
          <w:rFonts w:hint="eastAsia" w:ascii="宋体" w:eastAsia="宋体" w:cs="宋体"/>
          <w:color w:val="auto"/>
          <w:sz w:val="24"/>
          <w:szCs w:val="24"/>
          <w:highlight w:val="none"/>
        </w:rPr>
        <w:t>三</w:t>
      </w:r>
      <w:r>
        <w:rPr>
          <w:rFonts w:hint="eastAsia" w:cs="宋体" w:asciiTheme="minorEastAsia" w:hAnsiTheme="minorEastAsia" w:eastAsiaTheme="minorEastAsia"/>
          <w:b/>
          <w:bCs/>
          <w:color w:val="auto"/>
          <w:kern w:val="0"/>
          <w:sz w:val="24"/>
          <w:highlight w:val="none"/>
        </w:rPr>
        <w:t>、采购标的需满足的服务标准、期限、效率等要求</w:t>
      </w:r>
    </w:p>
    <w:p w14:paraId="427F6FD3">
      <w:pPr>
        <w:pStyle w:val="30"/>
        <w:adjustRightInd w:val="0"/>
        <w:snapToGrid w:val="0"/>
        <w:spacing w:line="360" w:lineRule="auto"/>
        <w:ind w:firstLine="480" w:firstLineChars="200"/>
        <w:rPr>
          <w:rFonts w:hint="eastAsia" w:ascii="宋体" w:eastAsia="宋体" w:cs="宋体"/>
          <w:color w:val="auto"/>
          <w:sz w:val="24"/>
          <w:szCs w:val="24"/>
          <w:highlight w:val="none"/>
        </w:rPr>
      </w:pPr>
      <w:r>
        <w:rPr>
          <w:rFonts w:hint="eastAsia" w:ascii="宋体" w:eastAsia="宋体" w:cs="宋体"/>
          <w:color w:val="auto"/>
          <w:sz w:val="24"/>
          <w:szCs w:val="24"/>
          <w:highlight w:val="none"/>
        </w:rPr>
        <w:t>合同履行期限：计划2025年11月开工，2025年12月20日前提交成果报告并通过采购人审查。</w:t>
      </w:r>
    </w:p>
    <w:p w14:paraId="2476D8DE">
      <w:pPr>
        <w:keepNext w:val="0"/>
        <w:keepLines w:val="0"/>
        <w:pageBreakBefore w:val="0"/>
        <w:kinsoku/>
        <w:wordWrap/>
        <w:overflowPunct/>
        <w:topLinePunct w:val="0"/>
        <w:autoSpaceDE/>
        <w:autoSpaceDN/>
        <w:bidi w:val="0"/>
        <w:spacing w:line="360" w:lineRule="auto"/>
        <w:ind w:firstLine="482" w:firstLineChars="200"/>
        <w:rPr>
          <w:rFonts w:ascii="宋体" w:hAnsi="宋体" w:cs="宋体"/>
          <w:b/>
          <w:bCs/>
          <w:color w:val="auto"/>
          <w:kern w:val="0"/>
          <w:sz w:val="24"/>
          <w:highlight w:val="none"/>
        </w:rPr>
      </w:pPr>
      <w:r>
        <w:rPr>
          <w:rFonts w:hint="eastAsia" w:ascii="宋体" w:hAnsi="宋体" w:cs="宋体"/>
          <w:b/>
          <w:bCs/>
          <w:color w:val="auto"/>
          <w:kern w:val="0"/>
          <w:sz w:val="24"/>
          <w:highlight w:val="none"/>
          <w:lang w:val="en-US" w:eastAsia="zh-CN"/>
        </w:rPr>
        <w:t>四</w:t>
      </w:r>
      <w:r>
        <w:rPr>
          <w:rFonts w:hint="eastAsia" w:ascii="宋体" w:hAnsi="宋体" w:cs="宋体"/>
          <w:b/>
          <w:bCs/>
          <w:color w:val="auto"/>
          <w:kern w:val="0"/>
          <w:sz w:val="24"/>
          <w:highlight w:val="none"/>
        </w:rPr>
        <w:t>、采购标的验收标准</w:t>
      </w:r>
    </w:p>
    <w:p w14:paraId="75D50742">
      <w:pPr>
        <w:pStyle w:val="30"/>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宋体" w:eastAsia="宋体" w:cs="宋体"/>
          <w:color w:val="auto"/>
          <w:sz w:val="24"/>
          <w:szCs w:val="24"/>
          <w:highlight w:val="none"/>
          <w:lang w:val="zh-CN"/>
        </w:rPr>
      </w:pPr>
      <w:r>
        <w:rPr>
          <w:rFonts w:hint="eastAsia" w:ascii="宋体" w:eastAsia="宋体" w:cs="宋体"/>
          <w:color w:val="auto"/>
          <w:sz w:val="24"/>
          <w:szCs w:val="24"/>
          <w:highlight w:val="none"/>
          <w:lang w:val="zh-CN"/>
        </w:rPr>
        <w:t>验收实施主体：南通市公路事业发展中心。</w:t>
      </w:r>
    </w:p>
    <w:p w14:paraId="7C6C5CF4">
      <w:pPr>
        <w:pStyle w:val="30"/>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宋体" w:eastAsia="宋体" w:cs="宋体"/>
          <w:color w:val="auto"/>
          <w:sz w:val="24"/>
          <w:szCs w:val="24"/>
          <w:highlight w:val="none"/>
          <w:lang w:eastAsia="zh-CN"/>
        </w:rPr>
      </w:pPr>
      <w:r>
        <w:rPr>
          <w:rFonts w:hint="eastAsia" w:ascii="宋体" w:eastAsia="宋体" w:cs="宋体"/>
          <w:color w:val="auto"/>
          <w:sz w:val="24"/>
          <w:szCs w:val="24"/>
          <w:highlight w:val="none"/>
          <w:lang w:val="zh-CN"/>
        </w:rPr>
        <w:t>验收时间：</w:t>
      </w:r>
      <w:r>
        <w:rPr>
          <w:rFonts w:hint="eastAsia" w:ascii="宋体" w:eastAsia="宋体" w:cs="宋体"/>
          <w:color w:val="auto"/>
          <w:sz w:val="24"/>
          <w:szCs w:val="24"/>
          <w:highlight w:val="none"/>
        </w:rPr>
        <w:t>供应商完成全部工作后提交报告5日内</w:t>
      </w:r>
      <w:r>
        <w:rPr>
          <w:rFonts w:hint="eastAsia" w:ascii="宋体" w:eastAsia="宋体" w:cs="宋体"/>
          <w:color w:val="auto"/>
          <w:sz w:val="24"/>
          <w:szCs w:val="24"/>
          <w:highlight w:val="none"/>
          <w:lang w:eastAsia="zh-CN"/>
        </w:rPr>
        <w:t>。</w:t>
      </w:r>
    </w:p>
    <w:p w14:paraId="6E2810B7">
      <w:pPr>
        <w:pStyle w:val="30"/>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宋体" w:eastAsia="宋体" w:cs="宋体"/>
          <w:color w:val="auto"/>
          <w:sz w:val="24"/>
          <w:szCs w:val="24"/>
          <w:highlight w:val="none"/>
          <w:lang w:val="zh-CN"/>
        </w:rPr>
      </w:pPr>
      <w:r>
        <w:rPr>
          <w:rFonts w:hint="eastAsia" w:ascii="宋体" w:eastAsia="宋体" w:cs="宋体"/>
          <w:color w:val="auto"/>
          <w:sz w:val="24"/>
          <w:szCs w:val="24"/>
          <w:highlight w:val="none"/>
          <w:lang w:val="zh-CN"/>
        </w:rPr>
        <w:t>验收方式：农村公路科组织验收，采用书面审核的方式。</w:t>
      </w:r>
    </w:p>
    <w:p w14:paraId="3F4EE1E3">
      <w:pPr>
        <w:pStyle w:val="30"/>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宋体" w:eastAsia="宋体" w:cs="宋体"/>
          <w:color w:val="auto"/>
          <w:sz w:val="24"/>
          <w:szCs w:val="24"/>
          <w:highlight w:val="none"/>
          <w:lang w:val="zh-CN"/>
        </w:rPr>
      </w:pPr>
      <w:r>
        <w:rPr>
          <w:rFonts w:hint="eastAsia" w:ascii="宋体" w:eastAsia="宋体" w:cs="宋体"/>
          <w:color w:val="auto"/>
          <w:sz w:val="24"/>
          <w:szCs w:val="24"/>
          <w:highlight w:val="none"/>
          <w:lang w:val="zh-CN"/>
        </w:rPr>
        <w:t>验收内容：</w:t>
      </w:r>
      <w:r>
        <w:rPr>
          <w:rFonts w:hint="eastAsia" w:ascii="宋体" w:eastAsia="宋体" w:cs="宋体"/>
          <w:color w:val="auto"/>
          <w:sz w:val="24"/>
          <w:szCs w:val="24"/>
          <w:highlight w:val="none"/>
        </w:rPr>
        <w:t>供应商是否按要求提交南通市农村公路涉水桥梁下部结构风险隐患检查检查报告，是否在此期间协助南通各县（市、区）交通运输部门完成农村公路桥梁相关基础数据更新工作。</w:t>
      </w:r>
    </w:p>
    <w:p w14:paraId="6B700186">
      <w:pPr>
        <w:pStyle w:val="30"/>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宋体" w:eastAsia="宋体" w:cs="宋体"/>
          <w:color w:val="auto"/>
          <w:sz w:val="24"/>
          <w:szCs w:val="24"/>
          <w:highlight w:val="none"/>
          <w:lang w:val="zh-CN"/>
        </w:rPr>
      </w:pPr>
      <w:r>
        <w:rPr>
          <w:rFonts w:hint="eastAsia" w:ascii="宋体" w:eastAsia="宋体" w:cs="宋体"/>
          <w:color w:val="auto"/>
          <w:sz w:val="24"/>
          <w:szCs w:val="24"/>
          <w:highlight w:val="none"/>
          <w:lang w:val="zh-CN"/>
        </w:rPr>
        <w:t>验收标准</w:t>
      </w:r>
      <w:r>
        <w:rPr>
          <w:rFonts w:hint="eastAsia" w:ascii="宋体" w:eastAsia="宋体" w:cs="宋体"/>
          <w:color w:val="auto"/>
          <w:sz w:val="24"/>
          <w:szCs w:val="24"/>
          <w:highlight w:val="none"/>
        </w:rPr>
        <w:t>：通过农村公路科</w:t>
      </w:r>
      <w:r>
        <w:rPr>
          <w:rFonts w:hint="eastAsia" w:ascii="宋体" w:eastAsia="宋体" w:cs="宋体"/>
          <w:color w:val="auto"/>
          <w:sz w:val="24"/>
          <w:szCs w:val="24"/>
          <w:highlight w:val="none"/>
          <w:lang w:val="zh-CN"/>
        </w:rPr>
        <w:t>审核。</w:t>
      </w:r>
    </w:p>
    <w:p w14:paraId="1DA81BB8">
      <w:pPr>
        <w:keepNext w:val="0"/>
        <w:keepLines w:val="0"/>
        <w:pageBreakBefore w:val="0"/>
        <w:widowControl/>
        <w:kinsoku/>
        <w:wordWrap/>
        <w:overflowPunct/>
        <w:topLinePunct w:val="0"/>
        <w:autoSpaceDE/>
        <w:autoSpaceDN/>
        <w:bidi w:val="0"/>
        <w:adjustRightInd w:val="0"/>
        <w:snapToGrid w:val="0"/>
        <w:spacing w:line="360" w:lineRule="auto"/>
        <w:ind w:firstLine="482" w:firstLineChars="200"/>
        <w:textAlignment w:val="baseline"/>
        <w:rPr>
          <w:rFonts w:ascii="宋体" w:hAnsi="宋体" w:cs="宋体"/>
          <w:b/>
          <w:bCs/>
          <w:color w:val="auto"/>
          <w:kern w:val="0"/>
          <w:sz w:val="24"/>
          <w:highlight w:val="none"/>
        </w:rPr>
      </w:pPr>
      <w:r>
        <w:rPr>
          <w:rFonts w:hint="eastAsia" w:ascii="宋体" w:hAnsi="宋体" w:cs="宋体"/>
          <w:b/>
          <w:bCs/>
          <w:color w:val="auto"/>
          <w:kern w:val="0"/>
          <w:sz w:val="24"/>
          <w:highlight w:val="none"/>
          <w:lang w:val="en-US" w:eastAsia="zh-CN"/>
        </w:rPr>
        <w:t>五</w:t>
      </w:r>
      <w:r>
        <w:rPr>
          <w:rFonts w:hint="eastAsia" w:ascii="宋体" w:hAnsi="宋体" w:cs="宋体"/>
          <w:b/>
          <w:bCs/>
          <w:color w:val="auto"/>
          <w:kern w:val="0"/>
          <w:sz w:val="24"/>
          <w:highlight w:val="none"/>
        </w:rPr>
        <w:t>、付款方式</w:t>
      </w:r>
    </w:p>
    <w:p w14:paraId="19307293">
      <w:pPr>
        <w:keepNext w:val="0"/>
        <w:keepLines w:val="0"/>
        <w:pageBreakBefore w:val="0"/>
        <w:kinsoku/>
        <w:wordWrap/>
        <w:overflowPunct/>
        <w:topLinePunct w:val="0"/>
        <w:autoSpaceDE/>
        <w:autoSpaceDN/>
        <w:bidi w:val="0"/>
        <w:adjustRightInd w:val="0"/>
        <w:snapToGrid w:val="0"/>
        <w:spacing w:line="360" w:lineRule="auto"/>
        <w:ind w:firstLine="508" w:firstLineChars="200"/>
        <w:contextualSpacing/>
        <w:textAlignment w:val="auto"/>
        <w:rPr>
          <w:rFonts w:hint="eastAsia" w:ascii="宋体" w:hAnsi="宋体" w:cs="宋体"/>
          <w:color w:val="auto"/>
          <w:spacing w:val="7"/>
          <w:kern w:val="0"/>
          <w:sz w:val="24"/>
          <w:highlight w:val="none"/>
        </w:rPr>
      </w:pPr>
      <w:r>
        <w:rPr>
          <w:rFonts w:hint="eastAsia" w:ascii="宋体" w:hAnsi="宋体" w:cs="宋体"/>
          <w:color w:val="auto"/>
          <w:spacing w:val="7"/>
          <w:kern w:val="0"/>
          <w:sz w:val="24"/>
          <w:highlight w:val="none"/>
        </w:rPr>
        <w:t>本项目为总价合同，支付方式：</w:t>
      </w:r>
    </w:p>
    <w:p w14:paraId="0D9DA57A">
      <w:pPr>
        <w:keepNext w:val="0"/>
        <w:keepLines w:val="0"/>
        <w:pageBreakBefore w:val="0"/>
        <w:topLinePunct w:val="0"/>
        <w:bidi w:val="0"/>
        <w:adjustRightInd w:val="0"/>
        <w:snapToGrid w:val="0"/>
        <w:spacing w:line="360" w:lineRule="auto"/>
        <w:ind w:firstLine="508" w:firstLineChars="200"/>
        <w:contextualSpacing/>
        <w:textAlignment w:val="auto"/>
        <w:rPr>
          <w:rFonts w:hint="eastAsia" w:ascii="宋体" w:hAnsi="宋体" w:cs="宋体"/>
          <w:color w:val="auto"/>
          <w:spacing w:val="7"/>
          <w:kern w:val="0"/>
          <w:sz w:val="24"/>
          <w:highlight w:val="none"/>
        </w:rPr>
      </w:pPr>
      <w:r>
        <w:rPr>
          <w:rFonts w:hint="eastAsia" w:ascii="宋体" w:hAnsi="宋体" w:cs="宋体"/>
          <w:color w:val="auto"/>
          <w:spacing w:val="7"/>
          <w:kern w:val="0"/>
          <w:sz w:val="24"/>
          <w:highlight w:val="none"/>
          <w:lang w:val="en-US" w:eastAsia="zh-CN"/>
        </w:rPr>
        <w:t>1.</w:t>
      </w:r>
      <w:r>
        <w:rPr>
          <w:rFonts w:hint="eastAsia" w:ascii="宋体" w:hAnsi="宋体" w:cs="宋体"/>
          <w:color w:val="auto"/>
          <w:spacing w:val="7"/>
          <w:kern w:val="0"/>
          <w:sz w:val="24"/>
          <w:highlight w:val="none"/>
        </w:rPr>
        <w:t>合同签订后15个工作日内，支付合同价30%为预付款；</w:t>
      </w:r>
    </w:p>
    <w:p w14:paraId="4DB9CAB2">
      <w:pPr>
        <w:keepNext w:val="0"/>
        <w:keepLines w:val="0"/>
        <w:pageBreakBefore w:val="0"/>
        <w:topLinePunct w:val="0"/>
        <w:bidi w:val="0"/>
        <w:adjustRightInd w:val="0"/>
        <w:snapToGrid w:val="0"/>
        <w:spacing w:line="360" w:lineRule="auto"/>
        <w:ind w:firstLine="508" w:firstLineChars="200"/>
        <w:contextualSpacing/>
        <w:textAlignment w:val="auto"/>
        <w:rPr>
          <w:rFonts w:hint="eastAsia" w:ascii="宋体" w:hAnsi="宋体" w:cs="宋体"/>
          <w:color w:val="auto"/>
          <w:spacing w:val="7"/>
          <w:kern w:val="0"/>
          <w:sz w:val="24"/>
          <w:highlight w:val="none"/>
        </w:rPr>
      </w:pPr>
      <w:r>
        <w:rPr>
          <w:rFonts w:hint="eastAsia" w:ascii="宋体" w:hAnsi="宋体" w:cs="宋体"/>
          <w:color w:val="auto"/>
          <w:spacing w:val="7"/>
          <w:kern w:val="0"/>
          <w:sz w:val="24"/>
          <w:highlight w:val="none"/>
          <w:lang w:val="en-US" w:eastAsia="zh-CN"/>
        </w:rPr>
        <w:t>2.</w:t>
      </w:r>
      <w:r>
        <w:rPr>
          <w:rFonts w:hint="eastAsia" w:ascii="宋体" w:hAnsi="宋体" w:cs="宋体"/>
          <w:color w:val="auto"/>
          <w:spacing w:val="7"/>
          <w:kern w:val="0"/>
          <w:sz w:val="24"/>
          <w:highlight w:val="none"/>
        </w:rPr>
        <w:t>完成全部服务内容且成果报告通过采购人审查并修改完善后，付清尾款。</w:t>
      </w:r>
    </w:p>
    <w:p w14:paraId="4EA6DCA6">
      <w:pPr>
        <w:keepNext w:val="0"/>
        <w:keepLines w:val="0"/>
        <w:pageBreakBefore w:val="0"/>
        <w:topLinePunct w:val="0"/>
        <w:bidi w:val="0"/>
        <w:adjustRightInd w:val="0"/>
        <w:snapToGrid w:val="0"/>
        <w:spacing w:line="360" w:lineRule="auto"/>
        <w:ind w:firstLine="508" w:firstLineChars="200"/>
        <w:contextualSpacing/>
        <w:textAlignment w:val="auto"/>
        <w:rPr>
          <w:rFonts w:hint="eastAsia" w:ascii="宋体" w:hAnsi="宋体" w:cs="宋体"/>
          <w:color w:val="auto"/>
          <w:spacing w:val="7"/>
          <w:kern w:val="0"/>
          <w:sz w:val="24"/>
          <w:highlight w:val="none"/>
        </w:rPr>
      </w:pPr>
      <w:r>
        <w:rPr>
          <w:rFonts w:hint="eastAsia" w:ascii="宋体" w:hAnsi="宋体" w:cs="宋体"/>
          <w:color w:val="auto"/>
          <w:spacing w:val="7"/>
          <w:kern w:val="0"/>
          <w:sz w:val="24"/>
          <w:highlight w:val="none"/>
        </w:rPr>
        <w:t>注：</w:t>
      </w:r>
      <w:r>
        <w:rPr>
          <w:rFonts w:hint="eastAsia" w:ascii="宋体" w:hAnsi="宋体" w:cs="宋体"/>
          <w:color w:val="auto"/>
          <w:spacing w:val="7"/>
          <w:kern w:val="0"/>
          <w:sz w:val="24"/>
          <w:highlight w:val="none"/>
          <w:lang w:eastAsia="zh-CN"/>
        </w:rPr>
        <w:t>（</w:t>
      </w:r>
      <w:r>
        <w:rPr>
          <w:rFonts w:hint="eastAsia" w:ascii="宋体" w:hAnsi="宋体" w:cs="宋体"/>
          <w:color w:val="auto"/>
          <w:spacing w:val="7"/>
          <w:kern w:val="0"/>
          <w:sz w:val="24"/>
          <w:highlight w:val="none"/>
          <w:lang w:val="en-US" w:eastAsia="zh-CN"/>
        </w:rPr>
        <w:t>1</w:t>
      </w:r>
      <w:r>
        <w:rPr>
          <w:rFonts w:hint="eastAsia" w:ascii="宋体" w:hAnsi="宋体" w:cs="宋体"/>
          <w:color w:val="auto"/>
          <w:spacing w:val="7"/>
          <w:kern w:val="0"/>
          <w:sz w:val="24"/>
          <w:highlight w:val="none"/>
          <w:lang w:eastAsia="zh-CN"/>
        </w:rPr>
        <w:t>）</w:t>
      </w:r>
      <w:r>
        <w:rPr>
          <w:rFonts w:hint="eastAsia" w:ascii="宋体" w:hAnsi="宋体" w:cs="宋体"/>
          <w:color w:val="auto"/>
          <w:spacing w:val="7"/>
          <w:kern w:val="0"/>
          <w:sz w:val="24"/>
          <w:highlight w:val="none"/>
        </w:rPr>
        <w:t>每次付款须按合同扣减违约金和赔偿款；</w:t>
      </w:r>
    </w:p>
    <w:p w14:paraId="3CE7B99C">
      <w:pPr>
        <w:keepNext w:val="0"/>
        <w:keepLines w:val="0"/>
        <w:pageBreakBefore w:val="0"/>
        <w:topLinePunct w:val="0"/>
        <w:bidi w:val="0"/>
        <w:adjustRightInd w:val="0"/>
        <w:snapToGrid w:val="0"/>
        <w:spacing w:line="360" w:lineRule="auto"/>
        <w:ind w:firstLine="508" w:firstLineChars="200"/>
        <w:contextualSpacing/>
        <w:textAlignment w:val="auto"/>
        <w:rPr>
          <w:rFonts w:hint="eastAsia" w:ascii="宋体" w:hAnsi="宋体" w:cs="宋体"/>
          <w:color w:val="auto"/>
          <w:spacing w:val="7"/>
          <w:kern w:val="0"/>
          <w:sz w:val="24"/>
          <w:highlight w:val="none"/>
        </w:rPr>
      </w:pPr>
      <w:r>
        <w:rPr>
          <w:rFonts w:hint="eastAsia" w:ascii="宋体" w:hAnsi="宋体" w:cs="宋体"/>
          <w:color w:val="auto"/>
          <w:spacing w:val="7"/>
          <w:kern w:val="0"/>
          <w:sz w:val="24"/>
          <w:highlight w:val="none"/>
          <w:lang w:eastAsia="zh-CN"/>
        </w:rPr>
        <w:t>（</w:t>
      </w:r>
      <w:r>
        <w:rPr>
          <w:rFonts w:hint="eastAsia" w:ascii="宋体" w:hAnsi="宋体" w:cs="宋体"/>
          <w:color w:val="auto"/>
          <w:spacing w:val="7"/>
          <w:kern w:val="0"/>
          <w:sz w:val="24"/>
          <w:highlight w:val="none"/>
          <w:lang w:val="en-US" w:eastAsia="zh-CN"/>
        </w:rPr>
        <w:t>2</w:t>
      </w:r>
      <w:r>
        <w:rPr>
          <w:rFonts w:hint="eastAsia" w:ascii="宋体" w:hAnsi="宋体" w:cs="宋体"/>
          <w:color w:val="auto"/>
          <w:spacing w:val="7"/>
          <w:kern w:val="0"/>
          <w:sz w:val="24"/>
          <w:highlight w:val="none"/>
          <w:lang w:eastAsia="zh-CN"/>
        </w:rPr>
        <w:t>）</w:t>
      </w:r>
      <w:r>
        <w:rPr>
          <w:rFonts w:hint="eastAsia" w:ascii="宋体" w:hAnsi="宋体" w:cs="宋体"/>
          <w:color w:val="auto"/>
          <w:spacing w:val="7"/>
          <w:kern w:val="0"/>
          <w:sz w:val="24"/>
          <w:highlight w:val="none"/>
        </w:rPr>
        <w:t>付款前供应商须提供等额合规发票及相关申请资料，否则采购人可以拒付；</w:t>
      </w:r>
    </w:p>
    <w:p w14:paraId="4EFA4120">
      <w:pPr>
        <w:snapToGrid w:val="0"/>
        <w:spacing w:line="360" w:lineRule="auto"/>
        <w:ind w:firstLine="508"/>
        <w:contextualSpacing/>
        <w:rPr>
          <w:rFonts w:hint="eastAsia" w:ascii="宋体" w:hAnsi="宋体" w:cs="宋体"/>
          <w:color w:val="auto"/>
          <w:spacing w:val="7"/>
          <w:kern w:val="0"/>
          <w:sz w:val="24"/>
          <w:highlight w:val="none"/>
        </w:rPr>
      </w:pPr>
      <w:r>
        <w:rPr>
          <w:rFonts w:hint="eastAsia" w:ascii="宋体" w:hAnsi="宋体" w:cs="宋体"/>
          <w:color w:val="auto"/>
          <w:spacing w:val="7"/>
          <w:kern w:val="0"/>
          <w:sz w:val="24"/>
          <w:highlight w:val="none"/>
          <w:lang w:eastAsia="zh-CN"/>
        </w:rPr>
        <w:t>（</w:t>
      </w:r>
      <w:r>
        <w:rPr>
          <w:rFonts w:hint="eastAsia" w:ascii="宋体" w:hAnsi="宋体" w:cs="宋体"/>
          <w:color w:val="auto"/>
          <w:spacing w:val="7"/>
          <w:kern w:val="0"/>
          <w:sz w:val="24"/>
          <w:highlight w:val="none"/>
          <w:lang w:val="en-US" w:eastAsia="zh-CN"/>
        </w:rPr>
        <w:t>3</w:t>
      </w:r>
      <w:r>
        <w:rPr>
          <w:rFonts w:hint="eastAsia" w:ascii="宋体" w:hAnsi="宋体" w:cs="宋体"/>
          <w:color w:val="auto"/>
          <w:spacing w:val="7"/>
          <w:kern w:val="0"/>
          <w:sz w:val="24"/>
          <w:highlight w:val="none"/>
          <w:lang w:eastAsia="zh-CN"/>
        </w:rPr>
        <w:t>）</w:t>
      </w:r>
      <w:r>
        <w:rPr>
          <w:rFonts w:hint="eastAsia" w:ascii="宋体" w:hAnsi="宋体" w:cs="宋体"/>
          <w:color w:val="auto"/>
          <w:spacing w:val="7"/>
          <w:kern w:val="0"/>
          <w:sz w:val="24"/>
          <w:highlight w:val="none"/>
        </w:rPr>
        <w:t>所有付款均不计利息。</w:t>
      </w:r>
    </w:p>
    <w:p w14:paraId="7432C486">
      <w:pPr>
        <w:widowControl/>
        <w:adjustRightInd w:val="0"/>
        <w:snapToGrid w:val="0"/>
        <w:spacing w:line="360" w:lineRule="auto"/>
        <w:ind w:firstLine="482" w:firstLineChars="200"/>
        <w:textAlignment w:val="baseline"/>
        <w:rPr>
          <w:rFonts w:hint="default" w:ascii="宋体" w:hAnsi="宋体" w:cs="宋体"/>
          <w:b/>
          <w:bCs/>
          <w:color w:val="auto"/>
          <w:kern w:val="0"/>
          <w:sz w:val="24"/>
          <w:highlight w:val="none"/>
          <w:lang w:val="en-US" w:eastAsia="zh-CN"/>
        </w:rPr>
      </w:pPr>
      <w:r>
        <w:rPr>
          <w:rFonts w:hint="eastAsia" w:ascii="宋体" w:hAnsi="宋体" w:cs="宋体"/>
          <w:b/>
          <w:bCs/>
          <w:color w:val="auto"/>
          <w:kern w:val="0"/>
          <w:sz w:val="24"/>
          <w:highlight w:val="none"/>
          <w:lang w:val="en-US" w:eastAsia="zh-CN"/>
        </w:rPr>
        <w:t>六、其他要求</w:t>
      </w:r>
    </w:p>
    <w:p w14:paraId="2787C60A">
      <w:pPr>
        <w:pStyle w:val="30"/>
        <w:adjustRightInd w:val="0"/>
        <w:snapToGrid w:val="0"/>
        <w:spacing w:line="360" w:lineRule="auto"/>
        <w:ind w:firstLine="480" w:firstLineChars="200"/>
        <w:rPr>
          <w:rFonts w:hint="eastAsia" w:ascii="宋体" w:eastAsia="宋体" w:cs="宋体"/>
          <w:color w:val="auto"/>
          <w:kern w:val="0"/>
          <w:sz w:val="24"/>
          <w:szCs w:val="24"/>
          <w:highlight w:val="none"/>
          <w:lang w:val="en-US" w:eastAsia="zh-CN"/>
        </w:rPr>
      </w:pPr>
      <w:r>
        <w:rPr>
          <w:rFonts w:hint="eastAsia" w:ascii="宋体" w:eastAsia="宋体" w:cs="宋体"/>
          <w:color w:val="auto"/>
          <w:kern w:val="0"/>
          <w:sz w:val="24"/>
          <w:szCs w:val="24"/>
          <w:highlight w:val="none"/>
          <w:lang w:val="en-US" w:eastAsia="zh-CN"/>
        </w:rPr>
        <w:t>1.本项目若采用人员潜水方式检查的，则拟派潜水员须具有开放水域潜水员证书（或同等类别证书），成交供应商在开工前需将相关人员的证书交采购人审核通过后方可实施。</w:t>
      </w:r>
    </w:p>
    <w:p w14:paraId="6C6E9390">
      <w:pPr>
        <w:pStyle w:val="30"/>
        <w:adjustRightInd w:val="0"/>
        <w:snapToGrid w:val="0"/>
        <w:spacing w:line="360" w:lineRule="auto"/>
        <w:ind w:firstLine="480" w:firstLineChars="200"/>
        <w:rPr>
          <w:rFonts w:hint="default" w:ascii="宋体" w:eastAsia="宋体" w:cs="宋体"/>
          <w:color w:val="auto"/>
          <w:kern w:val="0"/>
          <w:sz w:val="24"/>
          <w:szCs w:val="24"/>
          <w:highlight w:val="none"/>
          <w:lang w:val="en-US" w:eastAsia="zh-CN"/>
        </w:rPr>
      </w:pPr>
      <w:r>
        <w:rPr>
          <w:rFonts w:hint="eastAsia" w:ascii="宋体" w:eastAsia="宋体" w:cs="宋体"/>
          <w:color w:val="auto"/>
          <w:kern w:val="0"/>
          <w:sz w:val="24"/>
          <w:szCs w:val="24"/>
          <w:highlight w:val="none"/>
          <w:lang w:val="en-US" w:eastAsia="zh-CN"/>
        </w:rPr>
        <w:t>2.本项目实施前中供应商应加强安全管理，严格操作规程，在实施过程中如发生安全事故则一切责任均由成交供应商负责，如成交供应商履约不到位给采购人造成损失，成交供应商须赔偿由此造成的一切损失。</w:t>
      </w:r>
    </w:p>
    <w:p w14:paraId="44FEBC02">
      <w:pPr>
        <w:rPr>
          <w:rFonts w:ascii="宋体" w:hAnsi="宋体" w:cs="宋体"/>
          <w:color w:val="auto"/>
          <w:kern w:val="0"/>
          <w:sz w:val="24"/>
          <w:highlight w:val="none"/>
        </w:rPr>
      </w:pPr>
      <w:r>
        <w:rPr>
          <w:rFonts w:hint="eastAsia" w:ascii="宋体" w:hAnsi="宋体" w:cs="宋体"/>
          <w:color w:val="auto"/>
          <w:kern w:val="0"/>
          <w:sz w:val="24"/>
          <w:highlight w:val="none"/>
        </w:rPr>
        <w:br w:type="page"/>
      </w:r>
    </w:p>
    <w:p w14:paraId="1EC156F1">
      <w:pPr>
        <w:pStyle w:val="30"/>
        <w:snapToGrid w:val="0"/>
        <w:spacing w:line="360" w:lineRule="auto"/>
        <w:ind w:firstLine="0" w:firstLineChars="0"/>
        <w:contextualSpacing/>
        <w:rPr>
          <w:rFonts w:ascii="宋体" w:eastAsia="宋体" w:cs="宋体"/>
          <w:b/>
          <w:bCs/>
          <w:color w:val="auto"/>
          <w:sz w:val="24"/>
          <w:szCs w:val="24"/>
          <w:highlight w:val="none"/>
        </w:rPr>
        <w:sectPr>
          <w:footerReference r:id="rId3" w:type="default"/>
          <w:pgSz w:w="11907" w:h="16839"/>
          <w:pgMar w:top="1429" w:right="1429" w:bottom="1429" w:left="1429" w:header="720" w:footer="720" w:gutter="0"/>
          <w:cols w:space="720" w:num="1"/>
          <w:docGrid w:linePitch="286" w:charSpace="0"/>
        </w:sectPr>
      </w:pPr>
    </w:p>
    <w:p w14:paraId="5D7382E6">
      <w:pPr>
        <w:rPr>
          <w:rFonts w:hint="eastAsia" w:ascii="宋体" w:hAnsi="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附件：</w:t>
      </w:r>
    </w:p>
    <w:tbl>
      <w:tblPr>
        <w:tblStyle w:val="1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7"/>
        <w:gridCol w:w="961"/>
        <w:gridCol w:w="1947"/>
        <w:gridCol w:w="1350"/>
        <w:gridCol w:w="909"/>
        <w:gridCol w:w="849"/>
        <w:gridCol w:w="909"/>
        <w:gridCol w:w="848"/>
        <w:gridCol w:w="1003"/>
      </w:tblGrid>
      <w:tr w14:paraId="0BAD9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000" w:type="pct"/>
            <w:gridSpan w:val="9"/>
            <w:tcBorders>
              <w:top w:val="nil"/>
              <w:left w:val="nil"/>
              <w:bottom w:val="single" w:color="000000" w:sz="4" w:space="0"/>
              <w:right w:val="nil"/>
            </w:tcBorders>
            <w:shd w:val="clear" w:color="auto" w:fill="auto"/>
            <w:noWrap/>
            <w:vAlign w:val="center"/>
          </w:tcPr>
          <w:p w14:paraId="3A1EEBE2">
            <w:pPr>
              <w:keepNext w:val="0"/>
              <w:keepLines w:val="0"/>
              <w:widowControl/>
              <w:suppressLineNumbers w:val="0"/>
              <w:jc w:val="center"/>
              <w:textAlignment w:val="center"/>
              <w:rPr>
                <w:rFonts w:hint="default" w:ascii="黑体" w:hAnsi="宋体" w:eastAsia="黑体" w:cs="黑体"/>
                <w:i w:val="0"/>
                <w:iCs w:val="0"/>
                <w:color w:val="auto"/>
                <w:sz w:val="44"/>
                <w:szCs w:val="44"/>
                <w:highlight w:val="none"/>
                <w:u w:val="none"/>
                <w:lang w:val="en-US"/>
              </w:rPr>
            </w:pPr>
            <w:r>
              <w:rPr>
                <w:rFonts w:hint="eastAsia" w:asciiTheme="minorEastAsia" w:hAnsiTheme="minorEastAsia" w:eastAsiaTheme="minorEastAsia" w:cstheme="minorEastAsia"/>
                <w:i w:val="0"/>
                <w:iCs w:val="0"/>
                <w:color w:val="auto"/>
                <w:kern w:val="0"/>
                <w:sz w:val="28"/>
                <w:szCs w:val="28"/>
                <w:highlight w:val="none"/>
                <w:u w:val="none"/>
                <w:lang w:val="en-US" w:eastAsia="zh-CN" w:bidi="ar"/>
              </w:rPr>
              <w:t>抽查桥梁明细表</w:t>
            </w:r>
          </w:p>
        </w:tc>
      </w:tr>
      <w:tr w14:paraId="1E33C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62" w:type="pct"/>
            <w:tcBorders>
              <w:top w:val="single" w:color="000000" w:sz="4" w:space="0"/>
              <w:left w:val="single" w:color="000000" w:sz="4" w:space="0"/>
              <w:bottom w:val="nil"/>
              <w:right w:val="single" w:color="000000" w:sz="4" w:space="0"/>
            </w:tcBorders>
            <w:shd w:val="clear" w:color="auto" w:fill="auto"/>
            <w:vAlign w:val="center"/>
          </w:tcPr>
          <w:p w14:paraId="69174C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序号</w:t>
            </w:r>
          </w:p>
        </w:tc>
        <w:tc>
          <w:tcPr>
            <w:tcW w:w="518" w:type="pct"/>
            <w:tcBorders>
              <w:top w:val="single" w:color="000000" w:sz="4" w:space="0"/>
              <w:left w:val="single" w:color="000000" w:sz="4" w:space="0"/>
              <w:bottom w:val="nil"/>
              <w:right w:val="single" w:color="000000" w:sz="4" w:space="0"/>
            </w:tcBorders>
            <w:shd w:val="clear" w:color="auto" w:fill="auto"/>
            <w:vAlign w:val="center"/>
          </w:tcPr>
          <w:p w14:paraId="55B0CA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县市区</w:t>
            </w:r>
          </w:p>
        </w:tc>
        <w:tc>
          <w:tcPr>
            <w:tcW w:w="1050" w:type="pct"/>
            <w:tcBorders>
              <w:top w:val="single" w:color="000000" w:sz="4" w:space="0"/>
              <w:left w:val="single" w:color="000000" w:sz="4" w:space="0"/>
              <w:bottom w:val="nil"/>
              <w:right w:val="single" w:color="000000" w:sz="4" w:space="0"/>
            </w:tcBorders>
            <w:shd w:val="clear" w:color="auto" w:fill="auto"/>
            <w:vAlign w:val="center"/>
          </w:tcPr>
          <w:p w14:paraId="2A4F68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桥梁代码</w:t>
            </w:r>
          </w:p>
        </w:tc>
        <w:tc>
          <w:tcPr>
            <w:tcW w:w="728" w:type="pct"/>
            <w:tcBorders>
              <w:top w:val="single" w:color="000000" w:sz="4" w:space="0"/>
              <w:left w:val="single" w:color="000000" w:sz="4" w:space="0"/>
              <w:bottom w:val="nil"/>
              <w:right w:val="single" w:color="000000" w:sz="4" w:space="0"/>
            </w:tcBorders>
            <w:shd w:val="clear" w:color="auto" w:fill="auto"/>
            <w:noWrap/>
            <w:vAlign w:val="center"/>
          </w:tcPr>
          <w:p w14:paraId="6CBF81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桥梁名称</w:t>
            </w:r>
          </w:p>
        </w:tc>
        <w:tc>
          <w:tcPr>
            <w:tcW w:w="490" w:type="pct"/>
            <w:tcBorders>
              <w:top w:val="single" w:color="000000" w:sz="4" w:space="0"/>
              <w:left w:val="single" w:color="000000" w:sz="4" w:space="0"/>
              <w:bottom w:val="nil"/>
              <w:right w:val="single" w:color="000000" w:sz="4" w:space="0"/>
            </w:tcBorders>
            <w:shd w:val="clear" w:color="auto" w:fill="auto"/>
            <w:vAlign w:val="center"/>
          </w:tcPr>
          <w:p w14:paraId="48AF91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桥梁全长（米）</w:t>
            </w:r>
          </w:p>
        </w:tc>
        <w:tc>
          <w:tcPr>
            <w:tcW w:w="458" w:type="pct"/>
            <w:tcBorders>
              <w:top w:val="single" w:color="000000" w:sz="4" w:space="0"/>
              <w:left w:val="single" w:color="000000" w:sz="4" w:space="0"/>
              <w:bottom w:val="nil"/>
              <w:right w:val="single" w:color="000000" w:sz="4" w:space="0"/>
            </w:tcBorders>
            <w:shd w:val="clear" w:color="auto" w:fill="auto"/>
            <w:vAlign w:val="center"/>
          </w:tcPr>
          <w:p w14:paraId="4EDA7B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桥梁全宽（米）</w:t>
            </w:r>
          </w:p>
        </w:tc>
        <w:tc>
          <w:tcPr>
            <w:tcW w:w="490" w:type="pct"/>
            <w:tcBorders>
              <w:top w:val="single" w:color="000000" w:sz="4" w:space="0"/>
              <w:left w:val="single" w:color="000000" w:sz="4" w:space="0"/>
              <w:bottom w:val="nil"/>
              <w:right w:val="single" w:color="000000" w:sz="4" w:space="0"/>
            </w:tcBorders>
            <w:shd w:val="clear" w:color="auto" w:fill="auto"/>
            <w:vAlign w:val="center"/>
          </w:tcPr>
          <w:p w14:paraId="055206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按跨径分类</w:t>
            </w:r>
          </w:p>
        </w:tc>
        <w:tc>
          <w:tcPr>
            <w:tcW w:w="457" w:type="pct"/>
            <w:tcBorders>
              <w:top w:val="single" w:color="000000" w:sz="4" w:space="0"/>
              <w:left w:val="single" w:color="000000" w:sz="4" w:space="0"/>
              <w:bottom w:val="nil"/>
              <w:right w:val="single" w:color="000000" w:sz="4" w:space="0"/>
            </w:tcBorders>
            <w:shd w:val="clear" w:color="auto" w:fill="auto"/>
            <w:vAlign w:val="center"/>
          </w:tcPr>
          <w:p w14:paraId="29500E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桩基数（根）</w:t>
            </w:r>
          </w:p>
        </w:tc>
        <w:tc>
          <w:tcPr>
            <w:tcW w:w="541" w:type="pct"/>
            <w:tcBorders>
              <w:top w:val="single" w:color="000000" w:sz="4" w:space="0"/>
              <w:left w:val="single" w:color="000000" w:sz="4" w:space="0"/>
              <w:bottom w:val="nil"/>
              <w:right w:val="single" w:color="000000" w:sz="4" w:space="0"/>
            </w:tcBorders>
            <w:shd w:val="clear" w:color="auto" w:fill="auto"/>
            <w:vAlign w:val="center"/>
          </w:tcPr>
          <w:p w14:paraId="3A674C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bidi="ar"/>
              </w:rPr>
            </w:pPr>
            <w:r>
              <w:rPr>
                <w:rFonts w:hint="eastAsia" w:asciiTheme="minorEastAsia" w:hAnsiTheme="minorEastAsia" w:eastAsiaTheme="minorEastAsia" w:cstheme="minorEastAsia"/>
                <w:color w:val="auto"/>
                <w:kern w:val="0"/>
                <w:sz w:val="21"/>
                <w:szCs w:val="21"/>
                <w:highlight w:val="none"/>
                <w:u w:val="none"/>
                <w:lang w:bidi="ar"/>
              </w:rPr>
              <w:t>桥墩（台）</w:t>
            </w:r>
            <w:r>
              <w:rPr>
                <w:rFonts w:hint="eastAsia" w:asciiTheme="minorEastAsia" w:hAnsiTheme="minorEastAsia" w:eastAsiaTheme="minorEastAsia" w:cstheme="minorEastAsia"/>
                <w:color w:val="auto"/>
                <w:kern w:val="0"/>
                <w:sz w:val="21"/>
                <w:szCs w:val="21"/>
                <w:highlight w:val="none"/>
                <w:u w:val="none"/>
                <w:lang w:val="en-US" w:eastAsia="zh-CN" w:bidi="ar"/>
              </w:rPr>
              <w:t>数</w:t>
            </w:r>
            <w:r>
              <w:rPr>
                <w:rFonts w:hint="eastAsia" w:asciiTheme="minorEastAsia" w:hAnsiTheme="minorEastAsia" w:eastAsiaTheme="minorEastAsia" w:cstheme="minorEastAsia"/>
                <w:color w:val="auto"/>
                <w:kern w:val="0"/>
                <w:sz w:val="21"/>
                <w:szCs w:val="21"/>
                <w:highlight w:val="none"/>
                <w:lang w:val="en-US" w:eastAsia="zh-CN" w:bidi="ar"/>
              </w:rPr>
              <w:t>（个）</w:t>
            </w:r>
          </w:p>
        </w:tc>
      </w:tr>
      <w:tr w14:paraId="14949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3F0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FA1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66"/>
                <w:rFonts w:hint="eastAsia" w:asciiTheme="minorEastAsia" w:hAnsiTheme="minorEastAsia" w:eastAsiaTheme="minorEastAsia" w:cstheme="minorEastAsia"/>
                <w:color w:val="auto"/>
                <w:sz w:val="21"/>
                <w:szCs w:val="21"/>
                <w:highlight w:val="none"/>
                <w:lang w:val="en-US" w:eastAsia="zh-CN" w:bidi="ar"/>
              </w:rPr>
              <w:t>如东县</w:t>
            </w:r>
          </w:p>
        </w:tc>
        <w:tc>
          <w:tcPr>
            <w:tcW w:w="10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511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CDB3320623L0020</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F23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66"/>
                <w:rFonts w:hint="eastAsia" w:asciiTheme="minorEastAsia" w:hAnsiTheme="minorEastAsia" w:eastAsiaTheme="minorEastAsia" w:cstheme="minorEastAsia"/>
                <w:color w:val="auto"/>
                <w:sz w:val="21"/>
                <w:szCs w:val="21"/>
                <w:highlight w:val="none"/>
                <w:lang w:val="en-US" w:eastAsia="zh-CN" w:bidi="ar"/>
              </w:rPr>
              <w:t>临海中桥</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41D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43</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3CE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5.5</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78E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66"/>
                <w:rFonts w:hint="eastAsia" w:asciiTheme="minorEastAsia" w:hAnsiTheme="minorEastAsia" w:eastAsiaTheme="minorEastAsia" w:cstheme="minorEastAsia"/>
                <w:color w:val="auto"/>
                <w:sz w:val="21"/>
                <w:szCs w:val="21"/>
                <w:highlight w:val="none"/>
                <w:lang w:val="en-US" w:eastAsia="zh-CN" w:bidi="ar"/>
              </w:rPr>
              <w:t>中桥</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40F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38ACC">
            <w:pPr>
              <w:jc w:val="center"/>
              <w:rPr>
                <w:rFonts w:hint="eastAsia" w:asciiTheme="minorEastAsia" w:hAnsiTheme="minorEastAsia" w:eastAsiaTheme="minorEastAsia" w:cstheme="minorEastAsia"/>
                <w:i w:val="0"/>
                <w:iCs w:val="0"/>
                <w:color w:val="auto"/>
                <w:sz w:val="21"/>
                <w:szCs w:val="21"/>
                <w:highlight w:val="none"/>
                <w:u w:val="none"/>
              </w:rPr>
            </w:pPr>
          </w:p>
        </w:tc>
      </w:tr>
      <w:tr w14:paraId="342F6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701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581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66"/>
                <w:rFonts w:hint="eastAsia" w:asciiTheme="minorEastAsia" w:hAnsiTheme="minorEastAsia" w:eastAsiaTheme="minorEastAsia" w:cstheme="minorEastAsia"/>
                <w:color w:val="auto"/>
                <w:sz w:val="21"/>
                <w:szCs w:val="21"/>
                <w:highlight w:val="none"/>
                <w:lang w:val="en-US" w:eastAsia="zh-CN" w:bidi="ar"/>
              </w:rPr>
              <w:t>如东县</w:t>
            </w:r>
          </w:p>
        </w:tc>
        <w:tc>
          <w:tcPr>
            <w:tcW w:w="10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365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Y705320623L0030</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275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66"/>
                <w:rFonts w:hint="eastAsia" w:asciiTheme="minorEastAsia" w:hAnsiTheme="minorEastAsia" w:eastAsiaTheme="minorEastAsia" w:cstheme="minorEastAsia"/>
                <w:color w:val="auto"/>
                <w:sz w:val="21"/>
                <w:szCs w:val="21"/>
                <w:highlight w:val="none"/>
                <w:lang w:val="en-US" w:eastAsia="zh-CN" w:bidi="ar"/>
              </w:rPr>
              <w:t>北环桥</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8A5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43</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37B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C12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66"/>
                <w:rFonts w:hint="eastAsia" w:asciiTheme="minorEastAsia" w:hAnsiTheme="minorEastAsia" w:eastAsiaTheme="minorEastAsia" w:cstheme="minorEastAsia"/>
                <w:color w:val="auto"/>
                <w:sz w:val="21"/>
                <w:szCs w:val="21"/>
                <w:highlight w:val="none"/>
                <w:lang w:val="en-US" w:eastAsia="zh-CN" w:bidi="ar"/>
              </w:rPr>
              <w:t>中桥</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894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3F03E">
            <w:pPr>
              <w:jc w:val="center"/>
              <w:rPr>
                <w:rFonts w:hint="eastAsia" w:asciiTheme="minorEastAsia" w:hAnsiTheme="minorEastAsia" w:eastAsiaTheme="minorEastAsia" w:cstheme="minorEastAsia"/>
                <w:i w:val="0"/>
                <w:iCs w:val="0"/>
                <w:color w:val="auto"/>
                <w:sz w:val="21"/>
                <w:szCs w:val="21"/>
                <w:highlight w:val="none"/>
                <w:u w:val="none"/>
              </w:rPr>
            </w:pPr>
          </w:p>
        </w:tc>
      </w:tr>
      <w:tr w14:paraId="6DDDB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25C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F4E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66"/>
                <w:rFonts w:hint="eastAsia" w:asciiTheme="minorEastAsia" w:hAnsiTheme="minorEastAsia" w:eastAsiaTheme="minorEastAsia" w:cstheme="minorEastAsia"/>
                <w:color w:val="auto"/>
                <w:sz w:val="21"/>
                <w:szCs w:val="21"/>
                <w:highlight w:val="none"/>
                <w:lang w:val="en-US" w:eastAsia="zh-CN" w:bidi="ar"/>
              </w:rPr>
              <w:t>如东县</w:t>
            </w:r>
          </w:p>
        </w:tc>
        <w:tc>
          <w:tcPr>
            <w:tcW w:w="10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959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X311320623L0070</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166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66"/>
                <w:rFonts w:hint="eastAsia" w:asciiTheme="minorEastAsia" w:hAnsiTheme="minorEastAsia" w:eastAsiaTheme="minorEastAsia" w:cstheme="minorEastAsia"/>
                <w:color w:val="auto"/>
                <w:sz w:val="21"/>
                <w:szCs w:val="21"/>
                <w:highlight w:val="none"/>
                <w:lang w:val="en-US" w:eastAsia="zh-CN" w:bidi="ar"/>
              </w:rPr>
              <w:t>陈湾桥</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7B8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36</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276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35A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66"/>
                <w:rFonts w:hint="eastAsia" w:asciiTheme="minorEastAsia" w:hAnsiTheme="minorEastAsia" w:eastAsiaTheme="minorEastAsia" w:cstheme="minorEastAsia"/>
                <w:color w:val="auto"/>
                <w:sz w:val="21"/>
                <w:szCs w:val="21"/>
                <w:highlight w:val="none"/>
                <w:lang w:val="en-US" w:eastAsia="zh-CN" w:bidi="ar"/>
              </w:rPr>
              <w:t>小桥</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836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31416">
            <w:pPr>
              <w:jc w:val="center"/>
              <w:rPr>
                <w:rFonts w:hint="eastAsia" w:asciiTheme="minorEastAsia" w:hAnsiTheme="minorEastAsia" w:eastAsiaTheme="minorEastAsia" w:cstheme="minorEastAsia"/>
                <w:i w:val="0"/>
                <w:iCs w:val="0"/>
                <w:color w:val="auto"/>
                <w:sz w:val="21"/>
                <w:szCs w:val="21"/>
                <w:highlight w:val="none"/>
                <w:u w:val="none"/>
              </w:rPr>
            </w:pPr>
          </w:p>
        </w:tc>
      </w:tr>
      <w:tr w14:paraId="2D90E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8AA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8BD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66"/>
                <w:rFonts w:hint="eastAsia" w:asciiTheme="minorEastAsia" w:hAnsiTheme="minorEastAsia" w:eastAsiaTheme="minorEastAsia" w:cstheme="minorEastAsia"/>
                <w:color w:val="auto"/>
                <w:sz w:val="21"/>
                <w:szCs w:val="21"/>
                <w:highlight w:val="none"/>
                <w:lang w:val="en-US" w:eastAsia="zh-CN" w:bidi="ar"/>
              </w:rPr>
              <w:t>如东县</w:t>
            </w:r>
          </w:p>
        </w:tc>
        <w:tc>
          <w:tcPr>
            <w:tcW w:w="10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333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X257320623L0090</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C7E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66"/>
                <w:rFonts w:hint="eastAsia" w:asciiTheme="minorEastAsia" w:hAnsiTheme="minorEastAsia" w:eastAsiaTheme="minorEastAsia" w:cstheme="minorEastAsia"/>
                <w:color w:val="auto"/>
                <w:sz w:val="21"/>
                <w:szCs w:val="21"/>
                <w:highlight w:val="none"/>
                <w:lang w:val="en-US" w:eastAsia="zh-CN" w:bidi="ar"/>
              </w:rPr>
              <w:t>富强桥</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931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35</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8A8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836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66"/>
                <w:rFonts w:hint="eastAsia" w:asciiTheme="minorEastAsia" w:hAnsiTheme="minorEastAsia" w:eastAsiaTheme="minorEastAsia" w:cstheme="minorEastAsia"/>
                <w:color w:val="auto"/>
                <w:sz w:val="21"/>
                <w:szCs w:val="21"/>
                <w:highlight w:val="none"/>
                <w:lang w:val="en-US" w:eastAsia="zh-CN" w:bidi="ar"/>
              </w:rPr>
              <w:t>小桥</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0C4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BC046">
            <w:pPr>
              <w:jc w:val="center"/>
              <w:rPr>
                <w:rFonts w:hint="eastAsia" w:asciiTheme="minorEastAsia" w:hAnsiTheme="minorEastAsia" w:eastAsiaTheme="minorEastAsia" w:cstheme="minorEastAsia"/>
                <w:i w:val="0"/>
                <w:iCs w:val="0"/>
                <w:color w:val="auto"/>
                <w:sz w:val="21"/>
                <w:szCs w:val="21"/>
                <w:highlight w:val="none"/>
                <w:u w:val="none"/>
              </w:rPr>
            </w:pPr>
          </w:p>
        </w:tc>
      </w:tr>
      <w:tr w14:paraId="480D8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319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2B4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66"/>
                <w:rFonts w:hint="eastAsia" w:asciiTheme="minorEastAsia" w:hAnsiTheme="minorEastAsia" w:eastAsiaTheme="minorEastAsia" w:cstheme="minorEastAsia"/>
                <w:color w:val="auto"/>
                <w:sz w:val="21"/>
                <w:szCs w:val="21"/>
                <w:highlight w:val="none"/>
                <w:lang w:val="en-US" w:eastAsia="zh-CN" w:bidi="ar"/>
              </w:rPr>
              <w:t>如东县</w:t>
            </w:r>
          </w:p>
        </w:tc>
        <w:tc>
          <w:tcPr>
            <w:tcW w:w="10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77B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CCD0320623L0050</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81A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66"/>
                <w:rFonts w:hint="eastAsia" w:asciiTheme="minorEastAsia" w:hAnsiTheme="minorEastAsia" w:eastAsiaTheme="minorEastAsia" w:cstheme="minorEastAsia"/>
                <w:color w:val="auto"/>
                <w:sz w:val="21"/>
                <w:szCs w:val="21"/>
                <w:highlight w:val="none"/>
                <w:lang w:val="en-US" w:eastAsia="zh-CN" w:bidi="ar"/>
              </w:rPr>
              <w:t>新港大桥</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F5D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72</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DBD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548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66"/>
                <w:rFonts w:hint="eastAsia" w:asciiTheme="minorEastAsia" w:hAnsiTheme="minorEastAsia" w:eastAsiaTheme="minorEastAsia" w:cstheme="minorEastAsia"/>
                <w:color w:val="auto"/>
                <w:sz w:val="21"/>
                <w:szCs w:val="21"/>
                <w:highlight w:val="none"/>
                <w:lang w:val="en-US" w:eastAsia="zh-CN" w:bidi="ar"/>
              </w:rPr>
              <w:t>中桥</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003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C3471">
            <w:pPr>
              <w:jc w:val="center"/>
              <w:rPr>
                <w:rFonts w:hint="eastAsia" w:asciiTheme="minorEastAsia" w:hAnsiTheme="minorEastAsia" w:eastAsiaTheme="minorEastAsia" w:cstheme="minorEastAsia"/>
                <w:i w:val="0"/>
                <w:iCs w:val="0"/>
                <w:color w:val="auto"/>
                <w:sz w:val="21"/>
                <w:szCs w:val="21"/>
                <w:highlight w:val="none"/>
                <w:u w:val="none"/>
              </w:rPr>
            </w:pPr>
          </w:p>
        </w:tc>
      </w:tr>
      <w:tr w14:paraId="3634C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CAE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25B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66"/>
                <w:rFonts w:hint="eastAsia" w:asciiTheme="minorEastAsia" w:hAnsiTheme="minorEastAsia" w:eastAsiaTheme="minorEastAsia" w:cstheme="minorEastAsia"/>
                <w:color w:val="auto"/>
                <w:sz w:val="21"/>
                <w:szCs w:val="21"/>
                <w:highlight w:val="none"/>
                <w:lang w:val="en-US" w:eastAsia="zh-CN" w:bidi="ar"/>
              </w:rPr>
              <w:t>如东县</w:t>
            </w:r>
          </w:p>
        </w:tc>
        <w:tc>
          <w:tcPr>
            <w:tcW w:w="10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AD9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Y813320623L0060</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09C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66"/>
                <w:rFonts w:hint="eastAsia" w:asciiTheme="minorEastAsia" w:hAnsiTheme="minorEastAsia" w:eastAsiaTheme="minorEastAsia" w:cstheme="minorEastAsia"/>
                <w:color w:val="auto"/>
                <w:sz w:val="21"/>
                <w:szCs w:val="21"/>
                <w:highlight w:val="none"/>
                <w:lang w:val="en-US" w:eastAsia="zh-CN" w:bidi="ar"/>
              </w:rPr>
              <w:t>南渔大桥</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AB1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46</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CD2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21.7</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5D9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66"/>
                <w:rFonts w:hint="eastAsia" w:asciiTheme="minorEastAsia" w:hAnsiTheme="minorEastAsia" w:eastAsiaTheme="minorEastAsia" w:cstheme="minorEastAsia"/>
                <w:color w:val="auto"/>
                <w:sz w:val="21"/>
                <w:szCs w:val="21"/>
                <w:highlight w:val="none"/>
                <w:lang w:val="en-US" w:eastAsia="zh-CN" w:bidi="ar"/>
              </w:rPr>
              <w:t>中桥</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AF0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A51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67"/>
                <w:rFonts w:hint="eastAsia" w:asciiTheme="minorEastAsia" w:hAnsiTheme="minorEastAsia" w:eastAsiaTheme="minorEastAsia" w:cstheme="minorEastAsia"/>
                <w:color w:val="auto"/>
                <w:sz w:val="21"/>
                <w:szCs w:val="21"/>
                <w:highlight w:val="none"/>
                <w:lang w:val="en-US" w:eastAsia="zh-CN" w:bidi="ar"/>
              </w:rPr>
              <w:t>桥台</w:t>
            </w:r>
            <w:r>
              <w:rPr>
                <w:rStyle w:val="68"/>
                <w:rFonts w:hint="eastAsia" w:asciiTheme="minorEastAsia" w:hAnsiTheme="minorEastAsia" w:eastAsiaTheme="minorEastAsia" w:cstheme="minorEastAsia"/>
                <w:color w:val="auto"/>
                <w:sz w:val="21"/>
                <w:szCs w:val="21"/>
                <w:highlight w:val="none"/>
                <w:lang w:val="en-US" w:eastAsia="zh-CN" w:bidi="ar"/>
              </w:rPr>
              <w:t>2</w:t>
            </w:r>
          </w:p>
        </w:tc>
      </w:tr>
      <w:tr w14:paraId="42D1E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22A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5D2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66"/>
                <w:rFonts w:hint="eastAsia" w:asciiTheme="minorEastAsia" w:hAnsiTheme="minorEastAsia" w:eastAsiaTheme="minorEastAsia" w:cstheme="minorEastAsia"/>
                <w:color w:val="auto"/>
                <w:sz w:val="21"/>
                <w:szCs w:val="21"/>
                <w:highlight w:val="none"/>
                <w:lang w:val="en-US" w:eastAsia="zh-CN" w:bidi="ar"/>
              </w:rPr>
              <w:t>如东县</w:t>
            </w:r>
          </w:p>
        </w:tc>
        <w:tc>
          <w:tcPr>
            <w:tcW w:w="10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076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Y461320623L0010</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62E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K0+076</w:t>
            </w:r>
            <w:r>
              <w:rPr>
                <w:rStyle w:val="66"/>
                <w:rFonts w:hint="eastAsia" w:asciiTheme="minorEastAsia" w:hAnsiTheme="minorEastAsia" w:eastAsiaTheme="minorEastAsia" w:cstheme="minorEastAsia"/>
                <w:color w:val="auto"/>
                <w:sz w:val="21"/>
                <w:szCs w:val="21"/>
                <w:highlight w:val="none"/>
                <w:lang w:val="en-US" w:eastAsia="zh-CN" w:bidi="ar"/>
              </w:rPr>
              <w:t>海堤河桥</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577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39</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AE6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6.5</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BC2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66"/>
                <w:rFonts w:hint="eastAsia" w:asciiTheme="minorEastAsia" w:hAnsiTheme="minorEastAsia" w:eastAsiaTheme="minorEastAsia" w:cstheme="minorEastAsia"/>
                <w:color w:val="auto"/>
                <w:sz w:val="21"/>
                <w:szCs w:val="21"/>
                <w:highlight w:val="none"/>
                <w:lang w:val="en-US" w:eastAsia="zh-CN" w:bidi="ar"/>
              </w:rPr>
              <w:t>中桥</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8DC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C2DB7">
            <w:pPr>
              <w:jc w:val="center"/>
              <w:rPr>
                <w:rFonts w:hint="eastAsia" w:asciiTheme="minorEastAsia" w:hAnsiTheme="minorEastAsia" w:eastAsiaTheme="minorEastAsia" w:cstheme="minorEastAsia"/>
                <w:i w:val="0"/>
                <w:iCs w:val="0"/>
                <w:color w:val="auto"/>
                <w:sz w:val="21"/>
                <w:szCs w:val="21"/>
                <w:highlight w:val="none"/>
                <w:u w:val="none"/>
              </w:rPr>
            </w:pPr>
          </w:p>
        </w:tc>
      </w:tr>
      <w:tr w14:paraId="0FF77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522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2BE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66"/>
                <w:rFonts w:hint="eastAsia" w:asciiTheme="minorEastAsia" w:hAnsiTheme="minorEastAsia" w:eastAsiaTheme="minorEastAsia" w:cstheme="minorEastAsia"/>
                <w:color w:val="auto"/>
                <w:sz w:val="21"/>
                <w:szCs w:val="21"/>
                <w:highlight w:val="none"/>
                <w:lang w:val="en-US" w:eastAsia="zh-CN" w:bidi="ar"/>
              </w:rPr>
              <w:t>如东县</w:t>
            </w:r>
          </w:p>
        </w:tc>
        <w:tc>
          <w:tcPr>
            <w:tcW w:w="10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7F0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C552320623L0080</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C0D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66"/>
                <w:rFonts w:hint="eastAsia" w:asciiTheme="minorEastAsia" w:hAnsiTheme="minorEastAsia" w:eastAsiaTheme="minorEastAsia" w:cstheme="minorEastAsia"/>
                <w:color w:val="auto"/>
                <w:sz w:val="21"/>
                <w:szCs w:val="21"/>
                <w:highlight w:val="none"/>
                <w:lang w:val="en-US" w:eastAsia="zh-CN" w:bidi="ar"/>
              </w:rPr>
              <w:t>环堤一桥</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6EA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37</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0A5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5.5</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C18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66"/>
                <w:rFonts w:hint="eastAsia" w:asciiTheme="minorEastAsia" w:hAnsiTheme="minorEastAsia" w:eastAsiaTheme="minorEastAsia" w:cstheme="minorEastAsia"/>
                <w:color w:val="auto"/>
                <w:sz w:val="21"/>
                <w:szCs w:val="21"/>
                <w:highlight w:val="none"/>
                <w:lang w:val="en-US" w:eastAsia="zh-CN" w:bidi="ar"/>
              </w:rPr>
              <w:t>中桥</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9BE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F20BE">
            <w:pPr>
              <w:jc w:val="center"/>
              <w:rPr>
                <w:rFonts w:hint="eastAsia" w:asciiTheme="minorEastAsia" w:hAnsiTheme="minorEastAsia" w:eastAsiaTheme="minorEastAsia" w:cstheme="minorEastAsia"/>
                <w:i w:val="0"/>
                <w:iCs w:val="0"/>
                <w:color w:val="auto"/>
                <w:sz w:val="21"/>
                <w:szCs w:val="21"/>
                <w:highlight w:val="none"/>
                <w:u w:val="none"/>
              </w:rPr>
            </w:pPr>
          </w:p>
        </w:tc>
      </w:tr>
      <w:tr w14:paraId="44328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12C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9</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A4B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66"/>
                <w:rFonts w:hint="eastAsia" w:asciiTheme="minorEastAsia" w:hAnsiTheme="minorEastAsia" w:eastAsiaTheme="minorEastAsia" w:cstheme="minorEastAsia"/>
                <w:color w:val="auto"/>
                <w:sz w:val="21"/>
                <w:szCs w:val="21"/>
                <w:highlight w:val="none"/>
                <w:lang w:val="en-US" w:eastAsia="zh-CN" w:bidi="ar"/>
              </w:rPr>
              <w:t>如东县</w:t>
            </w:r>
          </w:p>
        </w:tc>
        <w:tc>
          <w:tcPr>
            <w:tcW w:w="10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7AA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Y302320623L0020</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722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66"/>
                <w:rFonts w:hint="eastAsia" w:asciiTheme="minorEastAsia" w:hAnsiTheme="minorEastAsia" w:eastAsiaTheme="minorEastAsia" w:cstheme="minorEastAsia"/>
                <w:color w:val="auto"/>
                <w:sz w:val="21"/>
                <w:szCs w:val="21"/>
                <w:highlight w:val="none"/>
                <w:lang w:val="en-US" w:eastAsia="zh-CN" w:bidi="ar"/>
              </w:rPr>
              <w:t>海堤桥</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8B1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79</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E0B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5.5</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301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66"/>
                <w:rFonts w:hint="eastAsia" w:asciiTheme="minorEastAsia" w:hAnsiTheme="minorEastAsia" w:eastAsiaTheme="minorEastAsia" w:cstheme="minorEastAsia"/>
                <w:color w:val="auto"/>
                <w:sz w:val="21"/>
                <w:szCs w:val="21"/>
                <w:highlight w:val="none"/>
                <w:lang w:val="en-US" w:eastAsia="zh-CN" w:bidi="ar"/>
              </w:rPr>
              <w:t>中桥</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14E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81759">
            <w:pPr>
              <w:jc w:val="center"/>
              <w:rPr>
                <w:rFonts w:hint="eastAsia" w:asciiTheme="minorEastAsia" w:hAnsiTheme="minorEastAsia" w:eastAsiaTheme="minorEastAsia" w:cstheme="minorEastAsia"/>
                <w:i w:val="0"/>
                <w:iCs w:val="0"/>
                <w:color w:val="auto"/>
                <w:sz w:val="21"/>
                <w:szCs w:val="21"/>
                <w:highlight w:val="none"/>
                <w:u w:val="none"/>
              </w:rPr>
            </w:pPr>
          </w:p>
        </w:tc>
      </w:tr>
      <w:tr w14:paraId="42D77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3A3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BDE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66"/>
                <w:rFonts w:hint="eastAsia" w:asciiTheme="minorEastAsia" w:hAnsiTheme="minorEastAsia" w:eastAsiaTheme="minorEastAsia" w:cstheme="minorEastAsia"/>
                <w:color w:val="auto"/>
                <w:sz w:val="21"/>
                <w:szCs w:val="21"/>
                <w:highlight w:val="none"/>
                <w:lang w:val="en-US" w:eastAsia="zh-CN" w:bidi="ar"/>
              </w:rPr>
              <w:t>如东县</w:t>
            </w:r>
          </w:p>
        </w:tc>
        <w:tc>
          <w:tcPr>
            <w:tcW w:w="10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D51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C016320623L0010</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A81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66"/>
                <w:rFonts w:hint="eastAsia" w:asciiTheme="minorEastAsia" w:hAnsiTheme="minorEastAsia" w:eastAsiaTheme="minorEastAsia" w:cstheme="minorEastAsia"/>
                <w:color w:val="auto"/>
                <w:sz w:val="21"/>
                <w:szCs w:val="21"/>
                <w:highlight w:val="none"/>
                <w:lang w:val="en-US" w:eastAsia="zh-CN" w:bidi="ar"/>
              </w:rPr>
              <w:t>九龙二号桥</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476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27</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CB6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5.8</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89D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66"/>
                <w:rFonts w:hint="eastAsia" w:asciiTheme="minorEastAsia" w:hAnsiTheme="minorEastAsia" w:eastAsiaTheme="minorEastAsia" w:cstheme="minorEastAsia"/>
                <w:color w:val="auto"/>
                <w:sz w:val="21"/>
                <w:szCs w:val="21"/>
                <w:highlight w:val="none"/>
                <w:lang w:val="en-US" w:eastAsia="zh-CN" w:bidi="ar"/>
              </w:rPr>
              <w:t>小桥</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9D2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A2535">
            <w:pPr>
              <w:jc w:val="center"/>
              <w:rPr>
                <w:rFonts w:hint="eastAsia" w:asciiTheme="minorEastAsia" w:hAnsiTheme="minorEastAsia" w:eastAsiaTheme="minorEastAsia" w:cstheme="minorEastAsia"/>
                <w:i w:val="0"/>
                <w:iCs w:val="0"/>
                <w:color w:val="auto"/>
                <w:sz w:val="21"/>
                <w:szCs w:val="21"/>
                <w:highlight w:val="none"/>
                <w:u w:val="none"/>
              </w:rPr>
            </w:pPr>
          </w:p>
        </w:tc>
      </w:tr>
      <w:tr w14:paraId="04F8E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013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11</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936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66"/>
                <w:rFonts w:hint="eastAsia" w:asciiTheme="minorEastAsia" w:hAnsiTheme="minorEastAsia" w:eastAsiaTheme="minorEastAsia" w:cstheme="minorEastAsia"/>
                <w:color w:val="auto"/>
                <w:sz w:val="21"/>
                <w:szCs w:val="21"/>
                <w:highlight w:val="none"/>
                <w:lang w:val="en-US" w:eastAsia="zh-CN" w:bidi="ar"/>
              </w:rPr>
              <w:t>如东县</w:t>
            </w:r>
          </w:p>
        </w:tc>
        <w:tc>
          <w:tcPr>
            <w:tcW w:w="10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99A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X352320623L0150</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138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66"/>
                <w:rFonts w:hint="eastAsia" w:asciiTheme="minorEastAsia" w:hAnsiTheme="minorEastAsia" w:eastAsiaTheme="minorEastAsia" w:cstheme="minorEastAsia"/>
                <w:color w:val="auto"/>
                <w:sz w:val="21"/>
                <w:szCs w:val="21"/>
                <w:highlight w:val="none"/>
                <w:lang w:val="en-US" w:eastAsia="zh-CN" w:bidi="ar"/>
              </w:rPr>
              <w:t>掘苴河闸</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C01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50.3</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3B6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7.3</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BB7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66"/>
                <w:rFonts w:hint="eastAsia" w:asciiTheme="minorEastAsia" w:hAnsiTheme="minorEastAsia" w:eastAsiaTheme="minorEastAsia" w:cstheme="minorEastAsia"/>
                <w:color w:val="auto"/>
                <w:sz w:val="21"/>
                <w:szCs w:val="21"/>
                <w:highlight w:val="none"/>
                <w:lang w:val="en-US" w:eastAsia="zh-CN" w:bidi="ar"/>
              </w:rPr>
              <w:t>中桥</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E8B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90856">
            <w:pPr>
              <w:jc w:val="center"/>
              <w:rPr>
                <w:rFonts w:hint="eastAsia" w:asciiTheme="minorEastAsia" w:hAnsiTheme="minorEastAsia" w:eastAsiaTheme="minorEastAsia" w:cstheme="minorEastAsia"/>
                <w:i w:val="0"/>
                <w:iCs w:val="0"/>
                <w:color w:val="auto"/>
                <w:sz w:val="21"/>
                <w:szCs w:val="21"/>
                <w:highlight w:val="none"/>
                <w:u w:val="none"/>
              </w:rPr>
            </w:pPr>
          </w:p>
        </w:tc>
      </w:tr>
      <w:tr w14:paraId="3BB47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A2B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12</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5C6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66"/>
                <w:rFonts w:hint="eastAsia" w:asciiTheme="minorEastAsia" w:hAnsiTheme="minorEastAsia" w:eastAsiaTheme="minorEastAsia" w:cstheme="minorEastAsia"/>
                <w:color w:val="auto"/>
                <w:sz w:val="21"/>
                <w:szCs w:val="21"/>
                <w:highlight w:val="none"/>
                <w:lang w:val="en-US" w:eastAsia="zh-CN" w:bidi="ar"/>
              </w:rPr>
              <w:t>如东县</w:t>
            </w:r>
          </w:p>
        </w:tc>
        <w:tc>
          <w:tcPr>
            <w:tcW w:w="10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933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CCD0320623L0050</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9CC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66"/>
                <w:rFonts w:hint="eastAsia" w:asciiTheme="minorEastAsia" w:hAnsiTheme="minorEastAsia" w:eastAsiaTheme="minorEastAsia" w:cstheme="minorEastAsia"/>
                <w:color w:val="auto"/>
                <w:sz w:val="21"/>
                <w:szCs w:val="21"/>
                <w:highlight w:val="none"/>
                <w:lang w:val="en-US" w:eastAsia="zh-CN" w:bidi="ar"/>
              </w:rPr>
              <w:t>新港大桥</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EAA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72</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013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9E7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66"/>
                <w:rFonts w:hint="eastAsia" w:asciiTheme="minorEastAsia" w:hAnsiTheme="minorEastAsia" w:eastAsiaTheme="minorEastAsia" w:cstheme="minorEastAsia"/>
                <w:color w:val="auto"/>
                <w:sz w:val="21"/>
                <w:szCs w:val="21"/>
                <w:highlight w:val="none"/>
                <w:lang w:val="en-US" w:eastAsia="zh-CN" w:bidi="ar"/>
              </w:rPr>
              <w:t>中桥</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AAE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2BD4A">
            <w:pPr>
              <w:jc w:val="center"/>
              <w:rPr>
                <w:rFonts w:hint="eastAsia" w:asciiTheme="minorEastAsia" w:hAnsiTheme="minorEastAsia" w:eastAsiaTheme="minorEastAsia" w:cstheme="minorEastAsia"/>
                <w:i w:val="0"/>
                <w:iCs w:val="0"/>
                <w:color w:val="auto"/>
                <w:sz w:val="21"/>
                <w:szCs w:val="21"/>
                <w:highlight w:val="none"/>
                <w:u w:val="none"/>
              </w:rPr>
            </w:pPr>
          </w:p>
        </w:tc>
      </w:tr>
      <w:tr w14:paraId="05D0C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388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13</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C1B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66"/>
                <w:rFonts w:hint="eastAsia" w:asciiTheme="minorEastAsia" w:hAnsiTheme="minorEastAsia" w:eastAsiaTheme="minorEastAsia" w:cstheme="minorEastAsia"/>
                <w:color w:val="auto"/>
                <w:sz w:val="21"/>
                <w:szCs w:val="21"/>
                <w:highlight w:val="none"/>
                <w:lang w:val="en-US" w:eastAsia="zh-CN" w:bidi="ar"/>
              </w:rPr>
              <w:t>海门区</w:t>
            </w:r>
          </w:p>
        </w:tc>
        <w:tc>
          <w:tcPr>
            <w:tcW w:w="10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A9B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Y021320614L0010</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B4B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66"/>
                <w:rFonts w:hint="eastAsia" w:asciiTheme="minorEastAsia" w:hAnsiTheme="minorEastAsia" w:eastAsiaTheme="minorEastAsia" w:cstheme="minorEastAsia"/>
                <w:color w:val="auto"/>
                <w:sz w:val="21"/>
                <w:szCs w:val="21"/>
                <w:highlight w:val="none"/>
                <w:lang w:val="en-US" w:eastAsia="zh-CN" w:bidi="ar"/>
              </w:rPr>
              <w:t>海星桥</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BE6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36</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D77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9A4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66"/>
                <w:rFonts w:hint="eastAsia" w:asciiTheme="minorEastAsia" w:hAnsiTheme="minorEastAsia" w:eastAsiaTheme="minorEastAsia" w:cstheme="minorEastAsia"/>
                <w:color w:val="auto"/>
                <w:sz w:val="21"/>
                <w:szCs w:val="21"/>
                <w:highlight w:val="none"/>
                <w:lang w:val="en-US" w:eastAsia="zh-CN" w:bidi="ar"/>
              </w:rPr>
              <w:t>中桥</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5B6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9A3CB">
            <w:pPr>
              <w:jc w:val="center"/>
              <w:rPr>
                <w:rFonts w:hint="eastAsia" w:asciiTheme="minorEastAsia" w:hAnsiTheme="minorEastAsia" w:eastAsiaTheme="minorEastAsia" w:cstheme="minorEastAsia"/>
                <w:i w:val="0"/>
                <w:iCs w:val="0"/>
                <w:color w:val="auto"/>
                <w:sz w:val="21"/>
                <w:szCs w:val="21"/>
                <w:highlight w:val="none"/>
                <w:u w:val="none"/>
              </w:rPr>
            </w:pPr>
          </w:p>
        </w:tc>
      </w:tr>
      <w:tr w14:paraId="019C3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D76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14</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3FF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66"/>
                <w:rFonts w:hint="eastAsia" w:asciiTheme="minorEastAsia" w:hAnsiTheme="minorEastAsia" w:eastAsiaTheme="minorEastAsia" w:cstheme="minorEastAsia"/>
                <w:color w:val="auto"/>
                <w:sz w:val="21"/>
                <w:szCs w:val="21"/>
                <w:highlight w:val="none"/>
                <w:lang w:val="en-US" w:eastAsia="zh-CN" w:bidi="ar"/>
              </w:rPr>
              <w:t>海门区</w:t>
            </w:r>
          </w:p>
        </w:tc>
        <w:tc>
          <w:tcPr>
            <w:tcW w:w="10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8F9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Y373320614L0030</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52E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66"/>
                <w:rFonts w:hint="eastAsia" w:asciiTheme="minorEastAsia" w:hAnsiTheme="minorEastAsia" w:eastAsiaTheme="minorEastAsia" w:cstheme="minorEastAsia"/>
                <w:color w:val="auto"/>
                <w:sz w:val="21"/>
                <w:szCs w:val="21"/>
                <w:highlight w:val="none"/>
                <w:lang w:val="en-US" w:eastAsia="zh-CN" w:bidi="ar"/>
              </w:rPr>
              <w:t>匡南桥</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3E9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32</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1D2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4E5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66"/>
                <w:rFonts w:hint="eastAsia" w:asciiTheme="minorEastAsia" w:hAnsiTheme="minorEastAsia" w:eastAsiaTheme="minorEastAsia" w:cstheme="minorEastAsia"/>
                <w:color w:val="auto"/>
                <w:sz w:val="21"/>
                <w:szCs w:val="21"/>
                <w:highlight w:val="none"/>
                <w:lang w:val="en-US" w:eastAsia="zh-CN" w:bidi="ar"/>
              </w:rPr>
              <w:t>中桥</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9AA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0D92F">
            <w:pPr>
              <w:jc w:val="center"/>
              <w:rPr>
                <w:rFonts w:hint="eastAsia" w:asciiTheme="minorEastAsia" w:hAnsiTheme="minorEastAsia" w:eastAsiaTheme="minorEastAsia" w:cstheme="minorEastAsia"/>
                <w:i w:val="0"/>
                <w:iCs w:val="0"/>
                <w:color w:val="auto"/>
                <w:sz w:val="21"/>
                <w:szCs w:val="21"/>
                <w:highlight w:val="none"/>
                <w:u w:val="none"/>
              </w:rPr>
            </w:pPr>
          </w:p>
        </w:tc>
      </w:tr>
      <w:tr w14:paraId="3D808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FD1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15</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C85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66"/>
                <w:rFonts w:hint="eastAsia" w:asciiTheme="minorEastAsia" w:hAnsiTheme="minorEastAsia" w:eastAsiaTheme="minorEastAsia" w:cstheme="minorEastAsia"/>
                <w:color w:val="auto"/>
                <w:sz w:val="21"/>
                <w:szCs w:val="21"/>
                <w:highlight w:val="none"/>
                <w:lang w:val="en-US" w:eastAsia="zh-CN" w:bidi="ar"/>
              </w:rPr>
              <w:t>海门区</w:t>
            </w:r>
          </w:p>
        </w:tc>
        <w:tc>
          <w:tcPr>
            <w:tcW w:w="10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D0C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Y021320614L0020</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E00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66"/>
                <w:rFonts w:hint="eastAsia" w:asciiTheme="minorEastAsia" w:hAnsiTheme="minorEastAsia" w:eastAsiaTheme="minorEastAsia" w:cstheme="minorEastAsia"/>
                <w:color w:val="auto"/>
                <w:sz w:val="21"/>
                <w:szCs w:val="21"/>
                <w:highlight w:val="none"/>
                <w:lang w:val="en-US" w:eastAsia="zh-CN" w:bidi="ar"/>
              </w:rPr>
              <w:t>龙英桥</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F4B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50</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5E0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5.6</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01A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66"/>
                <w:rFonts w:hint="eastAsia" w:asciiTheme="minorEastAsia" w:hAnsiTheme="minorEastAsia" w:eastAsiaTheme="minorEastAsia" w:cstheme="minorEastAsia"/>
                <w:color w:val="auto"/>
                <w:sz w:val="21"/>
                <w:szCs w:val="21"/>
                <w:highlight w:val="none"/>
                <w:lang w:val="en-US" w:eastAsia="zh-CN" w:bidi="ar"/>
              </w:rPr>
              <w:t>中桥</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599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187F6">
            <w:pPr>
              <w:jc w:val="center"/>
              <w:rPr>
                <w:rFonts w:hint="eastAsia" w:asciiTheme="minorEastAsia" w:hAnsiTheme="minorEastAsia" w:eastAsiaTheme="minorEastAsia" w:cstheme="minorEastAsia"/>
                <w:i w:val="0"/>
                <w:iCs w:val="0"/>
                <w:color w:val="auto"/>
                <w:sz w:val="21"/>
                <w:szCs w:val="21"/>
                <w:highlight w:val="none"/>
                <w:u w:val="none"/>
              </w:rPr>
            </w:pPr>
          </w:p>
        </w:tc>
      </w:tr>
      <w:tr w14:paraId="083DA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74E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16</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967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66"/>
                <w:rFonts w:hint="eastAsia" w:asciiTheme="minorEastAsia" w:hAnsiTheme="minorEastAsia" w:eastAsiaTheme="minorEastAsia" w:cstheme="minorEastAsia"/>
                <w:color w:val="auto"/>
                <w:sz w:val="21"/>
                <w:szCs w:val="21"/>
                <w:highlight w:val="none"/>
                <w:lang w:val="en-US" w:eastAsia="zh-CN" w:bidi="ar"/>
              </w:rPr>
              <w:t>海门区</w:t>
            </w:r>
          </w:p>
        </w:tc>
        <w:tc>
          <w:tcPr>
            <w:tcW w:w="10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B12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CG64320614L0020</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AEC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66"/>
                <w:rFonts w:hint="eastAsia" w:asciiTheme="minorEastAsia" w:hAnsiTheme="minorEastAsia" w:eastAsiaTheme="minorEastAsia" w:cstheme="minorEastAsia"/>
                <w:color w:val="auto"/>
                <w:sz w:val="21"/>
                <w:szCs w:val="21"/>
                <w:highlight w:val="none"/>
                <w:lang w:val="en-US" w:eastAsia="zh-CN" w:bidi="ar"/>
              </w:rPr>
              <w:t>青龙河桥</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DCA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52</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53B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AFC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66"/>
                <w:rFonts w:hint="eastAsia" w:asciiTheme="minorEastAsia" w:hAnsiTheme="minorEastAsia" w:eastAsiaTheme="minorEastAsia" w:cstheme="minorEastAsia"/>
                <w:color w:val="auto"/>
                <w:sz w:val="21"/>
                <w:szCs w:val="21"/>
                <w:highlight w:val="none"/>
                <w:lang w:val="en-US" w:eastAsia="zh-CN" w:bidi="ar"/>
              </w:rPr>
              <w:t>中桥</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224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51B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67"/>
                <w:rFonts w:hint="eastAsia" w:asciiTheme="minorEastAsia" w:hAnsiTheme="minorEastAsia" w:eastAsiaTheme="minorEastAsia" w:cstheme="minorEastAsia"/>
                <w:color w:val="auto"/>
                <w:sz w:val="21"/>
                <w:szCs w:val="21"/>
                <w:highlight w:val="none"/>
                <w:lang w:val="en-US" w:eastAsia="zh-CN" w:bidi="ar"/>
              </w:rPr>
              <w:t>桥台</w:t>
            </w:r>
            <w:r>
              <w:rPr>
                <w:rStyle w:val="68"/>
                <w:rFonts w:hint="eastAsia" w:asciiTheme="minorEastAsia" w:hAnsiTheme="minorEastAsia" w:eastAsiaTheme="minorEastAsia" w:cstheme="minorEastAsia"/>
                <w:color w:val="auto"/>
                <w:sz w:val="21"/>
                <w:szCs w:val="21"/>
                <w:highlight w:val="none"/>
                <w:lang w:val="en-US" w:eastAsia="zh-CN" w:bidi="ar"/>
              </w:rPr>
              <w:t>2</w:t>
            </w:r>
          </w:p>
        </w:tc>
      </w:tr>
      <w:tr w14:paraId="72AC8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D0E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17</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EB4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66"/>
                <w:rFonts w:hint="eastAsia" w:asciiTheme="minorEastAsia" w:hAnsiTheme="minorEastAsia" w:eastAsiaTheme="minorEastAsia" w:cstheme="minorEastAsia"/>
                <w:color w:val="auto"/>
                <w:sz w:val="21"/>
                <w:szCs w:val="21"/>
                <w:highlight w:val="none"/>
                <w:lang w:val="en-US" w:eastAsia="zh-CN" w:bidi="ar"/>
              </w:rPr>
              <w:t>海门区</w:t>
            </w:r>
          </w:p>
        </w:tc>
        <w:tc>
          <w:tcPr>
            <w:tcW w:w="10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297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CF21320614L0030</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01B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66"/>
                <w:rFonts w:hint="eastAsia" w:asciiTheme="minorEastAsia" w:hAnsiTheme="minorEastAsia" w:eastAsiaTheme="minorEastAsia" w:cstheme="minorEastAsia"/>
                <w:color w:val="auto"/>
                <w:sz w:val="21"/>
                <w:szCs w:val="21"/>
                <w:highlight w:val="none"/>
                <w:lang w:val="en-US" w:eastAsia="zh-CN" w:bidi="ar"/>
              </w:rPr>
              <w:t>三匡路桥</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B1D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52</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503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4AE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66"/>
                <w:rFonts w:hint="eastAsia" w:asciiTheme="minorEastAsia" w:hAnsiTheme="minorEastAsia" w:eastAsiaTheme="minorEastAsia" w:cstheme="minorEastAsia"/>
                <w:color w:val="auto"/>
                <w:sz w:val="21"/>
                <w:szCs w:val="21"/>
                <w:highlight w:val="none"/>
                <w:lang w:val="en-US" w:eastAsia="zh-CN" w:bidi="ar"/>
              </w:rPr>
              <w:t>中桥</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8CB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3F4D8">
            <w:pPr>
              <w:jc w:val="center"/>
              <w:rPr>
                <w:rFonts w:hint="eastAsia" w:asciiTheme="minorEastAsia" w:hAnsiTheme="minorEastAsia" w:eastAsiaTheme="minorEastAsia" w:cstheme="minorEastAsia"/>
                <w:i w:val="0"/>
                <w:iCs w:val="0"/>
                <w:color w:val="auto"/>
                <w:sz w:val="21"/>
                <w:szCs w:val="21"/>
                <w:highlight w:val="none"/>
                <w:u w:val="none"/>
              </w:rPr>
            </w:pPr>
          </w:p>
        </w:tc>
      </w:tr>
      <w:tr w14:paraId="39802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525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18</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4CC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66"/>
                <w:rFonts w:hint="eastAsia" w:asciiTheme="minorEastAsia" w:hAnsiTheme="minorEastAsia" w:eastAsiaTheme="minorEastAsia" w:cstheme="minorEastAsia"/>
                <w:color w:val="auto"/>
                <w:sz w:val="21"/>
                <w:szCs w:val="21"/>
                <w:highlight w:val="none"/>
                <w:lang w:val="en-US" w:eastAsia="zh-CN" w:bidi="ar"/>
              </w:rPr>
              <w:t>海门区</w:t>
            </w:r>
          </w:p>
        </w:tc>
        <w:tc>
          <w:tcPr>
            <w:tcW w:w="10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C66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CR69320614L0010</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8F5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66"/>
                <w:rFonts w:hint="eastAsia" w:asciiTheme="minorEastAsia" w:hAnsiTheme="minorEastAsia" w:eastAsiaTheme="minorEastAsia" w:cstheme="minorEastAsia"/>
                <w:color w:val="auto"/>
                <w:sz w:val="21"/>
                <w:szCs w:val="21"/>
                <w:highlight w:val="none"/>
                <w:lang w:val="en-US" w:eastAsia="zh-CN" w:bidi="ar"/>
              </w:rPr>
              <w:t>五一桥</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616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32</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C31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F1A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66"/>
                <w:rFonts w:hint="eastAsia" w:asciiTheme="minorEastAsia" w:hAnsiTheme="minorEastAsia" w:eastAsiaTheme="minorEastAsia" w:cstheme="minorEastAsia"/>
                <w:color w:val="auto"/>
                <w:sz w:val="21"/>
                <w:szCs w:val="21"/>
                <w:highlight w:val="none"/>
                <w:lang w:val="en-US" w:eastAsia="zh-CN" w:bidi="ar"/>
              </w:rPr>
              <w:t>中桥</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AD4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3A742">
            <w:pPr>
              <w:jc w:val="center"/>
              <w:rPr>
                <w:rFonts w:hint="eastAsia" w:asciiTheme="minorEastAsia" w:hAnsiTheme="minorEastAsia" w:eastAsiaTheme="minorEastAsia" w:cstheme="minorEastAsia"/>
                <w:i w:val="0"/>
                <w:iCs w:val="0"/>
                <w:color w:val="auto"/>
                <w:sz w:val="21"/>
                <w:szCs w:val="21"/>
                <w:highlight w:val="none"/>
                <w:u w:val="none"/>
              </w:rPr>
            </w:pPr>
          </w:p>
        </w:tc>
      </w:tr>
      <w:tr w14:paraId="5C327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559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19</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463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66"/>
                <w:rFonts w:hint="eastAsia" w:asciiTheme="minorEastAsia" w:hAnsiTheme="minorEastAsia" w:eastAsiaTheme="minorEastAsia" w:cstheme="minorEastAsia"/>
                <w:color w:val="auto"/>
                <w:sz w:val="21"/>
                <w:szCs w:val="21"/>
                <w:highlight w:val="none"/>
                <w:lang w:val="en-US" w:eastAsia="zh-CN" w:bidi="ar"/>
              </w:rPr>
              <w:t>海门区</w:t>
            </w:r>
          </w:p>
        </w:tc>
        <w:tc>
          <w:tcPr>
            <w:tcW w:w="10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55E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X315320614L0060</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E80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66"/>
                <w:rFonts w:hint="eastAsia" w:asciiTheme="minorEastAsia" w:hAnsiTheme="minorEastAsia" w:eastAsiaTheme="minorEastAsia" w:cstheme="minorEastAsia"/>
                <w:color w:val="auto"/>
                <w:sz w:val="21"/>
                <w:szCs w:val="21"/>
                <w:highlight w:val="none"/>
                <w:lang w:val="en-US" w:eastAsia="zh-CN" w:bidi="ar"/>
              </w:rPr>
              <w:t>新江海河大桥</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D7E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230</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A16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32</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871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66"/>
                <w:rFonts w:hint="eastAsia" w:asciiTheme="minorEastAsia" w:hAnsiTheme="minorEastAsia" w:eastAsiaTheme="minorEastAsia" w:cstheme="minorEastAsia"/>
                <w:color w:val="auto"/>
                <w:sz w:val="21"/>
                <w:szCs w:val="21"/>
                <w:highlight w:val="none"/>
                <w:lang w:val="en-US" w:eastAsia="zh-CN" w:bidi="ar"/>
              </w:rPr>
              <w:t>大桥</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F08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A5321">
            <w:pPr>
              <w:jc w:val="center"/>
              <w:rPr>
                <w:rFonts w:hint="eastAsia" w:asciiTheme="minorEastAsia" w:hAnsiTheme="minorEastAsia" w:eastAsiaTheme="minorEastAsia" w:cstheme="minorEastAsia"/>
                <w:i w:val="0"/>
                <w:iCs w:val="0"/>
                <w:color w:val="auto"/>
                <w:sz w:val="21"/>
                <w:szCs w:val="21"/>
                <w:highlight w:val="none"/>
                <w:u w:val="none"/>
              </w:rPr>
            </w:pPr>
          </w:p>
        </w:tc>
      </w:tr>
      <w:tr w14:paraId="3C88E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CB4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20</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430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66"/>
                <w:rFonts w:hint="eastAsia" w:asciiTheme="minorEastAsia" w:hAnsiTheme="minorEastAsia" w:eastAsiaTheme="minorEastAsia" w:cstheme="minorEastAsia"/>
                <w:color w:val="auto"/>
                <w:sz w:val="21"/>
                <w:szCs w:val="21"/>
                <w:highlight w:val="none"/>
                <w:lang w:val="en-US" w:eastAsia="zh-CN" w:bidi="ar"/>
              </w:rPr>
              <w:t>海门区</w:t>
            </w:r>
          </w:p>
        </w:tc>
        <w:tc>
          <w:tcPr>
            <w:tcW w:w="10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005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Y006320614L0020</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0FD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66"/>
                <w:rFonts w:hint="eastAsia" w:asciiTheme="minorEastAsia" w:hAnsiTheme="minorEastAsia" w:eastAsiaTheme="minorEastAsia" w:cstheme="minorEastAsia"/>
                <w:color w:val="auto"/>
                <w:sz w:val="21"/>
                <w:szCs w:val="21"/>
                <w:highlight w:val="none"/>
                <w:lang w:val="en-US" w:eastAsia="zh-CN" w:bidi="ar"/>
              </w:rPr>
              <w:t>新余桥（新余大桥）</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EF2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48</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75C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5.5</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C01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66"/>
                <w:rFonts w:hint="eastAsia" w:asciiTheme="minorEastAsia" w:hAnsiTheme="minorEastAsia" w:eastAsiaTheme="minorEastAsia" w:cstheme="minorEastAsia"/>
                <w:color w:val="auto"/>
                <w:sz w:val="21"/>
                <w:szCs w:val="21"/>
                <w:highlight w:val="none"/>
                <w:lang w:val="en-US" w:eastAsia="zh-CN" w:bidi="ar"/>
              </w:rPr>
              <w:t>中桥</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BA0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713A4">
            <w:pPr>
              <w:jc w:val="center"/>
              <w:rPr>
                <w:rFonts w:hint="eastAsia" w:asciiTheme="minorEastAsia" w:hAnsiTheme="minorEastAsia" w:eastAsiaTheme="minorEastAsia" w:cstheme="minorEastAsia"/>
                <w:i w:val="0"/>
                <w:iCs w:val="0"/>
                <w:color w:val="auto"/>
                <w:sz w:val="21"/>
                <w:szCs w:val="21"/>
                <w:highlight w:val="none"/>
                <w:u w:val="none"/>
              </w:rPr>
            </w:pPr>
          </w:p>
        </w:tc>
      </w:tr>
      <w:tr w14:paraId="42C40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568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21</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AB7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66"/>
                <w:rFonts w:hint="eastAsia" w:asciiTheme="minorEastAsia" w:hAnsiTheme="minorEastAsia" w:eastAsiaTheme="minorEastAsia" w:cstheme="minorEastAsia"/>
                <w:color w:val="auto"/>
                <w:sz w:val="21"/>
                <w:szCs w:val="21"/>
                <w:highlight w:val="none"/>
                <w:lang w:val="en-US" w:eastAsia="zh-CN" w:bidi="ar"/>
              </w:rPr>
              <w:t>海门区</w:t>
            </w:r>
          </w:p>
        </w:tc>
        <w:tc>
          <w:tcPr>
            <w:tcW w:w="10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D29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Y703320614L0010</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EDB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66"/>
                <w:rFonts w:hint="eastAsia" w:asciiTheme="minorEastAsia" w:hAnsiTheme="minorEastAsia" w:eastAsiaTheme="minorEastAsia" w:cstheme="minorEastAsia"/>
                <w:color w:val="auto"/>
                <w:sz w:val="21"/>
                <w:szCs w:val="21"/>
                <w:highlight w:val="none"/>
                <w:lang w:val="en-US" w:eastAsia="zh-CN" w:bidi="ar"/>
              </w:rPr>
              <w:t>兴阳大桥</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034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40</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43D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9</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FE6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66"/>
                <w:rFonts w:hint="eastAsia" w:asciiTheme="minorEastAsia" w:hAnsiTheme="minorEastAsia" w:eastAsiaTheme="minorEastAsia" w:cstheme="minorEastAsia"/>
                <w:color w:val="auto"/>
                <w:sz w:val="21"/>
                <w:szCs w:val="21"/>
                <w:highlight w:val="none"/>
                <w:lang w:val="en-US" w:eastAsia="zh-CN" w:bidi="ar"/>
              </w:rPr>
              <w:t>中桥</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980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25F07">
            <w:pPr>
              <w:jc w:val="center"/>
              <w:rPr>
                <w:rFonts w:hint="eastAsia" w:asciiTheme="minorEastAsia" w:hAnsiTheme="minorEastAsia" w:eastAsiaTheme="minorEastAsia" w:cstheme="minorEastAsia"/>
                <w:i w:val="0"/>
                <w:iCs w:val="0"/>
                <w:color w:val="auto"/>
                <w:sz w:val="21"/>
                <w:szCs w:val="21"/>
                <w:highlight w:val="none"/>
                <w:u w:val="none"/>
              </w:rPr>
            </w:pPr>
          </w:p>
        </w:tc>
      </w:tr>
      <w:tr w14:paraId="73A63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AA9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22</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457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66"/>
                <w:rFonts w:hint="eastAsia" w:asciiTheme="minorEastAsia" w:hAnsiTheme="minorEastAsia" w:eastAsiaTheme="minorEastAsia" w:cstheme="minorEastAsia"/>
                <w:color w:val="auto"/>
                <w:sz w:val="21"/>
                <w:szCs w:val="21"/>
                <w:highlight w:val="none"/>
                <w:lang w:val="en-US" w:eastAsia="zh-CN" w:bidi="ar"/>
              </w:rPr>
              <w:t>通州区</w:t>
            </w:r>
          </w:p>
        </w:tc>
        <w:tc>
          <w:tcPr>
            <w:tcW w:w="10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554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X304320612</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3E6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66"/>
                <w:rFonts w:hint="eastAsia" w:asciiTheme="minorEastAsia" w:hAnsiTheme="minorEastAsia" w:eastAsiaTheme="minorEastAsia" w:cstheme="minorEastAsia"/>
                <w:color w:val="auto"/>
                <w:sz w:val="21"/>
                <w:szCs w:val="21"/>
                <w:highlight w:val="none"/>
                <w:lang w:val="en-US" w:eastAsia="zh-CN" w:bidi="ar"/>
              </w:rPr>
              <w:t>东沙大桥</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755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1839</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4B8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22.5</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5D4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66"/>
                <w:rFonts w:hint="eastAsia" w:asciiTheme="minorEastAsia" w:hAnsiTheme="minorEastAsia" w:eastAsiaTheme="minorEastAsia" w:cstheme="minorEastAsia"/>
                <w:color w:val="auto"/>
                <w:sz w:val="21"/>
                <w:szCs w:val="21"/>
                <w:highlight w:val="none"/>
                <w:lang w:val="en-US" w:eastAsia="zh-CN" w:bidi="ar"/>
              </w:rPr>
              <w:t>特大桥</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2A1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1A1B4">
            <w:pPr>
              <w:jc w:val="center"/>
              <w:rPr>
                <w:rFonts w:hint="eastAsia" w:asciiTheme="minorEastAsia" w:hAnsiTheme="minorEastAsia" w:eastAsiaTheme="minorEastAsia" w:cstheme="minorEastAsia"/>
                <w:i w:val="0"/>
                <w:iCs w:val="0"/>
                <w:color w:val="auto"/>
                <w:sz w:val="21"/>
                <w:szCs w:val="21"/>
                <w:highlight w:val="none"/>
                <w:u w:val="none"/>
              </w:rPr>
            </w:pPr>
          </w:p>
        </w:tc>
      </w:tr>
      <w:tr w14:paraId="1985C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45F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23</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140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66"/>
                <w:rFonts w:hint="eastAsia" w:asciiTheme="minorEastAsia" w:hAnsiTheme="minorEastAsia" w:eastAsiaTheme="minorEastAsia" w:cstheme="minorEastAsia"/>
                <w:color w:val="auto"/>
                <w:sz w:val="21"/>
                <w:szCs w:val="21"/>
                <w:highlight w:val="none"/>
                <w:lang w:val="en-US" w:eastAsia="zh-CN" w:bidi="ar"/>
              </w:rPr>
              <w:t>通州区</w:t>
            </w:r>
          </w:p>
        </w:tc>
        <w:tc>
          <w:tcPr>
            <w:tcW w:w="10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46A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Y227320612</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65B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66"/>
                <w:rFonts w:hint="eastAsia" w:asciiTheme="minorEastAsia" w:hAnsiTheme="minorEastAsia" w:eastAsiaTheme="minorEastAsia" w:cstheme="minorEastAsia"/>
                <w:color w:val="auto"/>
                <w:sz w:val="21"/>
                <w:szCs w:val="21"/>
                <w:highlight w:val="none"/>
                <w:lang w:val="en-US" w:eastAsia="zh-CN" w:bidi="ar"/>
              </w:rPr>
              <w:t>任口大桥</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63E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94</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88E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4.6</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89E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66"/>
                <w:rFonts w:hint="eastAsia" w:asciiTheme="minorEastAsia" w:hAnsiTheme="minorEastAsia" w:eastAsiaTheme="minorEastAsia" w:cstheme="minorEastAsia"/>
                <w:color w:val="auto"/>
                <w:sz w:val="21"/>
                <w:szCs w:val="21"/>
                <w:highlight w:val="none"/>
                <w:lang w:val="en-US" w:eastAsia="zh-CN" w:bidi="ar"/>
              </w:rPr>
              <w:t>大桥</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59E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3CF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67"/>
                <w:rFonts w:hint="eastAsia" w:asciiTheme="minorEastAsia" w:hAnsiTheme="minorEastAsia" w:eastAsiaTheme="minorEastAsia" w:cstheme="minorEastAsia"/>
                <w:color w:val="auto"/>
                <w:sz w:val="21"/>
                <w:szCs w:val="21"/>
                <w:highlight w:val="none"/>
                <w:lang w:val="en-US" w:eastAsia="zh-CN" w:bidi="ar"/>
              </w:rPr>
              <w:t>桥台</w:t>
            </w:r>
            <w:r>
              <w:rPr>
                <w:rStyle w:val="68"/>
                <w:rFonts w:hint="eastAsia" w:asciiTheme="minorEastAsia" w:hAnsiTheme="minorEastAsia" w:eastAsiaTheme="minorEastAsia" w:cstheme="minorEastAsia"/>
                <w:color w:val="auto"/>
                <w:sz w:val="21"/>
                <w:szCs w:val="21"/>
                <w:highlight w:val="none"/>
                <w:lang w:val="en-US" w:eastAsia="zh-CN" w:bidi="ar"/>
              </w:rPr>
              <w:t>2</w:t>
            </w:r>
          </w:p>
        </w:tc>
      </w:tr>
      <w:tr w14:paraId="02150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D9A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24</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4BD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66"/>
                <w:rFonts w:hint="eastAsia" w:asciiTheme="minorEastAsia" w:hAnsiTheme="minorEastAsia" w:eastAsiaTheme="minorEastAsia" w:cstheme="minorEastAsia"/>
                <w:color w:val="auto"/>
                <w:sz w:val="21"/>
                <w:szCs w:val="21"/>
                <w:highlight w:val="none"/>
                <w:lang w:val="en-US" w:eastAsia="zh-CN" w:bidi="ar"/>
              </w:rPr>
              <w:t>海安市</w:t>
            </w:r>
          </w:p>
        </w:tc>
        <w:tc>
          <w:tcPr>
            <w:tcW w:w="10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DBA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C831320685L0010</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B14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66"/>
                <w:rFonts w:hint="eastAsia" w:asciiTheme="minorEastAsia" w:hAnsiTheme="minorEastAsia" w:eastAsiaTheme="minorEastAsia" w:cstheme="minorEastAsia"/>
                <w:color w:val="auto"/>
                <w:sz w:val="21"/>
                <w:szCs w:val="21"/>
                <w:highlight w:val="none"/>
                <w:lang w:val="en-US" w:eastAsia="zh-CN" w:bidi="ar"/>
              </w:rPr>
              <w:t>曲塘东桥</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FA2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25.84</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11E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13</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BE7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66"/>
                <w:rFonts w:hint="eastAsia" w:asciiTheme="minorEastAsia" w:hAnsiTheme="minorEastAsia" w:eastAsiaTheme="minorEastAsia" w:cstheme="minorEastAsia"/>
                <w:color w:val="auto"/>
                <w:sz w:val="21"/>
                <w:szCs w:val="21"/>
                <w:highlight w:val="none"/>
                <w:lang w:val="en-US" w:eastAsia="zh-CN" w:bidi="ar"/>
              </w:rPr>
              <w:t>中桥</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F04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011B2">
            <w:pPr>
              <w:jc w:val="center"/>
              <w:rPr>
                <w:rFonts w:hint="eastAsia" w:asciiTheme="minorEastAsia" w:hAnsiTheme="minorEastAsia" w:eastAsiaTheme="minorEastAsia" w:cstheme="minorEastAsia"/>
                <w:i w:val="0"/>
                <w:iCs w:val="0"/>
                <w:color w:val="auto"/>
                <w:sz w:val="21"/>
                <w:szCs w:val="21"/>
                <w:highlight w:val="none"/>
                <w:u w:val="none"/>
              </w:rPr>
            </w:pPr>
          </w:p>
        </w:tc>
      </w:tr>
      <w:tr w14:paraId="5553E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77B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25</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B94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66"/>
                <w:rFonts w:hint="eastAsia" w:asciiTheme="minorEastAsia" w:hAnsiTheme="minorEastAsia" w:eastAsiaTheme="minorEastAsia" w:cstheme="minorEastAsia"/>
                <w:color w:val="auto"/>
                <w:sz w:val="21"/>
                <w:szCs w:val="21"/>
                <w:highlight w:val="none"/>
                <w:lang w:val="en-US" w:eastAsia="zh-CN" w:bidi="ar"/>
              </w:rPr>
              <w:t>如皋市</w:t>
            </w:r>
          </w:p>
        </w:tc>
        <w:tc>
          <w:tcPr>
            <w:tcW w:w="10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35E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X214320682L0010</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D5E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66"/>
                <w:rFonts w:hint="eastAsia" w:asciiTheme="minorEastAsia" w:hAnsiTheme="minorEastAsia" w:eastAsiaTheme="minorEastAsia" w:cstheme="minorEastAsia"/>
                <w:color w:val="auto"/>
                <w:sz w:val="21"/>
                <w:szCs w:val="21"/>
                <w:highlight w:val="none"/>
                <w:lang w:val="en-US" w:eastAsia="zh-CN" w:bidi="ar"/>
              </w:rPr>
              <w:t>如海桥</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620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39</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A23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644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66"/>
                <w:rFonts w:hint="eastAsia" w:asciiTheme="minorEastAsia" w:hAnsiTheme="minorEastAsia" w:eastAsiaTheme="minorEastAsia" w:cstheme="minorEastAsia"/>
                <w:color w:val="auto"/>
                <w:sz w:val="21"/>
                <w:szCs w:val="21"/>
                <w:highlight w:val="none"/>
                <w:lang w:val="en-US" w:eastAsia="zh-CN" w:bidi="ar"/>
              </w:rPr>
              <w:t>中桥</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DBF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C3C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67"/>
                <w:rFonts w:hint="eastAsia" w:asciiTheme="minorEastAsia" w:hAnsiTheme="minorEastAsia" w:eastAsiaTheme="minorEastAsia" w:cstheme="minorEastAsia"/>
                <w:color w:val="auto"/>
                <w:sz w:val="21"/>
                <w:szCs w:val="21"/>
                <w:highlight w:val="none"/>
                <w:lang w:val="en-US" w:eastAsia="zh-CN" w:bidi="ar"/>
              </w:rPr>
              <w:t>桥台</w:t>
            </w:r>
            <w:r>
              <w:rPr>
                <w:rStyle w:val="68"/>
                <w:rFonts w:hint="eastAsia" w:asciiTheme="minorEastAsia" w:hAnsiTheme="minorEastAsia" w:eastAsiaTheme="minorEastAsia" w:cstheme="minorEastAsia"/>
                <w:color w:val="auto"/>
                <w:sz w:val="21"/>
                <w:szCs w:val="21"/>
                <w:highlight w:val="none"/>
                <w:lang w:val="en-US" w:eastAsia="zh-CN" w:bidi="ar"/>
              </w:rPr>
              <w:t>2</w:t>
            </w:r>
          </w:p>
        </w:tc>
      </w:tr>
      <w:tr w14:paraId="64E17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608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26</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777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66"/>
                <w:rFonts w:hint="eastAsia" w:asciiTheme="minorEastAsia" w:hAnsiTheme="minorEastAsia" w:eastAsiaTheme="minorEastAsia" w:cstheme="minorEastAsia"/>
                <w:color w:val="auto"/>
                <w:sz w:val="21"/>
                <w:szCs w:val="21"/>
                <w:highlight w:val="none"/>
                <w:lang w:val="en-US" w:eastAsia="zh-CN" w:bidi="ar"/>
              </w:rPr>
              <w:t>如皋市</w:t>
            </w:r>
          </w:p>
        </w:tc>
        <w:tc>
          <w:tcPr>
            <w:tcW w:w="10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FA9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X253320682L0110</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7FF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66"/>
                <w:rFonts w:hint="eastAsia" w:asciiTheme="minorEastAsia" w:hAnsiTheme="minorEastAsia" w:eastAsiaTheme="minorEastAsia" w:cstheme="minorEastAsia"/>
                <w:color w:val="auto"/>
                <w:sz w:val="21"/>
                <w:szCs w:val="21"/>
                <w:highlight w:val="none"/>
                <w:lang w:val="en-US" w:eastAsia="zh-CN" w:bidi="ar"/>
              </w:rPr>
              <w:t>如皋长江大桥</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4EE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1046</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D08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53</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484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66"/>
                <w:rFonts w:hint="eastAsia" w:asciiTheme="minorEastAsia" w:hAnsiTheme="minorEastAsia" w:eastAsiaTheme="minorEastAsia" w:cstheme="minorEastAsia"/>
                <w:color w:val="auto"/>
                <w:sz w:val="21"/>
                <w:szCs w:val="21"/>
                <w:highlight w:val="none"/>
                <w:lang w:val="en-US" w:eastAsia="zh-CN" w:bidi="ar"/>
              </w:rPr>
              <w:t>特大桥</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C11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8</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16BE4">
            <w:pPr>
              <w:jc w:val="center"/>
              <w:rPr>
                <w:rFonts w:hint="eastAsia" w:asciiTheme="minorEastAsia" w:hAnsiTheme="minorEastAsia" w:eastAsiaTheme="minorEastAsia" w:cstheme="minorEastAsia"/>
                <w:i w:val="0"/>
                <w:iCs w:val="0"/>
                <w:color w:val="auto"/>
                <w:sz w:val="21"/>
                <w:szCs w:val="21"/>
                <w:highlight w:val="none"/>
                <w:u w:val="none"/>
              </w:rPr>
            </w:pPr>
          </w:p>
        </w:tc>
      </w:tr>
      <w:tr w14:paraId="5BEDE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179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27</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55F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66"/>
                <w:rFonts w:hint="eastAsia" w:asciiTheme="minorEastAsia" w:hAnsiTheme="minorEastAsia" w:eastAsiaTheme="minorEastAsia" w:cstheme="minorEastAsia"/>
                <w:color w:val="auto"/>
                <w:sz w:val="21"/>
                <w:szCs w:val="21"/>
                <w:highlight w:val="none"/>
                <w:lang w:val="en-US" w:eastAsia="zh-CN" w:bidi="ar"/>
              </w:rPr>
              <w:t>启东市</w:t>
            </w:r>
          </w:p>
        </w:tc>
        <w:tc>
          <w:tcPr>
            <w:tcW w:w="10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5C9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Y699320681L0020</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035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66"/>
                <w:rFonts w:hint="eastAsia" w:asciiTheme="minorEastAsia" w:hAnsiTheme="minorEastAsia" w:eastAsiaTheme="minorEastAsia" w:cstheme="minorEastAsia"/>
                <w:color w:val="auto"/>
                <w:sz w:val="21"/>
                <w:szCs w:val="21"/>
                <w:highlight w:val="none"/>
                <w:lang w:val="en-US" w:eastAsia="zh-CN" w:bidi="ar"/>
              </w:rPr>
              <w:t>北新医院后桥</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D8D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44</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A6B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5.1</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BA9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66"/>
                <w:rFonts w:hint="eastAsia" w:asciiTheme="minorEastAsia" w:hAnsiTheme="minorEastAsia" w:eastAsiaTheme="minorEastAsia" w:cstheme="minorEastAsia"/>
                <w:color w:val="auto"/>
                <w:sz w:val="21"/>
                <w:szCs w:val="21"/>
                <w:highlight w:val="none"/>
                <w:lang w:val="en-US" w:eastAsia="zh-CN" w:bidi="ar"/>
              </w:rPr>
              <w:t>中桥</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394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048EC">
            <w:pPr>
              <w:jc w:val="center"/>
              <w:rPr>
                <w:rFonts w:hint="eastAsia" w:asciiTheme="minorEastAsia" w:hAnsiTheme="minorEastAsia" w:eastAsiaTheme="minorEastAsia" w:cstheme="minorEastAsia"/>
                <w:i w:val="0"/>
                <w:iCs w:val="0"/>
                <w:color w:val="auto"/>
                <w:sz w:val="21"/>
                <w:szCs w:val="21"/>
                <w:highlight w:val="none"/>
                <w:u w:val="none"/>
              </w:rPr>
            </w:pPr>
          </w:p>
        </w:tc>
      </w:tr>
      <w:tr w14:paraId="1DFFC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B5E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28</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FA3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66"/>
                <w:rFonts w:hint="eastAsia" w:asciiTheme="minorEastAsia" w:hAnsiTheme="minorEastAsia" w:eastAsiaTheme="minorEastAsia" w:cstheme="minorEastAsia"/>
                <w:color w:val="auto"/>
                <w:sz w:val="21"/>
                <w:szCs w:val="21"/>
                <w:highlight w:val="none"/>
                <w:lang w:val="en-US" w:eastAsia="zh-CN" w:bidi="ar"/>
              </w:rPr>
              <w:t>启东市</w:t>
            </w:r>
          </w:p>
        </w:tc>
        <w:tc>
          <w:tcPr>
            <w:tcW w:w="10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AEC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Y728320681L0030</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8FE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66"/>
                <w:rFonts w:hint="eastAsia" w:asciiTheme="minorEastAsia" w:hAnsiTheme="minorEastAsia" w:eastAsiaTheme="minorEastAsia" w:cstheme="minorEastAsia"/>
                <w:color w:val="auto"/>
                <w:sz w:val="21"/>
                <w:szCs w:val="21"/>
                <w:highlight w:val="none"/>
                <w:lang w:val="en-US" w:eastAsia="zh-CN" w:bidi="ar"/>
              </w:rPr>
              <w:t>永丰镇桥</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A97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49</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C89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5.1</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296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66"/>
                <w:rFonts w:hint="eastAsia" w:asciiTheme="minorEastAsia" w:hAnsiTheme="minorEastAsia" w:eastAsiaTheme="minorEastAsia" w:cstheme="minorEastAsia"/>
                <w:color w:val="auto"/>
                <w:sz w:val="21"/>
                <w:szCs w:val="21"/>
                <w:highlight w:val="none"/>
                <w:lang w:val="en-US" w:eastAsia="zh-CN" w:bidi="ar"/>
              </w:rPr>
              <w:t>中桥</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85C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CF3DE">
            <w:pPr>
              <w:jc w:val="center"/>
              <w:rPr>
                <w:rFonts w:hint="eastAsia" w:asciiTheme="minorEastAsia" w:hAnsiTheme="minorEastAsia" w:eastAsiaTheme="minorEastAsia" w:cstheme="minorEastAsia"/>
                <w:i w:val="0"/>
                <w:iCs w:val="0"/>
                <w:color w:val="auto"/>
                <w:sz w:val="21"/>
                <w:szCs w:val="21"/>
                <w:highlight w:val="none"/>
                <w:u w:val="none"/>
              </w:rPr>
            </w:pPr>
          </w:p>
        </w:tc>
      </w:tr>
      <w:tr w14:paraId="4B24A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DCD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29</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59E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66"/>
                <w:rFonts w:hint="eastAsia" w:asciiTheme="minorEastAsia" w:hAnsiTheme="minorEastAsia" w:eastAsiaTheme="minorEastAsia" w:cstheme="minorEastAsia"/>
                <w:color w:val="auto"/>
                <w:sz w:val="21"/>
                <w:szCs w:val="21"/>
                <w:highlight w:val="none"/>
                <w:lang w:val="en-US" w:eastAsia="zh-CN" w:bidi="ar"/>
              </w:rPr>
              <w:t>启东市</w:t>
            </w:r>
          </w:p>
        </w:tc>
        <w:tc>
          <w:tcPr>
            <w:tcW w:w="10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B64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Y893320681L0010</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C81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66"/>
                <w:rFonts w:hint="eastAsia" w:asciiTheme="minorEastAsia" w:hAnsiTheme="minorEastAsia" w:eastAsiaTheme="minorEastAsia" w:cstheme="minorEastAsia"/>
                <w:color w:val="auto"/>
                <w:sz w:val="21"/>
                <w:szCs w:val="21"/>
                <w:highlight w:val="none"/>
                <w:lang w:val="en-US" w:eastAsia="zh-CN" w:bidi="ar"/>
              </w:rPr>
              <w:t>和合南桥</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466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40</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955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5.5</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D31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66"/>
                <w:rFonts w:hint="eastAsia" w:asciiTheme="minorEastAsia" w:hAnsiTheme="minorEastAsia" w:eastAsiaTheme="minorEastAsia" w:cstheme="minorEastAsia"/>
                <w:color w:val="auto"/>
                <w:sz w:val="21"/>
                <w:szCs w:val="21"/>
                <w:highlight w:val="none"/>
                <w:lang w:val="en-US" w:eastAsia="zh-CN" w:bidi="ar"/>
              </w:rPr>
              <w:t>中桥</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239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C4776">
            <w:pPr>
              <w:jc w:val="center"/>
              <w:rPr>
                <w:rFonts w:hint="eastAsia" w:asciiTheme="minorEastAsia" w:hAnsiTheme="minorEastAsia" w:eastAsiaTheme="minorEastAsia" w:cstheme="minorEastAsia"/>
                <w:i w:val="0"/>
                <w:iCs w:val="0"/>
                <w:color w:val="auto"/>
                <w:sz w:val="21"/>
                <w:szCs w:val="21"/>
                <w:highlight w:val="none"/>
                <w:u w:val="none"/>
              </w:rPr>
            </w:pPr>
          </w:p>
        </w:tc>
      </w:tr>
      <w:tr w14:paraId="3D7BD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943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30</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E4B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66"/>
                <w:rFonts w:hint="eastAsia" w:asciiTheme="minorEastAsia" w:hAnsiTheme="minorEastAsia" w:eastAsiaTheme="minorEastAsia" w:cstheme="minorEastAsia"/>
                <w:color w:val="auto"/>
                <w:sz w:val="21"/>
                <w:szCs w:val="21"/>
                <w:highlight w:val="none"/>
                <w:lang w:val="en-US" w:eastAsia="zh-CN" w:bidi="ar"/>
              </w:rPr>
              <w:t>启东市</w:t>
            </w:r>
          </w:p>
        </w:tc>
        <w:tc>
          <w:tcPr>
            <w:tcW w:w="10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00D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C956320681L0010</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58F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66"/>
                <w:rFonts w:hint="eastAsia" w:asciiTheme="minorEastAsia" w:hAnsiTheme="minorEastAsia" w:eastAsiaTheme="minorEastAsia" w:cstheme="minorEastAsia"/>
                <w:color w:val="auto"/>
                <w:sz w:val="21"/>
                <w:szCs w:val="21"/>
                <w:highlight w:val="none"/>
                <w:lang w:val="en-US" w:eastAsia="zh-CN" w:bidi="ar"/>
              </w:rPr>
              <w:t>同乐桥</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3F5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39</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B11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5.5</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6AF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66"/>
                <w:rFonts w:hint="eastAsia" w:asciiTheme="minorEastAsia" w:hAnsiTheme="minorEastAsia" w:eastAsiaTheme="minorEastAsia" w:cstheme="minorEastAsia"/>
                <w:color w:val="auto"/>
                <w:sz w:val="21"/>
                <w:szCs w:val="21"/>
                <w:highlight w:val="none"/>
                <w:lang w:val="en-US" w:eastAsia="zh-CN" w:bidi="ar"/>
              </w:rPr>
              <w:t>中桥</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855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6BD1D">
            <w:pPr>
              <w:jc w:val="center"/>
              <w:rPr>
                <w:rFonts w:hint="eastAsia" w:asciiTheme="minorEastAsia" w:hAnsiTheme="minorEastAsia" w:eastAsiaTheme="minorEastAsia" w:cstheme="minorEastAsia"/>
                <w:i w:val="0"/>
                <w:iCs w:val="0"/>
                <w:color w:val="auto"/>
                <w:sz w:val="21"/>
                <w:szCs w:val="21"/>
                <w:highlight w:val="none"/>
                <w:u w:val="none"/>
              </w:rPr>
            </w:pPr>
          </w:p>
        </w:tc>
      </w:tr>
      <w:tr w14:paraId="7234C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D07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31</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F1A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66"/>
                <w:rFonts w:hint="eastAsia" w:asciiTheme="minorEastAsia" w:hAnsiTheme="minorEastAsia" w:eastAsiaTheme="minorEastAsia" w:cstheme="minorEastAsia"/>
                <w:color w:val="auto"/>
                <w:sz w:val="21"/>
                <w:szCs w:val="21"/>
                <w:highlight w:val="none"/>
                <w:lang w:val="en-US" w:eastAsia="zh-CN" w:bidi="ar"/>
              </w:rPr>
              <w:t>启东市</w:t>
            </w:r>
          </w:p>
        </w:tc>
        <w:tc>
          <w:tcPr>
            <w:tcW w:w="10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933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CE21320681L0030</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139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66"/>
                <w:rFonts w:hint="eastAsia" w:asciiTheme="minorEastAsia" w:hAnsiTheme="minorEastAsia" w:eastAsiaTheme="minorEastAsia" w:cstheme="minorEastAsia"/>
                <w:color w:val="auto"/>
                <w:sz w:val="21"/>
                <w:szCs w:val="21"/>
                <w:highlight w:val="none"/>
                <w:lang w:val="en-US" w:eastAsia="zh-CN" w:bidi="ar"/>
              </w:rPr>
              <w:t>南引河口北桥</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825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44</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35B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5.5</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E71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Style w:val="66"/>
                <w:rFonts w:hint="eastAsia" w:asciiTheme="minorEastAsia" w:hAnsiTheme="minorEastAsia" w:eastAsiaTheme="minorEastAsia" w:cstheme="minorEastAsia"/>
                <w:color w:val="auto"/>
                <w:sz w:val="21"/>
                <w:szCs w:val="21"/>
                <w:highlight w:val="none"/>
                <w:lang w:val="en-US" w:eastAsia="zh-CN" w:bidi="ar"/>
              </w:rPr>
              <w:t>中桥</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171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highlight w:val="none"/>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725C7">
            <w:pPr>
              <w:jc w:val="center"/>
              <w:rPr>
                <w:rFonts w:hint="eastAsia" w:asciiTheme="minorEastAsia" w:hAnsiTheme="minorEastAsia" w:eastAsiaTheme="minorEastAsia" w:cstheme="minorEastAsia"/>
                <w:i w:val="0"/>
                <w:iCs w:val="0"/>
                <w:color w:val="auto"/>
                <w:sz w:val="21"/>
                <w:szCs w:val="21"/>
                <w:highlight w:val="none"/>
                <w:u w:val="none"/>
              </w:rPr>
            </w:pPr>
          </w:p>
        </w:tc>
      </w:tr>
    </w:tbl>
    <w:p w14:paraId="461A8D93">
      <w:pPr>
        <w:rPr>
          <w:rFonts w:hint="eastAsia" w:ascii="宋体" w:hAnsi="宋体" w:cs="宋体"/>
          <w:b/>
          <w:bCs/>
          <w:color w:val="auto"/>
          <w:sz w:val="36"/>
          <w:szCs w:val="36"/>
          <w:highlight w:val="none"/>
          <w:lang w:val="zh-CN"/>
        </w:rPr>
      </w:pPr>
      <w:r>
        <w:rPr>
          <w:rFonts w:hint="eastAsia" w:ascii="宋体" w:hAnsi="宋体" w:cs="宋体"/>
          <w:b/>
          <w:bCs/>
          <w:color w:val="auto"/>
          <w:sz w:val="36"/>
          <w:szCs w:val="36"/>
          <w:highlight w:val="none"/>
          <w:lang w:val="zh-CN"/>
        </w:rPr>
        <w:br w:type="page"/>
      </w:r>
    </w:p>
    <w:p w14:paraId="595F50C4">
      <w:pPr>
        <w:autoSpaceDE w:val="0"/>
        <w:autoSpaceDN w:val="0"/>
        <w:adjustRightInd w:val="0"/>
        <w:snapToGrid w:val="0"/>
        <w:spacing w:line="360" w:lineRule="auto"/>
        <w:jc w:val="center"/>
        <w:outlineLvl w:val="0"/>
        <w:rPr>
          <w:rFonts w:ascii="宋体" w:hAnsi="宋体" w:cs="宋体"/>
          <w:b/>
          <w:bCs/>
          <w:color w:val="auto"/>
          <w:sz w:val="36"/>
          <w:szCs w:val="36"/>
          <w:highlight w:val="none"/>
          <w:lang w:val="zh-CN"/>
        </w:rPr>
      </w:pPr>
      <w:r>
        <w:rPr>
          <w:rFonts w:hint="eastAsia" w:ascii="宋体" w:hAnsi="宋体" w:cs="宋体"/>
          <w:b/>
          <w:bCs/>
          <w:color w:val="auto"/>
          <w:sz w:val="36"/>
          <w:szCs w:val="36"/>
          <w:highlight w:val="none"/>
          <w:lang w:val="zh-CN"/>
        </w:rPr>
        <w:t>第四部分  评审程序和内容</w:t>
      </w:r>
    </w:p>
    <w:p w14:paraId="46D025F6">
      <w:pPr>
        <w:autoSpaceDE w:val="0"/>
        <w:autoSpaceDN w:val="0"/>
        <w:adjustRightInd w:val="0"/>
        <w:snapToGrid w:val="0"/>
        <w:spacing w:line="360" w:lineRule="auto"/>
        <w:ind w:right="210" w:firstLine="482" w:firstLineChars="200"/>
        <w:rPr>
          <w:rFonts w:ascii="宋体" w:hAnsi="宋体" w:cs="宋体"/>
          <w:b/>
          <w:color w:val="auto"/>
          <w:sz w:val="24"/>
          <w:highlight w:val="none"/>
          <w:lang w:val="zh-CN"/>
        </w:rPr>
      </w:pPr>
      <w:r>
        <w:rPr>
          <w:rFonts w:hint="eastAsia" w:ascii="宋体" w:hAnsi="宋体" w:cs="宋体"/>
          <w:b/>
          <w:color w:val="auto"/>
          <w:sz w:val="24"/>
          <w:highlight w:val="none"/>
          <w:lang w:val="zh-CN"/>
        </w:rPr>
        <w:t>一、采购人组织磋商活动</w:t>
      </w:r>
    </w:p>
    <w:p w14:paraId="1A4E11B4">
      <w:pPr>
        <w:pStyle w:val="30"/>
        <w:snapToGrid w:val="0"/>
        <w:spacing w:line="360" w:lineRule="auto"/>
        <w:ind w:firstLine="482" w:firstLineChars="200"/>
        <w:contextualSpacing/>
        <w:rPr>
          <w:rFonts w:ascii="宋体" w:eastAsia="宋体" w:cs="宋体"/>
          <w:b/>
          <w:color w:val="auto"/>
          <w:kern w:val="0"/>
          <w:sz w:val="24"/>
          <w:szCs w:val="24"/>
          <w:highlight w:val="none"/>
          <w:lang w:val="zh-CN"/>
        </w:rPr>
      </w:pPr>
      <w:r>
        <w:rPr>
          <w:rFonts w:hint="eastAsia" w:ascii="宋体" w:eastAsia="宋体" w:cs="宋体"/>
          <w:b/>
          <w:color w:val="auto"/>
          <w:kern w:val="0"/>
          <w:sz w:val="24"/>
          <w:szCs w:val="24"/>
          <w:highlight w:val="none"/>
          <w:lang w:val="zh-CN"/>
        </w:rPr>
        <w:t>1.成立竞争性磋商小组。</w:t>
      </w:r>
    </w:p>
    <w:p w14:paraId="69A6C0C9">
      <w:pPr>
        <w:pStyle w:val="30"/>
        <w:snapToGrid w:val="0"/>
        <w:spacing w:line="360" w:lineRule="auto"/>
        <w:ind w:firstLine="480" w:firstLineChars="200"/>
        <w:contextualSpacing/>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rPr>
        <w:t>磋商小组由</w:t>
      </w:r>
      <w:r>
        <w:rPr>
          <w:rFonts w:hint="eastAsia" w:ascii="宋体" w:eastAsia="宋体" w:cs="宋体"/>
          <w:color w:val="auto"/>
          <w:sz w:val="24"/>
          <w:szCs w:val="24"/>
          <w:highlight w:val="none"/>
        </w:rPr>
        <w:t>有关专家</w:t>
      </w:r>
      <w:r>
        <w:rPr>
          <w:rFonts w:hint="eastAsia" w:ascii="宋体" w:eastAsia="宋体" w:cs="宋体"/>
          <w:color w:val="auto"/>
          <w:kern w:val="0"/>
          <w:sz w:val="24"/>
          <w:szCs w:val="24"/>
          <w:highlight w:val="none"/>
        </w:rPr>
        <w:t>共3人或以上单数组成。采购代理机构人员不得参加本机构代理的采购项目的评审。</w:t>
      </w:r>
    </w:p>
    <w:p w14:paraId="5E9AD6CF">
      <w:pPr>
        <w:spacing w:line="360" w:lineRule="auto"/>
        <w:ind w:firstLine="482" w:firstLineChars="200"/>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2.竞争性磋商小组的职责：</w:t>
      </w:r>
    </w:p>
    <w:p w14:paraId="2178EBCF">
      <w:pPr>
        <w:pStyle w:val="30"/>
        <w:snapToGrid w:val="0"/>
        <w:spacing w:line="360" w:lineRule="auto"/>
        <w:ind w:firstLine="480" w:firstLineChars="200"/>
        <w:contextualSpacing/>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评审专家应当遵守评审工作纪律，不得泄露评审情况和评审中获悉的商业秘密。</w:t>
      </w:r>
    </w:p>
    <w:p w14:paraId="5E09CC07">
      <w:pPr>
        <w:pStyle w:val="30"/>
        <w:snapToGrid w:val="0"/>
        <w:spacing w:line="360" w:lineRule="auto"/>
        <w:ind w:firstLine="480" w:firstLineChars="200"/>
        <w:contextualSpacing/>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磋商小组在评审过程中发现供应商有行贿、提供虚假材料或者串通等违法行为的，应当及时向主管部门报告。</w:t>
      </w:r>
    </w:p>
    <w:p w14:paraId="698417D5">
      <w:pPr>
        <w:pStyle w:val="30"/>
        <w:snapToGrid w:val="0"/>
        <w:spacing w:line="360" w:lineRule="auto"/>
        <w:ind w:firstLine="480" w:firstLineChars="200"/>
        <w:contextualSpacing/>
        <w:rPr>
          <w:rFonts w:ascii="宋体" w:eastAsia="宋体" w:cs="宋体"/>
          <w:color w:val="auto"/>
          <w:kern w:val="0"/>
          <w:sz w:val="24"/>
          <w:szCs w:val="24"/>
          <w:highlight w:val="none"/>
        </w:rPr>
      </w:pPr>
      <w:r>
        <w:rPr>
          <w:rFonts w:hint="eastAsia" w:ascii="宋体" w:eastAsia="宋体" w:cs="宋体"/>
          <w:color w:val="auto"/>
          <w:kern w:val="0"/>
          <w:sz w:val="24"/>
          <w:szCs w:val="24"/>
          <w:highlight w:val="none"/>
          <w:lang w:val="zh-CN"/>
        </w:rPr>
        <w:t>评审专家在评审过程中受到非法干涉的，应当及时向相关主管部门举报。</w:t>
      </w:r>
    </w:p>
    <w:p w14:paraId="0F200BF6">
      <w:pPr>
        <w:pStyle w:val="30"/>
        <w:snapToGrid w:val="0"/>
        <w:spacing w:line="360" w:lineRule="auto"/>
        <w:ind w:firstLine="480" w:firstLineChars="200"/>
        <w:contextualSpacing/>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5E7E957A">
      <w:pPr>
        <w:pStyle w:val="30"/>
        <w:snapToGrid w:val="0"/>
        <w:spacing w:line="360" w:lineRule="auto"/>
        <w:ind w:firstLine="480" w:firstLineChars="200"/>
        <w:contextualSpacing/>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磋商文件内容违反国家有关强制性规定的，磋商小组应当停止评审并向采购人或者采购代理机构说明情况。</w:t>
      </w:r>
    </w:p>
    <w:p w14:paraId="47F568FE">
      <w:pPr>
        <w:pStyle w:val="30"/>
        <w:snapToGrid w:val="0"/>
        <w:spacing w:line="360" w:lineRule="auto"/>
        <w:ind w:firstLine="482" w:firstLineChars="200"/>
        <w:contextualSpacing/>
        <w:rPr>
          <w:rFonts w:ascii="宋体" w:eastAsia="宋体" w:cs="宋体"/>
          <w:b/>
          <w:color w:val="auto"/>
          <w:kern w:val="0"/>
          <w:sz w:val="24"/>
          <w:szCs w:val="24"/>
          <w:highlight w:val="none"/>
          <w:lang w:val="zh-CN"/>
        </w:rPr>
      </w:pPr>
      <w:r>
        <w:rPr>
          <w:rFonts w:hint="eastAsia" w:ascii="宋体" w:eastAsia="宋体" w:cs="宋体"/>
          <w:b/>
          <w:color w:val="auto"/>
          <w:kern w:val="0"/>
          <w:sz w:val="24"/>
          <w:szCs w:val="24"/>
          <w:highlight w:val="none"/>
          <w:lang w:val="zh-CN"/>
        </w:rPr>
        <w:t>3.竞争性磋商小组成员的义务：</w:t>
      </w:r>
    </w:p>
    <w:p w14:paraId="4B494198">
      <w:pPr>
        <w:pStyle w:val="30"/>
        <w:snapToGrid w:val="0"/>
        <w:spacing w:line="360" w:lineRule="auto"/>
        <w:ind w:firstLine="480" w:firstLineChars="200"/>
        <w:contextualSpacing/>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遵纪守法，客观、公正、廉洁地履行职责；根据采购文件的规定独立进行评审，对个人的评审意见承担法律责任；参与评审报告的起草；配合采购人、采购代理机构答复供应商提出的质疑；配合主管部门的投诉处理和监督检查工作。</w:t>
      </w:r>
    </w:p>
    <w:p w14:paraId="2B75E5A6">
      <w:pPr>
        <w:pStyle w:val="30"/>
        <w:snapToGrid w:val="0"/>
        <w:spacing w:line="360" w:lineRule="auto"/>
        <w:ind w:firstLine="482" w:firstLineChars="200"/>
        <w:contextualSpacing/>
        <w:rPr>
          <w:rFonts w:ascii="宋体" w:eastAsia="宋体" w:cs="宋体"/>
          <w:b/>
          <w:color w:val="auto"/>
          <w:kern w:val="0"/>
          <w:sz w:val="24"/>
          <w:szCs w:val="24"/>
          <w:highlight w:val="none"/>
          <w:lang w:val="zh-CN"/>
        </w:rPr>
      </w:pPr>
      <w:r>
        <w:rPr>
          <w:rFonts w:hint="eastAsia" w:ascii="宋体" w:eastAsia="宋体" w:cs="宋体"/>
          <w:b/>
          <w:color w:val="auto"/>
          <w:kern w:val="0"/>
          <w:sz w:val="24"/>
          <w:szCs w:val="24"/>
          <w:highlight w:val="none"/>
          <w:lang w:val="zh-CN"/>
        </w:rPr>
        <w:t>二、供应商参加磋商活动</w:t>
      </w:r>
    </w:p>
    <w:p w14:paraId="1EE8B9A8">
      <w:pPr>
        <w:autoSpaceDE w:val="0"/>
        <w:autoSpaceDN w:val="0"/>
        <w:adjustRightInd w:val="0"/>
        <w:snapToGrid w:val="0"/>
        <w:spacing w:line="360" w:lineRule="auto"/>
        <w:ind w:right="210" w:firstLine="482" w:firstLineChars="200"/>
        <w:rPr>
          <w:rFonts w:ascii="宋体" w:hAnsi="宋体" w:cs="宋体"/>
          <w:b/>
          <w:color w:val="auto"/>
          <w:sz w:val="24"/>
          <w:highlight w:val="none"/>
          <w:lang w:val="zh-CN"/>
        </w:rPr>
      </w:pPr>
      <w:r>
        <w:rPr>
          <w:rFonts w:hint="eastAsia" w:ascii="宋体" w:hAnsi="宋体" w:cs="宋体"/>
          <w:b/>
          <w:color w:val="auto"/>
          <w:sz w:val="24"/>
          <w:highlight w:val="none"/>
          <w:lang w:val="zh-CN"/>
        </w:rPr>
        <w:t>供应商的法定代表人或被授权人须持身份证准时参加磋商。</w:t>
      </w:r>
    </w:p>
    <w:p w14:paraId="7956F210">
      <w:pPr>
        <w:autoSpaceDE w:val="0"/>
        <w:autoSpaceDN w:val="0"/>
        <w:adjustRightInd w:val="0"/>
        <w:snapToGrid w:val="0"/>
        <w:spacing w:line="360" w:lineRule="auto"/>
        <w:ind w:right="210" w:firstLine="482" w:firstLineChars="200"/>
        <w:rPr>
          <w:rFonts w:ascii="宋体" w:hAnsi="宋体" w:cs="宋体"/>
          <w:b/>
          <w:color w:val="auto"/>
          <w:sz w:val="24"/>
          <w:highlight w:val="none"/>
        </w:rPr>
      </w:pPr>
      <w:r>
        <w:rPr>
          <w:rFonts w:hint="eastAsia" w:ascii="宋体" w:hAnsi="宋体" w:cs="宋体"/>
          <w:b/>
          <w:color w:val="auto"/>
          <w:sz w:val="24"/>
          <w:highlight w:val="none"/>
        </w:rPr>
        <w:t>三、磋商的原则及方法</w:t>
      </w:r>
    </w:p>
    <w:p w14:paraId="6529F2BE">
      <w:pPr>
        <w:pStyle w:val="30"/>
        <w:snapToGrid w:val="0"/>
        <w:spacing w:line="360" w:lineRule="auto"/>
        <w:ind w:firstLine="480" w:firstLineChars="200"/>
        <w:contextualSpacing/>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1</w:t>
      </w:r>
      <w:r>
        <w:rPr>
          <w:rFonts w:hint="eastAsia" w:ascii="宋体" w:eastAsia="宋体" w:cs="宋体"/>
          <w:bCs/>
          <w:color w:val="auto"/>
          <w:kern w:val="0"/>
          <w:sz w:val="24"/>
          <w:szCs w:val="24"/>
          <w:highlight w:val="none"/>
          <w:lang w:val="zh-CN"/>
        </w:rPr>
        <w:t>.</w:t>
      </w:r>
      <w:r>
        <w:rPr>
          <w:rFonts w:hint="eastAsia" w:ascii="宋体" w:eastAsia="宋体" w:cs="宋体"/>
          <w:color w:val="auto"/>
          <w:kern w:val="0"/>
          <w:sz w:val="24"/>
          <w:szCs w:val="24"/>
          <w:highlight w:val="none"/>
          <w:lang w:val="zh-CN"/>
        </w:rPr>
        <w:t>磋商小组成员应当按照客观、公正、审慎的原则，根据磋商文件规定的评审程序、评审方法和评审标准进行独立评审。未实质性响应磋</w:t>
      </w:r>
      <w:r>
        <w:rPr>
          <w:rFonts w:hint="eastAsia" w:ascii="宋体" w:eastAsia="宋体" w:cs="宋体"/>
          <w:color w:val="auto"/>
          <w:kern w:val="0"/>
          <w:sz w:val="24"/>
          <w:szCs w:val="24"/>
          <w:highlight w:val="none"/>
        </w:rPr>
        <w:t>商文件的响应文件按无效响应处理，磋商小组应当告知提交响应文件的供应商。</w:t>
      </w:r>
    </w:p>
    <w:p w14:paraId="35AEB083">
      <w:pPr>
        <w:pStyle w:val="30"/>
        <w:snapToGrid w:val="0"/>
        <w:spacing w:line="360" w:lineRule="auto"/>
        <w:ind w:firstLine="480" w:firstLineChars="200"/>
        <w:contextualSpacing/>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830FCC5">
      <w:pPr>
        <w:pStyle w:val="30"/>
        <w:snapToGrid w:val="0"/>
        <w:spacing w:line="360" w:lineRule="auto"/>
        <w:ind w:firstLine="480" w:firstLineChars="200"/>
        <w:contextualSpacing/>
        <w:rPr>
          <w:rFonts w:ascii="宋体" w:eastAsia="宋体" w:cs="宋体"/>
          <w:color w:val="auto"/>
          <w:kern w:val="0"/>
          <w:sz w:val="24"/>
          <w:szCs w:val="24"/>
          <w:highlight w:val="none"/>
        </w:rPr>
      </w:pPr>
      <w:r>
        <w:rPr>
          <w:rFonts w:hint="eastAsia" w:ascii="宋体" w:eastAsia="宋体" w:cs="宋体"/>
          <w:color w:val="auto"/>
          <w:kern w:val="0"/>
          <w:sz w:val="24"/>
          <w:szCs w:val="24"/>
          <w:highlight w:val="none"/>
          <w:lang w:val="zh-CN"/>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43A9F80B">
      <w:pPr>
        <w:pStyle w:val="30"/>
        <w:snapToGrid w:val="0"/>
        <w:spacing w:line="360" w:lineRule="auto"/>
        <w:ind w:firstLine="480" w:firstLineChars="200"/>
        <w:contextualSpacing/>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2.磋商小组将按照竞争性磋商文件的规定，独立对每个进入打分程序的有效供应商的响应文件的商务技术部分以打分的形式进行评估和评价。商务技术分是所有评委打分的算术平均值（计算结果均四舍五入保留两位小数）。</w:t>
      </w:r>
    </w:p>
    <w:p w14:paraId="3ADBDCD4">
      <w:pPr>
        <w:pStyle w:val="30"/>
        <w:snapToGrid w:val="0"/>
        <w:spacing w:line="360" w:lineRule="auto"/>
        <w:ind w:firstLine="480" w:firstLineChars="200"/>
        <w:contextualSpacing/>
        <w:rPr>
          <w:rFonts w:ascii="宋体" w:eastAsia="宋体" w:cs="宋体"/>
          <w:color w:val="auto"/>
          <w:kern w:val="0"/>
          <w:sz w:val="24"/>
          <w:szCs w:val="24"/>
          <w:highlight w:val="none"/>
        </w:rPr>
      </w:pPr>
      <w:r>
        <w:rPr>
          <w:rFonts w:hint="eastAsia" w:ascii="宋体" w:eastAsia="宋体" w:cs="宋体"/>
          <w:color w:val="auto"/>
          <w:kern w:val="0"/>
          <w:sz w:val="24"/>
          <w:szCs w:val="24"/>
          <w:highlight w:val="none"/>
          <w:lang w:val="zh-CN"/>
        </w:rPr>
        <w:t>3.</w:t>
      </w:r>
      <w:r>
        <w:rPr>
          <w:rStyle w:val="35"/>
          <w:rFonts w:hint="default" w:cs="宋体"/>
          <w:color w:val="auto"/>
          <w:highlight w:val="none"/>
        </w:rPr>
        <w:t>磋商小组根据磋商文件规定的程序、评定成交的标准等事项与实质性响应磋商文件要求的供应商进行磋商。未实质性响应磋商文件要求的响应文件按无效处理，磋商小组应当告知提交响应文件的供应商。</w:t>
      </w:r>
    </w:p>
    <w:p w14:paraId="4D01F2FB">
      <w:pPr>
        <w:pStyle w:val="30"/>
        <w:snapToGrid w:val="0"/>
        <w:spacing w:line="360" w:lineRule="auto"/>
        <w:ind w:firstLine="480" w:firstLineChars="200"/>
        <w:contextualSpacing/>
        <w:rPr>
          <w:rFonts w:ascii="宋体" w:eastAsia="宋体" w:cs="宋体"/>
          <w:color w:val="auto"/>
          <w:kern w:val="0"/>
          <w:sz w:val="24"/>
          <w:szCs w:val="24"/>
          <w:highlight w:val="none"/>
          <w:lang w:val="zh-CN"/>
        </w:rPr>
      </w:pPr>
      <w:r>
        <w:rPr>
          <w:rFonts w:hint="eastAsia" w:ascii="宋体" w:eastAsia="宋体" w:cs="宋体"/>
          <w:bCs/>
          <w:color w:val="auto"/>
          <w:kern w:val="0"/>
          <w:sz w:val="24"/>
          <w:szCs w:val="24"/>
          <w:highlight w:val="none"/>
          <w:lang w:val="zh-CN"/>
        </w:rPr>
        <w:t>4.</w:t>
      </w:r>
      <w:r>
        <w:rPr>
          <w:rFonts w:hint="eastAsia" w:ascii="宋体" w:eastAsia="宋体" w:cs="宋体"/>
          <w:color w:val="auto"/>
          <w:kern w:val="0"/>
          <w:sz w:val="24"/>
          <w:szCs w:val="24"/>
          <w:highlight w:val="none"/>
          <w:lang w:val="zh-CN"/>
        </w:rPr>
        <w:t>磋商小组</w:t>
      </w:r>
      <w:r>
        <w:rPr>
          <w:rStyle w:val="35"/>
          <w:rFonts w:hint="default" w:cs="宋体"/>
          <w:color w:val="auto"/>
          <w:highlight w:val="none"/>
          <w:lang w:val="zh-CN"/>
        </w:rPr>
        <w:t>所有</w:t>
      </w:r>
      <w:r>
        <w:rPr>
          <w:rFonts w:hint="eastAsia" w:ascii="宋体" w:eastAsia="宋体" w:cs="宋体"/>
          <w:color w:val="auto"/>
          <w:kern w:val="0"/>
          <w:sz w:val="24"/>
          <w:szCs w:val="24"/>
          <w:highlight w:val="none"/>
          <w:lang w:val="zh-CN"/>
        </w:rPr>
        <w:t>成员应当集中与单一供应商分别进行磋商，并给予所有参加磋商的供应商平等的磋商机会。</w:t>
      </w:r>
    </w:p>
    <w:p w14:paraId="22572492">
      <w:pPr>
        <w:pStyle w:val="30"/>
        <w:snapToGrid w:val="0"/>
        <w:spacing w:line="360" w:lineRule="auto"/>
        <w:ind w:firstLine="480" w:firstLineChars="200"/>
        <w:contextualSpacing/>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5</w:t>
      </w:r>
      <w:r>
        <w:rPr>
          <w:rFonts w:hint="eastAsia" w:ascii="宋体" w:eastAsia="宋体" w:cs="宋体"/>
          <w:b/>
          <w:color w:val="auto"/>
          <w:kern w:val="0"/>
          <w:sz w:val="24"/>
          <w:szCs w:val="24"/>
          <w:highlight w:val="none"/>
          <w:lang w:val="zh-CN"/>
        </w:rPr>
        <w:t>.</w:t>
      </w:r>
      <w:r>
        <w:rPr>
          <w:rFonts w:hint="eastAsia" w:ascii="宋体" w:eastAsia="宋体" w:cs="宋体"/>
          <w:color w:val="auto"/>
          <w:kern w:val="0"/>
          <w:sz w:val="24"/>
          <w:szCs w:val="24"/>
          <w:highlight w:val="none"/>
          <w:lang w:val="zh-CN"/>
        </w:rPr>
        <w:t>在磋商过程中，磋商小组可以根据磋商文件和磋商情况实质性变动采购需求中的技术、服务要求以及合同草案条款，但不得变动磋商文件中的其他内容。实质性变动的内容，须经采购人代表确认。</w:t>
      </w:r>
    </w:p>
    <w:p w14:paraId="6735E7D6">
      <w:pPr>
        <w:pStyle w:val="30"/>
        <w:snapToGrid w:val="0"/>
        <w:spacing w:line="360" w:lineRule="auto"/>
        <w:ind w:firstLine="480" w:firstLineChars="200"/>
        <w:contextualSpacing/>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对磋商文件作出的实质性变动是磋商文件的有效组成部分，磋商小组应当及时以书面形式同时通知所有参加磋商的供应商。</w:t>
      </w:r>
    </w:p>
    <w:p w14:paraId="246263BF">
      <w:pPr>
        <w:pStyle w:val="30"/>
        <w:snapToGrid w:val="0"/>
        <w:spacing w:line="360" w:lineRule="auto"/>
        <w:ind w:firstLine="480" w:firstLineChars="200"/>
        <w:contextualSpacing/>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776DE080">
      <w:pPr>
        <w:pStyle w:val="30"/>
        <w:snapToGrid w:val="0"/>
        <w:spacing w:line="360" w:lineRule="auto"/>
        <w:ind w:firstLine="480" w:firstLineChars="200"/>
        <w:contextualSpacing/>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6.磋商文件能够详细列明采购标的的技术、服务要求的，磋商结束后，磋商小组应当要求所有实质性响应的供应商在规定时间内提交最后报价，提交最后报价的供应商不得少于3家。</w:t>
      </w:r>
    </w:p>
    <w:p w14:paraId="7849DE2E">
      <w:pPr>
        <w:pStyle w:val="30"/>
        <w:snapToGrid w:val="0"/>
        <w:spacing w:line="360" w:lineRule="auto"/>
        <w:ind w:firstLine="480" w:firstLineChars="200"/>
        <w:contextualSpacing/>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磋商文件不能详细列明采购标的技术、服务要求，需经磋商由供应商提供最终设计方案或解决方案的，磋商结束后，磋商小组应当按照少数服从多数的原则投票推荐3家及以上供应商的设计方案或者解决方案，并要求其在规定时间内提交最后报价。</w:t>
      </w:r>
    </w:p>
    <w:p w14:paraId="19EABA09">
      <w:pPr>
        <w:pStyle w:val="30"/>
        <w:snapToGrid w:val="0"/>
        <w:spacing w:line="360" w:lineRule="auto"/>
        <w:ind w:firstLine="480" w:firstLineChars="200"/>
        <w:contextualSpacing/>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市场竞争不充分的科研项目，以及需要扶持的科技成果转化项目，提交最后报价的供应商可以是2家。</w:t>
      </w:r>
    </w:p>
    <w:p w14:paraId="61022027">
      <w:pPr>
        <w:pStyle w:val="30"/>
        <w:snapToGrid w:val="0"/>
        <w:spacing w:line="360" w:lineRule="auto"/>
        <w:ind w:firstLine="480" w:firstLineChars="200"/>
        <w:contextualSpacing/>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7.最后报价是供应商响应文件的有效组成部分。</w:t>
      </w:r>
    </w:p>
    <w:p w14:paraId="28E4D0F3">
      <w:pPr>
        <w:pStyle w:val="30"/>
        <w:snapToGrid w:val="0"/>
        <w:spacing w:line="360" w:lineRule="auto"/>
        <w:ind w:firstLine="480" w:firstLineChars="200"/>
        <w:contextualSpacing/>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8.对于在磋商顺利开始后至最终报价前，根据磋商情况退出磋商的供应商，须以书面形式说明退出磋商的原因，经磋商小组同意可以退出磋商。</w:t>
      </w:r>
    </w:p>
    <w:p w14:paraId="4D158E07">
      <w:pPr>
        <w:pStyle w:val="30"/>
        <w:snapToGrid w:val="0"/>
        <w:spacing w:line="360" w:lineRule="auto"/>
        <w:ind w:firstLine="480" w:firstLineChars="200"/>
        <w:contextualSpacing/>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9.磋商时间由磋商小组掌握。</w:t>
      </w:r>
    </w:p>
    <w:p w14:paraId="2CE8BC23">
      <w:pPr>
        <w:autoSpaceDE w:val="0"/>
        <w:autoSpaceDN w:val="0"/>
        <w:adjustRightInd w:val="0"/>
        <w:snapToGrid w:val="0"/>
        <w:spacing w:line="360" w:lineRule="auto"/>
        <w:ind w:right="210" w:firstLine="482" w:firstLineChars="200"/>
        <w:rPr>
          <w:rFonts w:ascii="宋体" w:hAnsi="宋体" w:cs="宋体"/>
          <w:b/>
          <w:color w:val="auto"/>
          <w:sz w:val="24"/>
          <w:highlight w:val="none"/>
        </w:rPr>
      </w:pPr>
      <w:r>
        <w:rPr>
          <w:rFonts w:hint="eastAsia" w:ascii="宋体" w:hAnsi="宋体" w:cs="宋体"/>
          <w:b/>
          <w:color w:val="auto"/>
          <w:sz w:val="24"/>
          <w:highlight w:val="none"/>
        </w:rPr>
        <w:t>四、评审步骤</w:t>
      </w:r>
    </w:p>
    <w:p w14:paraId="093C6084">
      <w:pPr>
        <w:pStyle w:val="30"/>
        <w:snapToGrid w:val="0"/>
        <w:spacing w:line="360" w:lineRule="auto"/>
        <w:ind w:firstLine="480" w:firstLineChars="200"/>
        <w:contextualSpacing/>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1.评审步骤规定：</w:t>
      </w:r>
    </w:p>
    <w:p w14:paraId="0A7E526F">
      <w:pPr>
        <w:pStyle w:val="30"/>
        <w:snapToGrid w:val="0"/>
        <w:spacing w:line="360" w:lineRule="auto"/>
        <w:ind w:firstLine="480" w:firstLineChars="200"/>
        <w:contextualSpacing/>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本次资格审查采用资格后审，各供应商资格审查通过后方能进入商务技术响应文件和报价响应文件评审。</w:t>
      </w:r>
    </w:p>
    <w:p w14:paraId="5D02B9F3">
      <w:pPr>
        <w:snapToGrid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第一阶段：</w:t>
      </w:r>
      <w:r>
        <w:rPr>
          <w:rFonts w:hint="eastAsia" w:ascii="宋体" w:hAnsi="宋体" w:cs="宋体"/>
          <w:color w:val="auto"/>
          <w:sz w:val="24"/>
          <w:highlight w:val="none"/>
        </w:rPr>
        <w:t>磋商小组一并</w:t>
      </w:r>
      <w:r>
        <w:rPr>
          <w:rFonts w:hint="eastAsia" w:ascii="宋体" w:hAnsi="宋体" w:cs="宋体"/>
          <w:color w:val="auto"/>
          <w:sz w:val="24"/>
          <w:highlight w:val="none"/>
          <w:lang w:val="zh-CN"/>
        </w:rPr>
        <w:t>对每个供应商的资格进行审查。</w:t>
      </w:r>
    </w:p>
    <w:p w14:paraId="63481DED">
      <w:pPr>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第二阶段：磋商小组对每个符合资格要求的供应商的商务技术标进行评审。</w:t>
      </w:r>
    </w:p>
    <w:p w14:paraId="6490501E">
      <w:pPr>
        <w:snapToGrid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第三阶段：以供应商提交的报价响应文件（即首次报价）为基础，磋商小组与供应商单一分别进行磋商：内容主要是对竞争性磋商响应文件中的项目方案的澄清、修正、补充、确认以及价格调整等。</w:t>
      </w:r>
      <w:r>
        <w:rPr>
          <w:rFonts w:hint="eastAsia" w:ascii="宋体" w:hAnsi="宋体" w:cs="宋体"/>
          <w:color w:val="auto"/>
          <w:sz w:val="24"/>
          <w:highlight w:val="none"/>
        </w:rPr>
        <w:t>磋商</w:t>
      </w:r>
      <w:r>
        <w:rPr>
          <w:rFonts w:hint="eastAsia" w:ascii="宋体" w:hAnsi="宋体" w:cs="宋体"/>
          <w:color w:val="auto"/>
          <w:sz w:val="24"/>
          <w:highlight w:val="none"/>
          <w:lang w:val="zh-CN"/>
        </w:rPr>
        <w:t>明确各供应商符合并满足</w:t>
      </w:r>
      <w:r>
        <w:rPr>
          <w:rFonts w:hint="eastAsia" w:ascii="宋体" w:hAnsi="宋体" w:cs="宋体"/>
          <w:color w:val="auto"/>
          <w:sz w:val="24"/>
          <w:highlight w:val="none"/>
        </w:rPr>
        <w:t>磋商</w:t>
      </w:r>
      <w:r>
        <w:rPr>
          <w:rFonts w:hint="eastAsia" w:ascii="宋体" w:hAnsi="宋体" w:cs="宋体"/>
          <w:color w:val="auto"/>
          <w:sz w:val="24"/>
          <w:highlight w:val="none"/>
          <w:lang w:val="zh-CN"/>
        </w:rPr>
        <w:t>文件要求，并能完全响应</w:t>
      </w:r>
      <w:r>
        <w:rPr>
          <w:rFonts w:hint="eastAsia" w:ascii="宋体" w:hAnsi="宋体" w:cs="宋体"/>
          <w:color w:val="auto"/>
          <w:sz w:val="24"/>
          <w:highlight w:val="none"/>
        </w:rPr>
        <w:t>磋商</w:t>
      </w:r>
      <w:r>
        <w:rPr>
          <w:rFonts w:hint="eastAsia" w:ascii="宋体" w:hAnsi="宋体" w:cs="宋体"/>
          <w:color w:val="auto"/>
          <w:sz w:val="24"/>
          <w:highlight w:val="none"/>
          <w:lang w:val="zh-CN"/>
        </w:rPr>
        <w:t>内容后，要求所有作出实质性响应的有效供应商在规定的时间内，在</w:t>
      </w:r>
      <w:r>
        <w:rPr>
          <w:rFonts w:hint="eastAsia" w:ascii="宋体" w:hAnsi="宋体" w:cs="宋体"/>
          <w:color w:val="auto"/>
          <w:sz w:val="24"/>
          <w:highlight w:val="none"/>
        </w:rPr>
        <w:t>磋商</w:t>
      </w:r>
      <w:r>
        <w:rPr>
          <w:rFonts w:hint="eastAsia" w:ascii="宋体" w:hAnsi="宋体" w:cs="宋体"/>
          <w:color w:val="auto"/>
          <w:sz w:val="24"/>
          <w:highlight w:val="none"/>
          <w:lang w:val="zh-CN"/>
        </w:rPr>
        <w:t>现场给出二次报价（即</w:t>
      </w:r>
      <w:r>
        <w:rPr>
          <w:rFonts w:hint="eastAsia" w:ascii="宋体" w:hAnsi="宋体" w:cs="宋体"/>
          <w:color w:val="auto"/>
          <w:sz w:val="24"/>
          <w:highlight w:val="none"/>
        </w:rPr>
        <w:t>最终报价）</w:t>
      </w:r>
      <w:r>
        <w:rPr>
          <w:rFonts w:hint="eastAsia" w:ascii="宋体" w:hAnsi="宋体" w:cs="宋体"/>
          <w:color w:val="auto"/>
          <w:sz w:val="24"/>
          <w:highlight w:val="none"/>
          <w:lang w:val="zh-CN"/>
        </w:rPr>
        <w:t>。同时最终报价中可包括但不限于如最终澄清方案、有关优惠承诺等。如</w:t>
      </w:r>
      <w:r>
        <w:rPr>
          <w:rFonts w:hint="eastAsia" w:ascii="宋体" w:hAnsi="宋体" w:cs="宋体"/>
          <w:color w:val="auto"/>
          <w:sz w:val="24"/>
          <w:highlight w:val="none"/>
        </w:rPr>
        <w:t>磋商</w:t>
      </w:r>
      <w:r>
        <w:rPr>
          <w:rFonts w:hint="eastAsia" w:ascii="宋体" w:hAnsi="宋体" w:cs="宋体"/>
          <w:color w:val="auto"/>
          <w:sz w:val="24"/>
          <w:highlight w:val="none"/>
          <w:lang w:val="zh-CN"/>
        </w:rPr>
        <w:t>内容导致</w:t>
      </w:r>
      <w:r>
        <w:rPr>
          <w:rFonts w:hint="eastAsia" w:ascii="宋体" w:hAnsi="宋体" w:cs="宋体"/>
          <w:color w:val="auto"/>
          <w:sz w:val="24"/>
          <w:highlight w:val="none"/>
        </w:rPr>
        <w:t>竞争性磋商</w:t>
      </w:r>
      <w:r>
        <w:rPr>
          <w:rFonts w:hint="eastAsia" w:ascii="宋体" w:hAnsi="宋体" w:cs="宋体"/>
          <w:color w:val="auto"/>
          <w:sz w:val="24"/>
          <w:highlight w:val="none"/>
          <w:lang w:val="zh-CN"/>
        </w:rPr>
        <w:t>文件有实质性变动的，</w:t>
      </w:r>
      <w:r>
        <w:rPr>
          <w:rFonts w:hint="eastAsia" w:ascii="宋体" w:hAnsi="宋体" w:cs="宋体"/>
          <w:color w:val="auto"/>
          <w:sz w:val="24"/>
          <w:highlight w:val="none"/>
        </w:rPr>
        <w:t>磋商小组</w:t>
      </w:r>
      <w:r>
        <w:rPr>
          <w:rFonts w:hint="eastAsia" w:ascii="宋体" w:hAnsi="宋体" w:cs="宋体"/>
          <w:color w:val="auto"/>
          <w:sz w:val="24"/>
          <w:highlight w:val="none"/>
          <w:lang w:val="zh-CN"/>
        </w:rPr>
        <w:t xml:space="preserve">应当以书面形式通知所有供应商。 </w:t>
      </w:r>
    </w:p>
    <w:p w14:paraId="5634C0E7">
      <w:pPr>
        <w:snapToGrid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若无须对项目方案进行澄清、修正、补充等，则磋商小组将要求所有作出实质性响应的有效供应商在规定的时间内，在磋商现场集体给出二次报价（即</w:t>
      </w:r>
      <w:r>
        <w:rPr>
          <w:rFonts w:hint="eastAsia" w:ascii="宋体" w:hAnsi="宋体" w:cs="宋体"/>
          <w:color w:val="auto"/>
          <w:sz w:val="24"/>
          <w:highlight w:val="none"/>
        </w:rPr>
        <w:t>最终报价）。</w:t>
      </w:r>
    </w:p>
    <w:p w14:paraId="63AAF867">
      <w:pPr>
        <w:snapToGrid w:val="0"/>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除非在磋商中磋商小组对采购人需求内容作了调整增加，或对采购内容作了实质性变更，否则采购人不接受供应商高于自己前一轮的磋商报价。</w:t>
      </w:r>
    </w:p>
    <w:p w14:paraId="01882F60">
      <w:pPr>
        <w:snapToGrid w:val="0"/>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第二轮报价只需报总价，除暂列金额、暂估价（其具体金额或比例）外各子目按第二轮报价较首轮报价下浮率同比例下浮。</w:t>
      </w:r>
    </w:p>
    <w:p w14:paraId="0CAB48FA">
      <w:pPr>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第四阶段：磋商小组对供应商的最终报价进行评议和比较（</w:t>
      </w:r>
      <w:r>
        <w:rPr>
          <w:rFonts w:hint="eastAsia" w:ascii="宋体" w:hAnsi="宋体"/>
          <w:bCs/>
          <w:color w:val="auto"/>
          <w:sz w:val="24"/>
          <w:highlight w:val="none"/>
          <w:lang w:val="en-US" w:eastAsia="zh-CN"/>
        </w:rPr>
        <w:t>磋商小组</w:t>
      </w:r>
      <w:r>
        <w:rPr>
          <w:rFonts w:hint="eastAsia" w:ascii="宋体" w:hAnsi="宋体"/>
          <w:bCs/>
          <w:color w:val="auto"/>
          <w:sz w:val="24"/>
          <w:highlight w:val="none"/>
        </w:rPr>
        <w:t>认为投标</w:t>
      </w:r>
      <w:r>
        <w:rPr>
          <w:rFonts w:hint="eastAsia" w:ascii="宋体" w:hAnsi="宋体"/>
          <w:bCs/>
          <w:color w:val="auto"/>
          <w:sz w:val="24"/>
          <w:highlight w:val="none"/>
          <w:lang w:val="en-US" w:eastAsia="zh-CN"/>
        </w:rPr>
        <w:t>供应商</w:t>
      </w:r>
      <w:r>
        <w:rPr>
          <w:rFonts w:hint="eastAsia" w:ascii="宋体" w:hAnsi="宋体"/>
          <w:bCs/>
          <w:color w:val="auto"/>
          <w:sz w:val="24"/>
          <w:highlight w:val="none"/>
        </w:rPr>
        <w:t>的报价明显低于其他通过符合性审查投标</w:t>
      </w:r>
      <w:r>
        <w:rPr>
          <w:rFonts w:hint="eastAsia" w:ascii="宋体" w:hAnsi="宋体"/>
          <w:bCs/>
          <w:color w:val="auto"/>
          <w:sz w:val="24"/>
          <w:highlight w:val="none"/>
          <w:lang w:val="en-US" w:eastAsia="zh-CN"/>
        </w:rPr>
        <w:t>供应商</w:t>
      </w:r>
      <w:r>
        <w:rPr>
          <w:rFonts w:hint="eastAsia" w:ascii="宋体" w:hAnsi="宋体"/>
          <w:bCs/>
          <w:color w:val="auto"/>
          <w:sz w:val="24"/>
          <w:highlight w:val="none"/>
        </w:rPr>
        <w:t>的报价，</w:t>
      </w:r>
      <w:r>
        <w:rPr>
          <w:rFonts w:hint="eastAsia" w:ascii="宋体" w:hAnsi="宋体"/>
          <w:bCs/>
          <w:color w:val="auto"/>
          <w:sz w:val="24"/>
          <w:highlight w:val="none"/>
          <w:lang w:val="en-US" w:eastAsia="zh-CN"/>
        </w:rPr>
        <w:t>有可能影响产品质量或者不能诚信履约的其他情形</w:t>
      </w:r>
      <w:r>
        <w:rPr>
          <w:rFonts w:hint="eastAsia" w:ascii="宋体" w:hAnsi="宋体" w:cs="宋体"/>
          <w:color w:val="auto"/>
          <w:kern w:val="0"/>
          <w:sz w:val="24"/>
          <w:highlight w:val="none"/>
          <w:lang w:eastAsia="zh-CN"/>
        </w:rPr>
        <w:t>，</w:t>
      </w:r>
      <w:r>
        <w:rPr>
          <w:rFonts w:hint="eastAsia" w:ascii="宋体" w:hAnsi="宋体"/>
          <w:bCs/>
          <w:color w:val="auto"/>
          <w:sz w:val="24"/>
          <w:highlight w:val="none"/>
          <w:lang w:val="en-US" w:eastAsia="zh-CN"/>
        </w:rPr>
        <w:t>磋商小组已启动异常低价投标（响应）审查程序，</w:t>
      </w:r>
      <w:r>
        <w:rPr>
          <w:rFonts w:hint="eastAsia" w:ascii="宋体" w:hAnsi="宋体"/>
          <w:bCs/>
          <w:color w:val="auto"/>
          <w:sz w:val="24"/>
          <w:highlight w:val="none"/>
        </w:rPr>
        <w:t>供应商不提供书面说明、证明材料，或者提供的书面说明、证明材料不能证明其报价合理性的</w:t>
      </w:r>
      <w:r>
        <w:rPr>
          <w:rFonts w:hint="eastAsia" w:ascii="宋体" w:hAnsi="宋体" w:cs="宋体"/>
          <w:color w:val="auto"/>
          <w:kern w:val="0"/>
          <w:sz w:val="24"/>
          <w:highlight w:val="none"/>
        </w:rPr>
        <w:t>报价除外）。磋商小组按照综合得分推荐预成交供应商并出具评审磋商报告。</w:t>
      </w:r>
    </w:p>
    <w:p w14:paraId="085B99B6">
      <w:pPr>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2.在磋商过程中，供应商提交的澄清文件和最终报价响应文件，由供应商法定代表人或被授权人签字后生效，供应商受其约束。</w:t>
      </w:r>
    </w:p>
    <w:p w14:paraId="55B40499">
      <w:pPr>
        <w:snapToGrid w:val="0"/>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五、评审方法-综合评分法</w:t>
      </w:r>
    </w:p>
    <w:p w14:paraId="7B506AAF">
      <w:pPr>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经磋商确定最终采购需求和提交最后报价的供应商后，由磋商小组采用综合评分法对提交最后报价的供应商的响应文件和最后报价进行综合评分。</w:t>
      </w:r>
    </w:p>
    <w:p w14:paraId="430EF3FA">
      <w:pPr>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综合评分法，是指响应文件满足磋商文件全部实质性要求且按评审因素的量化指标评审得分最高的供应商为成交候选供应商的评审方法。</w:t>
      </w:r>
    </w:p>
    <w:p w14:paraId="512B4F77">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评审时，磋商小组各成员应当独立对每个有效响应的文件进行评价、打分，然后汇总每个供应商每项评分因素的得分（计算结果均四舍五入保留两位小数）。</w:t>
      </w:r>
    </w:p>
    <w:p w14:paraId="3517531A">
      <w:p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（一）审查响应文件的有效性、完整性、响应程度</w:t>
      </w:r>
    </w:p>
    <w:p w14:paraId="1F363F5F">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kern w:val="0"/>
          <w:sz w:val="24"/>
          <w:highlight w:val="none"/>
          <w:lang w:val="zh-CN"/>
        </w:rPr>
        <w:t>.</w:t>
      </w:r>
      <w:r>
        <w:rPr>
          <w:rFonts w:hint="eastAsia" w:ascii="宋体" w:hAnsi="宋体" w:cs="宋体"/>
          <w:color w:val="auto"/>
          <w:sz w:val="24"/>
          <w:highlight w:val="none"/>
        </w:rPr>
        <w:t>要求的保证金是否已提供；</w:t>
      </w:r>
    </w:p>
    <w:p w14:paraId="6B75F40E">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kern w:val="0"/>
          <w:sz w:val="24"/>
          <w:highlight w:val="none"/>
          <w:lang w:val="zh-CN"/>
        </w:rPr>
        <w:t>.</w:t>
      </w:r>
      <w:r>
        <w:rPr>
          <w:rFonts w:hint="eastAsia" w:ascii="宋体" w:hAnsi="宋体" w:cs="宋体"/>
          <w:color w:val="auto"/>
          <w:sz w:val="24"/>
          <w:highlight w:val="none"/>
        </w:rPr>
        <w:t>响应文件是否按磋商文件要求装订、密封、签署、盖章的；</w:t>
      </w:r>
    </w:p>
    <w:p w14:paraId="773C27DD">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kern w:val="0"/>
          <w:sz w:val="24"/>
          <w:highlight w:val="none"/>
          <w:lang w:val="zh-CN"/>
        </w:rPr>
        <w:t>.</w:t>
      </w:r>
      <w:r>
        <w:rPr>
          <w:rFonts w:hint="eastAsia" w:ascii="宋体" w:hAnsi="宋体" w:cs="宋体"/>
          <w:color w:val="auto"/>
          <w:sz w:val="24"/>
          <w:highlight w:val="none"/>
        </w:rPr>
        <w:t>供应商资格是否符合；</w:t>
      </w:r>
    </w:p>
    <w:p w14:paraId="780C4E66">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kern w:val="0"/>
          <w:sz w:val="24"/>
          <w:highlight w:val="none"/>
          <w:lang w:val="zh-CN"/>
        </w:rPr>
        <w:t>.</w:t>
      </w:r>
      <w:r>
        <w:rPr>
          <w:rFonts w:hint="eastAsia" w:ascii="宋体" w:hAnsi="宋体" w:cs="宋体"/>
          <w:color w:val="auto"/>
          <w:sz w:val="24"/>
          <w:highlight w:val="none"/>
        </w:rPr>
        <w:t>响应文件是否完整；</w:t>
      </w:r>
    </w:p>
    <w:p w14:paraId="73EBE5AE">
      <w:pPr>
        <w:snapToGrid w:val="0"/>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5</w:t>
      </w:r>
      <w:r>
        <w:rPr>
          <w:rFonts w:hint="eastAsia" w:ascii="宋体" w:hAnsi="宋体" w:cs="宋体"/>
          <w:color w:val="auto"/>
          <w:kern w:val="0"/>
          <w:sz w:val="24"/>
          <w:highlight w:val="none"/>
          <w:lang w:val="zh-CN"/>
        </w:rPr>
        <w:t>.</w:t>
      </w:r>
      <w:r>
        <w:rPr>
          <w:rFonts w:hint="eastAsia" w:ascii="宋体" w:hAnsi="宋体" w:cs="宋体"/>
          <w:color w:val="auto"/>
          <w:sz w:val="24"/>
          <w:highlight w:val="none"/>
        </w:rPr>
        <w:t>是否作出实质性响应（</w:t>
      </w:r>
      <w:r>
        <w:rPr>
          <w:rFonts w:hint="eastAsia" w:ascii="宋体" w:hAnsi="宋体" w:cs="宋体"/>
          <w:b/>
          <w:color w:val="auto"/>
          <w:sz w:val="24"/>
          <w:highlight w:val="none"/>
        </w:rPr>
        <w:t>是否有实质性响应，只根据响应文件本身，而不寻求外部证据）；</w:t>
      </w:r>
    </w:p>
    <w:p w14:paraId="0C4D1985">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w:t>
      </w:r>
      <w:r>
        <w:rPr>
          <w:rFonts w:hint="eastAsia" w:ascii="宋体" w:hAnsi="宋体" w:cs="宋体"/>
          <w:bCs/>
          <w:color w:val="auto"/>
          <w:kern w:val="0"/>
          <w:sz w:val="24"/>
          <w:highlight w:val="none"/>
          <w:lang w:val="zh-CN"/>
        </w:rPr>
        <w:t>.</w:t>
      </w:r>
      <w:r>
        <w:rPr>
          <w:rFonts w:hint="eastAsia" w:ascii="宋体" w:hAnsi="宋体" w:cs="宋体"/>
          <w:color w:val="auto"/>
          <w:sz w:val="24"/>
          <w:highlight w:val="none"/>
        </w:rPr>
        <w:t>是否有计算错误。</w:t>
      </w:r>
    </w:p>
    <w:p w14:paraId="1B36D9AB">
      <w:pPr>
        <w:autoSpaceDE w:val="0"/>
        <w:autoSpaceDN w:val="0"/>
        <w:adjustRightInd w:val="0"/>
        <w:snapToGrid w:val="0"/>
        <w:spacing w:line="360" w:lineRule="auto"/>
        <w:ind w:firstLine="482" w:firstLineChars="200"/>
        <w:contextualSpacing/>
        <w:jc w:val="left"/>
        <w:rPr>
          <w:rFonts w:ascii="宋体" w:hAnsi="宋体" w:cs="宋体"/>
          <w:b/>
          <w:bCs/>
          <w:color w:val="auto"/>
          <w:sz w:val="24"/>
          <w:highlight w:val="none"/>
        </w:rPr>
      </w:pPr>
      <w:r>
        <w:rPr>
          <w:rFonts w:hint="eastAsia" w:ascii="宋体" w:hAnsi="宋体" w:cs="宋体"/>
          <w:b/>
          <w:bCs/>
          <w:color w:val="auto"/>
          <w:sz w:val="24"/>
          <w:highlight w:val="none"/>
        </w:rPr>
        <w:t>（二）误差纠正</w:t>
      </w:r>
    </w:p>
    <w:p w14:paraId="3ACF2C34">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1</w:t>
      </w:r>
      <w:r>
        <w:rPr>
          <w:rFonts w:hint="eastAsia" w:ascii="宋体" w:hAnsi="宋体" w:cs="宋体"/>
          <w:color w:val="auto"/>
          <w:kern w:val="0"/>
          <w:sz w:val="24"/>
          <w:highlight w:val="none"/>
          <w:lang w:val="zh-CN"/>
        </w:rPr>
        <w:t>.</w:t>
      </w:r>
      <w:r>
        <w:rPr>
          <w:rFonts w:hint="eastAsia" w:ascii="宋体" w:hAnsi="宋体" w:cs="宋体"/>
          <w:color w:val="auto"/>
          <w:sz w:val="24"/>
          <w:highlight w:val="none"/>
          <w:lang w:val="zh-CN"/>
        </w:rPr>
        <w:t>报价表中的大写金额与小写金额、总价金额与按单价汇总金额，若有差异，按照下列规定修正：</w:t>
      </w:r>
    </w:p>
    <w:p w14:paraId="2BF2184B">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（1）</w:t>
      </w:r>
      <w:r>
        <w:rPr>
          <w:rFonts w:hint="eastAsia" w:ascii="宋体" w:hAnsi="宋体" w:cs="宋体"/>
          <w:color w:val="auto"/>
          <w:sz w:val="24"/>
          <w:highlight w:val="none"/>
        </w:rPr>
        <w:t>响应</w:t>
      </w:r>
      <w:r>
        <w:rPr>
          <w:rFonts w:hint="eastAsia" w:ascii="宋体" w:hAnsi="宋体" w:cs="宋体"/>
          <w:color w:val="auto"/>
          <w:sz w:val="24"/>
          <w:highlight w:val="none"/>
          <w:lang w:val="zh-CN"/>
        </w:rPr>
        <w:t>文件中开标一览表（报价表）内容与</w:t>
      </w:r>
      <w:r>
        <w:rPr>
          <w:rFonts w:hint="eastAsia" w:ascii="宋体" w:hAnsi="宋体" w:cs="宋体"/>
          <w:color w:val="auto"/>
          <w:sz w:val="24"/>
          <w:highlight w:val="none"/>
        </w:rPr>
        <w:t>响应</w:t>
      </w:r>
      <w:r>
        <w:rPr>
          <w:rFonts w:hint="eastAsia" w:ascii="宋体" w:hAnsi="宋体" w:cs="宋体"/>
          <w:color w:val="auto"/>
          <w:sz w:val="24"/>
          <w:highlight w:val="none"/>
          <w:lang w:val="zh-CN"/>
        </w:rPr>
        <w:t>文件中相应内容不一致的，以开标一览表（报价表）为准；</w:t>
      </w:r>
    </w:p>
    <w:p w14:paraId="6117738E">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（2）大写金额和小写金额不一致的，以大写金额为准；</w:t>
      </w:r>
    </w:p>
    <w:p w14:paraId="5B2D5D17">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（3）单价金额小数点或者百分比有明显错位的，以开标一览表（报价表）的总价为准，并修改单价；</w:t>
      </w:r>
    </w:p>
    <w:p w14:paraId="2AF9E2C5">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（4）总价金额与按单价汇总金额不一致的，以单价金额计算结果为准。</w:t>
      </w:r>
    </w:p>
    <w:p w14:paraId="28EA77E9">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同时出现两种以上不一致的，按照前款规定的顺序修正。修正后的报价经</w:t>
      </w:r>
      <w:r>
        <w:rPr>
          <w:rFonts w:hint="eastAsia" w:ascii="宋体" w:hAnsi="宋体" w:cs="宋体"/>
          <w:color w:val="auto"/>
          <w:sz w:val="24"/>
          <w:highlight w:val="none"/>
        </w:rPr>
        <w:t>供应商</w:t>
      </w:r>
      <w:r>
        <w:rPr>
          <w:rFonts w:hint="eastAsia" w:ascii="宋体" w:hAnsi="宋体" w:cs="宋体"/>
          <w:color w:val="auto"/>
          <w:sz w:val="24"/>
          <w:highlight w:val="none"/>
          <w:lang w:val="zh-CN"/>
        </w:rPr>
        <w:t>确认后产生约束力，</w:t>
      </w:r>
      <w:r>
        <w:rPr>
          <w:rFonts w:hint="eastAsia" w:ascii="宋体" w:hAnsi="宋体" w:cs="宋体"/>
          <w:color w:val="auto"/>
          <w:sz w:val="24"/>
          <w:highlight w:val="none"/>
        </w:rPr>
        <w:t>供应商</w:t>
      </w:r>
      <w:r>
        <w:rPr>
          <w:rFonts w:hint="eastAsia" w:ascii="宋体" w:hAnsi="宋体" w:cs="宋体"/>
          <w:color w:val="auto"/>
          <w:sz w:val="24"/>
          <w:highlight w:val="none"/>
          <w:lang w:val="zh-CN"/>
        </w:rPr>
        <w:t>不确认的，其投标无效。</w:t>
      </w:r>
    </w:p>
    <w:p w14:paraId="5BE81BBD">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kern w:val="0"/>
          <w:sz w:val="24"/>
          <w:highlight w:val="none"/>
          <w:lang w:val="zh-CN"/>
        </w:rPr>
        <w:t>.</w:t>
      </w:r>
      <w:r>
        <w:rPr>
          <w:rFonts w:hint="eastAsia" w:ascii="宋体" w:hAnsi="宋体" w:cs="宋体"/>
          <w:color w:val="auto"/>
          <w:sz w:val="24"/>
          <w:highlight w:val="none"/>
        </w:rPr>
        <w:t>正本与副本有矛盾的，以正本为准；</w:t>
      </w:r>
    </w:p>
    <w:p w14:paraId="57DDAA14">
      <w:pPr>
        <w:tabs>
          <w:tab w:val="left" w:pos="6555"/>
          <w:tab w:val="right" w:pos="8306"/>
        </w:tabs>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（三）出现下列情形之一的，作无效响应处理</w:t>
      </w:r>
      <w:r>
        <w:rPr>
          <w:rFonts w:hint="eastAsia" w:ascii="宋体" w:hAnsi="宋体" w:cs="宋体"/>
          <w:b/>
          <w:color w:val="auto"/>
          <w:sz w:val="24"/>
          <w:highlight w:val="none"/>
        </w:rPr>
        <w:tab/>
      </w:r>
      <w:r>
        <w:rPr>
          <w:rFonts w:hint="eastAsia" w:ascii="宋体" w:hAnsi="宋体" w:cs="宋体"/>
          <w:b/>
          <w:color w:val="auto"/>
          <w:sz w:val="24"/>
          <w:highlight w:val="none"/>
        </w:rPr>
        <w:tab/>
      </w:r>
    </w:p>
    <w:p w14:paraId="675B12F1">
      <w:pPr>
        <w:snapToGrid w:val="0"/>
        <w:spacing w:line="360" w:lineRule="auto"/>
        <w:ind w:firstLine="57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kern w:val="0"/>
          <w:sz w:val="24"/>
          <w:highlight w:val="none"/>
          <w:lang w:val="zh-CN"/>
        </w:rPr>
        <w:t>.</w:t>
      </w:r>
      <w:r>
        <w:rPr>
          <w:rFonts w:hint="eastAsia" w:ascii="宋体" w:hAnsi="宋体" w:cs="宋体"/>
          <w:color w:val="auto"/>
          <w:sz w:val="24"/>
          <w:highlight w:val="none"/>
        </w:rPr>
        <w:t>响应文件未按照磋商文件规定要求装订、密封、签署、盖章的；</w:t>
      </w:r>
    </w:p>
    <w:p w14:paraId="29D959D1">
      <w:pPr>
        <w:snapToGrid w:val="0"/>
        <w:spacing w:line="360" w:lineRule="auto"/>
        <w:ind w:firstLine="57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kern w:val="0"/>
          <w:sz w:val="24"/>
          <w:highlight w:val="none"/>
          <w:lang w:val="zh-CN"/>
        </w:rPr>
        <w:t>.</w:t>
      </w:r>
      <w:r>
        <w:rPr>
          <w:rFonts w:hint="eastAsia" w:ascii="宋体" w:hAnsi="宋体" w:cs="宋体"/>
          <w:color w:val="auto"/>
          <w:sz w:val="24"/>
          <w:highlight w:val="none"/>
        </w:rPr>
        <w:t>响应文件不完整的；</w:t>
      </w:r>
    </w:p>
    <w:p w14:paraId="66B3A8AF">
      <w:pPr>
        <w:snapToGrid w:val="0"/>
        <w:spacing w:line="360" w:lineRule="auto"/>
        <w:ind w:firstLine="570"/>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kern w:val="0"/>
          <w:sz w:val="24"/>
          <w:highlight w:val="none"/>
          <w:lang w:val="zh-CN"/>
        </w:rPr>
        <w:t>.</w:t>
      </w:r>
      <w:r>
        <w:rPr>
          <w:rFonts w:hint="eastAsia" w:ascii="宋体" w:hAnsi="宋体" w:cs="宋体"/>
          <w:color w:val="auto"/>
          <w:sz w:val="24"/>
          <w:highlight w:val="none"/>
        </w:rPr>
        <w:t>不具备磋商文件中规定的资格要求的；</w:t>
      </w:r>
    </w:p>
    <w:p w14:paraId="7860FF7C">
      <w:pPr>
        <w:snapToGrid w:val="0"/>
        <w:spacing w:line="360" w:lineRule="auto"/>
        <w:ind w:firstLine="570"/>
        <w:rPr>
          <w:rFonts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kern w:val="0"/>
          <w:sz w:val="24"/>
          <w:highlight w:val="none"/>
          <w:lang w:val="zh-CN"/>
        </w:rPr>
        <w:t>.</w:t>
      </w:r>
      <w:r>
        <w:rPr>
          <w:rFonts w:hint="eastAsia" w:ascii="宋体" w:hAnsi="宋体" w:cs="宋体"/>
          <w:color w:val="auto"/>
          <w:sz w:val="24"/>
          <w:highlight w:val="none"/>
        </w:rPr>
        <w:t>响应报价超出预算（最高投标限价）的；</w:t>
      </w:r>
    </w:p>
    <w:p w14:paraId="11F79B3B">
      <w:pPr>
        <w:snapToGrid w:val="0"/>
        <w:spacing w:line="360" w:lineRule="auto"/>
        <w:ind w:firstLine="570"/>
        <w:rPr>
          <w:rFonts w:ascii="宋体" w:hAnsi="宋体" w:cs="宋体"/>
          <w:color w:val="auto"/>
          <w:sz w:val="24"/>
          <w:highlight w:val="none"/>
        </w:rPr>
      </w:pPr>
      <w:r>
        <w:rPr>
          <w:rFonts w:hint="eastAsia" w:ascii="宋体" w:hAnsi="宋体" w:cs="宋体"/>
          <w:color w:val="auto"/>
          <w:sz w:val="24"/>
          <w:highlight w:val="none"/>
        </w:rPr>
        <w:t>5</w:t>
      </w:r>
      <w:r>
        <w:rPr>
          <w:rFonts w:hint="eastAsia" w:ascii="宋体" w:hAnsi="宋体" w:cs="宋体"/>
          <w:color w:val="auto"/>
          <w:kern w:val="0"/>
          <w:sz w:val="24"/>
          <w:highlight w:val="none"/>
          <w:lang w:val="zh-CN"/>
        </w:rPr>
        <w:t>.</w:t>
      </w:r>
      <w:r>
        <w:rPr>
          <w:rFonts w:hint="eastAsia" w:ascii="宋体" w:hAnsi="宋体" w:cs="宋体"/>
          <w:color w:val="auto"/>
          <w:sz w:val="24"/>
          <w:highlight w:val="none"/>
        </w:rPr>
        <w:t>不符合</w:t>
      </w:r>
      <w:r>
        <w:rPr>
          <w:rFonts w:hint="eastAsia" w:ascii="宋体" w:hAnsi="宋体" w:cs="宋体"/>
          <w:color w:val="auto"/>
          <w:sz w:val="24"/>
          <w:highlight w:val="none"/>
          <w:lang w:eastAsia="zh-CN"/>
        </w:rPr>
        <w:t>法律法规</w:t>
      </w:r>
      <w:r>
        <w:rPr>
          <w:rFonts w:hint="eastAsia" w:ascii="宋体" w:hAnsi="宋体" w:cs="宋体"/>
          <w:color w:val="auto"/>
          <w:sz w:val="24"/>
          <w:highlight w:val="none"/>
        </w:rPr>
        <w:t>和磋商文件中规定的其他实质性要求的；</w:t>
      </w:r>
    </w:p>
    <w:p w14:paraId="0658DA7F">
      <w:pPr>
        <w:snapToGrid w:val="0"/>
        <w:spacing w:line="360" w:lineRule="auto"/>
        <w:ind w:firstLine="570"/>
        <w:rPr>
          <w:rFonts w:hint="eastAsia" w:ascii="宋体" w:hAnsi="宋体" w:cs="宋体"/>
          <w:color w:val="auto"/>
          <w:sz w:val="24"/>
          <w:highlight w:val="none"/>
          <w:lang w:eastAsia="zh-CN"/>
        </w:rPr>
      </w:pPr>
      <w:r>
        <w:rPr>
          <w:rFonts w:hint="eastAsia" w:ascii="宋体" w:hAnsi="宋体" w:cs="宋体"/>
          <w:color w:val="auto"/>
          <w:sz w:val="24"/>
          <w:highlight w:val="none"/>
        </w:rPr>
        <w:t>6.投标</w:t>
      </w:r>
      <w:r>
        <w:rPr>
          <w:rFonts w:hint="eastAsia" w:ascii="宋体" w:hAnsi="宋体" w:cs="宋体"/>
          <w:color w:val="auto"/>
          <w:sz w:val="24"/>
          <w:highlight w:val="none"/>
          <w:lang w:val="en-US" w:eastAsia="zh-CN"/>
        </w:rPr>
        <w:t>供应商</w:t>
      </w:r>
      <w:r>
        <w:rPr>
          <w:rFonts w:hint="eastAsia" w:ascii="宋体" w:hAnsi="宋体" w:cs="宋体"/>
          <w:color w:val="auto"/>
          <w:sz w:val="24"/>
          <w:highlight w:val="none"/>
        </w:rPr>
        <w:t>被“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r>
        <w:rPr>
          <w:rFonts w:hint="eastAsia" w:ascii="宋体" w:hAnsi="宋体" w:cs="宋体"/>
          <w:color w:val="auto"/>
          <w:sz w:val="24"/>
          <w:highlight w:val="none"/>
          <w:lang w:eastAsia="zh-CN"/>
        </w:rPr>
        <w:t>；</w:t>
      </w:r>
    </w:p>
    <w:p w14:paraId="24C31515">
      <w:pPr>
        <w:snapToGrid w:val="0"/>
        <w:spacing w:line="360" w:lineRule="auto"/>
        <w:ind w:firstLine="570"/>
        <w:rPr>
          <w:rFonts w:hint="eastAsia" w:ascii="宋体" w:hAnsi="宋体"/>
          <w:bCs/>
          <w:color w:val="auto"/>
          <w:sz w:val="24"/>
          <w:highlight w:val="none"/>
          <w:lang w:val="en-US" w:eastAsia="zh-CN"/>
        </w:rPr>
      </w:pPr>
      <w:r>
        <w:rPr>
          <w:rFonts w:hint="eastAsia" w:ascii="宋体" w:hAnsi="宋体" w:cs="宋体"/>
          <w:color w:val="auto"/>
          <w:sz w:val="24"/>
          <w:highlight w:val="none"/>
          <w:lang w:val="en-US" w:eastAsia="zh-CN"/>
        </w:rPr>
        <w:t>7.</w:t>
      </w:r>
      <w:r>
        <w:rPr>
          <w:rFonts w:hint="eastAsia" w:ascii="宋体" w:hAnsi="宋体"/>
          <w:bCs/>
          <w:color w:val="auto"/>
          <w:sz w:val="24"/>
          <w:highlight w:val="none"/>
          <w:lang w:val="en-US" w:eastAsia="zh-CN"/>
        </w:rPr>
        <w:t>磋商小组</w:t>
      </w:r>
      <w:r>
        <w:rPr>
          <w:rFonts w:hint="eastAsia" w:ascii="宋体" w:hAnsi="宋体"/>
          <w:bCs/>
          <w:color w:val="auto"/>
          <w:sz w:val="24"/>
          <w:highlight w:val="none"/>
        </w:rPr>
        <w:t>认为投标</w:t>
      </w:r>
      <w:r>
        <w:rPr>
          <w:rFonts w:hint="eastAsia" w:ascii="宋体" w:hAnsi="宋体"/>
          <w:bCs/>
          <w:color w:val="auto"/>
          <w:sz w:val="24"/>
          <w:highlight w:val="none"/>
          <w:lang w:val="en-US" w:eastAsia="zh-CN"/>
        </w:rPr>
        <w:t>供应商</w:t>
      </w:r>
      <w:r>
        <w:rPr>
          <w:rFonts w:hint="eastAsia" w:ascii="宋体" w:hAnsi="宋体"/>
          <w:bCs/>
          <w:color w:val="auto"/>
          <w:sz w:val="24"/>
          <w:highlight w:val="none"/>
        </w:rPr>
        <w:t>的报价明显低于其他通过符合性审查投标</w:t>
      </w:r>
      <w:r>
        <w:rPr>
          <w:rFonts w:hint="eastAsia" w:ascii="宋体" w:hAnsi="宋体"/>
          <w:bCs/>
          <w:color w:val="auto"/>
          <w:sz w:val="24"/>
          <w:highlight w:val="none"/>
          <w:lang w:val="en-US" w:eastAsia="zh-CN"/>
        </w:rPr>
        <w:t>供应商</w:t>
      </w:r>
      <w:r>
        <w:rPr>
          <w:rFonts w:hint="eastAsia" w:ascii="宋体" w:hAnsi="宋体"/>
          <w:bCs/>
          <w:color w:val="auto"/>
          <w:sz w:val="24"/>
          <w:highlight w:val="none"/>
        </w:rPr>
        <w:t>的报价，</w:t>
      </w:r>
      <w:r>
        <w:rPr>
          <w:rFonts w:hint="eastAsia" w:ascii="宋体" w:hAnsi="宋体"/>
          <w:bCs/>
          <w:color w:val="auto"/>
          <w:sz w:val="24"/>
          <w:highlight w:val="none"/>
          <w:lang w:val="en-US" w:eastAsia="zh-CN"/>
        </w:rPr>
        <w:t>有可能影响产品质量或者不能诚信履约的其他情形。磋商小组将启动异常低价投标（响应）审查程序。磋商小组要求相关供应商在评标现场合理的时间内，提供项目具体成本测算等与报价合理性相关的书面说明及相关证明材料，对投标（响应）价格作出解释，由磋商小组结合同类产品在主要电商平台的价格、该</w:t>
      </w:r>
      <w:r>
        <w:rPr>
          <w:rFonts w:hint="eastAsia" w:ascii="宋体" w:hAnsi="宋体"/>
          <w:bCs/>
          <w:color w:val="auto"/>
          <w:sz w:val="24"/>
          <w:highlight w:val="none"/>
        </w:rPr>
        <w:t>行业当地薪资水平等情况，依据专业经验对供应商报价合理性进行判断。投标（响应）供应商不提供书面说明、证明材料，或者提供的书面说明、证明材料不能证明其报价合理性的，</w:t>
      </w:r>
      <w:r>
        <w:rPr>
          <w:rFonts w:hint="eastAsia" w:ascii="宋体" w:hAnsi="宋体"/>
          <w:bCs/>
          <w:color w:val="auto"/>
          <w:sz w:val="24"/>
          <w:highlight w:val="none"/>
          <w:lang w:val="en-US" w:eastAsia="zh-CN"/>
        </w:rPr>
        <w:t>磋商小组</w:t>
      </w:r>
      <w:r>
        <w:rPr>
          <w:rFonts w:hint="eastAsia" w:ascii="宋体" w:hAnsi="宋体"/>
          <w:bCs/>
          <w:color w:val="auto"/>
          <w:sz w:val="24"/>
          <w:highlight w:val="none"/>
        </w:rPr>
        <w:t>应当将其作为无效投标（响应）处理。</w:t>
      </w:r>
    </w:p>
    <w:p w14:paraId="0C1082D4">
      <w:pPr>
        <w:snapToGrid w:val="0"/>
        <w:spacing w:line="360" w:lineRule="auto"/>
        <w:ind w:firstLine="570"/>
        <w:rPr>
          <w:rFonts w:ascii="宋体" w:hAnsi="宋体" w:cs="宋体"/>
          <w:b/>
          <w:color w:val="auto"/>
          <w:sz w:val="24"/>
          <w:highlight w:val="none"/>
        </w:rPr>
      </w:pPr>
      <w:r>
        <w:rPr>
          <w:rFonts w:hint="eastAsia" w:ascii="宋体" w:hAnsi="宋体" w:cs="宋体"/>
          <w:b/>
          <w:color w:val="auto"/>
          <w:sz w:val="24"/>
          <w:highlight w:val="none"/>
        </w:rPr>
        <w:t>（四）出现下列情形之一的，磋商失败</w:t>
      </w:r>
    </w:p>
    <w:p w14:paraId="086838B9">
      <w:pPr>
        <w:snapToGrid w:val="0"/>
        <w:spacing w:line="360" w:lineRule="auto"/>
        <w:ind w:firstLine="555"/>
        <w:rPr>
          <w:rFonts w:ascii="宋体" w:hAnsi="宋体" w:cs="宋体"/>
          <w:color w:val="auto"/>
          <w:sz w:val="24"/>
          <w:highlight w:val="none"/>
        </w:rPr>
      </w:pPr>
      <w:r>
        <w:rPr>
          <w:rFonts w:hint="eastAsia" w:ascii="宋体" w:hAnsi="宋体" w:cs="宋体"/>
          <w:color w:val="auto"/>
          <w:sz w:val="24"/>
          <w:highlight w:val="none"/>
        </w:rPr>
        <w:t>1.符合条件的供应商或者对磋商文件作实质响应的供应商不足3家的（市场竞争不充分的科研项目，以及需要扶持的科技成果转化项目可以是2家）；</w:t>
      </w:r>
    </w:p>
    <w:p w14:paraId="2354DBC4">
      <w:pPr>
        <w:snapToGrid w:val="0"/>
        <w:spacing w:line="360" w:lineRule="auto"/>
        <w:ind w:firstLine="555"/>
        <w:rPr>
          <w:rFonts w:ascii="宋体" w:hAnsi="宋体" w:cs="宋体"/>
          <w:color w:val="auto"/>
          <w:sz w:val="24"/>
          <w:highlight w:val="none"/>
        </w:rPr>
      </w:pPr>
      <w:r>
        <w:rPr>
          <w:rFonts w:hint="eastAsia" w:ascii="宋体" w:hAnsi="宋体" w:cs="宋体"/>
          <w:color w:val="auto"/>
          <w:sz w:val="24"/>
          <w:highlight w:val="none"/>
        </w:rPr>
        <w:t>2.出现影响采购公正的违法违规行为的；</w:t>
      </w:r>
    </w:p>
    <w:p w14:paraId="4CDFD32D">
      <w:pPr>
        <w:snapToGrid w:val="0"/>
        <w:spacing w:line="360" w:lineRule="auto"/>
        <w:ind w:firstLine="555"/>
        <w:rPr>
          <w:rFonts w:ascii="宋体" w:hAnsi="宋体" w:cs="宋体"/>
          <w:color w:val="auto"/>
          <w:sz w:val="24"/>
          <w:highlight w:val="none"/>
        </w:rPr>
      </w:pPr>
      <w:r>
        <w:rPr>
          <w:rFonts w:hint="eastAsia" w:ascii="宋体" w:hAnsi="宋体" w:cs="宋体"/>
          <w:color w:val="auto"/>
          <w:sz w:val="24"/>
          <w:highlight w:val="none"/>
        </w:rPr>
        <w:t>3.供应商的最后报价均超过了采购预算，采购人不能支付的；</w:t>
      </w:r>
    </w:p>
    <w:p w14:paraId="46009BC5">
      <w:pPr>
        <w:snapToGrid w:val="0"/>
        <w:spacing w:line="360" w:lineRule="auto"/>
        <w:ind w:firstLine="555"/>
        <w:rPr>
          <w:rFonts w:ascii="宋体" w:hAnsi="宋体" w:cs="宋体"/>
          <w:color w:val="auto"/>
          <w:sz w:val="24"/>
          <w:highlight w:val="none"/>
        </w:rPr>
      </w:pPr>
      <w:r>
        <w:rPr>
          <w:rFonts w:hint="eastAsia" w:ascii="宋体" w:hAnsi="宋体" w:cs="宋体"/>
          <w:color w:val="auto"/>
          <w:sz w:val="24"/>
          <w:highlight w:val="none"/>
        </w:rPr>
        <w:t>4.因重大变故，采购任务取消的。</w:t>
      </w:r>
    </w:p>
    <w:p w14:paraId="79D0D95C">
      <w:pPr>
        <w:snapToGrid w:val="0"/>
        <w:spacing w:line="360" w:lineRule="auto"/>
        <w:ind w:firstLine="555"/>
        <w:rPr>
          <w:rFonts w:ascii="宋体" w:hAnsi="宋体" w:cs="宋体"/>
          <w:color w:val="auto"/>
          <w:sz w:val="24"/>
          <w:highlight w:val="none"/>
        </w:rPr>
      </w:pPr>
      <w:r>
        <w:rPr>
          <w:rFonts w:hint="eastAsia" w:ascii="宋体" w:hAnsi="宋体" w:cs="宋体"/>
          <w:color w:val="auto"/>
          <w:sz w:val="24"/>
          <w:highlight w:val="none"/>
        </w:rPr>
        <w:t>除资格性检查认定错误、分值汇总计算错误、分项评分超出评分标准范围、客观分评分不一致、经磋商小组一致认定评分畸高、畸低的情形外，采购人、采购代理机构不以任何理由组织重新评审。采购人、采购代理机构发现磋商小组未按照磋商文件规定的评审标准进行评审的，重新开展采购活动，并同时书面报告主管部门。</w:t>
      </w:r>
    </w:p>
    <w:p w14:paraId="1B705092">
      <w:pPr>
        <w:snapToGrid w:val="0"/>
        <w:spacing w:line="360" w:lineRule="auto"/>
        <w:ind w:firstLine="555"/>
        <w:rPr>
          <w:rFonts w:ascii="宋体" w:hAnsi="宋体" w:cs="宋体"/>
          <w:b/>
          <w:bCs/>
          <w:color w:val="auto"/>
          <w:sz w:val="24"/>
          <w:highlight w:val="none"/>
        </w:rPr>
      </w:pPr>
      <w:r>
        <w:rPr>
          <w:rFonts w:hint="eastAsia" w:ascii="宋体" w:hAnsi="宋体" w:cs="宋体"/>
          <w:b/>
          <w:bCs/>
          <w:color w:val="auto"/>
          <w:sz w:val="24"/>
          <w:highlight w:val="none"/>
        </w:rPr>
        <w:t xml:space="preserve">（五）本次项目磋商的商务技术响应文件和报价响应文件评审总分值为100分。两部分评审因素比重如下： </w:t>
      </w:r>
    </w:p>
    <w:p w14:paraId="4B00AEDF">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商务技术</w:t>
      </w:r>
      <w:r>
        <w:rPr>
          <w:rFonts w:hint="eastAsia" w:ascii="宋体" w:hAnsi="宋体" w:cs="宋体"/>
          <w:color w:val="auto"/>
          <w:kern w:val="0"/>
          <w:sz w:val="24"/>
          <w:highlight w:val="none"/>
        </w:rPr>
        <w:t>响应文件</w:t>
      </w:r>
      <w:r>
        <w:rPr>
          <w:rFonts w:hint="eastAsia" w:ascii="宋体" w:hAnsi="宋体" w:cs="宋体"/>
          <w:color w:val="auto"/>
          <w:sz w:val="24"/>
          <w:highlight w:val="none"/>
        </w:rPr>
        <w:t>分值占总分值的比重为</w:t>
      </w:r>
      <w:r>
        <w:rPr>
          <w:rFonts w:hint="eastAsia" w:ascii="宋体" w:hAnsi="宋体" w:cs="宋体"/>
          <w:b/>
          <w:color w:val="auto"/>
          <w:sz w:val="24"/>
          <w:highlight w:val="none"/>
          <w:u w:val="single"/>
        </w:rPr>
        <w:t>90%（权重）</w:t>
      </w:r>
      <w:r>
        <w:rPr>
          <w:rFonts w:hint="eastAsia" w:ascii="宋体" w:hAnsi="宋体" w:cs="宋体"/>
          <w:color w:val="auto"/>
          <w:sz w:val="24"/>
          <w:highlight w:val="none"/>
        </w:rPr>
        <w:t>（四舍五入保留两位小数）；</w:t>
      </w:r>
    </w:p>
    <w:p w14:paraId="697DEBC9">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报价</w:t>
      </w:r>
      <w:r>
        <w:rPr>
          <w:rFonts w:hint="eastAsia" w:ascii="宋体" w:hAnsi="宋体" w:cs="宋体"/>
          <w:color w:val="auto"/>
          <w:kern w:val="0"/>
          <w:sz w:val="24"/>
          <w:highlight w:val="none"/>
        </w:rPr>
        <w:t>响应文件</w:t>
      </w:r>
      <w:r>
        <w:rPr>
          <w:rFonts w:hint="eastAsia" w:ascii="宋体" w:hAnsi="宋体" w:cs="宋体"/>
          <w:color w:val="auto"/>
          <w:sz w:val="24"/>
          <w:highlight w:val="none"/>
        </w:rPr>
        <w:t>分值占总分值的比重为</w:t>
      </w:r>
      <w:r>
        <w:rPr>
          <w:rFonts w:hint="eastAsia" w:ascii="宋体" w:hAnsi="宋体" w:cs="宋体"/>
          <w:b/>
          <w:color w:val="auto"/>
          <w:sz w:val="24"/>
          <w:highlight w:val="none"/>
          <w:u w:val="single"/>
        </w:rPr>
        <w:t>10%（权重）</w:t>
      </w:r>
      <w:r>
        <w:rPr>
          <w:rFonts w:hint="eastAsia" w:ascii="宋体" w:hAnsi="宋体" w:cs="宋体"/>
          <w:color w:val="auto"/>
          <w:sz w:val="24"/>
          <w:highlight w:val="none"/>
        </w:rPr>
        <w:t>（四舍五入保留两位小数）。</w:t>
      </w:r>
    </w:p>
    <w:p w14:paraId="519E15A2">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商务技术响应文件分值为所有磋商小组成员打分的算术平均值，计算结果均四舍五入保留两位小数。 </w:t>
      </w:r>
    </w:p>
    <w:p w14:paraId="5DF86791">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报价响应文件分值统一采用低价优先法计算直接取得，与商务技术响应文件分值相加为供应商的综合得分（四舍五入保留两位小数）。</w:t>
      </w:r>
    </w:p>
    <w:p w14:paraId="41D13937">
      <w:p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（六）磋商小组推荐综合得分最高的供应商为项目预成交供应商，并出具评审磋商报告。</w:t>
      </w:r>
    </w:p>
    <w:p w14:paraId="190FEA45">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如成交供应商拒绝与采购人签订合同的，采购人可以按照评审报告推荐的成交候选人名单排序，确定下一候选人为成交供应商，也可以重新开展采购活动。</w:t>
      </w:r>
    </w:p>
    <w:p w14:paraId="73394C60">
      <w:p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（七）确定成交候选人的特殊情况处理：</w:t>
      </w:r>
    </w:p>
    <w:p w14:paraId="0E56D0EE">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1.若总分相同，则按最终报价得分高者优先。</w:t>
      </w:r>
    </w:p>
    <w:p w14:paraId="63EB010E">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2.若总分且最终报价得分均相同的，则采取评委票决的方式确定。</w:t>
      </w:r>
    </w:p>
    <w:p w14:paraId="369EE5AA">
      <w:pPr>
        <w:snapToGrid w:val="0"/>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w:t>
      </w:r>
      <w:r>
        <w:rPr>
          <w:rFonts w:hint="eastAsia" w:ascii="宋体" w:hAnsi="宋体" w:cs="宋体"/>
          <w:b/>
          <w:color w:val="auto"/>
          <w:sz w:val="24"/>
          <w:highlight w:val="none"/>
        </w:rPr>
        <w:t>八）磋商评审时，磋商小组成员对评审的细则若有争议，由磋商小组集体讨论确定，并对未尽情况有最终解释权。</w:t>
      </w:r>
    </w:p>
    <w:p w14:paraId="321DBF4C">
      <w:p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（九）对落标的供应商不做落标原因的解释。</w:t>
      </w:r>
    </w:p>
    <w:p w14:paraId="131EC3C5">
      <w:pPr>
        <w:snapToGrid w:val="0"/>
        <w:spacing w:line="360" w:lineRule="auto"/>
        <w:ind w:left="568"/>
        <w:rPr>
          <w:rFonts w:ascii="宋体" w:hAnsi="宋体" w:cs="宋体"/>
          <w:b/>
          <w:color w:val="auto"/>
          <w:sz w:val="24"/>
          <w:highlight w:val="none"/>
          <w:lang w:val="zh-CN"/>
        </w:rPr>
      </w:pPr>
      <w:r>
        <w:rPr>
          <w:rFonts w:hint="eastAsia" w:ascii="宋体" w:hAnsi="宋体" w:cs="宋体"/>
          <w:b/>
          <w:color w:val="auto"/>
          <w:sz w:val="24"/>
          <w:highlight w:val="none"/>
          <w:lang w:val="zh-CN"/>
        </w:rPr>
        <w:t>六、评审标准</w:t>
      </w:r>
    </w:p>
    <w:p w14:paraId="46A9637F">
      <w:pPr>
        <w:snapToGrid w:val="0"/>
        <w:spacing w:line="360" w:lineRule="auto"/>
        <w:ind w:left="568"/>
        <w:rPr>
          <w:rFonts w:ascii="宋体" w:hAnsi="宋体" w:cs="宋体"/>
          <w:b/>
          <w:color w:val="auto"/>
          <w:sz w:val="24"/>
          <w:highlight w:val="none"/>
        </w:rPr>
      </w:pPr>
      <w:r>
        <w:rPr>
          <w:rFonts w:hint="eastAsia" w:ascii="宋体" w:hAnsi="宋体" w:cs="宋体"/>
          <w:b/>
          <w:color w:val="auto"/>
          <w:sz w:val="24"/>
          <w:highlight w:val="none"/>
        </w:rPr>
        <w:t>（一）</w:t>
      </w:r>
      <w:r>
        <w:rPr>
          <w:rFonts w:hint="eastAsia" w:ascii="宋体" w:hAnsi="宋体" w:cs="宋体"/>
          <w:b/>
          <w:color w:val="auto"/>
          <w:sz w:val="24"/>
          <w:highlight w:val="none"/>
          <w:lang w:val="zh-CN"/>
        </w:rPr>
        <w:t>商务技术分（</w:t>
      </w:r>
      <w:r>
        <w:rPr>
          <w:rFonts w:hint="eastAsia" w:ascii="宋体" w:hAnsi="宋体" w:cs="宋体"/>
          <w:b/>
          <w:color w:val="auto"/>
          <w:sz w:val="24"/>
          <w:highlight w:val="none"/>
        </w:rPr>
        <w:t>9</w:t>
      </w:r>
      <w:r>
        <w:rPr>
          <w:rFonts w:hint="eastAsia" w:ascii="宋体" w:hAnsi="宋体" w:cs="宋体"/>
          <w:b/>
          <w:color w:val="auto"/>
          <w:sz w:val="24"/>
          <w:highlight w:val="none"/>
          <w:lang w:val="zh-CN"/>
        </w:rPr>
        <w:t>0分）</w:t>
      </w:r>
    </w:p>
    <w:p w14:paraId="066016E5">
      <w:pPr>
        <w:snapToGrid w:val="0"/>
        <w:spacing w:line="360" w:lineRule="auto"/>
        <w:ind w:firstLine="480"/>
        <w:contextualSpacing/>
        <w:jc w:val="left"/>
        <w:rPr>
          <w:rFonts w:hint="eastAsia" w:ascii="宋体" w:hAnsi="宋体" w:cs="宋体"/>
          <w:color w:val="auto"/>
          <w:sz w:val="24"/>
          <w:highlight w:val="none"/>
        </w:rPr>
      </w:pPr>
      <w:r>
        <w:rPr>
          <w:rFonts w:hint="eastAsia" w:ascii="宋体" w:hAnsi="宋体" w:cs="宋体"/>
          <w:color w:val="auto"/>
          <w:sz w:val="24"/>
          <w:highlight w:val="none"/>
        </w:rPr>
        <w:t>供应商得分为磋商小组成员评分的算术平均分</w:t>
      </w:r>
      <w:r>
        <w:rPr>
          <w:rFonts w:hint="eastAsia" w:ascii="宋体" w:hAnsi="宋体" w:cs="宋体"/>
          <w:color w:val="auto"/>
          <w:sz w:val="24"/>
          <w:highlight w:val="none"/>
          <w:lang w:eastAsia="zh-CN"/>
        </w:rPr>
        <w:t>，</w:t>
      </w:r>
      <w:r>
        <w:rPr>
          <w:rFonts w:hint="eastAsia" w:ascii="宋体" w:hAnsi="宋体" w:cs="宋体"/>
          <w:color w:val="auto"/>
          <w:sz w:val="24"/>
          <w:highlight w:val="none"/>
        </w:rPr>
        <w:t>分值四舍五入保留小数点后两位。</w:t>
      </w:r>
    </w:p>
    <w:tbl>
      <w:tblPr>
        <w:tblStyle w:val="18"/>
        <w:tblW w:w="5001" w:type="pct"/>
        <w:tblInd w:w="0" w:type="dxa"/>
        <w:tblLayout w:type="autofit"/>
        <w:tblCellMar>
          <w:top w:w="0" w:type="dxa"/>
          <w:left w:w="108" w:type="dxa"/>
          <w:bottom w:w="0" w:type="dxa"/>
          <w:right w:w="108" w:type="dxa"/>
        </w:tblCellMar>
      </w:tblPr>
      <w:tblGrid>
        <w:gridCol w:w="761"/>
        <w:gridCol w:w="1364"/>
        <w:gridCol w:w="4846"/>
        <w:gridCol w:w="764"/>
        <w:gridCol w:w="764"/>
        <w:gridCol w:w="766"/>
      </w:tblGrid>
      <w:tr w14:paraId="41915B40">
        <w:tblPrEx>
          <w:tblCellMar>
            <w:top w:w="0" w:type="dxa"/>
            <w:left w:w="108" w:type="dxa"/>
            <w:bottom w:w="0" w:type="dxa"/>
            <w:right w:w="108" w:type="dxa"/>
          </w:tblCellMar>
        </w:tblPrEx>
        <w:trPr>
          <w:trHeight w:val="270" w:hRule="atLeast"/>
        </w:trPr>
        <w:tc>
          <w:tcPr>
            <w:tcW w:w="411" w:type="pct"/>
            <w:tcBorders>
              <w:top w:val="single" w:color="auto" w:sz="4" w:space="0"/>
              <w:left w:val="single" w:color="auto" w:sz="4" w:space="0"/>
              <w:bottom w:val="single" w:color="auto" w:sz="4" w:space="0"/>
              <w:right w:val="single" w:color="auto" w:sz="4" w:space="0"/>
            </w:tcBorders>
            <w:noWrap w:val="0"/>
            <w:vAlign w:val="center"/>
          </w:tcPr>
          <w:p w14:paraId="78FBD8E1">
            <w:pPr>
              <w:widowControl/>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序号</w:t>
            </w:r>
          </w:p>
        </w:tc>
        <w:tc>
          <w:tcPr>
            <w:tcW w:w="736" w:type="pct"/>
            <w:tcBorders>
              <w:top w:val="single" w:color="auto" w:sz="4" w:space="0"/>
              <w:left w:val="nil"/>
              <w:bottom w:val="single" w:color="auto" w:sz="4" w:space="0"/>
              <w:right w:val="single" w:color="auto" w:sz="4" w:space="0"/>
            </w:tcBorders>
            <w:noWrap w:val="0"/>
            <w:vAlign w:val="center"/>
          </w:tcPr>
          <w:p w14:paraId="3D5AC25C">
            <w:pPr>
              <w:widowControl/>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评分内容</w:t>
            </w:r>
          </w:p>
        </w:tc>
        <w:tc>
          <w:tcPr>
            <w:tcW w:w="2614" w:type="pct"/>
            <w:tcBorders>
              <w:top w:val="single" w:color="auto" w:sz="4" w:space="0"/>
              <w:left w:val="nil"/>
              <w:bottom w:val="single" w:color="auto" w:sz="4" w:space="0"/>
              <w:right w:val="single" w:color="auto" w:sz="4" w:space="0"/>
            </w:tcBorders>
            <w:noWrap w:val="0"/>
            <w:vAlign w:val="center"/>
          </w:tcPr>
          <w:p w14:paraId="5BD8E2C5">
            <w:pPr>
              <w:widowControl/>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评分标准</w:t>
            </w:r>
          </w:p>
        </w:tc>
        <w:tc>
          <w:tcPr>
            <w:tcW w:w="412" w:type="pct"/>
            <w:tcBorders>
              <w:top w:val="single" w:color="auto" w:sz="4" w:space="0"/>
              <w:left w:val="nil"/>
              <w:bottom w:val="single" w:color="auto" w:sz="4" w:space="0"/>
              <w:right w:val="single" w:color="auto" w:sz="4" w:space="0"/>
            </w:tcBorders>
            <w:noWrap w:val="0"/>
            <w:vAlign w:val="center"/>
          </w:tcPr>
          <w:p w14:paraId="1A2095AD">
            <w:pPr>
              <w:widowControl/>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最高分</w:t>
            </w:r>
          </w:p>
        </w:tc>
        <w:tc>
          <w:tcPr>
            <w:tcW w:w="412" w:type="pct"/>
            <w:tcBorders>
              <w:top w:val="single" w:color="auto" w:sz="4" w:space="0"/>
              <w:left w:val="nil"/>
              <w:bottom w:val="single" w:color="auto" w:sz="4" w:space="0"/>
              <w:right w:val="single" w:color="auto" w:sz="4" w:space="0"/>
            </w:tcBorders>
            <w:noWrap w:val="0"/>
            <w:vAlign w:val="center"/>
          </w:tcPr>
          <w:p w14:paraId="35C740BE">
            <w:pPr>
              <w:widowControl/>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最低分</w:t>
            </w:r>
          </w:p>
        </w:tc>
        <w:tc>
          <w:tcPr>
            <w:tcW w:w="413" w:type="pct"/>
            <w:tcBorders>
              <w:top w:val="single" w:color="auto" w:sz="4" w:space="0"/>
              <w:left w:val="nil"/>
              <w:bottom w:val="single" w:color="auto" w:sz="4" w:space="0"/>
              <w:right w:val="single" w:color="auto" w:sz="4" w:space="0"/>
            </w:tcBorders>
            <w:noWrap w:val="0"/>
            <w:vAlign w:val="center"/>
          </w:tcPr>
          <w:p w14:paraId="536A2134">
            <w:pPr>
              <w:widowControl/>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主/客观</w:t>
            </w:r>
          </w:p>
        </w:tc>
      </w:tr>
      <w:tr w14:paraId="73C5F351">
        <w:tblPrEx>
          <w:tblCellMar>
            <w:top w:w="0" w:type="dxa"/>
            <w:left w:w="108" w:type="dxa"/>
            <w:bottom w:w="0" w:type="dxa"/>
            <w:right w:w="108" w:type="dxa"/>
          </w:tblCellMar>
        </w:tblPrEx>
        <w:trPr>
          <w:trHeight w:val="1560" w:hRule="atLeast"/>
        </w:trPr>
        <w:tc>
          <w:tcPr>
            <w:tcW w:w="411" w:type="pct"/>
            <w:tcBorders>
              <w:left w:val="single" w:color="auto" w:sz="4" w:space="0"/>
              <w:bottom w:val="single" w:color="auto" w:sz="4" w:space="0"/>
              <w:right w:val="single" w:color="auto" w:sz="4" w:space="0"/>
            </w:tcBorders>
            <w:noWrap w:val="0"/>
            <w:vAlign w:val="center"/>
          </w:tcPr>
          <w:p w14:paraId="036F1AB8">
            <w:pPr>
              <w:widowControl/>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736" w:type="pct"/>
            <w:tcBorders>
              <w:left w:val="nil"/>
              <w:bottom w:val="single" w:color="auto" w:sz="4" w:space="0"/>
              <w:right w:val="single" w:color="auto" w:sz="4" w:space="0"/>
            </w:tcBorders>
            <w:noWrap w:val="0"/>
            <w:vAlign w:val="center"/>
          </w:tcPr>
          <w:p w14:paraId="2CA3C41D">
            <w:pPr>
              <w:widowControl/>
              <w:jc w:val="center"/>
              <w:rPr>
                <w:rFonts w:hint="eastAsia" w:ascii="宋体" w:hAnsi="宋体" w:cs="宋体"/>
                <w:color w:val="auto"/>
                <w:kern w:val="0"/>
                <w:sz w:val="24"/>
                <w:szCs w:val="24"/>
                <w:highlight w:val="none"/>
              </w:rPr>
            </w:pPr>
            <w:r>
              <w:rPr>
                <w:rFonts w:hint="eastAsia" w:ascii="宋体" w:hAnsi="宋体" w:cs="宋体"/>
                <w:color w:val="auto"/>
                <w:sz w:val="22"/>
                <w:szCs w:val="24"/>
                <w:highlight w:val="none"/>
              </w:rPr>
              <w:t>检</w:t>
            </w:r>
            <w:r>
              <w:rPr>
                <w:rFonts w:hint="eastAsia" w:ascii="宋体" w:hAnsi="宋体" w:cs="宋体"/>
                <w:color w:val="auto"/>
                <w:sz w:val="22"/>
                <w:szCs w:val="24"/>
                <w:highlight w:val="none"/>
                <w:lang w:val="en-US" w:eastAsia="zh-CN"/>
              </w:rPr>
              <w:t>查</w:t>
            </w:r>
            <w:r>
              <w:rPr>
                <w:rFonts w:hint="eastAsia" w:ascii="宋体" w:hAnsi="宋体" w:cs="宋体"/>
                <w:color w:val="auto"/>
                <w:sz w:val="22"/>
                <w:szCs w:val="24"/>
                <w:highlight w:val="none"/>
              </w:rPr>
              <w:t>工作大纲</w:t>
            </w:r>
          </w:p>
        </w:tc>
        <w:tc>
          <w:tcPr>
            <w:tcW w:w="2614" w:type="pct"/>
            <w:tcBorders>
              <w:top w:val="nil"/>
              <w:left w:val="nil"/>
              <w:bottom w:val="single" w:color="auto" w:sz="4" w:space="0"/>
              <w:right w:val="single" w:color="auto" w:sz="4" w:space="0"/>
            </w:tcBorders>
            <w:noWrap w:val="0"/>
            <w:vAlign w:val="center"/>
          </w:tcPr>
          <w:p w14:paraId="1D78A6CB">
            <w:pPr>
              <w:widowControl/>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根据投标供应商提供的</w:t>
            </w:r>
            <w:r>
              <w:rPr>
                <w:rFonts w:hint="eastAsia" w:ascii="宋体" w:hAnsi="宋体" w:cs="宋体"/>
                <w:color w:val="auto"/>
                <w:kern w:val="0"/>
                <w:sz w:val="24"/>
                <w:szCs w:val="24"/>
                <w:highlight w:val="none"/>
                <w:lang w:eastAsia="zh-CN"/>
              </w:rPr>
              <w:t>检查</w:t>
            </w:r>
            <w:r>
              <w:rPr>
                <w:rFonts w:hint="eastAsia" w:ascii="宋体" w:hAnsi="宋体" w:cs="宋体"/>
                <w:color w:val="auto"/>
                <w:kern w:val="0"/>
                <w:sz w:val="24"/>
                <w:szCs w:val="24"/>
                <w:highlight w:val="none"/>
              </w:rPr>
              <w:t>工作大纲评分。</w:t>
            </w:r>
          </w:p>
          <w:p w14:paraId="4C179465">
            <w:pPr>
              <w:widowControl/>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1、针对该项目的桥梁</w:t>
            </w:r>
            <w:r>
              <w:rPr>
                <w:rFonts w:hint="eastAsia" w:ascii="宋体" w:hAnsi="宋体" w:cs="宋体"/>
                <w:color w:val="auto"/>
                <w:kern w:val="0"/>
                <w:sz w:val="24"/>
                <w:szCs w:val="24"/>
                <w:highlight w:val="none"/>
                <w:lang w:eastAsia="zh-CN"/>
              </w:rPr>
              <w:t>检查</w:t>
            </w:r>
            <w:r>
              <w:rPr>
                <w:rFonts w:hint="eastAsia" w:ascii="宋体" w:hAnsi="宋体" w:cs="宋体"/>
                <w:color w:val="auto"/>
                <w:kern w:val="0"/>
                <w:sz w:val="24"/>
                <w:szCs w:val="24"/>
                <w:highlight w:val="none"/>
              </w:rPr>
              <w:t>服务要求，供应商须提供符合本项目的进度计划方案，内容至少包括：①项目桥梁明细表、技术要求；②</w:t>
            </w:r>
            <w:r>
              <w:rPr>
                <w:rFonts w:ascii="Times New Roman" w:hAnsi="Times New Roman" w:cs="Times New Roman"/>
                <w:color w:val="auto"/>
                <w:sz w:val="24"/>
                <w:highlight w:val="none"/>
              </w:rPr>
              <w:t>时间进度节点；</w:t>
            </w:r>
            <w:r>
              <w:rPr>
                <w:rFonts w:hint="eastAsia" w:ascii="宋体" w:hAnsi="宋体" w:cs="宋体"/>
                <w:color w:val="auto"/>
                <w:kern w:val="0"/>
                <w:sz w:val="24"/>
                <w:szCs w:val="24"/>
                <w:highlight w:val="none"/>
              </w:rPr>
              <w:t>③</w:t>
            </w:r>
            <w:r>
              <w:rPr>
                <w:rFonts w:ascii="Times New Roman" w:hAnsi="Times New Roman" w:cs="Times New Roman"/>
                <w:color w:val="auto"/>
                <w:sz w:val="24"/>
                <w:highlight w:val="none"/>
              </w:rPr>
              <w:t>阶段性节点的实施内容</w:t>
            </w:r>
            <w:r>
              <w:rPr>
                <w:rFonts w:hint="eastAsia" w:ascii="宋体" w:hAnsi="宋体" w:cs="宋体"/>
                <w:color w:val="auto"/>
                <w:kern w:val="0"/>
                <w:sz w:val="24"/>
                <w:szCs w:val="24"/>
                <w:highlight w:val="none"/>
              </w:rPr>
              <w:t>。</w:t>
            </w:r>
          </w:p>
          <w:p w14:paraId="0B01ED62">
            <w:pPr>
              <w:widowControl/>
              <w:jc w:val="left"/>
              <w:rPr>
                <w:rFonts w:ascii="Times New Roman" w:hAnsi="Times New Roman" w:cs="Times New Roman"/>
                <w:color w:val="auto"/>
                <w:sz w:val="24"/>
                <w:highlight w:val="none"/>
              </w:rPr>
            </w:pPr>
            <w:r>
              <w:rPr>
                <w:rFonts w:ascii="Times New Roman" w:hAnsi="Times New Roman" w:cs="Times New Roman"/>
                <w:color w:val="auto"/>
                <w:sz w:val="24"/>
                <w:highlight w:val="none"/>
              </w:rPr>
              <w:t>（1）按上述①②</w:t>
            </w:r>
            <w:r>
              <w:rPr>
                <w:rFonts w:hint="eastAsia" w:ascii="宋体" w:hAnsi="宋体" w:cs="宋体"/>
                <w:color w:val="auto"/>
                <w:kern w:val="0"/>
                <w:sz w:val="24"/>
                <w:szCs w:val="24"/>
                <w:highlight w:val="none"/>
              </w:rPr>
              <w:t>③</w:t>
            </w:r>
            <w:r>
              <w:rPr>
                <w:rFonts w:ascii="Times New Roman" w:hAnsi="Times New Roman" w:cs="Times New Roman"/>
                <w:color w:val="auto"/>
                <w:sz w:val="24"/>
                <w:highlight w:val="none"/>
              </w:rPr>
              <w:t>项提供</w:t>
            </w:r>
            <w:r>
              <w:rPr>
                <w:rFonts w:hint="eastAsia" w:ascii="宋体" w:hAnsi="宋体" w:cs="宋体"/>
                <w:color w:val="auto"/>
                <w:kern w:val="0"/>
                <w:sz w:val="24"/>
                <w:szCs w:val="24"/>
                <w:highlight w:val="none"/>
              </w:rPr>
              <w:t>进度计划方案</w:t>
            </w:r>
            <w:r>
              <w:rPr>
                <w:rFonts w:ascii="Times New Roman" w:hAnsi="Times New Roman" w:cs="Times New Roman"/>
                <w:color w:val="auto"/>
                <w:sz w:val="24"/>
                <w:highlight w:val="none"/>
              </w:rPr>
              <w:t>，且计划详实完备得5分。</w:t>
            </w:r>
          </w:p>
          <w:p w14:paraId="07E4819B">
            <w:pPr>
              <w:widowControl/>
              <w:jc w:val="left"/>
              <w:rPr>
                <w:rFonts w:ascii="Times New Roman" w:hAnsi="Times New Roman" w:cs="Times New Roman"/>
                <w:color w:val="auto"/>
                <w:sz w:val="24"/>
                <w:highlight w:val="none"/>
              </w:rPr>
            </w:pPr>
            <w:r>
              <w:rPr>
                <w:rFonts w:ascii="Times New Roman" w:hAnsi="Times New Roman" w:cs="Times New Roman"/>
                <w:color w:val="auto"/>
                <w:sz w:val="24"/>
                <w:highlight w:val="none"/>
              </w:rPr>
              <w:t>（2）按上述①②</w:t>
            </w:r>
            <w:r>
              <w:rPr>
                <w:rFonts w:hint="eastAsia" w:ascii="宋体" w:hAnsi="宋体" w:cs="宋体"/>
                <w:color w:val="auto"/>
                <w:kern w:val="0"/>
                <w:sz w:val="24"/>
                <w:szCs w:val="24"/>
                <w:highlight w:val="none"/>
              </w:rPr>
              <w:t>③</w:t>
            </w:r>
            <w:r>
              <w:rPr>
                <w:rFonts w:ascii="Times New Roman" w:hAnsi="Times New Roman" w:cs="Times New Roman"/>
                <w:color w:val="auto"/>
                <w:sz w:val="24"/>
                <w:highlight w:val="none"/>
              </w:rPr>
              <w:t>项提供</w:t>
            </w:r>
            <w:r>
              <w:rPr>
                <w:rFonts w:hint="eastAsia" w:ascii="宋体" w:hAnsi="宋体" w:cs="宋体"/>
                <w:color w:val="auto"/>
                <w:kern w:val="0"/>
                <w:sz w:val="24"/>
                <w:szCs w:val="24"/>
                <w:highlight w:val="none"/>
              </w:rPr>
              <w:t>进度计划方案</w:t>
            </w:r>
            <w:r>
              <w:rPr>
                <w:rFonts w:ascii="Times New Roman" w:hAnsi="Times New Roman" w:cs="Times New Roman"/>
                <w:color w:val="auto"/>
                <w:sz w:val="24"/>
                <w:highlight w:val="none"/>
              </w:rPr>
              <w:t>，且基本合理得3分。</w:t>
            </w:r>
          </w:p>
          <w:p w14:paraId="2018652E">
            <w:pPr>
              <w:widowControl/>
              <w:jc w:val="left"/>
              <w:rPr>
                <w:rFonts w:ascii="Times New Roman" w:hAnsi="Times New Roman" w:cs="Times New Roman"/>
                <w:color w:val="auto"/>
                <w:sz w:val="24"/>
                <w:highlight w:val="none"/>
              </w:rPr>
            </w:pPr>
            <w:r>
              <w:rPr>
                <w:rFonts w:ascii="Times New Roman" w:hAnsi="Times New Roman" w:cs="Times New Roman"/>
                <w:color w:val="auto"/>
                <w:sz w:val="24"/>
                <w:highlight w:val="none"/>
              </w:rPr>
              <w:t>（3）按上述①②</w:t>
            </w:r>
            <w:r>
              <w:rPr>
                <w:rFonts w:hint="eastAsia" w:ascii="宋体" w:hAnsi="宋体" w:cs="宋体"/>
                <w:color w:val="auto"/>
                <w:kern w:val="0"/>
                <w:sz w:val="24"/>
                <w:szCs w:val="24"/>
                <w:highlight w:val="none"/>
              </w:rPr>
              <w:t>③</w:t>
            </w:r>
            <w:r>
              <w:rPr>
                <w:rFonts w:ascii="Times New Roman" w:hAnsi="Times New Roman" w:cs="Times New Roman"/>
                <w:color w:val="auto"/>
                <w:sz w:val="24"/>
                <w:highlight w:val="none"/>
              </w:rPr>
              <w:t>项提供</w:t>
            </w:r>
            <w:r>
              <w:rPr>
                <w:rFonts w:hint="eastAsia" w:ascii="宋体" w:hAnsi="宋体" w:cs="宋体"/>
                <w:color w:val="auto"/>
                <w:kern w:val="0"/>
                <w:sz w:val="24"/>
                <w:szCs w:val="24"/>
                <w:highlight w:val="none"/>
              </w:rPr>
              <w:t>进度计划方案</w:t>
            </w:r>
            <w:r>
              <w:rPr>
                <w:rFonts w:ascii="Times New Roman" w:hAnsi="Times New Roman" w:cs="Times New Roman"/>
                <w:color w:val="auto"/>
                <w:sz w:val="24"/>
                <w:highlight w:val="none"/>
              </w:rPr>
              <w:t>，但可操作性较差得1分。</w:t>
            </w:r>
          </w:p>
          <w:p w14:paraId="184CF2A7">
            <w:pPr>
              <w:widowControl/>
              <w:jc w:val="left"/>
              <w:rPr>
                <w:rFonts w:ascii="Times New Roman" w:hAnsi="Times New Roman" w:cs="Times New Roman"/>
                <w:color w:val="auto"/>
                <w:sz w:val="24"/>
                <w:highlight w:val="none"/>
              </w:rPr>
            </w:pPr>
            <w:r>
              <w:rPr>
                <w:rFonts w:ascii="Times New Roman" w:hAnsi="Times New Roman" w:cs="Times New Roman"/>
                <w:color w:val="auto"/>
                <w:sz w:val="24"/>
                <w:highlight w:val="none"/>
              </w:rPr>
              <w:t>（4）未完整提供或未提供①②</w:t>
            </w:r>
            <w:r>
              <w:rPr>
                <w:rFonts w:hint="eastAsia" w:ascii="宋体" w:hAnsi="宋体" w:cs="宋体"/>
                <w:color w:val="auto"/>
                <w:kern w:val="0"/>
                <w:sz w:val="24"/>
                <w:szCs w:val="24"/>
                <w:highlight w:val="none"/>
              </w:rPr>
              <w:t>③</w:t>
            </w:r>
            <w:r>
              <w:rPr>
                <w:rFonts w:ascii="Times New Roman" w:hAnsi="Times New Roman" w:cs="Times New Roman"/>
                <w:color w:val="auto"/>
                <w:sz w:val="24"/>
                <w:highlight w:val="none"/>
              </w:rPr>
              <w:t>项的不得分。</w:t>
            </w:r>
          </w:p>
          <w:p w14:paraId="6431B3BF">
            <w:pPr>
              <w:widowControl/>
              <w:jc w:val="left"/>
              <w:rPr>
                <w:rFonts w:ascii="Times New Roman" w:hAnsi="Times New Roman" w:cs="Times New Roman"/>
                <w:color w:val="auto"/>
                <w:sz w:val="24"/>
                <w:highlight w:val="none"/>
              </w:rPr>
            </w:pPr>
            <w:r>
              <w:rPr>
                <w:rFonts w:ascii="Times New Roman" w:hAnsi="Times New Roman" w:cs="Times New Roman"/>
                <w:color w:val="auto"/>
                <w:sz w:val="24"/>
                <w:highlight w:val="none"/>
              </w:rPr>
              <w:t>2、针对该项目的桥梁</w:t>
            </w:r>
            <w:r>
              <w:rPr>
                <w:rFonts w:hint="eastAsia" w:cs="Times New Roman"/>
                <w:color w:val="auto"/>
                <w:sz w:val="24"/>
                <w:highlight w:val="none"/>
                <w:lang w:eastAsia="zh-CN"/>
              </w:rPr>
              <w:t>检查</w:t>
            </w:r>
            <w:r>
              <w:rPr>
                <w:rFonts w:ascii="Times New Roman" w:hAnsi="Times New Roman" w:cs="Times New Roman"/>
                <w:color w:val="auto"/>
                <w:sz w:val="24"/>
                <w:highlight w:val="none"/>
              </w:rPr>
              <w:t>服务要求，供应商须提供符合本项目的</w:t>
            </w:r>
            <w:r>
              <w:rPr>
                <w:rFonts w:hint="eastAsia" w:cs="Times New Roman"/>
                <w:color w:val="auto"/>
                <w:sz w:val="24"/>
                <w:highlight w:val="none"/>
                <w:lang w:eastAsia="zh-CN"/>
              </w:rPr>
              <w:t>检查</w:t>
            </w:r>
            <w:r>
              <w:rPr>
                <w:rFonts w:ascii="Times New Roman" w:hAnsi="Times New Roman" w:cs="Times New Roman"/>
                <w:color w:val="auto"/>
                <w:sz w:val="24"/>
                <w:highlight w:val="none"/>
              </w:rPr>
              <w:t>方案，内容至少包括：</w:t>
            </w:r>
            <w:r>
              <w:rPr>
                <w:rFonts w:hint="eastAsia" w:ascii="Times New Roman" w:hAnsi="Times New Roman" w:cs="Times New Roman"/>
                <w:color w:val="auto"/>
                <w:sz w:val="24"/>
                <w:highlight w:val="none"/>
              </w:rPr>
              <w:t>①工作的程序；②工作的内容、方法和手段。</w:t>
            </w:r>
          </w:p>
          <w:p w14:paraId="34252DFF">
            <w:pPr>
              <w:widowControl/>
              <w:jc w:val="left"/>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（1）按上述①②项提供</w:t>
            </w:r>
            <w:r>
              <w:rPr>
                <w:rFonts w:hint="eastAsia" w:cs="Times New Roman"/>
                <w:color w:val="auto"/>
                <w:sz w:val="24"/>
                <w:highlight w:val="none"/>
                <w:lang w:eastAsia="zh-CN"/>
              </w:rPr>
              <w:t>检查</w:t>
            </w:r>
            <w:r>
              <w:rPr>
                <w:rFonts w:ascii="Times New Roman" w:hAnsi="Times New Roman" w:cs="Times New Roman"/>
                <w:color w:val="auto"/>
                <w:sz w:val="24"/>
                <w:highlight w:val="none"/>
              </w:rPr>
              <w:t>方案</w:t>
            </w:r>
            <w:r>
              <w:rPr>
                <w:rFonts w:hint="eastAsia" w:ascii="Times New Roman" w:hAnsi="Times New Roman" w:cs="Times New Roman"/>
                <w:color w:val="auto"/>
                <w:sz w:val="24"/>
                <w:highlight w:val="none"/>
              </w:rPr>
              <w:t>，且条理清晰明确，可行性、针对性和可靠性满足本项目要求的得7分；</w:t>
            </w:r>
          </w:p>
          <w:p w14:paraId="2BF6D581">
            <w:pPr>
              <w:widowControl/>
              <w:jc w:val="left"/>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（2）按上述①②项提供</w:t>
            </w:r>
            <w:r>
              <w:rPr>
                <w:rFonts w:hint="eastAsia" w:cs="Times New Roman"/>
                <w:color w:val="auto"/>
                <w:sz w:val="24"/>
                <w:highlight w:val="none"/>
                <w:lang w:eastAsia="zh-CN"/>
              </w:rPr>
              <w:t>检查</w:t>
            </w:r>
            <w:r>
              <w:rPr>
                <w:rFonts w:ascii="Times New Roman" w:hAnsi="Times New Roman" w:cs="Times New Roman"/>
                <w:color w:val="auto"/>
                <w:sz w:val="24"/>
                <w:highlight w:val="none"/>
              </w:rPr>
              <w:t>方案</w:t>
            </w:r>
            <w:r>
              <w:rPr>
                <w:rFonts w:hint="eastAsia" w:ascii="Times New Roman" w:hAnsi="Times New Roman" w:cs="Times New Roman"/>
                <w:color w:val="auto"/>
                <w:sz w:val="24"/>
                <w:highlight w:val="none"/>
              </w:rPr>
              <w:t>，且较有条理、基本满足本项目建设要求的得4分；</w:t>
            </w:r>
          </w:p>
          <w:p w14:paraId="7FF7BE32">
            <w:pPr>
              <w:widowControl/>
              <w:jc w:val="left"/>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（3）按上述①②项提供</w:t>
            </w:r>
            <w:r>
              <w:rPr>
                <w:rFonts w:hint="eastAsia" w:cs="Times New Roman"/>
                <w:color w:val="auto"/>
                <w:sz w:val="24"/>
                <w:highlight w:val="none"/>
                <w:lang w:eastAsia="zh-CN"/>
              </w:rPr>
              <w:t>检查</w:t>
            </w:r>
            <w:r>
              <w:rPr>
                <w:rFonts w:ascii="Times New Roman" w:hAnsi="Times New Roman" w:cs="Times New Roman"/>
                <w:color w:val="auto"/>
                <w:sz w:val="24"/>
                <w:highlight w:val="none"/>
              </w:rPr>
              <w:t>方案</w:t>
            </w:r>
            <w:r>
              <w:rPr>
                <w:rFonts w:hint="eastAsia" w:ascii="Times New Roman" w:hAnsi="Times New Roman" w:cs="Times New Roman"/>
                <w:color w:val="auto"/>
                <w:sz w:val="24"/>
                <w:highlight w:val="none"/>
              </w:rPr>
              <w:t>，程序与方法缺乏条理、难以满足本项目建设要求的得2分。</w:t>
            </w:r>
          </w:p>
          <w:p w14:paraId="63398288">
            <w:pPr>
              <w:widowControl/>
              <w:jc w:val="left"/>
              <w:rPr>
                <w:rFonts w:ascii="Times New Roman" w:hAnsi="Times New Roman" w:cs="Times New Roman"/>
                <w:color w:val="auto"/>
                <w:sz w:val="24"/>
                <w:highlight w:val="none"/>
              </w:rPr>
            </w:pPr>
            <w:r>
              <w:rPr>
                <w:rFonts w:hint="eastAsia" w:ascii="Times New Roman" w:hAnsi="Times New Roman" w:cs="Times New Roman"/>
                <w:color w:val="auto"/>
                <w:sz w:val="24"/>
                <w:highlight w:val="none"/>
              </w:rPr>
              <w:t>（4）未完整提供或未提供①②项的不得分。</w:t>
            </w:r>
          </w:p>
          <w:p w14:paraId="4E6426FB">
            <w:pPr>
              <w:widowControl/>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ascii="Times New Roman" w:hAnsi="Times New Roman" w:cs="Times New Roman"/>
                <w:color w:val="auto"/>
                <w:sz w:val="24"/>
                <w:highlight w:val="none"/>
              </w:rPr>
              <w:t>针对该项目的桥梁</w:t>
            </w:r>
            <w:r>
              <w:rPr>
                <w:rFonts w:hint="eastAsia" w:cs="Times New Roman"/>
                <w:color w:val="auto"/>
                <w:sz w:val="24"/>
                <w:highlight w:val="none"/>
                <w:lang w:eastAsia="zh-CN"/>
              </w:rPr>
              <w:t>检查</w:t>
            </w:r>
            <w:r>
              <w:rPr>
                <w:rFonts w:ascii="Times New Roman" w:hAnsi="Times New Roman" w:cs="Times New Roman"/>
                <w:color w:val="auto"/>
                <w:sz w:val="24"/>
                <w:highlight w:val="none"/>
              </w:rPr>
              <w:t>服务要求，供应商须提供符合本项目的质量管理措施，内容至少包括：①质量管控的目标；②质量管控的措施</w:t>
            </w:r>
            <w:r>
              <w:rPr>
                <w:rFonts w:hint="eastAsia" w:ascii="Times New Roman" w:hAnsi="Times New Roman" w:cs="Times New Roman"/>
                <w:color w:val="auto"/>
                <w:sz w:val="24"/>
                <w:highlight w:val="none"/>
              </w:rPr>
              <w:t>。</w:t>
            </w:r>
          </w:p>
          <w:p w14:paraId="35D9F341">
            <w:pPr>
              <w:snapToGrid w:val="0"/>
              <w:rPr>
                <w:rFonts w:ascii="Times New Roman" w:hAnsi="Times New Roman" w:cs="Times New Roman"/>
                <w:color w:val="auto"/>
                <w:sz w:val="24"/>
                <w:highlight w:val="none"/>
              </w:rPr>
            </w:pPr>
            <w:r>
              <w:rPr>
                <w:rFonts w:ascii="Times New Roman" w:hAnsi="Times New Roman" w:cs="Times New Roman"/>
                <w:color w:val="auto"/>
                <w:sz w:val="24"/>
                <w:highlight w:val="none"/>
              </w:rPr>
              <w:t>（1）按上述①②项提供质量管理措施，且措施科学、合理、可行的得</w:t>
            </w:r>
            <w:r>
              <w:rPr>
                <w:rFonts w:hint="eastAsia" w:ascii="Times New Roman" w:hAnsi="Times New Roman" w:cs="Times New Roman"/>
                <w:color w:val="auto"/>
                <w:sz w:val="24"/>
                <w:highlight w:val="none"/>
              </w:rPr>
              <w:t>5</w:t>
            </w:r>
            <w:r>
              <w:rPr>
                <w:rFonts w:ascii="Times New Roman" w:hAnsi="Times New Roman" w:cs="Times New Roman"/>
                <w:color w:val="auto"/>
                <w:sz w:val="24"/>
                <w:highlight w:val="none"/>
              </w:rPr>
              <w:t>分。</w:t>
            </w:r>
          </w:p>
          <w:p w14:paraId="61807DBF">
            <w:pPr>
              <w:snapToGrid w:val="0"/>
              <w:rPr>
                <w:rFonts w:ascii="Times New Roman" w:hAnsi="Times New Roman" w:cs="Times New Roman"/>
                <w:color w:val="auto"/>
                <w:sz w:val="24"/>
                <w:highlight w:val="none"/>
              </w:rPr>
            </w:pPr>
            <w:r>
              <w:rPr>
                <w:rFonts w:ascii="Times New Roman" w:hAnsi="Times New Roman" w:cs="Times New Roman"/>
                <w:color w:val="auto"/>
                <w:sz w:val="24"/>
                <w:highlight w:val="none"/>
              </w:rPr>
              <w:t>（2）按上述①②项提供质量管理措施，且基本合理得</w:t>
            </w:r>
            <w:r>
              <w:rPr>
                <w:rFonts w:hint="eastAsia" w:ascii="Times New Roman" w:hAnsi="Times New Roman" w:cs="Times New Roman"/>
                <w:color w:val="auto"/>
                <w:sz w:val="24"/>
                <w:highlight w:val="none"/>
              </w:rPr>
              <w:t>3</w:t>
            </w:r>
            <w:r>
              <w:rPr>
                <w:rFonts w:ascii="Times New Roman" w:hAnsi="Times New Roman" w:cs="Times New Roman"/>
                <w:color w:val="auto"/>
                <w:sz w:val="24"/>
                <w:highlight w:val="none"/>
              </w:rPr>
              <w:t>分。</w:t>
            </w:r>
          </w:p>
          <w:p w14:paraId="3B2EFB79">
            <w:pPr>
              <w:snapToGrid w:val="0"/>
              <w:rPr>
                <w:rFonts w:ascii="Times New Roman" w:hAnsi="Times New Roman" w:cs="Times New Roman"/>
                <w:color w:val="auto"/>
                <w:sz w:val="24"/>
                <w:highlight w:val="none"/>
              </w:rPr>
            </w:pPr>
            <w:r>
              <w:rPr>
                <w:rFonts w:ascii="Times New Roman" w:hAnsi="Times New Roman" w:cs="Times New Roman"/>
                <w:color w:val="auto"/>
                <w:sz w:val="24"/>
                <w:highlight w:val="none"/>
              </w:rPr>
              <w:t>（3）按上述①②项提供质量管理措施，</w:t>
            </w:r>
            <w:r>
              <w:rPr>
                <w:rFonts w:hint="eastAsia" w:cs="Times New Roman"/>
                <w:color w:val="auto"/>
                <w:sz w:val="24"/>
                <w:highlight w:val="none"/>
              </w:rPr>
              <w:t>但</w:t>
            </w:r>
            <w:r>
              <w:rPr>
                <w:rFonts w:ascii="Times New Roman" w:hAnsi="Times New Roman" w:cs="Times New Roman"/>
                <w:color w:val="auto"/>
                <w:sz w:val="24"/>
                <w:highlight w:val="none"/>
              </w:rPr>
              <w:t>可操作性较差得1分。</w:t>
            </w:r>
          </w:p>
          <w:p w14:paraId="4C83D5EB">
            <w:pPr>
              <w:widowControl/>
              <w:jc w:val="left"/>
              <w:rPr>
                <w:rFonts w:hint="eastAsia" w:ascii="宋体" w:hAnsi="宋体" w:cs="宋体"/>
                <w:color w:val="auto"/>
                <w:kern w:val="0"/>
                <w:sz w:val="24"/>
                <w:szCs w:val="24"/>
                <w:highlight w:val="none"/>
              </w:rPr>
            </w:pPr>
            <w:r>
              <w:rPr>
                <w:rFonts w:ascii="Times New Roman" w:hAnsi="Times New Roman" w:cs="Times New Roman"/>
                <w:color w:val="auto"/>
                <w:sz w:val="24"/>
                <w:highlight w:val="none"/>
              </w:rPr>
              <w:t>（4）未完整提供或未提供①②项的不得分。</w:t>
            </w:r>
          </w:p>
          <w:p w14:paraId="3550C23E">
            <w:pPr>
              <w:widowControl/>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w:t>
            </w:r>
            <w:r>
              <w:rPr>
                <w:rFonts w:ascii="Times New Roman" w:hAnsi="Times New Roman" w:cs="Times New Roman"/>
                <w:color w:val="auto"/>
                <w:sz w:val="24"/>
                <w:highlight w:val="none"/>
              </w:rPr>
              <w:t>针对该项目的桥梁</w:t>
            </w:r>
            <w:r>
              <w:rPr>
                <w:rFonts w:hint="eastAsia" w:cs="Times New Roman"/>
                <w:color w:val="auto"/>
                <w:sz w:val="24"/>
                <w:highlight w:val="none"/>
                <w:lang w:eastAsia="zh-CN"/>
              </w:rPr>
              <w:t>检查</w:t>
            </w:r>
            <w:r>
              <w:rPr>
                <w:rFonts w:ascii="Times New Roman" w:hAnsi="Times New Roman" w:cs="Times New Roman"/>
                <w:color w:val="auto"/>
                <w:sz w:val="24"/>
                <w:highlight w:val="none"/>
              </w:rPr>
              <w:t>服务要求，供应商须提供符合本项目的</w:t>
            </w:r>
            <w:r>
              <w:rPr>
                <w:rFonts w:hint="eastAsia" w:ascii="宋体" w:hAnsi="宋体" w:cs="宋体"/>
                <w:color w:val="auto"/>
                <w:kern w:val="0"/>
                <w:sz w:val="24"/>
                <w:szCs w:val="24"/>
                <w:highlight w:val="none"/>
              </w:rPr>
              <w:t>安全管理措施</w:t>
            </w:r>
            <w:r>
              <w:rPr>
                <w:rFonts w:ascii="Times New Roman" w:hAnsi="Times New Roman" w:cs="Times New Roman"/>
                <w:color w:val="auto"/>
                <w:sz w:val="24"/>
                <w:highlight w:val="none"/>
              </w:rPr>
              <w:t>，内容至少包括：①</w:t>
            </w:r>
            <w:r>
              <w:rPr>
                <w:rFonts w:hint="eastAsia" w:ascii="Times New Roman" w:hAnsi="Times New Roman" w:cs="Times New Roman"/>
                <w:color w:val="auto"/>
                <w:sz w:val="24"/>
                <w:highlight w:val="none"/>
              </w:rPr>
              <w:t>安全</w:t>
            </w:r>
            <w:r>
              <w:rPr>
                <w:rFonts w:ascii="Times New Roman" w:hAnsi="Times New Roman" w:cs="Times New Roman"/>
                <w:color w:val="auto"/>
                <w:sz w:val="24"/>
                <w:highlight w:val="none"/>
              </w:rPr>
              <w:t>管控的目标；②</w:t>
            </w:r>
            <w:r>
              <w:rPr>
                <w:rFonts w:hint="eastAsia" w:ascii="Times New Roman" w:hAnsi="Times New Roman" w:cs="Times New Roman"/>
                <w:color w:val="auto"/>
                <w:sz w:val="24"/>
                <w:highlight w:val="none"/>
              </w:rPr>
              <w:t>安全</w:t>
            </w:r>
            <w:r>
              <w:rPr>
                <w:rFonts w:ascii="Times New Roman" w:hAnsi="Times New Roman" w:cs="Times New Roman"/>
                <w:color w:val="auto"/>
                <w:sz w:val="24"/>
                <w:highlight w:val="none"/>
              </w:rPr>
              <w:t>管控的措施</w:t>
            </w:r>
            <w:r>
              <w:rPr>
                <w:rFonts w:hint="eastAsia" w:ascii="Times New Roman" w:hAnsi="Times New Roman" w:cs="Times New Roman"/>
                <w:color w:val="auto"/>
                <w:sz w:val="24"/>
                <w:highlight w:val="none"/>
              </w:rPr>
              <w:t>。</w:t>
            </w:r>
          </w:p>
          <w:p w14:paraId="305E5840">
            <w:pPr>
              <w:snapToGrid w:val="0"/>
              <w:rPr>
                <w:rFonts w:ascii="Times New Roman" w:hAnsi="Times New Roman" w:cs="Times New Roman"/>
                <w:color w:val="auto"/>
                <w:sz w:val="24"/>
                <w:highlight w:val="none"/>
              </w:rPr>
            </w:pPr>
            <w:r>
              <w:rPr>
                <w:rFonts w:ascii="Times New Roman" w:hAnsi="Times New Roman" w:cs="Times New Roman"/>
                <w:color w:val="auto"/>
                <w:sz w:val="24"/>
                <w:highlight w:val="none"/>
              </w:rPr>
              <w:t>（1）按上述①②项提供</w:t>
            </w:r>
            <w:r>
              <w:rPr>
                <w:rFonts w:hint="eastAsia" w:ascii="宋体" w:hAnsi="宋体" w:cs="宋体"/>
                <w:color w:val="auto"/>
                <w:kern w:val="0"/>
                <w:sz w:val="24"/>
                <w:szCs w:val="24"/>
                <w:highlight w:val="none"/>
              </w:rPr>
              <w:t>安全管理措施</w:t>
            </w:r>
            <w:r>
              <w:rPr>
                <w:rFonts w:ascii="Times New Roman" w:hAnsi="Times New Roman" w:cs="Times New Roman"/>
                <w:color w:val="auto"/>
                <w:sz w:val="24"/>
                <w:highlight w:val="none"/>
              </w:rPr>
              <w:t>，且措施科学、合理、可行的得</w:t>
            </w:r>
            <w:r>
              <w:rPr>
                <w:rFonts w:hint="eastAsia" w:ascii="Times New Roman" w:hAnsi="Times New Roman" w:cs="Times New Roman"/>
                <w:color w:val="auto"/>
                <w:sz w:val="24"/>
                <w:highlight w:val="none"/>
              </w:rPr>
              <w:t>5</w:t>
            </w:r>
            <w:r>
              <w:rPr>
                <w:rFonts w:ascii="Times New Roman" w:hAnsi="Times New Roman" w:cs="Times New Roman"/>
                <w:color w:val="auto"/>
                <w:sz w:val="24"/>
                <w:highlight w:val="none"/>
              </w:rPr>
              <w:t>分。</w:t>
            </w:r>
          </w:p>
          <w:p w14:paraId="6801F4B7">
            <w:pPr>
              <w:snapToGrid w:val="0"/>
              <w:rPr>
                <w:rFonts w:ascii="Times New Roman" w:hAnsi="Times New Roman" w:cs="Times New Roman"/>
                <w:color w:val="auto"/>
                <w:sz w:val="24"/>
                <w:highlight w:val="none"/>
              </w:rPr>
            </w:pPr>
            <w:r>
              <w:rPr>
                <w:rFonts w:ascii="Times New Roman" w:hAnsi="Times New Roman" w:cs="Times New Roman"/>
                <w:color w:val="auto"/>
                <w:sz w:val="24"/>
                <w:highlight w:val="none"/>
              </w:rPr>
              <w:t>（2）按上述①②项提供</w:t>
            </w:r>
            <w:r>
              <w:rPr>
                <w:rFonts w:hint="eastAsia" w:ascii="宋体" w:hAnsi="宋体" w:cs="宋体"/>
                <w:color w:val="auto"/>
                <w:kern w:val="0"/>
                <w:sz w:val="24"/>
                <w:szCs w:val="24"/>
                <w:highlight w:val="none"/>
              </w:rPr>
              <w:t>安全管理措施</w:t>
            </w:r>
            <w:r>
              <w:rPr>
                <w:rFonts w:ascii="Times New Roman" w:hAnsi="Times New Roman" w:cs="Times New Roman"/>
                <w:color w:val="auto"/>
                <w:sz w:val="24"/>
                <w:highlight w:val="none"/>
              </w:rPr>
              <w:t>，且基本合理得</w:t>
            </w:r>
            <w:r>
              <w:rPr>
                <w:rFonts w:hint="eastAsia" w:ascii="Times New Roman" w:hAnsi="Times New Roman" w:cs="Times New Roman"/>
                <w:color w:val="auto"/>
                <w:sz w:val="24"/>
                <w:highlight w:val="none"/>
              </w:rPr>
              <w:t>3</w:t>
            </w:r>
            <w:r>
              <w:rPr>
                <w:rFonts w:ascii="Times New Roman" w:hAnsi="Times New Roman" w:cs="Times New Roman"/>
                <w:color w:val="auto"/>
                <w:sz w:val="24"/>
                <w:highlight w:val="none"/>
              </w:rPr>
              <w:t>分。</w:t>
            </w:r>
          </w:p>
          <w:p w14:paraId="401A375B">
            <w:pPr>
              <w:snapToGrid w:val="0"/>
              <w:rPr>
                <w:rFonts w:ascii="Times New Roman" w:hAnsi="Times New Roman" w:cs="Times New Roman"/>
                <w:color w:val="auto"/>
                <w:sz w:val="24"/>
                <w:highlight w:val="none"/>
              </w:rPr>
            </w:pPr>
            <w:r>
              <w:rPr>
                <w:rFonts w:ascii="Times New Roman" w:hAnsi="Times New Roman" w:cs="Times New Roman"/>
                <w:color w:val="auto"/>
                <w:sz w:val="24"/>
                <w:highlight w:val="none"/>
              </w:rPr>
              <w:t>（3）按上述①②项提供</w:t>
            </w:r>
            <w:r>
              <w:rPr>
                <w:rFonts w:hint="eastAsia" w:ascii="宋体" w:hAnsi="宋体" w:cs="宋体"/>
                <w:color w:val="auto"/>
                <w:kern w:val="0"/>
                <w:sz w:val="24"/>
                <w:szCs w:val="24"/>
                <w:highlight w:val="none"/>
              </w:rPr>
              <w:t>安全管理措施</w:t>
            </w:r>
            <w:r>
              <w:rPr>
                <w:rFonts w:ascii="Times New Roman" w:hAnsi="Times New Roman" w:cs="Times New Roman"/>
                <w:color w:val="auto"/>
                <w:sz w:val="24"/>
                <w:highlight w:val="none"/>
              </w:rPr>
              <w:t>，</w:t>
            </w:r>
            <w:r>
              <w:rPr>
                <w:rFonts w:hint="eastAsia" w:cs="Times New Roman"/>
                <w:color w:val="auto"/>
                <w:sz w:val="24"/>
                <w:highlight w:val="none"/>
              </w:rPr>
              <w:t>但</w:t>
            </w:r>
            <w:r>
              <w:rPr>
                <w:rFonts w:ascii="Times New Roman" w:hAnsi="Times New Roman" w:cs="Times New Roman"/>
                <w:color w:val="auto"/>
                <w:sz w:val="24"/>
                <w:highlight w:val="none"/>
              </w:rPr>
              <w:t>可操作性较差得1分。</w:t>
            </w:r>
          </w:p>
          <w:p w14:paraId="5123DAAA">
            <w:pPr>
              <w:widowControl/>
              <w:jc w:val="left"/>
              <w:rPr>
                <w:rFonts w:hint="eastAsia" w:ascii="宋体" w:hAnsi="宋体" w:cs="宋体"/>
                <w:color w:val="auto"/>
                <w:kern w:val="0"/>
                <w:sz w:val="24"/>
                <w:szCs w:val="24"/>
                <w:highlight w:val="none"/>
              </w:rPr>
            </w:pPr>
            <w:r>
              <w:rPr>
                <w:rFonts w:ascii="Times New Roman" w:hAnsi="Times New Roman" w:cs="Times New Roman"/>
                <w:color w:val="auto"/>
                <w:sz w:val="24"/>
                <w:highlight w:val="none"/>
              </w:rPr>
              <w:t>（4）未完整提供或未提供①②项的不得分。</w:t>
            </w:r>
          </w:p>
          <w:p w14:paraId="38B84C11">
            <w:pPr>
              <w:snapToGrid w:val="0"/>
              <w:rPr>
                <w:rFonts w:ascii="Times New Roman" w:hAnsi="Times New Roman" w:cs="Times New Roman"/>
                <w:color w:val="auto"/>
                <w:sz w:val="24"/>
                <w:highlight w:val="none"/>
              </w:rPr>
            </w:pPr>
            <w:r>
              <w:rPr>
                <w:rFonts w:hint="eastAsia" w:ascii="宋体" w:hAnsi="宋体" w:cs="宋体"/>
                <w:color w:val="auto"/>
                <w:kern w:val="0"/>
                <w:sz w:val="24"/>
                <w:szCs w:val="24"/>
                <w:highlight w:val="none"/>
              </w:rPr>
              <w:t>5、</w:t>
            </w:r>
            <w:r>
              <w:rPr>
                <w:rFonts w:ascii="Times New Roman" w:hAnsi="Times New Roman" w:cs="Times New Roman"/>
                <w:color w:val="auto"/>
                <w:sz w:val="24"/>
                <w:highlight w:val="none"/>
              </w:rPr>
              <w:t>项目的特点</w:t>
            </w:r>
            <w:r>
              <w:rPr>
                <w:rFonts w:hint="eastAsia" w:ascii="Times New Roman" w:hAnsi="Times New Roman" w:cs="Times New Roman"/>
                <w:color w:val="auto"/>
                <w:sz w:val="24"/>
                <w:highlight w:val="none"/>
                <w:lang w:eastAsia="zh-CN"/>
              </w:rPr>
              <w:t>、</w:t>
            </w:r>
            <w:r>
              <w:rPr>
                <w:rFonts w:ascii="Times New Roman" w:hAnsi="Times New Roman" w:cs="Times New Roman"/>
                <w:color w:val="auto"/>
                <w:sz w:val="24"/>
                <w:highlight w:val="none"/>
              </w:rPr>
              <w:t>关键技术问题、重点、难点的认识及对策措施至少包含①对项目关键问题重点、难点的认识；②提出对应措施。</w:t>
            </w:r>
          </w:p>
          <w:p w14:paraId="2A99E9F4">
            <w:pPr>
              <w:snapToGrid w:val="0"/>
              <w:rPr>
                <w:rFonts w:ascii="Times New Roman" w:hAnsi="Times New Roman" w:cs="Times New Roman"/>
                <w:color w:val="auto"/>
                <w:sz w:val="24"/>
                <w:highlight w:val="none"/>
              </w:rPr>
            </w:pPr>
            <w:r>
              <w:rPr>
                <w:rFonts w:ascii="Times New Roman" w:hAnsi="Times New Roman" w:cs="Times New Roman"/>
                <w:color w:val="auto"/>
                <w:sz w:val="24"/>
                <w:highlight w:val="none"/>
              </w:rPr>
              <w:t>（1）按上述①②项提供的重点难点分析完全准确，采取的相应措施合理有效得5分；</w:t>
            </w:r>
          </w:p>
          <w:p w14:paraId="4106A77D">
            <w:pPr>
              <w:snapToGrid w:val="0"/>
              <w:rPr>
                <w:rFonts w:ascii="Times New Roman" w:hAnsi="Times New Roman" w:cs="Times New Roman"/>
                <w:color w:val="auto"/>
                <w:sz w:val="24"/>
                <w:highlight w:val="none"/>
              </w:rPr>
            </w:pPr>
            <w:r>
              <w:rPr>
                <w:rFonts w:ascii="Times New Roman" w:hAnsi="Times New Roman" w:cs="Times New Roman"/>
                <w:color w:val="auto"/>
                <w:sz w:val="24"/>
                <w:highlight w:val="none"/>
              </w:rPr>
              <w:t>（2）按上述①②项提供的重点难点分析基本准确，</w:t>
            </w:r>
            <w:r>
              <w:rPr>
                <w:rFonts w:hint="eastAsia" w:cs="Times New Roman"/>
                <w:color w:val="auto"/>
                <w:sz w:val="24"/>
                <w:highlight w:val="none"/>
              </w:rPr>
              <w:t>但</w:t>
            </w:r>
            <w:r>
              <w:rPr>
                <w:rFonts w:ascii="Times New Roman" w:hAnsi="Times New Roman" w:cs="Times New Roman"/>
                <w:color w:val="auto"/>
                <w:sz w:val="24"/>
                <w:highlight w:val="none"/>
              </w:rPr>
              <w:t>措施较为有限得3分；</w:t>
            </w:r>
          </w:p>
          <w:p w14:paraId="482DE9E4">
            <w:pPr>
              <w:snapToGrid w:val="0"/>
              <w:rPr>
                <w:rFonts w:ascii="Times New Roman" w:hAnsi="Times New Roman" w:cs="Times New Roman"/>
                <w:color w:val="auto"/>
                <w:sz w:val="24"/>
                <w:highlight w:val="none"/>
              </w:rPr>
            </w:pPr>
            <w:r>
              <w:rPr>
                <w:rFonts w:ascii="Times New Roman" w:hAnsi="Times New Roman" w:cs="Times New Roman"/>
                <w:color w:val="auto"/>
                <w:sz w:val="24"/>
                <w:highlight w:val="none"/>
              </w:rPr>
              <w:t>（3）按上述①②项供的重点难点分析不够准确，且措施不得力的得1分。</w:t>
            </w:r>
          </w:p>
          <w:p w14:paraId="09740F88">
            <w:pPr>
              <w:widowControl/>
              <w:jc w:val="left"/>
              <w:rPr>
                <w:rFonts w:hint="eastAsia" w:ascii="宋体" w:hAnsi="宋体" w:cs="宋体"/>
                <w:color w:val="auto"/>
                <w:kern w:val="0"/>
                <w:sz w:val="24"/>
                <w:szCs w:val="24"/>
                <w:highlight w:val="none"/>
              </w:rPr>
            </w:pPr>
            <w:r>
              <w:rPr>
                <w:rFonts w:ascii="Times New Roman" w:hAnsi="Times New Roman" w:cs="Times New Roman"/>
                <w:color w:val="auto"/>
                <w:sz w:val="24"/>
                <w:highlight w:val="none"/>
              </w:rPr>
              <w:t>（4）未完整提供或未提供①②项的不得分。</w:t>
            </w:r>
          </w:p>
        </w:tc>
        <w:tc>
          <w:tcPr>
            <w:tcW w:w="412" w:type="pct"/>
            <w:tcBorders>
              <w:top w:val="nil"/>
              <w:left w:val="nil"/>
              <w:bottom w:val="single" w:color="auto" w:sz="4" w:space="0"/>
              <w:right w:val="single" w:color="auto" w:sz="4" w:space="0"/>
            </w:tcBorders>
            <w:noWrap w:val="0"/>
            <w:vAlign w:val="center"/>
          </w:tcPr>
          <w:p w14:paraId="299C707B">
            <w:pPr>
              <w:widowControl/>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27分</w:t>
            </w:r>
          </w:p>
        </w:tc>
        <w:tc>
          <w:tcPr>
            <w:tcW w:w="412" w:type="pct"/>
            <w:tcBorders>
              <w:top w:val="nil"/>
              <w:left w:val="nil"/>
              <w:bottom w:val="single" w:color="auto" w:sz="4" w:space="0"/>
              <w:right w:val="single" w:color="auto" w:sz="4" w:space="0"/>
            </w:tcBorders>
            <w:noWrap w:val="0"/>
            <w:vAlign w:val="center"/>
          </w:tcPr>
          <w:p w14:paraId="5B312D62">
            <w:pPr>
              <w:widowControl/>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0分</w:t>
            </w:r>
          </w:p>
        </w:tc>
        <w:tc>
          <w:tcPr>
            <w:tcW w:w="413" w:type="pct"/>
            <w:tcBorders>
              <w:top w:val="nil"/>
              <w:left w:val="nil"/>
              <w:bottom w:val="single" w:color="auto" w:sz="4" w:space="0"/>
              <w:right w:val="single" w:color="auto" w:sz="4" w:space="0"/>
            </w:tcBorders>
            <w:noWrap w:val="0"/>
            <w:vAlign w:val="center"/>
          </w:tcPr>
          <w:p w14:paraId="0CB265F3">
            <w:pPr>
              <w:widowControl/>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主观</w:t>
            </w:r>
          </w:p>
        </w:tc>
      </w:tr>
      <w:tr w14:paraId="36C28D96">
        <w:tblPrEx>
          <w:tblCellMar>
            <w:top w:w="0" w:type="dxa"/>
            <w:left w:w="108" w:type="dxa"/>
            <w:bottom w:w="0" w:type="dxa"/>
            <w:right w:w="108" w:type="dxa"/>
          </w:tblCellMar>
        </w:tblPrEx>
        <w:trPr>
          <w:trHeight w:val="697" w:hRule="atLeast"/>
        </w:trPr>
        <w:tc>
          <w:tcPr>
            <w:tcW w:w="411" w:type="pct"/>
            <w:tcBorders>
              <w:top w:val="nil"/>
              <w:left w:val="single" w:color="auto" w:sz="4" w:space="0"/>
              <w:bottom w:val="single" w:color="auto" w:sz="4" w:space="0"/>
              <w:right w:val="single" w:color="auto" w:sz="4" w:space="0"/>
            </w:tcBorders>
            <w:noWrap w:val="0"/>
            <w:vAlign w:val="center"/>
          </w:tcPr>
          <w:p w14:paraId="79C23089">
            <w:pPr>
              <w:widowControl/>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w:t>
            </w:r>
          </w:p>
        </w:tc>
        <w:tc>
          <w:tcPr>
            <w:tcW w:w="736" w:type="pct"/>
            <w:tcBorders>
              <w:top w:val="nil"/>
              <w:left w:val="nil"/>
              <w:bottom w:val="single" w:color="auto" w:sz="4" w:space="0"/>
              <w:right w:val="single" w:color="auto" w:sz="4" w:space="0"/>
            </w:tcBorders>
            <w:noWrap w:val="0"/>
            <w:vAlign w:val="center"/>
          </w:tcPr>
          <w:p w14:paraId="0A4598FB">
            <w:pPr>
              <w:widowControl/>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投标供应商业绩</w:t>
            </w:r>
          </w:p>
        </w:tc>
        <w:tc>
          <w:tcPr>
            <w:tcW w:w="2614" w:type="pct"/>
            <w:tcBorders>
              <w:top w:val="nil"/>
              <w:left w:val="nil"/>
              <w:bottom w:val="single" w:color="auto" w:sz="4" w:space="0"/>
              <w:right w:val="single" w:color="auto" w:sz="4" w:space="0"/>
            </w:tcBorders>
            <w:noWrap w:val="0"/>
            <w:vAlign w:val="center"/>
          </w:tcPr>
          <w:p w14:paraId="7F2132F8">
            <w:pPr>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1、供应商自2020年1月1日以来（以合同签订时间为准）承担过已完成的项目内容包含桥梁水下桩基检查的项目，每有一个项目得8分，本项最多得16分。</w:t>
            </w:r>
          </w:p>
          <w:p w14:paraId="05D1369E">
            <w:pPr>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2、供应商自2020年1月1日以来（以合同签订时间为准）承担过已完成的项目内容包含桥梁墩台检查的项目，每有一个项目得8分，本项最多得8分。</w:t>
            </w:r>
          </w:p>
          <w:p w14:paraId="037E62CB">
            <w:pPr>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证明材料：提供合同的复印件（或扫描件）加盖供应商公章，上述材料若无法体现项目内容的须提供</w:t>
            </w:r>
            <w:r>
              <w:rPr>
                <w:rFonts w:hint="eastAsia" w:ascii="宋体" w:hAnsi="宋体" w:cs="宋体"/>
                <w:color w:val="auto"/>
                <w:kern w:val="0"/>
                <w:sz w:val="24"/>
                <w:szCs w:val="24"/>
                <w:highlight w:val="none"/>
                <w:lang w:val="en-US" w:eastAsia="zh-CN"/>
              </w:rPr>
              <w:t>成果报告</w:t>
            </w:r>
            <w:r>
              <w:rPr>
                <w:rFonts w:hint="eastAsia" w:ascii="宋体" w:hAnsi="宋体" w:cs="宋体"/>
                <w:color w:val="auto"/>
                <w:kern w:val="0"/>
                <w:sz w:val="24"/>
                <w:szCs w:val="24"/>
                <w:highlight w:val="none"/>
              </w:rPr>
              <w:t>的复印件（或扫描件）加盖供应商公章，否则不得分。</w:t>
            </w:r>
          </w:p>
          <w:p w14:paraId="4CC1809D">
            <w:pPr>
              <w:jc w:val="left"/>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注：同一项目同时具有上述内容的可分别计分。</w:t>
            </w:r>
          </w:p>
        </w:tc>
        <w:tc>
          <w:tcPr>
            <w:tcW w:w="412" w:type="pct"/>
            <w:tcBorders>
              <w:top w:val="nil"/>
              <w:left w:val="nil"/>
              <w:bottom w:val="single" w:color="auto" w:sz="4" w:space="0"/>
              <w:right w:val="single" w:color="auto" w:sz="4" w:space="0"/>
            </w:tcBorders>
            <w:noWrap w:val="0"/>
            <w:vAlign w:val="center"/>
          </w:tcPr>
          <w:p w14:paraId="59717385">
            <w:pPr>
              <w:widowControl/>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24分</w:t>
            </w:r>
          </w:p>
        </w:tc>
        <w:tc>
          <w:tcPr>
            <w:tcW w:w="412" w:type="pct"/>
            <w:tcBorders>
              <w:top w:val="nil"/>
              <w:left w:val="nil"/>
              <w:bottom w:val="single" w:color="auto" w:sz="4" w:space="0"/>
              <w:right w:val="single" w:color="auto" w:sz="4" w:space="0"/>
            </w:tcBorders>
            <w:noWrap w:val="0"/>
            <w:vAlign w:val="center"/>
          </w:tcPr>
          <w:p w14:paraId="356A5AB9">
            <w:pPr>
              <w:widowControl/>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0分</w:t>
            </w:r>
          </w:p>
        </w:tc>
        <w:tc>
          <w:tcPr>
            <w:tcW w:w="413" w:type="pct"/>
            <w:tcBorders>
              <w:top w:val="nil"/>
              <w:left w:val="nil"/>
              <w:bottom w:val="single" w:color="auto" w:sz="4" w:space="0"/>
              <w:right w:val="single" w:color="auto" w:sz="4" w:space="0"/>
            </w:tcBorders>
            <w:noWrap w:val="0"/>
            <w:vAlign w:val="center"/>
          </w:tcPr>
          <w:p w14:paraId="4760C2E6">
            <w:pPr>
              <w:widowControl/>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客观</w:t>
            </w:r>
          </w:p>
        </w:tc>
      </w:tr>
      <w:tr w14:paraId="4F7D9015">
        <w:tblPrEx>
          <w:tblCellMar>
            <w:top w:w="0" w:type="dxa"/>
            <w:left w:w="108" w:type="dxa"/>
            <w:bottom w:w="0" w:type="dxa"/>
            <w:right w:w="108" w:type="dxa"/>
          </w:tblCellMar>
        </w:tblPrEx>
        <w:trPr>
          <w:trHeight w:val="4864" w:hRule="atLeast"/>
        </w:trPr>
        <w:tc>
          <w:tcPr>
            <w:tcW w:w="411" w:type="pct"/>
            <w:tcBorders>
              <w:top w:val="nil"/>
              <w:left w:val="single" w:color="auto" w:sz="4" w:space="0"/>
              <w:bottom w:val="single" w:color="auto" w:sz="4" w:space="0"/>
              <w:right w:val="single" w:color="auto" w:sz="4" w:space="0"/>
            </w:tcBorders>
            <w:noWrap w:val="0"/>
            <w:vAlign w:val="center"/>
          </w:tcPr>
          <w:p w14:paraId="3F6BA7EB">
            <w:pPr>
              <w:widowControl/>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3</w:t>
            </w:r>
          </w:p>
        </w:tc>
        <w:tc>
          <w:tcPr>
            <w:tcW w:w="736" w:type="pct"/>
            <w:tcBorders>
              <w:top w:val="nil"/>
              <w:left w:val="single" w:color="auto" w:sz="4" w:space="0"/>
              <w:bottom w:val="single" w:color="auto" w:sz="4" w:space="0"/>
              <w:right w:val="single" w:color="auto" w:sz="4" w:space="0"/>
            </w:tcBorders>
            <w:noWrap w:val="0"/>
            <w:vAlign w:val="center"/>
          </w:tcPr>
          <w:p w14:paraId="4D529E14">
            <w:pPr>
              <w:widowControl/>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项目负责人任职资格与业绩</w:t>
            </w:r>
          </w:p>
        </w:tc>
        <w:tc>
          <w:tcPr>
            <w:tcW w:w="2614" w:type="pct"/>
            <w:tcBorders>
              <w:top w:val="nil"/>
              <w:left w:val="nil"/>
              <w:bottom w:val="single" w:color="auto" w:sz="4" w:space="0"/>
              <w:right w:val="single" w:color="auto" w:sz="4" w:space="0"/>
            </w:tcBorders>
            <w:noWrap w:val="0"/>
            <w:vAlign w:val="center"/>
          </w:tcPr>
          <w:p w14:paraId="68CD8B81">
            <w:pPr>
              <w:widowControl/>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1、具有</w:t>
            </w:r>
            <w:r>
              <w:rPr>
                <w:rFonts w:hint="eastAsia" w:ascii="Times New Roman" w:hAnsi="Times New Roman" w:cs="Times New Roman"/>
                <w:color w:val="auto"/>
                <w:sz w:val="24"/>
                <w:highlight w:val="none"/>
              </w:rPr>
              <w:t>公路工程相关专业</w:t>
            </w:r>
            <w:r>
              <w:rPr>
                <w:rFonts w:hint="eastAsia" w:ascii="宋体" w:hAnsi="宋体" w:cs="宋体"/>
                <w:color w:val="auto"/>
                <w:kern w:val="0"/>
                <w:sz w:val="24"/>
                <w:szCs w:val="24"/>
                <w:highlight w:val="none"/>
              </w:rPr>
              <w:t>高级</w:t>
            </w:r>
            <w:r>
              <w:rPr>
                <w:rFonts w:hint="eastAsia" w:ascii="宋体" w:hAnsi="宋体" w:cs="宋体"/>
                <w:color w:val="auto"/>
                <w:kern w:val="0"/>
                <w:sz w:val="24"/>
                <w:szCs w:val="24"/>
                <w:highlight w:val="none"/>
                <w:lang w:val="en-US" w:eastAsia="zh-CN"/>
              </w:rPr>
              <w:t>及</w:t>
            </w:r>
            <w:r>
              <w:rPr>
                <w:rFonts w:hint="eastAsia" w:ascii="宋体" w:hAnsi="宋体" w:cs="宋体"/>
                <w:color w:val="auto"/>
                <w:kern w:val="0"/>
                <w:sz w:val="24"/>
                <w:szCs w:val="24"/>
                <w:highlight w:val="none"/>
              </w:rPr>
              <w:t>以上技术职称的得5分。</w:t>
            </w:r>
          </w:p>
          <w:p w14:paraId="5A5211D1">
            <w:pPr>
              <w:widowControl/>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证明材料：（1）提供职称证书的复印件（或扫描件）或电子证书打印件加盖供应商公章，否则不得分。</w:t>
            </w:r>
          </w:p>
          <w:p w14:paraId="7BE1CC4B">
            <w:pPr>
              <w:widowControl/>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（2）公路工程相关专业职称包括公路工程、桥梁工程、公路与桥梁工程、交通土建、隧道（地下结构）工程、交通工程等专业职称，下同。</w:t>
            </w:r>
          </w:p>
          <w:p w14:paraId="6559E11B">
            <w:pPr>
              <w:widowControl/>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2、自2020年1月1日以来（以合同签订时间为准），拟派本项目的项目负责人担任过已完成的项目内容包含桥梁水下桩基检查的项目负责人或技术负责人的，每有一个项目得7分，本项最高得7分。</w:t>
            </w:r>
          </w:p>
          <w:p w14:paraId="52C92468">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证明材料：提供合同的复印件（或扫描件）加盖供应商公章，</w:t>
            </w:r>
            <w:r>
              <w:rPr>
                <w:rFonts w:ascii="Times New Roman" w:hAnsi="Times New Roman" w:cs="Times New Roman"/>
                <w:color w:val="auto"/>
                <w:sz w:val="24"/>
                <w:highlight w:val="none"/>
              </w:rPr>
              <w:t>上述材料</w:t>
            </w:r>
            <w:r>
              <w:rPr>
                <w:rFonts w:hint="eastAsia" w:ascii="Times New Roman" w:hAnsi="Times New Roman" w:cs="Times New Roman"/>
                <w:color w:val="auto"/>
                <w:sz w:val="24"/>
                <w:highlight w:val="none"/>
              </w:rPr>
              <w:t>若无法体现项目内容的须提供</w:t>
            </w:r>
            <w:r>
              <w:rPr>
                <w:rFonts w:hint="eastAsia" w:ascii="宋体" w:hAnsi="宋体" w:cs="宋体"/>
                <w:color w:val="auto"/>
                <w:kern w:val="0"/>
                <w:sz w:val="24"/>
                <w:szCs w:val="24"/>
                <w:highlight w:val="none"/>
                <w:lang w:val="en-US" w:eastAsia="zh-CN"/>
              </w:rPr>
              <w:t>成果报告</w:t>
            </w:r>
            <w:r>
              <w:rPr>
                <w:rFonts w:hint="eastAsia" w:ascii="宋体" w:hAnsi="宋体" w:cs="宋体"/>
                <w:color w:val="auto"/>
                <w:kern w:val="0"/>
                <w:sz w:val="24"/>
                <w:szCs w:val="24"/>
                <w:highlight w:val="none"/>
              </w:rPr>
              <w:t>的复印件（或扫描件）加盖供应商公章</w:t>
            </w:r>
            <w:r>
              <w:rPr>
                <w:rFonts w:ascii="Times New Roman" w:hAnsi="Times New Roman" w:cs="Times New Roman"/>
                <w:color w:val="auto"/>
                <w:sz w:val="24"/>
                <w:szCs w:val="24"/>
                <w:highlight w:val="none"/>
              </w:rPr>
              <w:t>（</w:t>
            </w:r>
            <w:r>
              <w:rPr>
                <w:rFonts w:ascii="Times New Roman" w:hAnsi="Times New Roman" w:cs="Times New Roman"/>
                <w:color w:val="auto"/>
                <w:sz w:val="24"/>
                <w:highlight w:val="none"/>
              </w:rPr>
              <w:t>若合同中未体现</w:t>
            </w:r>
            <w:r>
              <w:rPr>
                <w:rFonts w:hint="eastAsia" w:cs="Times New Roman"/>
                <w:color w:val="auto"/>
                <w:sz w:val="24"/>
                <w:highlight w:val="none"/>
                <w:lang w:val="en-US" w:eastAsia="zh-CN"/>
              </w:rPr>
              <w:t>拟派本项目的</w:t>
            </w:r>
            <w:r>
              <w:rPr>
                <w:rFonts w:ascii="Times New Roman" w:hAnsi="Times New Roman" w:cs="Times New Roman"/>
                <w:color w:val="auto"/>
                <w:sz w:val="24"/>
                <w:highlight w:val="none"/>
              </w:rPr>
              <w:t>项目负责人姓名的不予认可</w:t>
            </w:r>
            <w:r>
              <w:rPr>
                <w:rFonts w:ascii="Times New Roman" w:hAnsi="Times New Roman" w:cs="Times New Roman"/>
                <w:color w:val="auto"/>
                <w:sz w:val="24"/>
                <w:szCs w:val="24"/>
                <w:highlight w:val="none"/>
              </w:rPr>
              <w:t>）</w:t>
            </w:r>
            <w:r>
              <w:rPr>
                <w:rFonts w:hint="eastAsia" w:ascii="宋体" w:hAnsi="宋体" w:cs="宋体"/>
                <w:color w:val="auto"/>
                <w:kern w:val="0"/>
                <w:sz w:val="24"/>
                <w:szCs w:val="24"/>
                <w:highlight w:val="none"/>
              </w:rPr>
              <w:t>，否则不得分。</w:t>
            </w:r>
          </w:p>
        </w:tc>
        <w:tc>
          <w:tcPr>
            <w:tcW w:w="412" w:type="pct"/>
            <w:tcBorders>
              <w:top w:val="nil"/>
              <w:left w:val="nil"/>
              <w:bottom w:val="single" w:color="auto" w:sz="4" w:space="0"/>
              <w:right w:val="single" w:color="auto" w:sz="4" w:space="0"/>
            </w:tcBorders>
            <w:noWrap w:val="0"/>
            <w:vAlign w:val="center"/>
          </w:tcPr>
          <w:p w14:paraId="29F11657">
            <w:pPr>
              <w:widowControl/>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12分</w:t>
            </w:r>
          </w:p>
        </w:tc>
        <w:tc>
          <w:tcPr>
            <w:tcW w:w="412" w:type="pct"/>
            <w:tcBorders>
              <w:top w:val="nil"/>
              <w:left w:val="nil"/>
              <w:bottom w:val="single" w:color="auto" w:sz="4" w:space="0"/>
              <w:right w:val="single" w:color="auto" w:sz="4" w:space="0"/>
            </w:tcBorders>
            <w:noWrap w:val="0"/>
            <w:vAlign w:val="center"/>
          </w:tcPr>
          <w:p w14:paraId="59A135E9">
            <w:pPr>
              <w:widowControl/>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0分</w:t>
            </w:r>
          </w:p>
        </w:tc>
        <w:tc>
          <w:tcPr>
            <w:tcW w:w="413" w:type="pct"/>
            <w:tcBorders>
              <w:top w:val="nil"/>
              <w:left w:val="nil"/>
              <w:bottom w:val="single" w:color="auto" w:sz="4" w:space="0"/>
              <w:right w:val="single" w:color="auto" w:sz="4" w:space="0"/>
            </w:tcBorders>
            <w:noWrap w:val="0"/>
            <w:vAlign w:val="center"/>
          </w:tcPr>
          <w:p w14:paraId="5BC01867">
            <w:pPr>
              <w:widowControl/>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客观</w:t>
            </w:r>
          </w:p>
        </w:tc>
      </w:tr>
      <w:tr w14:paraId="5E1A615D">
        <w:tblPrEx>
          <w:tblCellMar>
            <w:top w:w="0" w:type="dxa"/>
            <w:left w:w="108" w:type="dxa"/>
            <w:bottom w:w="0" w:type="dxa"/>
            <w:right w:w="108" w:type="dxa"/>
          </w:tblCellMar>
        </w:tblPrEx>
        <w:trPr>
          <w:trHeight w:val="415" w:hRule="atLeast"/>
        </w:trPr>
        <w:tc>
          <w:tcPr>
            <w:tcW w:w="411" w:type="pct"/>
            <w:tcBorders>
              <w:top w:val="single" w:color="auto" w:sz="4" w:space="0"/>
              <w:left w:val="single" w:color="auto" w:sz="4" w:space="0"/>
              <w:bottom w:val="single" w:color="auto" w:sz="4" w:space="0"/>
              <w:right w:val="single" w:color="auto" w:sz="4" w:space="0"/>
            </w:tcBorders>
            <w:noWrap w:val="0"/>
            <w:vAlign w:val="center"/>
          </w:tcPr>
          <w:p w14:paraId="3DE85A27">
            <w:pPr>
              <w:widowControl/>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4</w:t>
            </w:r>
          </w:p>
        </w:tc>
        <w:tc>
          <w:tcPr>
            <w:tcW w:w="736" w:type="pct"/>
            <w:tcBorders>
              <w:top w:val="single" w:color="auto" w:sz="4" w:space="0"/>
              <w:left w:val="single" w:color="auto" w:sz="4" w:space="0"/>
              <w:bottom w:val="single" w:color="auto" w:sz="4" w:space="0"/>
              <w:right w:val="single" w:color="auto" w:sz="4" w:space="0"/>
            </w:tcBorders>
            <w:noWrap w:val="0"/>
            <w:vAlign w:val="center"/>
          </w:tcPr>
          <w:p w14:paraId="66EC9C58">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其他人员要求</w:t>
            </w:r>
          </w:p>
        </w:tc>
        <w:tc>
          <w:tcPr>
            <w:tcW w:w="2614" w:type="pct"/>
            <w:tcBorders>
              <w:top w:val="single" w:color="auto" w:sz="4" w:space="0"/>
              <w:left w:val="nil"/>
              <w:bottom w:val="single" w:color="auto" w:sz="4" w:space="0"/>
              <w:right w:val="single" w:color="auto" w:sz="4" w:space="0"/>
            </w:tcBorders>
            <w:noWrap w:val="0"/>
            <w:vAlign w:val="center"/>
          </w:tcPr>
          <w:p w14:paraId="3CB4BE26">
            <w:pPr>
              <w:widowControl/>
              <w:jc w:val="left"/>
              <w:rPr>
                <w:rFonts w:hint="eastAsia"/>
                <w:color w:val="auto"/>
                <w:sz w:val="24"/>
                <w:highlight w:val="none"/>
              </w:rPr>
            </w:pPr>
            <w:r>
              <w:rPr>
                <w:rFonts w:hint="eastAsia"/>
                <w:color w:val="auto"/>
                <w:sz w:val="24"/>
                <w:highlight w:val="none"/>
              </w:rPr>
              <w:t>1、拟投入本项</w:t>
            </w:r>
            <w:r>
              <w:rPr>
                <w:rFonts w:hint="eastAsia" w:ascii="Times New Roman" w:hAnsi="Times New Roman" w:cs="Times New Roman"/>
                <w:color w:val="auto"/>
                <w:sz w:val="24"/>
                <w:highlight w:val="none"/>
              </w:rPr>
              <w:t>目的其他人员（除项目负责人外），每有一人具有公路工程相关专业工程师及以上职称的加3分；每有一人具有公路工程相关专业高级及以上技术职称的加4分；本项</w:t>
            </w:r>
            <w:r>
              <w:rPr>
                <w:rFonts w:hint="eastAsia"/>
                <w:color w:val="auto"/>
                <w:sz w:val="24"/>
                <w:highlight w:val="none"/>
              </w:rPr>
              <w:t>最高得12分。</w:t>
            </w:r>
          </w:p>
          <w:p w14:paraId="391817F8">
            <w:pPr>
              <w:widowControl/>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证明材料：</w:t>
            </w:r>
            <w:r>
              <w:rPr>
                <w:rFonts w:hint="eastAsia"/>
                <w:color w:val="auto"/>
                <w:sz w:val="24"/>
                <w:highlight w:val="none"/>
              </w:rPr>
              <w:t>（1）</w:t>
            </w:r>
            <w:r>
              <w:rPr>
                <w:rFonts w:hint="eastAsia" w:ascii="宋体" w:hAnsi="宋体" w:cs="宋体"/>
                <w:color w:val="auto"/>
                <w:kern w:val="0"/>
                <w:sz w:val="24"/>
                <w:szCs w:val="24"/>
                <w:highlight w:val="none"/>
              </w:rPr>
              <w:t>提供职称证书的复印件（或扫描件）或电子证书打印件加盖供应商公章，否则不得分。</w:t>
            </w:r>
          </w:p>
          <w:p w14:paraId="3B776873">
            <w:pPr>
              <w:widowControl/>
              <w:jc w:val="left"/>
              <w:rPr>
                <w:color w:val="auto"/>
                <w:sz w:val="24"/>
                <w:highlight w:val="none"/>
              </w:rPr>
            </w:pPr>
            <w:r>
              <w:rPr>
                <w:rFonts w:hint="eastAsia"/>
                <w:color w:val="auto"/>
                <w:sz w:val="24"/>
                <w:highlight w:val="none"/>
              </w:rPr>
              <w:t>（2）同一人有多种证书仅计分一次。</w:t>
            </w:r>
          </w:p>
          <w:p w14:paraId="5146DAD3">
            <w:pPr>
              <w:widowControl/>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2、上述人员自2020年1月1日以来（以合同签订时间为准），参与过已完成的项目内容包含桥梁下部结构检查的，每有一个项目得5分，本项最高得15分。</w:t>
            </w:r>
          </w:p>
          <w:p w14:paraId="76E14D7E">
            <w:pPr>
              <w:widowControl/>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证明材料：</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1</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提供合同的复印件（或扫描件）加盖供应商公章，</w:t>
            </w:r>
            <w:r>
              <w:rPr>
                <w:rFonts w:ascii="Times New Roman" w:hAnsi="Times New Roman" w:cs="Times New Roman"/>
                <w:color w:val="auto"/>
                <w:sz w:val="24"/>
                <w:highlight w:val="none"/>
              </w:rPr>
              <w:t>上述材料</w:t>
            </w:r>
            <w:r>
              <w:rPr>
                <w:rFonts w:hint="eastAsia" w:ascii="Times New Roman" w:hAnsi="Times New Roman" w:cs="Times New Roman"/>
                <w:color w:val="auto"/>
                <w:sz w:val="24"/>
                <w:highlight w:val="none"/>
              </w:rPr>
              <w:t>若无法体现项目内容的须提供</w:t>
            </w:r>
            <w:r>
              <w:rPr>
                <w:rFonts w:hint="eastAsia" w:ascii="宋体" w:hAnsi="宋体" w:cs="宋体"/>
                <w:color w:val="auto"/>
                <w:kern w:val="0"/>
                <w:sz w:val="24"/>
                <w:szCs w:val="24"/>
                <w:highlight w:val="none"/>
                <w:lang w:val="en-US" w:eastAsia="zh-CN"/>
              </w:rPr>
              <w:t>成果报告</w:t>
            </w:r>
            <w:r>
              <w:rPr>
                <w:rFonts w:hint="eastAsia" w:ascii="宋体" w:hAnsi="宋体" w:cs="宋体"/>
                <w:color w:val="auto"/>
                <w:kern w:val="0"/>
                <w:sz w:val="24"/>
                <w:szCs w:val="24"/>
                <w:highlight w:val="none"/>
              </w:rPr>
              <w:t>的复印件（或扫描件）加盖供应商公章</w:t>
            </w:r>
            <w:r>
              <w:rPr>
                <w:rFonts w:ascii="Times New Roman" w:hAnsi="Times New Roman" w:cs="Times New Roman"/>
                <w:color w:val="auto"/>
                <w:sz w:val="24"/>
                <w:szCs w:val="24"/>
                <w:highlight w:val="none"/>
              </w:rPr>
              <w:t>（</w:t>
            </w:r>
            <w:r>
              <w:rPr>
                <w:rFonts w:ascii="Times New Roman" w:hAnsi="Times New Roman" w:cs="Times New Roman"/>
                <w:color w:val="auto"/>
                <w:sz w:val="24"/>
                <w:highlight w:val="none"/>
              </w:rPr>
              <w:t>若合同中未体现</w:t>
            </w:r>
            <w:r>
              <w:rPr>
                <w:rFonts w:hint="eastAsia" w:cs="Times New Roman"/>
                <w:color w:val="auto"/>
                <w:sz w:val="24"/>
                <w:highlight w:val="none"/>
                <w:lang w:val="en-US" w:eastAsia="zh-CN"/>
              </w:rPr>
              <w:t>拟派本项目的其他</w:t>
            </w:r>
            <w:r>
              <w:rPr>
                <w:rFonts w:hint="eastAsia" w:ascii="Times New Roman" w:hAnsi="Times New Roman" w:cs="Times New Roman"/>
                <w:color w:val="auto"/>
                <w:sz w:val="24"/>
                <w:highlight w:val="none"/>
              </w:rPr>
              <w:t>人员</w:t>
            </w:r>
            <w:r>
              <w:rPr>
                <w:rFonts w:ascii="Times New Roman" w:hAnsi="Times New Roman" w:cs="Times New Roman"/>
                <w:color w:val="auto"/>
                <w:sz w:val="24"/>
                <w:highlight w:val="none"/>
              </w:rPr>
              <w:t>姓名的不予认可</w:t>
            </w:r>
            <w:r>
              <w:rPr>
                <w:rFonts w:ascii="Times New Roman" w:hAnsi="Times New Roman" w:cs="Times New Roman"/>
                <w:color w:val="auto"/>
                <w:sz w:val="24"/>
                <w:szCs w:val="24"/>
                <w:highlight w:val="none"/>
              </w:rPr>
              <w:t>）</w:t>
            </w:r>
            <w:r>
              <w:rPr>
                <w:rFonts w:hint="eastAsia" w:ascii="宋体" w:hAnsi="宋体" w:cs="宋体"/>
                <w:color w:val="auto"/>
                <w:kern w:val="0"/>
                <w:sz w:val="24"/>
                <w:szCs w:val="24"/>
                <w:highlight w:val="none"/>
              </w:rPr>
              <w:t>，否则不得分。</w:t>
            </w:r>
          </w:p>
          <w:p w14:paraId="66E7E872">
            <w:pPr>
              <w:widowControl/>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w:t>
            </w:r>
            <w:r>
              <w:rPr>
                <w:rFonts w:ascii="Times New Roman" w:hAnsi="Times New Roman" w:cs="Times New Roman"/>
                <w:color w:val="auto"/>
                <w:sz w:val="24"/>
                <w:highlight w:val="none"/>
              </w:rPr>
              <w:t>每人有多项业绩的，仅计分1次。</w:t>
            </w:r>
          </w:p>
        </w:tc>
        <w:tc>
          <w:tcPr>
            <w:tcW w:w="412" w:type="pct"/>
            <w:tcBorders>
              <w:top w:val="single" w:color="auto" w:sz="4" w:space="0"/>
              <w:left w:val="nil"/>
              <w:bottom w:val="single" w:color="auto" w:sz="4" w:space="0"/>
              <w:right w:val="single" w:color="auto" w:sz="4" w:space="0"/>
            </w:tcBorders>
            <w:noWrap w:val="0"/>
            <w:vAlign w:val="center"/>
          </w:tcPr>
          <w:p w14:paraId="5758D021">
            <w:pPr>
              <w:widowControl/>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27分</w:t>
            </w:r>
          </w:p>
        </w:tc>
        <w:tc>
          <w:tcPr>
            <w:tcW w:w="412" w:type="pct"/>
            <w:tcBorders>
              <w:top w:val="single" w:color="auto" w:sz="4" w:space="0"/>
              <w:left w:val="nil"/>
              <w:bottom w:val="single" w:color="auto" w:sz="4" w:space="0"/>
              <w:right w:val="single" w:color="auto" w:sz="4" w:space="0"/>
            </w:tcBorders>
            <w:noWrap w:val="0"/>
            <w:vAlign w:val="center"/>
          </w:tcPr>
          <w:p w14:paraId="38954A35">
            <w:pPr>
              <w:widowControl/>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0分</w:t>
            </w:r>
          </w:p>
        </w:tc>
        <w:tc>
          <w:tcPr>
            <w:tcW w:w="413" w:type="pct"/>
            <w:tcBorders>
              <w:top w:val="single" w:color="auto" w:sz="4" w:space="0"/>
              <w:left w:val="nil"/>
              <w:bottom w:val="single" w:color="auto" w:sz="4" w:space="0"/>
              <w:right w:val="single" w:color="auto" w:sz="4" w:space="0"/>
            </w:tcBorders>
            <w:noWrap w:val="0"/>
            <w:vAlign w:val="center"/>
          </w:tcPr>
          <w:p w14:paraId="3AF0D066">
            <w:pPr>
              <w:widowControl/>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客观</w:t>
            </w:r>
          </w:p>
        </w:tc>
      </w:tr>
    </w:tbl>
    <w:p w14:paraId="321856CD">
      <w:pPr>
        <w:autoSpaceDE w:val="0"/>
        <w:autoSpaceDN w:val="0"/>
        <w:adjustRightInd w:val="0"/>
        <w:snapToGrid w:val="0"/>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（二）价格分（10分）</w:t>
      </w:r>
    </w:p>
    <w:p w14:paraId="07201065">
      <w:pPr>
        <w:autoSpaceDE w:val="0"/>
        <w:autoSpaceDN w:val="0"/>
        <w:adjustRightInd w:val="0"/>
        <w:snapToGrid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价格分统一采用低价优先法计算，即满足磋商文件要求且最后报价最低的供应商的价格为磋商基准价，其价格分为满分。其他供应商的价格分统一按照下列公式计算：</w:t>
      </w:r>
    </w:p>
    <w:p w14:paraId="4169EB1D">
      <w:pPr>
        <w:autoSpaceDE w:val="0"/>
        <w:autoSpaceDN w:val="0"/>
        <w:adjustRightInd w:val="0"/>
        <w:snapToGrid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磋商报</w:t>
      </w:r>
      <w:r>
        <w:rPr>
          <w:rFonts w:hint="eastAsia" w:ascii="宋体" w:hAnsi="宋体" w:cs="宋体"/>
          <w:color w:val="auto"/>
          <w:sz w:val="24"/>
          <w:highlight w:val="none"/>
          <w:lang w:val="zh-CN"/>
        </w:rPr>
        <w:t>价得分=（磋商基准价/最后磋商报价）×</w:t>
      </w:r>
      <w:r>
        <w:rPr>
          <w:rFonts w:hint="eastAsia" w:ascii="宋体" w:hAnsi="宋体" w:cs="宋体"/>
          <w:color w:val="auto"/>
          <w:sz w:val="24"/>
          <w:highlight w:val="none"/>
        </w:rPr>
        <w:t>10%</w:t>
      </w:r>
      <w:r>
        <w:rPr>
          <w:rFonts w:hint="eastAsia" w:ascii="宋体" w:hAnsi="宋体" w:cs="宋体"/>
          <w:color w:val="auto"/>
          <w:sz w:val="24"/>
          <w:highlight w:val="none"/>
          <w:lang w:val="zh-CN"/>
        </w:rPr>
        <w:t>×100</w:t>
      </w:r>
    </w:p>
    <w:p w14:paraId="71C9C07A">
      <w:pPr>
        <w:autoSpaceDE w:val="0"/>
        <w:autoSpaceDN w:val="0"/>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项目评审过程中，不得去掉最后报价中的最高报价和最低报价，分值采用四舍五入法保留小数点后两位。</w:t>
      </w:r>
    </w:p>
    <w:p w14:paraId="37A833FA">
      <w:pPr>
        <w:autoSpaceDE w:val="0"/>
        <w:autoSpaceDN w:val="0"/>
        <w:adjustRightInd w:val="0"/>
        <w:snapToGrid w:val="0"/>
        <w:spacing w:line="360" w:lineRule="auto"/>
        <w:ind w:firstLine="482" w:firstLineChars="200"/>
        <w:rPr>
          <w:rFonts w:hint="eastAsia" w:ascii="宋体" w:hAnsi="宋体" w:cs="宋体"/>
          <w:b/>
          <w:color w:val="auto"/>
          <w:sz w:val="24"/>
          <w:highlight w:val="none"/>
          <w:lang w:val="zh-CN"/>
        </w:rPr>
      </w:pPr>
      <w:r>
        <w:rPr>
          <w:rFonts w:hint="eastAsia" w:ascii="宋体" w:hAnsi="宋体" w:cs="宋体"/>
          <w:b/>
          <w:color w:val="auto"/>
          <w:sz w:val="24"/>
          <w:highlight w:val="none"/>
          <w:lang w:val="zh-CN"/>
        </w:rPr>
        <w:t>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14:paraId="449EF003">
      <w:pPr>
        <w:autoSpaceDE w:val="0"/>
        <w:autoSpaceDN w:val="0"/>
        <w:adjustRightInd w:val="0"/>
        <w:snapToGrid w:val="0"/>
        <w:spacing w:line="360" w:lineRule="auto"/>
        <w:ind w:firstLine="482" w:firstLineChars="200"/>
        <w:rPr>
          <w:rFonts w:hint="default" w:ascii="宋体" w:hAnsi="宋体" w:cs="宋体"/>
          <w:b/>
          <w:bCs/>
          <w:color w:val="auto"/>
          <w:sz w:val="24"/>
          <w:highlight w:val="none"/>
          <w:lang w:val="en-US" w:eastAsia="zh-CN"/>
        </w:rPr>
      </w:pPr>
      <w:r>
        <w:rPr>
          <w:rFonts w:hint="eastAsia" w:ascii="宋体" w:hAnsi="宋体" w:cs="宋体"/>
          <w:b/>
          <w:bCs/>
          <w:color w:val="auto"/>
          <w:sz w:val="24"/>
          <w:highlight w:val="none"/>
          <w:lang w:val="zh-CN"/>
        </w:rPr>
        <w:t>（</w:t>
      </w:r>
      <w:r>
        <w:rPr>
          <w:rFonts w:hint="eastAsia" w:ascii="宋体" w:hAnsi="宋体" w:cs="宋体"/>
          <w:b/>
          <w:bCs/>
          <w:color w:val="auto"/>
          <w:sz w:val="24"/>
          <w:highlight w:val="none"/>
          <w:lang w:val="en-US" w:eastAsia="zh-CN"/>
        </w:rPr>
        <w:t>三</w:t>
      </w:r>
      <w:r>
        <w:rPr>
          <w:rFonts w:hint="eastAsia" w:ascii="宋体" w:hAnsi="宋体" w:cs="宋体"/>
          <w:b/>
          <w:bCs/>
          <w:color w:val="auto"/>
          <w:sz w:val="24"/>
          <w:highlight w:val="none"/>
          <w:lang w:val="zh-CN"/>
        </w:rPr>
        <w:t>）</w:t>
      </w:r>
      <w:r>
        <w:rPr>
          <w:rFonts w:hint="eastAsia" w:ascii="宋体" w:hAnsi="宋体" w:cs="宋体"/>
          <w:b/>
          <w:bCs/>
          <w:color w:val="auto"/>
          <w:sz w:val="24"/>
          <w:highlight w:val="none"/>
          <w:lang w:val="en-US" w:eastAsia="zh-CN"/>
        </w:rPr>
        <w:t>评审过程异常低价的审查</w:t>
      </w:r>
    </w:p>
    <w:p w14:paraId="58CB4E1D">
      <w:pPr>
        <w:autoSpaceDE w:val="0"/>
        <w:autoSpaceDN w:val="0"/>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评审过程中出现下列情形之一的，</w:t>
      </w:r>
      <w:r>
        <w:rPr>
          <w:rFonts w:hint="eastAsia" w:ascii="宋体" w:hAnsi="宋体" w:cs="宋体"/>
          <w:color w:val="auto"/>
          <w:sz w:val="24"/>
          <w:highlight w:val="none"/>
          <w:lang w:val="en-US" w:eastAsia="zh-CN"/>
        </w:rPr>
        <w:t>磋商小组</w:t>
      </w:r>
      <w:r>
        <w:rPr>
          <w:rFonts w:hint="eastAsia" w:ascii="宋体" w:hAnsi="宋体" w:cs="宋体"/>
          <w:color w:val="auto"/>
          <w:sz w:val="24"/>
          <w:highlight w:val="none"/>
        </w:rPr>
        <w:t>应当启动异常低价投标（响应）审查程序：</w:t>
      </w:r>
    </w:p>
    <w:p w14:paraId="14BC8AB0">
      <w:pPr>
        <w:autoSpaceDE w:val="0"/>
        <w:autoSpaceDN w:val="0"/>
        <w:adjustRightInd w:val="0"/>
        <w:snapToGri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w:t>
      </w:r>
      <w:r>
        <w:rPr>
          <w:rFonts w:hint="eastAsia" w:ascii="宋体" w:hAnsi="宋体" w:cs="宋体"/>
          <w:color w:val="auto"/>
          <w:sz w:val="24"/>
          <w:highlight w:val="none"/>
        </w:rPr>
        <w:t>投标（响应）报价低于采购项目预算50%的，即投标（响应）报价&lt;采购项目预算×50%</w:t>
      </w:r>
      <w:r>
        <w:rPr>
          <w:rFonts w:hint="eastAsia" w:ascii="宋体" w:hAnsi="宋体" w:cs="宋体"/>
          <w:color w:val="auto"/>
          <w:sz w:val="24"/>
          <w:highlight w:val="none"/>
          <w:lang w:eastAsia="zh-CN"/>
        </w:rPr>
        <w:t>；</w:t>
      </w:r>
    </w:p>
    <w:p w14:paraId="72B7A558">
      <w:pPr>
        <w:autoSpaceDE w:val="0"/>
        <w:autoSpaceDN w:val="0"/>
        <w:adjustRightInd w:val="0"/>
        <w:snapToGri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w:t>
      </w:r>
      <w:r>
        <w:rPr>
          <w:rFonts w:hint="eastAsia" w:ascii="宋体" w:hAnsi="宋体" w:cs="宋体"/>
          <w:color w:val="auto"/>
          <w:sz w:val="24"/>
          <w:highlight w:val="none"/>
        </w:rPr>
        <w:t>投标（响应）报价低于采购项目最高限价45%的，即投标（响应）报价&lt;采购项目最高限价×45%</w:t>
      </w:r>
      <w:r>
        <w:rPr>
          <w:rFonts w:hint="eastAsia" w:ascii="宋体" w:hAnsi="宋体" w:cs="宋体"/>
          <w:color w:val="auto"/>
          <w:sz w:val="24"/>
          <w:highlight w:val="none"/>
          <w:lang w:eastAsia="zh-CN"/>
        </w:rPr>
        <w:t>；</w:t>
      </w:r>
    </w:p>
    <w:p w14:paraId="106E8FCC">
      <w:pPr>
        <w:autoSpaceDE w:val="0"/>
        <w:autoSpaceDN w:val="0"/>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磋商小组</w:t>
      </w:r>
      <w:r>
        <w:rPr>
          <w:rFonts w:hint="eastAsia" w:ascii="宋体" w:hAnsi="宋体" w:cs="宋体"/>
          <w:color w:val="auto"/>
          <w:sz w:val="24"/>
          <w:highlight w:val="none"/>
        </w:rPr>
        <w:t>认定的供应商报价过低、有可能影响产品质量或者不能诚信履约的其他情形。</w:t>
      </w:r>
    </w:p>
    <w:p w14:paraId="21D6307D">
      <w:pPr>
        <w:autoSpaceDE w:val="0"/>
        <w:autoSpaceDN w:val="0"/>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启动异常低价投标（响应）审查</w:t>
      </w:r>
    </w:p>
    <w:p w14:paraId="5B8C947A">
      <w:pPr>
        <w:autoSpaceDE w:val="0"/>
        <w:autoSpaceDN w:val="0"/>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磋商小组</w:t>
      </w:r>
      <w:r>
        <w:rPr>
          <w:rFonts w:hint="eastAsia" w:ascii="宋体" w:hAnsi="宋体" w:cs="宋体"/>
          <w:color w:val="auto"/>
          <w:sz w:val="24"/>
          <w:highlight w:val="none"/>
        </w:rPr>
        <w:t>应当要求相关供应商在评标现场合理的时间内，提供项目具体成本测算等与报价合理性相关的书面说明及相关证明材料，对投标（响应）价格作出解释，由</w:t>
      </w:r>
      <w:r>
        <w:rPr>
          <w:rFonts w:hint="eastAsia" w:ascii="宋体" w:hAnsi="宋体" w:cs="宋体"/>
          <w:color w:val="auto"/>
          <w:sz w:val="24"/>
          <w:highlight w:val="none"/>
          <w:lang w:val="en-US" w:eastAsia="zh-CN"/>
        </w:rPr>
        <w:t>磋商小组</w:t>
      </w:r>
      <w:r>
        <w:rPr>
          <w:rFonts w:hint="eastAsia" w:ascii="宋体" w:hAnsi="宋体" w:cs="宋体"/>
          <w:color w:val="auto"/>
          <w:sz w:val="24"/>
          <w:highlight w:val="none"/>
        </w:rPr>
        <w:t>结合同类产品在主要电商平台的价格、该行业当地薪资水平等情况，依据专业经验对供应商报价合理性进行判断。投标（响应）供应商不提供书面说明、证明材料，或者提供的书面说明、证明材料不能证明其报价合理性的，</w:t>
      </w:r>
      <w:r>
        <w:rPr>
          <w:rFonts w:hint="eastAsia" w:ascii="宋体" w:hAnsi="宋体" w:cs="宋体"/>
          <w:color w:val="auto"/>
          <w:sz w:val="24"/>
          <w:highlight w:val="none"/>
          <w:lang w:val="en-US" w:eastAsia="zh-CN"/>
        </w:rPr>
        <w:t>磋商小组</w:t>
      </w:r>
      <w:r>
        <w:rPr>
          <w:rFonts w:hint="eastAsia" w:ascii="宋体" w:hAnsi="宋体" w:cs="宋体"/>
          <w:color w:val="auto"/>
          <w:sz w:val="24"/>
          <w:highlight w:val="none"/>
        </w:rPr>
        <w:t>应当将其作为无效投标（响应）处理。审查相关情况应当在评审报告中进行记录。</w:t>
      </w:r>
    </w:p>
    <w:p w14:paraId="77CB9111">
      <w:pPr>
        <w:snapToGrid w:val="0"/>
        <w:spacing w:line="360" w:lineRule="auto"/>
        <w:ind w:firstLine="555"/>
        <w:rPr>
          <w:rFonts w:ascii="宋体" w:hAnsi="宋体" w:cs="宋体"/>
          <w:b/>
          <w:color w:val="auto"/>
          <w:sz w:val="24"/>
          <w:highlight w:val="none"/>
        </w:rPr>
      </w:pPr>
      <w:r>
        <w:rPr>
          <w:rFonts w:hint="eastAsia" w:ascii="宋体" w:hAnsi="宋体" w:cs="宋体"/>
          <w:b/>
          <w:color w:val="auto"/>
          <w:sz w:val="24"/>
          <w:highlight w:val="none"/>
        </w:rPr>
        <w:t>七、政府采购政策功能落实</w:t>
      </w:r>
    </w:p>
    <w:p w14:paraId="4D2B99EA">
      <w:pPr>
        <w:snapToGrid w:val="0"/>
        <w:spacing w:line="360" w:lineRule="auto"/>
        <w:ind w:firstLine="555"/>
        <w:rPr>
          <w:rFonts w:ascii="宋体" w:hAnsi="宋体" w:cs="宋体"/>
          <w:color w:val="auto"/>
          <w:sz w:val="24"/>
          <w:highlight w:val="none"/>
        </w:rPr>
      </w:pPr>
      <w:r>
        <w:rPr>
          <w:rFonts w:hint="eastAsia" w:ascii="宋体" w:hAnsi="宋体" w:cs="宋体"/>
          <w:color w:val="auto"/>
          <w:sz w:val="24"/>
          <w:highlight w:val="none"/>
        </w:rPr>
        <w:t>1.小微型企业价格扣除</w:t>
      </w:r>
    </w:p>
    <w:p w14:paraId="46E4B76C">
      <w:pPr>
        <w:snapToGrid w:val="0"/>
        <w:spacing w:line="360" w:lineRule="auto"/>
        <w:ind w:firstLine="555"/>
        <w:rPr>
          <w:rFonts w:ascii="宋体" w:hAnsi="宋体" w:cs="宋体"/>
          <w:color w:val="auto"/>
          <w:sz w:val="24"/>
          <w:highlight w:val="none"/>
        </w:rPr>
      </w:pPr>
      <w:r>
        <w:rPr>
          <w:rFonts w:hint="eastAsia" w:ascii="宋体" w:hAnsi="宋体" w:cs="宋体"/>
          <w:color w:val="auto"/>
          <w:sz w:val="24"/>
          <w:highlight w:val="none"/>
        </w:rPr>
        <w:t>（1）本项目对小型和微型企业产品给予20%的扣除价格，用扣除后的价格参与评审。</w:t>
      </w:r>
    </w:p>
    <w:p w14:paraId="5AAEFE4F">
      <w:pPr>
        <w:snapToGrid w:val="0"/>
        <w:spacing w:line="360" w:lineRule="auto"/>
        <w:ind w:firstLine="555"/>
        <w:rPr>
          <w:rFonts w:ascii="宋体" w:hAnsi="宋体" w:cs="宋体"/>
          <w:color w:val="auto"/>
          <w:sz w:val="24"/>
          <w:highlight w:val="none"/>
        </w:rPr>
      </w:pPr>
      <w:r>
        <w:rPr>
          <w:rFonts w:hint="eastAsia" w:ascii="宋体" w:hAnsi="宋体" w:cs="宋体"/>
          <w:color w:val="auto"/>
          <w:sz w:val="24"/>
          <w:highlight w:val="none"/>
        </w:rPr>
        <w:t>（2）供应商需按照采购文件的要求提供相应的《小型、微型企业声明函》。</w:t>
      </w:r>
    </w:p>
    <w:p w14:paraId="74B310C6">
      <w:pPr>
        <w:snapToGrid w:val="0"/>
        <w:spacing w:line="360" w:lineRule="auto"/>
        <w:ind w:firstLine="555"/>
        <w:rPr>
          <w:rFonts w:ascii="宋体" w:hAnsi="宋体" w:cs="宋体"/>
          <w:color w:val="auto"/>
          <w:sz w:val="24"/>
          <w:highlight w:val="none"/>
        </w:rPr>
      </w:pPr>
      <w:r>
        <w:rPr>
          <w:rFonts w:hint="eastAsia" w:ascii="宋体" w:hAnsi="宋体" w:cs="宋体"/>
          <w:color w:val="auto"/>
          <w:sz w:val="24"/>
          <w:highlight w:val="none"/>
        </w:rPr>
        <w:t>（3）企业标准请参照《关于印发中小企业划型标准规定的通知》（工信部联企业[2011]300号）文件规定自行填写。</w:t>
      </w:r>
    </w:p>
    <w:p w14:paraId="7E313071">
      <w:pPr>
        <w:snapToGrid w:val="0"/>
        <w:spacing w:line="360" w:lineRule="auto"/>
        <w:ind w:firstLine="555"/>
        <w:rPr>
          <w:rFonts w:ascii="宋体" w:hAnsi="宋体" w:cs="宋体"/>
          <w:color w:val="auto"/>
          <w:sz w:val="24"/>
          <w:highlight w:val="none"/>
        </w:rPr>
      </w:pPr>
      <w:r>
        <w:rPr>
          <w:rFonts w:hint="eastAsia" w:ascii="宋体" w:hAnsi="宋体" w:cs="宋体"/>
          <w:color w:val="auto"/>
          <w:sz w:val="24"/>
          <w:highlight w:val="none"/>
        </w:rPr>
        <w:t>2.残疾人福利单位价格扣除</w:t>
      </w:r>
    </w:p>
    <w:p w14:paraId="198301C8">
      <w:pPr>
        <w:snapToGrid w:val="0"/>
        <w:spacing w:line="360" w:lineRule="auto"/>
        <w:ind w:firstLine="555"/>
        <w:rPr>
          <w:rFonts w:ascii="宋体" w:hAnsi="宋体" w:cs="宋体"/>
          <w:color w:val="auto"/>
          <w:sz w:val="24"/>
          <w:highlight w:val="none"/>
        </w:rPr>
      </w:pPr>
      <w:r>
        <w:rPr>
          <w:rFonts w:hint="eastAsia" w:ascii="宋体" w:hAnsi="宋体" w:cs="宋体"/>
          <w:color w:val="auto"/>
          <w:sz w:val="24"/>
          <w:highlight w:val="none"/>
        </w:rPr>
        <w:t>（1）本项目对残疾人福利性单位视同小型、微型企业，给予20%的价格扣除，用扣除后的价格参与评审。</w:t>
      </w:r>
    </w:p>
    <w:p w14:paraId="37B22FD2">
      <w:pPr>
        <w:snapToGrid w:val="0"/>
        <w:spacing w:line="360" w:lineRule="auto"/>
        <w:ind w:firstLine="555"/>
        <w:rPr>
          <w:rFonts w:ascii="宋体" w:hAnsi="宋体" w:cs="宋体"/>
          <w:color w:val="auto"/>
          <w:sz w:val="24"/>
          <w:highlight w:val="none"/>
        </w:rPr>
      </w:pPr>
      <w:r>
        <w:rPr>
          <w:rFonts w:hint="eastAsia" w:ascii="宋体" w:hAnsi="宋体" w:cs="宋体"/>
          <w:color w:val="auto"/>
          <w:sz w:val="24"/>
          <w:highlight w:val="none"/>
        </w:rPr>
        <w:t>（2）残疾人福利单位需按照采购文件的要求提供《残疾人福利性单位声明函》。</w:t>
      </w:r>
    </w:p>
    <w:p w14:paraId="40688837">
      <w:pPr>
        <w:snapToGrid w:val="0"/>
        <w:spacing w:line="360" w:lineRule="auto"/>
        <w:ind w:firstLine="555"/>
        <w:rPr>
          <w:rFonts w:ascii="宋体" w:hAnsi="宋体" w:cs="宋体"/>
          <w:color w:val="auto"/>
          <w:sz w:val="24"/>
          <w:highlight w:val="none"/>
        </w:rPr>
      </w:pPr>
      <w:r>
        <w:rPr>
          <w:rFonts w:hint="eastAsia" w:ascii="宋体" w:hAnsi="宋体" w:cs="宋体"/>
          <w:color w:val="auto"/>
          <w:sz w:val="24"/>
          <w:highlight w:val="none"/>
        </w:rPr>
        <w:t>（3）残疾人福利单位标准请参照《关于促进残疾人就业政府采购政策的通知》（财库〔2017〕141号）。</w:t>
      </w:r>
    </w:p>
    <w:p w14:paraId="0B4FD592">
      <w:pPr>
        <w:snapToGrid w:val="0"/>
        <w:spacing w:line="360" w:lineRule="auto"/>
        <w:ind w:firstLine="555"/>
        <w:rPr>
          <w:rFonts w:ascii="宋体" w:hAnsi="宋体" w:cs="宋体"/>
          <w:color w:val="auto"/>
          <w:sz w:val="24"/>
          <w:highlight w:val="none"/>
        </w:rPr>
      </w:pPr>
      <w:r>
        <w:rPr>
          <w:rFonts w:hint="eastAsia" w:ascii="宋体" w:hAnsi="宋体" w:cs="宋体"/>
          <w:color w:val="auto"/>
          <w:sz w:val="24"/>
          <w:highlight w:val="none"/>
        </w:rPr>
        <w:t>3.监狱和戒毒企业价格扣除</w:t>
      </w:r>
    </w:p>
    <w:p w14:paraId="5148D338">
      <w:pPr>
        <w:snapToGrid w:val="0"/>
        <w:spacing w:line="360" w:lineRule="auto"/>
        <w:ind w:firstLine="555"/>
        <w:rPr>
          <w:rFonts w:ascii="宋体" w:hAnsi="宋体" w:cs="宋体"/>
          <w:color w:val="auto"/>
          <w:sz w:val="24"/>
          <w:highlight w:val="none"/>
        </w:rPr>
      </w:pPr>
      <w:r>
        <w:rPr>
          <w:rFonts w:hint="eastAsia" w:ascii="宋体" w:hAnsi="宋体" w:cs="宋体"/>
          <w:color w:val="auto"/>
          <w:sz w:val="24"/>
          <w:highlight w:val="none"/>
        </w:rPr>
        <w:t>（1）本项目对监狱和戒毒企业（简称监狱企业）视同小型、微型企业，给予20%的价格扣除，用扣除后的价格参与评审。</w:t>
      </w:r>
    </w:p>
    <w:p w14:paraId="3C002097">
      <w:pPr>
        <w:snapToGrid w:val="0"/>
        <w:spacing w:line="360" w:lineRule="auto"/>
        <w:ind w:firstLine="555"/>
        <w:rPr>
          <w:rFonts w:ascii="宋体" w:hAnsi="宋体" w:cs="宋体"/>
          <w:color w:val="auto"/>
          <w:sz w:val="24"/>
          <w:highlight w:val="none"/>
        </w:rPr>
      </w:pPr>
      <w:r>
        <w:rPr>
          <w:rFonts w:hint="eastAsia" w:ascii="宋体" w:hAnsi="宋体" w:cs="宋体"/>
          <w:color w:val="auto"/>
          <w:sz w:val="24"/>
          <w:highlight w:val="none"/>
        </w:rPr>
        <w:t>（2）监狱企业参加政府采购活动时，需提供由省级以上监狱管理局、戒毒管理局(含新疆生产建设兵团)出具的属于监狱企业的证明文件。供应商如不提供上述证明文件，价格将不做相应扣除。</w:t>
      </w:r>
    </w:p>
    <w:p w14:paraId="49D7E265">
      <w:pPr>
        <w:snapToGrid w:val="0"/>
        <w:spacing w:line="360" w:lineRule="auto"/>
        <w:ind w:firstLine="555"/>
        <w:rPr>
          <w:rFonts w:ascii="宋体" w:hAnsi="宋体" w:cs="宋体"/>
          <w:color w:val="auto"/>
          <w:sz w:val="24"/>
          <w:highlight w:val="none"/>
        </w:rPr>
      </w:pPr>
      <w:r>
        <w:rPr>
          <w:rFonts w:hint="eastAsia" w:ascii="宋体" w:hAnsi="宋体" w:cs="宋体"/>
          <w:color w:val="auto"/>
          <w:sz w:val="24"/>
          <w:highlight w:val="none"/>
        </w:rPr>
        <w:t>（3）监狱企业标准请参照《关于政府采购支持监狱企业发展有关问题的通知》（财库[2014]68号）。</w:t>
      </w:r>
    </w:p>
    <w:p w14:paraId="7172D385">
      <w:pPr>
        <w:snapToGrid w:val="0"/>
        <w:spacing w:line="360" w:lineRule="auto"/>
        <w:ind w:firstLine="555"/>
        <w:rPr>
          <w:rFonts w:ascii="宋体" w:hAnsi="宋体" w:cs="宋体"/>
          <w:color w:val="auto"/>
          <w:sz w:val="24"/>
          <w:highlight w:val="none"/>
        </w:rPr>
      </w:pPr>
      <w:r>
        <w:rPr>
          <w:rFonts w:hint="eastAsia" w:ascii="宋体" w:hAnsi="宋体" w:cs="宋体"/>
          <w:color w:val="auto"/>
          <w:sz w:val="24"/>
          <w:highlight w:val="none"/>
          <w:lang w:eastAsia="zh-CN"/>
        </w:rPr>
        <w:t>4.</w:t>
      </w:r>
      <w:r>
        <w:rPr>
          <w:rFonts w:hint="eastAsia" w:ascii="宋体" w:hAnsi="宋体" w:cs="宋体"/>
          <w:color w:val="auto"/>
          <w:sz w:val="24"/>
          <w:highlight w:val="none"/>
        </w:rPr>
        <w:t>残疾人福利单位、监狱企业属于小型、微型企业的，不重复享受政策。</w:t>
      </w:r>
    </w:p>
    <w:p w14:paraId="7B7B952F">
      <w:pPr>
        <w:snapToGrid w:val="0"/>
        <w:spacing w:line="360" w:lineRule="auto"/>
        <w:ind w:firstLine="555"/>
        <w:rPr>
          <w:rFonts w:ascii="宋体" w:hAnsi="宋体" w:cs="宋体"/>
          <w:b/>
          <w:bCs/>
          <w:color w:val="auto"/>
          <w:sz w:val="24"/>
          <w:highlight w:val="none"/>
        </w:rPr>
      </w:pPr>
      <w:r>
        <w:rPr>
          <w:rFonts w:hint="eastAsia" w:ascii="宋体" w:hAnsi="宋体" w:cs="宋体"/>
          <w:b/>
          <w:bCs/>
          <w:color w:val="auto"/>
          <w:sz w:val="24"/>
          <w:highlight w:val="none"/>
          <w:lang w:eastAsia="zh-CN"/>
        </w:rPr>
        <w:t>5.</w:t>
      </w:r>
      <w:r>
        <w:rPr>
          <w:rFonts w:hint="eastAsia" w:ascii="宋体" w:hAnsi="宋体" w:cs="宋体"/>
          <w:b/>
          <w:bCs/>
          <w:color w:val="auto"/>
          <w:sz w:val="24"/>
          <w:highlight w:val="none"/>
        </w:rPr>
        <w:t>专门面向中小企业采购的项目或者采购包，不再执行价格评审优惠的扶持政策。</w:t>
      </w:r>
    </w:p>
    <w:p w14:paraId="2972A7B4">
      <w:pPr>
        <w:snapToGrid w:val="0"/>
        <w:spacing w:line="360" w:lineRule="auto"/>
        <w:ind w:firstLine="555"/>
        <w:rPr>
          <w:rFonts w:ascii="宋体" w:hAnsi="宋体" w:cs="宋体"/>
          <w:b/>
          <w:color w:val="auto"/>
          <w:sz w:val="24"/>
          <w:highlight w:val="none"/>
        </w:rPr>
      </w:pPr>
      <w:r>
        <w:rPr>
          <w:rFonts w:hint="eastAsia" w:ascii="宋体" w:hAnsi="宋体" w:cs="宋体"/>
          <w:b/>
          <w:color w:val="auto"/>
          <w:sz w:val="24"/>
          <w:highlight w:val="none"/>
        </w:rPr>
        <w:t>八、变更为其他方式采购的情形</w:t>
      </w:r>
    </w:p>
    <w:p w14:paraId="2855ED90">
      <w:pPr>
        <w:autoSpaceDE w:val="0"/>
        <w:autoSpaceDN w:val="0"/>
        <w:adjustRightInd w:val="0"/>
        <w:snapToGrid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提交响应文件截止时间时参加磋商的供应商不足3家的，及磋商中出现符合专业条件的供应商或对磋商文件作实质响应的供应商不足3家（规定可以2家的情形除外），除采购任务取消外，采购人视情采取其他方式采购。</w:t>
      </w:r>
      <w:r>
        <w:rPr>
          <w:rFonts w:hint="eastAsia" w:ascii="宋体" w:hAnsi="宋体" w:cs="宋体"/>
          <w:color w:val="auto"/>
          <w:sz w:val="24"/>
          <w:highlight w:val="none"/>
          <w:lang w:val="zh-CN"/>
        </w:rPr>
        <w:t>磋商文件中对供应商资质、技术等要求，将作为</w:t>
      </w:r>
      <w:r>
        <w:rPr>
          <w:rFonts w:hint="eastAsia" w:ascii="宋体" w:hAnsi="宋体" w:cs="宋体"/>
          <w:color w:val="auto"/>
          <w:sz w:val="24"/>
          <w:highlight w:val="none"/>
        </w:rPr>
        <w:t>其他</w:t>
      </w:r>
      <w:r>
        <w:rPr>
          <w:rFonts w:hint="eastAsia" w:ascii="宋体" w:hAnsi="宋体" w:cs="宋体"/>
          <w:color w:val="auto"/>
          <w:sz w:val="24"/>
          <w:highlight w:val="none"/>
          <w:lang w:val="zh-CN"/>
        </w:rPr>
        <w:t>方式采购的基本要求和依据。原已经参加磋商并符合要求的供应商，根据自愿原则，参加</w:t>
      </w:r>
      <w:r>
        <w:rPr>
          <w:rFonts w:hint="eastAsia" w:ascii="宋体" w:hAnsi="宋体" w:cs="宋体"/>
          <w:color w:val="auto"/>
          <w:sz w:val="24"/>
          <w:highlight w:val="none"/>
        </w:rPr>
        <w:t>其他</w:t>
      </w:r>
      <w:r>
        <w:rPr>
          <w:rFonts w:hint="eastAsia" w:ascii="宋体" w:hAnsi="宋体" w:cs="宋体"/>
          <w:color w:val="auto"/>
          <w:sz w:val="24"/>
          <w:highlight w:val="none"/>
          <w:lang w:val="zh-CN"/>
        </w:rPr>
        <w:t>方式采购。</w:t>
      </w:r>
    </w:p>
    <w:p w14:paraId="53FD3614">
      <w:pPr>
        <w:autoSpaceDE w:val="0"/>
        <w:autoSpaceDN w:val="0"/>
        <w:adjustRightInd w:val="0"/>
        <w:snapToGrid w:val="0"/>
        <w:spacing w:line="360" w:lineRule="auto"/>
        <w:ind w:left="-178" w:right="210" w:firstLine="636"/>
        <w:rPr>
          <w:rFonts w:ascii="宋体" w:hAnsi="宋体" w:cs="宋体"/>
          <w:b/>
          <w:color w:val="auto"/>
          <w:sz w:val="24"/>
          <w:highlight w:val="none"/>
          <w:lang w:val="zh-CN"/>
        </w:rPr>
      </w:pPr>
      <w:r>
        <w:rPr>
          <w:rFonts w:hint="eastAsia" w:ascii="宋体" w:hAnsi="宋体" w:cs="宋体"/>
          <w:b/>
          <w:color w:val="auto"/>
          <w:sz w:val="24"/>
          <w:highlight w:val="none"/>
          <w:lang w:val="zh-CN"/>
        </w:rPr>
        <w:t>九、出现下列情形之一的，竞争性磋商采购活动终止，重新开展采购活动：</w:t>
      </w:r>
    </w:p>
    <w:p w14:paraId="1D124BF5">
      <w:pPr>
        <w:pStyle w:val="30"/>
        <w:snapToGrid w:val="0"/>
        <w:spacing w:line="360" w:lineRule="auto"/>
        <w:ind w:firstLine="494"/>
        <w:contextualSpacing/>
        <w:rPr>
          <w:rFonts w:ascii="宋体" w:eastAsia="宋体" w:cs="宋体"/>
          <w:color w:val="auto"/>
          <w:sz w:val="24"/>
          <w:szCs w:val="24"/>
          <w:highlight w:val="none"/>
        </w:rPr>
      </w:pPr>
      <w:r>
        <w:rPr>
          <w:rFonts w:hint="eastAsia" w:ascii="宋体" w:eastAsia="宋体" w:cs="宋体"/>
          <w:color w:val="auto"/>
          <w:sz w:val="24"/>
          <w:szCs w:val="24"/>
          <w:highlight w:val="none"/>
        </w:rPr>
        <w:t>（一）因情况变化，不再符合规定的竞争性磋商采购方式适用情形的；</w:t>
      </w:r>
    </w:p>
    <w:p w14:paraId="6FE4A4DC">
      <w:pPr>
        <w:pStyle w:val="30"/>
        <w:snapToGrid w:val="0"/>
        <w:spacing w:line="360" w:lineRule="auto"/>
        <w:ind w:firstLine="494"/>
        <w:contextualSpacing/>
        <w:rPr>
          <w:rFonts w:ascii="宋体" w:eastAsia="宋体" w:cs="宋体"/>
          <w:color w:val="auto"/>
          <w:sz w:val="24"/>
          <w:szCs w:val="24"/>
          <w:highlight w:val="none"/>
        </w:rPr>
      </w:pPr>
      <w:r>
        <w:rPr>
          <w:rFonts w:hint="eastAsia" w:ascii="宋体" w:eastAsia="宋体" w:cs="宋体"/>
          <w:color w:val="auto"/>
          <w:sz w:val="24"/>
          <w:szCs w:val="24"/>
          <w:highlight w:val="none"/>
        </w:rPr>
        <w:t>（二）出现影响采购公正的违法、违规行为的；</w:t>
      </w:r>
    </w:p>
    <w:p w14:paraId="365E5CF1">
      <w:pPr>
        <w:pStyle w:val="30"/>
        <w:snapToGrid w:val="0"/>
        <w:spacing w:line="360" w:lineRule="auto"/>
        <w:ind w:firstLine="480" w:firstLineChars="200"/>
        <w:contextualSpacing/>
        <w:rPr>
          <w:rFonts w:hint="eastAsia" w:ascii="宋体" w:eastAsia="宋体" w:cs="宋体"/>
          <w:color w:val="auto"/>
          <w:sz w:val="24"/>
          <w:szCs w:val="24"/>
          <w:highlight w:val="none"/>
        </w:rPr>
      </w:pPr>
      <w:r>
        <w:rPr>
          <w:rFonts w:hint="eastAsia" w:ascii="宋体" w:eastAsia="宋体" w:cs="宋体"/>
          <w:color w:val="auto"/>
          <w:sz w:val="24"/>
          <w:szCs w:val="24"/>
          <w:highlight w:val="none"/>
        </w:rPr>
        <w:t>（三）在采购过程中符合要求的供应商或者报价未超过采购预算的供应商不足3家的（市场竞争不充分的科研项目，以及需要扶持的科技成果转化项目除外）。</w:t>
      </w:r>
    </w:p>
    <w:p w14:paraId="062019EB">
      <w:pPr>
        <w:autoSpaceDE w:val="0"/>
        <w:autoSpaceDN w:val="0"/>
        <w:adjustRightInd w:val="0"/>
        <w:snapToGrid w:val="0"/>
        <w:spacing w:line="360" w:lineRule="auto"/>
        <w:ind w:left="-178" w:right="210" w:firstLine="636"/>
        <w:rPr>
          <w:rFonts w:hint="eastAsia" w:ascii="宋体" w:hAnsi="宋体" w:cs="宋体"/>
          <w:b/>
          <w:color w:val="auto"/>
          <w:sz w:val="24"/>
          <w:highlight w:val="none"/>
          <w:lang w:val="zh-CN"/>
        </w:rPr>
      </w:pPr>
      <w:r>
        <w:rPr>
          <w:rFonts w:hint="eastAsia" w:ascii="宋体" w:hAnsi="宋体" w:cs="宋体"/>
          <w:b/>
          <w:color w:val="auto"/>
          <w:sz w:val="24"/>
          <w:highlight w:val="none"/>
          <w:lang w:val="en-US" w:eastAsia="zh-CN"/>
        </w:rPr>
        <w:t>十、</w:t>
      </w:r>
      <w:r>
        <w:rPr>
          <w:rFonts w:hint="eastAsia" w:ascii="宋体" w:hAnsi="宋体" w:cs="宋体"/>
          <w:b/>
          <w:color w:val="auto"/>
          <w:sz w:val="24"/>
          <w:highlight w:val="none"/>
          <w:lang w:val="zh-CN"/>
        </w:rPr>
        <w:t>若有充分证据证明，</w:t>
      </w:r>
      <w:r>
        <w:rPr>
          <w:rFonts w:hint="eastAsia" w:ascii="宋体" w:hAnsi="宋体" w:cs="宋体"/>
          <w:b/>
          <w:color w:val="auto"/>
          <w:sz w:val="24"/>
          <w:highlight w:val="none"/>
          <w:lang w:val="en-US" w:eastAsia="zh-CN"/>
        </w:rPr>
        <w:t>成交供应商</w:t>
      </w:r>
      <w:r>
        <w:rPr>
          <w:rFonts w:hint="eastAsia" w:ascii="宋体" w:hAnsi="宋体" w:cs="宋体"/>
          <w:b/>
          <w:color w:val="auto"/>
          <w:sz w:val="24"/>
          <w:highlight w:val="none"/>
          <w:lang w:val="zh-CN"/>
        </w:rPr>
        <w:t>出现下列情况之一的，一经查实，将被取消</w:t>
      </w:r>
      <w:r>
        <w:rPr>
          <w:rFonts w:hint="eastAsia" w:ascii="宋体" w:hAnsi="宋体" w:cs="宋体"/>
          <w:b/>
          <w:color w:val="auto"/>
          <w:sz w:val="24"/>
          <w:highlight w:val="none"/>
          <w:lang w:val="en-US" w:eastAsia="zh-CN"/>
        </w:rPr>
        <w:t>成交</w:t>
      </w:r>
      <w:r>
        <w:rPr>
          <w:rFonts w:hint="eastAsia" w:ascii="宋体" w:hAnsi="宋体" w:cs="宋体"/>
          <w:b/>
          <w:color w:val="auto"/>
          <w:sz w:val="24"/>
          <w:highlight w:val="none"/>
          <w:lang w:val="zh-CN"/>
        </w:rPr>
        <w:t>资格：</w:t>
      </w:r>
    </w:p>
    <w:p w14:paraId="482070C4">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提供虚假材料谋取</w:t>
      </w:r>
      <w:r>
        <w:rPr>
          <w:rFonts w:hint="eastAsia" w:ascii="宋体" w:hAnsi="宋体" w:cs="宋体"/>
          <w:color w:val="auto"/>
          <w:sz w:val="24"/>
          <w:szCs w:val="24"/>
          <w:highlight w:val="none"/>
          <w:lang w:val="en-US" w:eastAsia="zh-CN"/>
        </w:rPr>
        <w:t>成交</w:t>
      </w:r>
      <w:r>
        <w:rPr>
          <w:rFonts w:hint="eastAsia" w:ascii="宋体" w:hAnsi="宋体" w:eastAsia="宋体" w:cs="宋体"/>
          <w:color w:val="auto"/>
          <w:sz w:val="24"/>
          <w:szCs w:val="24"/>
          <w:highlight w:val="none"/>
        </w:rPr>
        <w:t>的。</w:t>
      </w:r>
    </w:p>
    <w:p w14:paraId="7959D233">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向采购人、采购代理机构行贿或者提供其他不正当利益的。</w:t>
      </w:r>
    </w:p>
    <w:p w14:paraId="2BA218B4">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恶意竞争，投标总报价明显低于其自身合理成本且又无法提供证明的。</w:t>
      </w:r>
    </w:p>
    <w:p w14:paraId="0C49D9E8">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属于本文件规定的无效条件，但在评标过程中又未被评委会发现的。</w:t>
      </w:r>
    </w:p>
    <w:p w14:paraId="08CCBA5B">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与采购人或者其他</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恶意串通的。</w:t>
      </w:r>
    </w:p>
    <w:p w14:paraId="17C6937E">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采取不正当手段诋毁、排挤其他</w:t>
      </w:r>
      <w:r>
        <w:rPr>
          <w:rFonts w:hint="eastAsia" w:ascii="宋体" w:hAnsi="宋体" w:eastAsia="宋体" w:cs="宋体"/>
          <w:color w:val="auto"/>
          <w:sz w:val="24"/>
          <w:szCs w:val="24"/>
          <w:highlight w:val="none"/>
          <w:lang w:val="en-US" w:eastAsia="zh-CN"/>
        </w:rPr>
        <w:t>投标</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的。</w:t>
      </w:r>
    </w:p>
    <w:p w14:paraId="71CCB7E7">
      <w:pPr>
        <w:autoSpaceDE w:val="0"/>
        <w:autoSpaceDN w:val="0"/>
        <w:adjustRightInd w:val="0"/>
        <w:snapToGrid w:val="0"/>
        <w:spacing w:line="360" w:lineRule="auto"/>
        <w:ind w:left="-178" w:right="210" w:firstLine="636"/>
        <w:rPr>
          <w:rFonts w:hint="eastAsia" w:ascii="宋体" w:hAnsi="宋体" w:cs="宋体"/>
          <w:b/>
          <w:color w:val="auto"/>
          <w:sz w:val="24"/>
          <w:highlight w:val="none"/>
          <w:lang w:val="zh-CN"/>
        </w:rPr>
      </w:pPr>
      <w:r>
        <w:rPr>
          <w:rFonts w:hint="eastAsia" w:ascii="宋体" w:hAnsi="宋体" w:cs="宋体"/>
          <w:b/>
          <w:color w:val="auto"/>
          <w:sz w:val="24"/>
          <w:highlight w:val="none"/>
          <w:lang w:val="en-US" w:eastAsia="zh-CN"/>
        </w:rPr>
        <w:t>十一、</w:t>
      </w:r>
      <w:r>
        <w:rPr>
          <w:rFonts w:hint="eastAsia" w:ascii="宋体" w:hAnsi="宋体" w:cs="宋体"/>
          <w:b/>
          <w:color w:val="auto"/>
          <w:sz w:val="24"/>
          <w:highlight w:val="none"/>
          <w:lang w:val="zh-CN"/>
        </w:rPr>
        <w:t>有下列情形之一的，视为</w:t>
      </w:r>
      <w:r>
        <w:rPr>
          <w:rFonts w:hint="eastAsia" w:ascii="宋体" w:hAnsi="宋体" w:cs="宋体"/>
          <w:b/>
          <w:color w:val="auto"/>
          <w:sz w:val="24"/>
          <w:highlight w:val="none"/>
          <w:lang w:val="zh-CN" w:eastAsia="zh-CN"/>
        </w:rPr>
        <w:t>投标</w:t>
      </w:r>
      <w:r>
        <w:rPr>
          <w:rFonts w:hint="eastAsia" w:ascii="宋体" w:hAnsi="宋体" w:cs="宋体"/>
          <w:b/>
          <w:color w:val="auto"/>
          <w:sz w:val="24"/>
          <w:highlight w:val="none"/>
          <w:lang w:val="en-US" w:eastAsia="zh-CN"/>
        </w:rPr>
        <w:t>供应商</w:t>
      </w:r>
      <w:r>
        <w:rPr>
          <w:rFonts w:hint="eastAsia" w:ascii="宋体" w:hAnsi="宋体" w:cs="宋体"/>
          <w:b/>
          <w:color w:val="auto"/>
          <w:sz w:val="24"/>
          <w:highlight w:val="none"/>
          <w:lang w:val="zh-CN"/>
        </w:rPr>
        <w:t>串通投标，投标无效：</w:t>
      </w:r>
    </w:p>
    <w:p w14:paraId="497B246C">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不同</w:t>
      </w:r>
      <w:r>
        <w:rPr>
          <w:rFonts w:hint="eastAsia" w:ascii="宋体" w:hAnsi="宋体" w:eastAsia="宋体" w:cs="宋体"/>
          <w:color w:val="auto"/>
          <w:sz w:val="24"/>
          <w:szCs w:val="24"/>
          <w:highlight w:val="none"/>
          <w:lang w:eastAsia="zh-CN"/>
        </w:rPr>
        <w:t>投标</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的投标</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文件由同一单位或者个人编制；</w:t>
      </w:r>
    </w:p>
    <w:p w14:paraId="79FF476B">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不同</w:t>
      </w:r>
      <w:r>
        <w:rPr>
          <w:rFonts w:hint="eastAsia" w:ascii="宋体" w:hAnsi="宋体" w:eastAsia="宋体" w:cs="宋体"/>
          <w:color w:val="auto"/>
          <w:sz w:val="24"/>
          <w:szCs w:val="24"/>
          <w:highlight w:val="none"/>
          <w:lang w:eastAsia="zh-CN"/>
        </w:rPr>
        <w:t>投标</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委托同一单位或者个人办理投标事宜；</w:t>
      </w:r>
    </w:p>
    <w:p w14:paraId="6FCDCF73">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不同</w:t>
      </w:r>
      <w:r>
        <w:rPr>
          <w:rFonts w:hint="eastAsia" w:ascii="宋体" w:hAnsi="宋体" w:eastAsia="宋体" w:cs="宋体"/>
          <w:color w:val="auto"/>
          <w:sz w:val="24"/>
          <w:szCs w:val="24"/>
          <w:highlight w:val="none"/>
          <w:lang w:eastAsia="zh-CN"/>
        </w:rPr>
        <w:t>投标</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的投标</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文件载明的项目管理成员或者联系人员为同一人；</w:t>
      </w:r>
    </w:p>
    <w:p w14:paraId="7041B928">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不同</w:t>
      </w:r>
      <w:r>
        <w:rPr>
          <w:rFonts w:hint="eastAsia" w:ascii="宋体" w:hAnsi="宋体" w:eastAsia="宋体" w:cs="宋体"/>
          <w:color w:val="auto"/>
          <w:sz w:val="24"/>
          <w:szCs w:val="24"/>
          <w:highlight w:val="none"/>
          <w:lang w:eastAsia="zh-CN"/>
        </w:rPr>
        <w:t>投标</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的投标</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文件异常一致或者投标报价呈规律性差异；</w:t>
      </w:r>
    </w:p>
    <w:p w14:paraId="44BC8414">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不同</w:t>
      </w:r>
      <w:r>
        <w:rPr>
          <w:rFonts w:hint="eastAsia" w:ascii="宋体" w:hAnsi="宋体" w:eastAsia="宋体" w:cs="宋体"/>
          <w:color w:val="auto"/>
          <w:sz w:val="24"/>
          <w:szCs w:val="24"/>
          <w:highlight w:val="none"/>
          <w:lang w:eastAsia="zh-CN"/>
        </w:rPr>
        <w:t>投标</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的投标</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文件相互混装</w:t>
      </w:r>
      <w:r>
        <w:rPr>
          <w:rFonts w:hint="eastAsia" w:ascii="宋体" w:hAnsi="宋体" w:eastAsia="宋体" w:cs="宋体"/>
          <w:color w:val="auto"/>
          <w:sz w:val="24"/>
          <w:szCs w:val="24"/>
          <w:highlight w:val="none"/>
          <w:lang w:eastAsia="zh-CN"/>
        </w:rPr>
        <w:t>。</w:t>
      </w:r>
    </w:p>
    <w:p w14:paraId="7C1452C1">
      <w:pPr>
        <w:autoSpaceDE w:val="0"/>
        <w:autoSpaceDN w:val="0"/>
        <w:adjustRightInd w:val="0"/>
        <w:snapToGrid w:val="0"/>
        <w:spacing w:line="360" w:lineRule="auto"/>
        <w:ind w:left="-178" w:right="210" w:firstLine="636"/>
        <w:rPr>
          <w:rFonts w:ascii="宋体" w:hAnsi="宋体" w:cs="宋体"/>
          <w:b/>
          <w:color w:val="auto"/>
          <w:sz w:val="24"/>
          <w:highlight w:val="none"/>
          <w:lang w:val="zh-CN"/>
        </w:rPr>
      </w:pPr>
      <w:r>
        <w:rPr>
          <w:rFonts w:hint="eastAsia" w:ascii="宋体" w:hAnsi="宋体" w:cs="宋体"/>
          <w:b/>
          <w:color w:val="auto"/>
          <w:sz w:val="24"/>
          <w:highlight w:val="none"/>
          <w:lang w:val="zh-CN"/>
        </w:rPr>
        <w:t>十</w:t>
      </w:r>
      <w:r>
        <w:rPr>
          <w:rFonts w:hint="eastAsia" w:ascii="宋体" w:hAnsi="宋体" w:cs="宋体"/>
          <w:b/>
          <w:color w:val="auto"/>
          <w:sz w:val="24"/>
          <w:highlight w:val="none"/>
          <w:lang w:val="en-US" w:eastAsia="zh-CN"/>
        </w:rPr>
        <w:t>二</w:t>
      </w:r>
      <w:r>
        <w:rPr>
          <w:rFonts w:hint="eastAsia" w:ascii="宋体" w:hAnsi="宋体" w:cs="宋体"/>
          <w:b/>
          <w:color w:val="auto"/>
          <w:sz w:val="24"/>
          <w:highlight w:val="none"/>
          <w:lang w:val="zh-CN"/>
        </w:rPr>
        <w:t>、成交通知</w:t>
      </w:r>
    </w:p>
    <w:p w14:paraId="07CF8DB1">
      <w:pPr>
        <w:snapToGrid w:val="0"/>
        <w:spacing w:line="360" w:lineRule="auto"/>
        <w:ind w:firstLine="480" w:firstLineChars="200"/>
        <w:rPr>
          <w:rFonts w:ascii="宋体" w:hAnsi="宋体" w:cs="宋体"/>
          <w:b/>
          <w:color w:val="auto"/>
          <w:sz w:val="36"/>
          <w:szCs w:val="36"/>
          <w:highlight w:val="none"/>
        </w:rPr>
      </w:pPr>
      <w:r>
        <w:rPr>
          <w:rFonts w:hint="eastAsia" w:ascii="宋体" w:hAnsi="宋体" w:cs="宋体"/>
          <w:color w:val="auto"/>
          <w:sz w:val="24"/>
          <w:highlight w:val="none"/>
        </w:rPr>
        <w:t>成交结果在南通市交通运输局网站公告，公告期限为1个工作日。《成交通知书》一经发出，采购人改变成交结果，或者成交供应商放弃成交的，各自承担相应的法律责任。《成交通知书》是采购合同的组成部分。</w:t>
      </w:r>
      <w:r>
        <w:rPr>
          <w:rFonts w:hint="eastAsia" w:ascii="宋体" w:hAnsi="宋体" w:cs="宋体"/>
          <w:b/>
          <w:color w:val="auto"/>
          <w:sz w:val="36"/>
          <w:szCs w:val="36"/>
          <w:highlight w:val="none"/>
        </w:rPr>
        <w:br w:type="page"/>
      </w:r>
    </w:p>
    <w:p w14:paraId="3E6E27C2">
      <w:pPr>
        <w:snapToGrid w:val="0"/>
        <w:spacing w:line="360" w:lineRule="auto"/>
        <w:jc w:val="center"/>
        <w:outlineLvl w:val="0"/>
        <w:rPr>
          <w:rFonts w:ascii="宋体" w:hAnsi="宋体" w:cs="宋体"/>
          <w:b/>
          <w:color w:val="auto"/>
          <w:sz w:val="36"/>
          <w:szCs w:val="36"/>
          <w:highlight w:val="none"/>
        </w:rPr>
      </w:pPr>
      <w:r>
        <w:rPr>
          <w:rFonts w:hint="eastAsia" w:ascii="宋体" w:hAnsi="宋体" w:cs="宋体"/>
          <w:b/>
          <w:color w:val="auto"/>
          <w:sz w:val="36"/>
          <w:szCs w:val="36"/>
          <w:highlight w:val="none"/>
        </w:rPr>
        <w:t>第五部分  合同签订与验收付款</w:t>
      </w:r>
    </w:p>
    <w:p w14:paraId="61B67045">
      <w:pPr>
        <w:snapToGrid w:val="0"/>
        <w:spacing w:line="360" w:lineRule="auto"/>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lang w:val="zh-CN"/>
        </w:rPr>
        <w:t>一、成交供应商在《成交通知书》发出之日起30日内和采购人签订合同。合同签订后成交供应商方可履约，否则引起的一切后果由成交供应商自行承担。所签合同不得对采购文件作实质性修改。采购人不得向成交供应商提出不合理的要求作为签订合同的条件，不得与成交供应商私下订立背离采购文件实质性内容的协议。</w:t>
      </w:r>
    </w:p>
    <w:p w14:paraId="7D654DA1">
      <w:pPr>
        <w:snapToGrid w:val="0"/>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二、</w:t>
      </w:r>
      <w:r>
        <w:rPr>
          <w:rFonts w:hint="eastAsia" w:ascii="宋体" w:hAnsi="宋体" w:cs="宋体"/>
          <w:color w:val="auto"/>
          <w:sz w:val="24"/>
          <w:highlight w:val="none"/>
          <w:lang w:val="zh-CN"/>
        </w:rPr>
        <w:t>签订合同后，</w:t>
      </w:r>
      <w:r>
        <w:rPr>
          <w:rFonts w:hint="eastAsia" w:ascii="宋体" w:hAnsi="宋体" w:cs="宋体"/>
          <w:color w:val="auto"/>
          <w:sz w:val="24"/>
          <w:highlight w:val="none"/>
          <w:lang w:val="en-US" w:eastAsia="zh-CN"/>
        </w:rPr>
        <w:t>成交供应商不</w:t>
      </w:r>
      <w:r>
        <w:rPr>
          <w:rFonts w:hint="eastAsia" w:ascii="宋体" w:hAnsi="宋体" w:cs="宋体"/>
          <w:color w:val="auto"/>
          <w:sz w:val="24"/>
          <w:highlight w:val="none"/>
          <w:lang w:val="zh-CN"/>
        </w:rPr>
        <w:t>得将合同标的进行转包。未经采购人同意，</w:t>
      </w:r>
      <w:r>
        <w:rPr>
          <w:rFonts w:hint="eastAsia" w:ascii="宋体" w:hAnsi="宋体" w:cs="宋体"/>
          <w:color w:val="auto"/>
          <w:sz w:val="24"/>
          <w:highlight w:val="none"/>
          <w:lang w:val="en-US" w:eastAsia="zh-CN"/>
        </w:rPr>
        <w:t>成交供应商</w:t>
      </w:r>
      <w:r>
        <w:rPr>
          <w:rFonts w:hint="eastAsia" w:ascii="宋体" w:hAnsi="宋体" w:cs="宋体"/>
          <w:color w:val="auto"/>
          <w:sz w:val="24"/>
          <w:highlight w:val="none"/>
          <w:lang w:val="zh-CN"/>
        </w:rPr>
        <w:t>也不得采用分包的形式履行合同，否则采购人有权终止合同。采购合同分包履行的，</w:t>
      </w:r>
      <w:r>
        <w:rPr>
          <w:rFonts w:hint="eastAsia" w:ascii="宋体" w:hAnsi="宋体" w:cs="宋体"/>
          <w:color w:val="auto"/>
          <w:sz w:val="24"/>
          <w:highlight w:val="none"/>
          <w:lang w:val="en-US" w:eastAsia="zh-CN"/>
        </w:rPr>
        <w:t>成交供应商</w:t>
      </w:r>
      <w:r>
        <w:rPr>
          <w:rFonts w:hint="eastAsia" w:ascii="宋体" w:hAnsi="宋体" w:cs="宋体"/>
          <w:color w:val="auto"/>
          <w:sz w:val="24"/>
          <w:highlight w:val="none"/>
          <w:lang w:val="zh-CN"/>
        </w:rPr>
        <w:t>就采购项目和分包项目向采购人负责，分包供应商就分包项目承担责任。转包或分包造成采购人损失的，</w:t>
      </w:r>
      <w:r>
        <w:rPr>
          <w:rFonts w:hint="eastAsia" w:ascii="宋体" w:hAnsi="宋体" w:cs="宋体"/>
          <w:color w:val="auto"/>
          <w:sz w:val="24"/>
          <w:highlight w:val="none"/>
          <w:lang w:val="en-US" w:eastAsia="zh-CN"/>
        </w:rPr>
        <w:t>成交供应商</w:t>
      </w:r>
      <w:r>
        <w:rPr>
          <w:rFonts w:hint="eastAsia" w:ascii="宋体" w:hAnsi="宋体" w:cs="宋体"/>
          <w:color w:val="auto"/>
          <w:sz w:val="24"/>
          <w:highlight w:val="none"/>
          <w:lang w:val="zh-CN"/>
        </w:rPr>
        <w:t>应承担相应赔偿责任。</w:t>
      </w:r>
    </w:p>
    <w:p w14:paraId="2FD5B86A">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三</w:t>
      </w:r>
      <w:r>
        <w:rPr>
          <w:rFonts w:hint="eastAsia" w:ascii="宋体" w:hAnsi="宋体" w:cs="宋体"/>
          <w:color w:val="auto"/>
          <w:sz w:val="24"/>
          <w:highlight w:val="none"/>
        </w:rPr>
        <w:t>、采购人与成交供应商串通或要求成交供应商通过减少货物数量或降低服务标准的，或在履行合同中采取更改配置、调换物品等手段的，或要求成交供应商出具虚假发票或任意更改销售发票的，或谋取不正当利益的，采购人应承担相应的法律责任。</w:t>
      </w:r>
    </w:p>
    <w:p w14:paraId="4EAEA700">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四、</w:t>
      </w:r>
      <w:r>
        <w:rPr>
          <w:rFonts w:hint="eastAsia" w:ascii="宋体" w:hAnsi="宋体" w:cs="宋体"/>
          <w:color w:val="auto"/>
          <w:sz w:val="24"/>
          <w:highlight w:val="none"/>
        </w:rPr>
        <w:t>货物和服务的追加、减少和添购。</w:t>
      </w:r>
    </w:p>
    <w:p w14:paraId="5E9BDD15">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.1采购合同履行中，采购人需追加与合同标的相同的货物和服务的，在不改变合同其他条款的前提下，可以与</w:t>
      </w:r>
      <w:r>
        <w:rPr>
          <w:rFonts w:hint="eastAsia" w:ascii="宋体" w:hAnsi="宋体" w:cs="宋体"/>
          <w:color w:val="auto"/>
          <w:sz w:val="24"/>
          <w:highlight w:val="none"/>
          <w:lang w:val="en-US" w:eastAsia="zh-CN"/>
        </w:rPr>
        <w:t>成交供应商</w:t>
      </w:r>
      <w:r>
        <w:rPr>
          <w:rFonts w:hint="eastAsia" w:ascii="宋体" w:hAnsi="宋体" w:cs="宋体"/>
          <w:color w:val="auto"/>
          <w:sz w:val="24"/>
          <w:highlight w:val="none"/>
        </w:rPr>
        <w:t>协商签订补充合同，但所有补充合同的采购金额不超过原合同金额10%。</w:t>
      </w:r>
    </w:p>
    <w:p w14:paraId="2663BA68">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.2采购结束后，采购人若由于各种客观原因，必须对采购项目所牵涉的货物和服务进行适当的减少时，在双方协商一致的前提下，可以按照招标采购时的价格水平做相应的调减，并据此签订补充合同。</w:t>
      </w:r>
    </w:p>
    <w:p w14:paraId="486E5E54">
      <w:pPr>
        <w:pStyle w:val="30"/>
        <w:numPr>
          <w:ilvl w:val="0"/>
          <w:numId w:val="1"/>
        </w:numPr>
        <w:adjustRightInd w:val="0"/>
        <w:snapToGrid w:val="0"/>
        <w:spacing w:line="360" w:lineRule="auto"/>
        <w:ind w:firstLine="480" w:firstLineChars="200"/>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履约验收：</w:t>
      </w:r>
    </w:p>
    <w:p w14:paraId="7F7DDDFA">
      <w:pPr>
        <w:pStyle w:val="30"/>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宋体" w:eastAsia="宋体" w:cs="宋体"/>
          <w:color w:val="auto"/>
          <w:sz w:val="24"/>
          <w:szCs w:val="24"/>
          <w:highlight w:val="none"/>
          <w:lang w:val="zh-CN"/>
        </w:rPr>
      </w:pPr>
      <w:r>
        <w:rPr>
          <w:rFonts w:hint="eastAsia" w:ascii="宋体" w:eastAsia="宋体" w:cs="宋体"/>
          <w:color w:val="auto"/>
          <w:sz w:val="24"/>
          <w:szCs w:val="24"/>
          <w:highlight w:val="none"/>
          <w:lang w:val="zh-CN"/>
        </w:rPr>
        <w:t>验收实施主体：南通市公路事业发展中心。</w:t>
      </w:r>
    </w:p>
    <w:p w14:paraId="1EF0046C">
      <w:pPr>
        <w:pStyle w:val="30"/>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宋体" w:eastAsia="宋体" w:cs="宋体"/>
          <w:color w:val="auto"/>
          <w:sz w:val="24"/>
          <w:szCs w:val="24"/>
          <w:highlight w:val="none"/>
          <w:lang w:eastAsia="zh-CN"/>
        </w:rPr>
      </w:pPr>
      <w:r>
        <w:rPr>
          <w:rFonts w:hint="eastAsia" w:ascii="宋体" w:eastAsia="宋体" w:cs="宋体"/>
          <w:color w:val="auto"/>
          <w:sz w:val="24"/>
          <w:szCs w:val="24"/>
          <w:highlight w:val="none"/>
          <w:lang w:val="zh-CN"/>
        </w:rPr>
        <w:t>验收时间：</w:t>
      </w:r>
      <w:r>
        <w:rPr>
          <w:rFonts w:hint="eastAsia" w:ascii="宋体" w:eastAsia="宋体" w:cs="宋体"/>
          <w:color w:val="auto"/>
          <w:sz w:val="24"/>
          <w:szCs w:val="24"/>
          <w:highlight w:val="none"/>
        </w:rPr>
        <w:t>供应商完成全部工作后提交报告5日内</w:t>
      </w:r>
      <w:r>
        <w:rPr>
          <w:rFonts w:hint="eastAsia" w:ascii="宋体" w:eastAsia="宋体" w:cs="宋体"/>
          <w:color w:val="auto"/>
          <w:sz w:val="24"/>
          <w:szCs w:val="24"/>
          <w:highlight w:val="none"/>
          <w:lang w:eastAsia="zh-CN"/>
        </w:rPr>
        <w:t>。</w:t>
      </w:r>
    </w:p>
    <w:p w14:paraId="113C01EB">
      <w:pPr>
        <w:pStyle w:val="30"/>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宋体" w:eastAsia="宋体" w:cs="宋体"/>
          <w:color w:val="auto"/>
          <w:sz w:val="24"/>
          <w:szCs w:val="24"/>
          <w:highlight w:val="none"/>
          <w:lang w:val="zh-CN"/>
        </w:rPr>
      </w:pPr>
      <w:r>
        <w:rPr>
          <w:rFonts w:hint="eastAsia" w:ascii="宋体" w:eastAsia="宋体" w:cs="宋体"/>
          <w:color w:val="auto"/>
          <w:sz w:val="24"/>
          <w:szCs w:val="24"/>
          <w:highlight w:val="none"/>
          <w:lang w:val="zh-CN"/>
        </w:rPr>
        <w:t>验收方式：</w:t>
      </w:r>
      <w:r>
        <w:rPr>
          <w:rFonts w:hint="eastAsia" w:ascii="宋体" w:eastAsia="宋体" w:cs="宋体"/>
          <w:color w:val="auto"/>
          <w:sz w:val="24"/>
          <w:szCs w:val="24"/>
          <w:highlight w:val="none"/>
        </w:rPr>
        <w:t>农村公路科</w:t>
      </w:r>
      <w:r>
        <w:rPr>
          <w:rFonts w:hint="eastAsia" w:ascii="宋体" w:eastAsia="宋体" w:cs="宋体"/>
          <w:color w:val="auto"/>
          <w:sz w:val="24"/>
          <w:szCs w:val="24"/>
          <w:highlight w:val="none"/>
          <w:lang w:val="zh-CN"/>
        </w:rPr>
        <w:t>组织验收，采用书面审核的方式。</w:t>
      </w:r>
    </w:p>
    <w:p w14:paraId="2C1857C8">
      <w:pPr>
        <w:pStyle w:val="30"/>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宋体" w:eastAsia="宋体" w:cs="宋体"/>
          <w:color w:val="auto"/>
          <w:sz w:val="24"/>
          <w:szCs w:val="24"/>
          <w:highlight w:val="none"/>
          <w:lang w:val="zh-CN"/>
        </w:rPr>
      </w:pPr>
      <w:r>
        <w:rPr>
          <w:rFonts w:hint="eastAsia" w:ascii="宋体" w:eastAsia="宋体" w:cs="宋体"/>
          <w:color w:val="auto"/>
          <w:sz w:val="24"/>
          <w:szCs w:val="24"/>
          <w:highlight w:val="none"/>
          <w:lang w:val="zh-CN"/>
        </w:rPr>
        <w:t>验收内容：</w:t>
      </w:r>
      <w:r>
        <w:rPr>
          <w:rFonts w:hint="eastAsia" w:ascii="宋体" w:eastAsia="宋体" w:cs="宋体"/>
          <w:color w:val="auto"/>
          <w:sz w:val="24"/>
          <w:szCs w:val="24"/>
          <w:highlight w:val="none"/>
        </w:rPr>
        <w:t>供应商是否按要求提交南通市农村公路涉水桥梁下部结构风险隐患检查检查报告，是否在此期间协助南通各县（市、区）交通运输部门完成农村公路桥梁相关基础数据更新工作。</w:t>
      </w:r>
    </w:p>
    <w:p w14:paraId="6CA1F7BC">
      <w:pPr>
        <w:pStyle w:val="30"/>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宋体" w:eastAsia="宋体" w:cs="宋体"/>
          <w:color w:val="auto"/>
          <w:sz w:val="24"/>
          <w:szCs w:val="24"/>
          <w:highlight w:val="none"/>
          <w:lang w:val="zh-CN"/>
        </w:rPr>
      </w:pPr>
      <w:r>
        <w:rPr>
          <w:rFonts w:hint="eastAsia" w:ascii="宋体" w:eastAsia="宋体" w:cs="宋体"/>
          <w:color w:val="auto"/>
          <w:sz w:val="24"/>
          <w:szCs w:val="24"/>
          <w:highlight w:val="none"/>
          <w:lang w:val="zh-CN"/>
        </w:rPr>
        <w:t>验收标准</w:t>
      </w:r>
      <w:r>
        <w:rPr>
          <w:rFonts w:hint="eastAsia" w:ascii="宋体" w:eastAsia="宋体" w:cs="宋体"/>
          <w:color w:val="auto"/>
          <w:sz w:val="24"/>
          <w:szCs w:val="24"/>
          <w:highlight w:val="none"/>
        </w:rPr>
        <w:t>：通过农村公路科</w:t>
      </w:r>
      <w:r>
        <w:rPr>
          <w:rFonts w:hint="eastAsia" w:ascii="宋体" w:eastAsia="宋体" w:cs="宋体"/>
          <w:color w:val="auto"/>
          <w:sz w:val="24"/>
          <w:szCs w:val="24"/>
          <w:highlight w:val="none"/>
          <w:lang w:val="zh-CN"/>
        </w:rPr>
        <w:t>审核。</w:t>
      </w:r>
    </w:p>
    <w:p w14:paraId="1C061F2C">
      <w:pPr>
        <w:snapToGrid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lang w:val="en-US" w:eastAsia="zh-CN"/>
        </w:rPr>
        <w:t>六</w:t>
      </w:r>
      <w:r>
        <w:rPr>
          <w:rFonts w:hint="eastAsia" w:ascii="宋体" w:hAnsi="宋体" w:cs="宋体"/>
          <w:color w:val="auto"/>
          <w:sz w:val="24"/>
          <w:highlight w:val="none"/>
        </w:rPr>
        <w:t>、成交供应商出现违约情形，应当及时纠正或补偿；造成损失的，按合同约定追究违约责任；发现有假冒、伪劣、走私产品、商业贿赂等违法情形的，应由采购人移交工商、质监、公安等行政执法部门依法查处。</w:t>
      </w:r>
    </w:p>
    <w:p w14:paraId="24938967">
      <w:pPr>
        <w:pStyle w:val="3"/>
        <w:kinsoku w:val="0"/>
        <w:topLinePunct/>
        <w:autoSpaceDE w:val="0"/>
        <w:autoSpaceDN w:val="0"/>
        <w:snapToGrid w:val="0"/>
        <w:spacing w:line="360" w:lineRule="auto"/>
        <w:ind w:firstLine="480" w:firstLineChars="200"/>
        <w:contextualSpacing/>
        <w:rPr>
          <w:rFonts w:ascii="宋体" w:hAnsi="宋体" w:cs="宋体"/>
          <w:color w:val="auto"/>
          <w:sz w:val="24"/>
          <w:szCs w:val="24"/>
          <w:highlight w:val="none"/>
        </w:rPr>
      </w:pPr>
      <w:r>
        <w:rPr>
          <w:rFonts w:hint="eastAsia" w:ascii="宋体" w:hAnsi="宋体" w:cs="宋体"/>
          <w:color w:val="auto"/>
          <w:sz w:val="24"/>
          <w:highlight w:val="none"/>
          <w:lang w:val="en-US" w:eastAsia="zh-CN"/>
        </w:rPr>
        <w:t>七</w:t>
      </w:r>
      <w:r>
        <w:rPr>
          <w:rFonts w:hint="eastAsia" w:ascii="宋体" w:hAnsi="宋体" w:cs="宋体"/>
          <w:color w:val="auto"/>
          <w:sz w:val="24"/>
          <w:highlight w:val="none"/>
        </w:rPr>
        <w:t>、</w:t>
      </w:r>
      <w:r>
        <w:rPr>
          <w:rFonts w:hint="eastAsia" w:ascii="宋体" w:hAnsi="宋体" w:cs="宋体"/>
          <w:color w:val="auto"/>
          <w:sz w:val="24"/>
          <w:szCs w:val="24"/>
          <w:highlight w:val="none"/>
        </w:rPr>
        <w:t>合同条款内容</w:t>
      </w:r>
    </w:p>
    <w:p w14:paraId="167F4E53">
      <w:pPr>
        <w:pStyle w:val="3"/>
        <w:kinsoku w:val="0"/>
        <w:topLinePunct/>
        <w:autoSpaceDE w:val="0"/>
        <w:autoSpaceDN w:val="0"/>
        <w:snapToGrid w:val="0"/>
        <w:spacing w:line="360" w:lineRule="auto"/>
        <w:ind w:firstLine="480" w:firstLineChars="200"/>
        <w:contextualSpacing/>
        <w:rPr>
          <w:rFonts w:ascii="宋体" w:hAnsi="宋体" w:cs="宋体"/>
          <w:color w:val="auto"/>
          <w:sz w:val="24"/>
          <w:szCs w:val="24"/>
          <w:highlight w:val="none"/>
        </w:rPr>
      </w:pPr>
    </w:p>
    <w:p w14:paraId="0CD8EBF8">
      <w:pPr>
        <w:pStyle w:val="3"/>
        <w:kinsoku w:val="0"/>
        <w:topLinePunct/>
        <w:autoSpaceDE w:val="0"/>
        <w:autoSpaceDN w:val="0"/>
        <w:snapToGrid w:val="0"/>
        <w:spacing w:line="360" w:lineRule="auto"/>
        <w:ind w:firstLine="480" w:firstLineChars="200"/>
        <w:contextualSpacing/>
        <w:rPr>
          <w:rFonts w:ascii="宋体" w:hAnsi="宋体" w:cs="宋体"/>
          <w:color w:val="auto"/>
          <w:sz w:val="24"/>
          <w:szCs w:val="24"/>
          <w:highlight w:val="none"/>
        </w:rPr>
      </w:pPr>
    </w:p>
    <w:p w14:paraId="512F5F70">
      <w:pPr>
        <w:pStyle w:val="3"/>
        <w:kinsoku w:val="0"/>
        <w:topLinePunct/>
        <w:autoSpaceDE w:val="0"/>
        <w:autoSpaceDN w:val="0"/>
        <w:snapToGrid w:val="0"/>
        <w:spacing w:line="360" w:lineRule="auto"/>
        <w:ind w:firstLine="480" w:firstLineChars="200"/>
        <w:contextualSpacing/>
        <w:rPr>
          <w:rFonts w:ascii="宋体" w:hAnsi="宋体" w:cs="宋体"/>
          <w:color w:val="auto"/>
          <w:sz w:val="24"/>
          <w:szCs w:val="24"/>
          <w:highlight w:val="none"/>
        </w:rPr>
      </w:pPr>
    </w:p>
    <w:p w14:paraId="05F4296E">
      <w:pPr>
        <w:pStyle w:val="3"/>
        <w:kinsoku w:val="0"/>
        <w:topLinePunct/>
        <w:autoSpaceDE w:val="0"/>
        <w:autoSpaceDN w:val="0"/>
        <w:snapToGrid w:val="0"/>
        <w:spacing w:line="360" w:lineRule="auto"/>
        <w:ind w:firstLine="0"/>
        <w:contextualSpacing/>
        <w:rPr>
          <w:rFonts w:ascii="宋体" w:hAnsi="宋体" w:cs="宋体"/>
          <w:color w:val="auto"/>
          <w:sz w:val="24"/>
          <w:highlight w:val="none"/>
        </w:rPr>
      </w:pPr>
      <w:r>
        <w:rPr>
          <w:rFonts w:hint="eastAsia" w:ascii="宋体" w:hAnsi="宋体" w:cs="宋体"/>
          <w:color w:val="auto"/>
          <w:sz w:val="24"/>
          <w:szCs w:val="24"/>
          <w:highlight w:val="none"/>
        </w:rPr>
        <w:br w:type="page"/>
      </w:r>
    </w:p>
    <w:p w14:paraId="4879EE1F">
      <w:pPr>
        <w:spacing w:line="360" w:lineRule="auto"/>
        <w:ind w:firstLine="602"/>
        <w:jc w:val="center"/>
        <w:outlineLvl w:val="0"/>
        <w:rPr>
          <w:rFonts w:ascii="宋体" w:hAnsi="宋体" w:cs="宋体"/>
          <w:b/>
          <w:bCs/>
          <w:color w:val="auto"/>
          <w:sz w:val="30"/>
          <w:szCs w:val="20"/>
          <w:highlight w:val="none"/>
        </w:rPr>
      </w:pPr>
      <w:r>
        <w:rPr>
          <w:rFonts w:hint="eastAsia" w:ascii="宋体" w:hAnsi="宋体" w:cs="宋体"/>
          <w:b/>
          <w:color w:val="auto"/>
          <w:sz w:val="30"/>
          <w:szCs w:val="21"/>
          <w:highlight w:val="none"/>
          <w:lang w:eastAsia="zh-CN"/>
        </w:rPr>
        <w:t>2025年南通市农村公路涉水桥梁下部结构风险隐患排查市级抽查项目</w:t>
      </w:r>
      <w:r>
        <w:rPr>
          <w:rFonts w:hint="eastAsia" w:ascii="宋体" w:hAnsi="宋体" w:cs="宋体"/>
          <w:b/>
          <w:color w:val="auto"/>
          <w:sz w:val="30"/>
          <w:szCs w:val="21"/>
          <w:highlight w:val="none"/>
        </w:rPr>
        <w:t>合同协议书</w:t>
      </w:r>
    </w:p>
    <w:p w14:paraId="1BD8C63D">
      <w:pPr>
        <w:tabs>
          <w:tab w:val="left" w:pos="9360"/>
        </w:tabs>
        <w:spacing w:line="360" w:lineRule="auto"/>
        <w:ind w:firstLine="471"/>
        <w:rPr>
          <w:rFonts w:ascii="宋体" w:hAnsi="宋体" w:cs="宋体"/>
          <w:color w:val="auto"/>
          <w:sz w:val="24"/>
          <w:highlight w:val="none"/>
        </w:rPr>
      </w:pPr>
      <w:r>
        <w:rPr>
          <w:rFonts w:hint="eastAsia" w:ascii="宋体" w:hAnsi="宋体" w:cs="宋体"/>
          <w:color w:val="auto"/>
          <w:sz w:val="24"/>
          <w:highlight w:val="none"/>
        </w:rPr>
        <w:t>甲方(采购人)：</w:t>
      </w:r>
    </w:p>
    <w:p w14:paraId="376784E3">
      <w:pPr>
        <w:tabs>
          <w:tab w:val="left" w:pos="9360"/>
        </w:tabs>
        <w:spacing w:line="360" w:lineRule="auto"/>
        <w:ind w:firstLine="471"/>
        <w:rPr>
          <w:rFonts w:ascii="宋体" w:hAnsi="宋体" w:cs="宋体"/>
          <w:color w:val="auto"/>
          <w:sz w:val="24"/>
          <w:highlight w:val="none"/>
        </w:rPr>
      </w:pPr>
      <w:r>
        <w:rPr>
          <w:rFonts w:hint="eastAsia" w:ascii="宋体" w:hAnsi="宋体" w:cs="宋体"/>
          <w:color w:val="auto"/>
          <w:sz w:val="24"/>
          <w:highlight w:val="none"/>
        </w:rPr>
        <w:t>乙方(成交供应商)：</w:t>
      </w:r>
    </w:p>
    <w:p w14:paraId="738604D6">
      <w:pPr>
        <w:spacing w:line="360" w:lineRule="auto"/>
        <w:ind w:firstLine="471"/>
        <w:rPr>
          <w:rFonts w:ascii="宋体" w:hAnsi="宋体" w:cs="宋体"/>
          <w:color w:val="auto"/>
          <w:sz w:val="24"/>
          <w:highlight w:val="none"/>
        </w:rPr>
      </w:pPr>
      <w:r>
        <w:rPr>
          <w:rFonts w:hint="eastAsia" w:ascii="宋体" w:hAnsi="宋体" w:cs="宋体"/>
          <w:color w:val="auto"/>
          <w:sz w:val="24"/>
          <w:highlight w:val="none"/>
        </w:rPr>
        <w:t>甲乙双方根据《中华人民共和国政府采购法》、《中华人民共和国招标投标法》、《中华人民共和国民法典》及</w:t>
      </w:r>
      <w:r>
        <w:rPr>
          <w:rFonts w:hint="eastAsia" w:ascii="宋体" w:hAnsi="宋体" w:cs="宋体"/>
          <w:color w:val="auto"/>
          <w:sz w:val="24"/>
          <w:highlight w:val="none"/>
          <w:lang w:eastAsia="zh-CN"/>
        </w:rPr>
        <w:t>2025年南通市农村公路涉水桥梁下部结构风险隐患排查市级抽查项目</w:t>
      </w:r>
      <w:r>
        <w:rPr>
          <w:rFonts w:hint="eastAsia" w:ascii="宋体" w:hAnsi="宋体" w:cs="宋体"/>
          <w:color w:val="auto"/>
          <w:sz w:val="24"/>
          <w:highlight w:val="none"/>
        </w:rPr>
        <w:t>采购文件(项目编号:2025NLSXZ)，按照平等、自愿的原则，协商签订此合同。</w:t>
      </w:r>
    </w:p>
    <w:p w14:paraId="31413F23">
      <w:pPr>
        <w:tabs>
          <w:tab w:val="left" w:pos="0"/>
          <w:tab w:val="left" w:pos="993"/>
          <w:tab w:val="left" w:pos="1134"/>
        </w:tabs>
        <w:spacing w:line="360" w:lineRule="auto"/>
        <w:ind w:firstLine="472"/>
        <w:rPr>
          <w:rFonts w:ascii="宋体" w:hAnsi="宋体" w:cs="宋体"/>
          <w:b/>
          <w:color w:val="auto"/>
          <w:sz w:val="24"/>
          <w:highlight w:val="none"/>
        </w:rPr>
      </w:pPr>
      <w:r>
        <w:rPr>
          <w:rFonts w:hint="eastAsia" w:ascii="宋体" w:hAnsi="宋体" w:cs="宋体"/>
          <w:b/>
          <w:color w:val="auto"/>
          <w:sz w:val="24"/>
          <w:highlight w:val="none"/>
        </w:rPr>
        <w:t>一、说明</w:t>
      </w:r>
    </w:p>
    <w:p w14:paraId="668FDC1F">
      <w:pPr>
        <w:tabs>
          <w:tab w:val="left" w:pos="0"/>
          <w:tab w:val="left" w:pos="993"/>
          <w:tab w:val="left" w:pos="1134"/>
        </w:tabs>
        <w:spacing w:line="360" w:lineRule="auto"/>
        <w:ind w:firstLine="480"/>
        <w:rPr>
          <w:rFonts w:ascii="宋体" w:hAnsi="宋体" w:cs="宋体"/>
          <w:color w:val="auto"/>
          <w:sz w:val="24"/>
          <w:highlight w:val="none"/>
        </w:rPr>
      </w:pPr>
      <w:r>
        <w:rPr>
          <w:rFonts w:hint="eastAsia" w:ascii="宋体" w:hAnsi="宋体" w:cs="宋体"/>
          <w:color w:val="auto"/>
          <w:sz w:val="24"/>
          <w:highlight w:val="none"/>
          <w:lang w:eastAsia="zh-CN"/>
        </w:rPr>
        <w:t>2025年南通市农村公路涉水桥梁下部结构风险隐患排查市级抽查项目</w:t>
      </w:r>
      <w:r>
        <w:rPr>
          <w:rFonts w:hint="eastAsia" w:ascii="宋体" w:hAnsi="宋体" w:cs="宋体"/>
          <w:color w:val="auto"/>
          <w:sz w:val="24"/>
          <w:highlight w:val="none"/>
        </w:rPr>
        <w:t>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日组织了</w:t>
      </w:r>
      <w:r>
        <w:rPr>
          <w:rFonts w:hint="eastAsia" w:ascii="宋体" w:hAnsi="宋体" w:cs="宋体"/>
          <w:color w:val="auto"/>
          <w:sz w:val="24"/>
          <w:highlight w:val="none"/>
          <w:u w:val="single"/>
        </w:rPr>
        <w:t xml:space="preserve"> 竞争性磋商 </w:t>
      </w:r>
      <w:r>
        <w:rPr>
          <w:rFonts w:hint="eastAsia" w:ascii="宋体" w:hAnsi="宋体" w:cs="宋体"/>
          <w:color w:val="auto"/>
          <w:sz w:val="24"/>
          <w:highlight w:val="none"/>
        </w:rPr>
        <w:t>，经认真严格的评审，确定由乙方承包本项目。</w:t>
      </w:r>
    </w:p>
    <w:p w14:paraId="5CE8AC08">
      <w:pPr>
        <w:spacing w:line="360" w:lineRule="auto"/>
        <w:ind w:firstLine="472"/>
        <w:rPr>
          <w:rFonts w:ascii="宋体" w:hAnsi="宋体" w:cs="宋体"/>
          <w:b/>
          <w:color w:val="auto"/>
          <w:sz w:val="24"/>
          <w:highlight w:val="none"/>
        </w:rPr>
      </w:pPr>
      <w:r>
        <w:rPr>
          <w:rFonts w:hint="eastAsia" w:ascii="宋体" w:hAnsi="宋体" w:cs="宋体"/>
          <w:b/>
          <w:color w:val="auto"/>
          <w:sz w:val="24"/>
          <w:highlight w:val="none"/>
        </w:rPr>
        <w:t>二</w:t>
      </w:r>
      <w:r>
        <w:rPr>
          <w:rFonts w:hint="eastAsia" w:ascii="宋体" w:hAnsi="宋体" w:cs="宋体"/>
          <w:color w:val="auto"/>
          <w:sz w:val="24"/>
          <w:highlight w:val="none"/>
        </w:rPr>
        <w:t>、</w:t>
      </w:r>
      <w:r>
        <w:rPr>
          <w:rFonts w:hint="eastAsia" w:ascii="宋体" w:hAnsi="宋体" w:cs="宋体"/>
          <w:b/>
          <w:color w:val="auto"/>
          <w:sz w:val="24"/>
          <w:highlight w:val="none"/>
        </w:rPr>
        <w:t>项目基本情况</w:t>
      </w:r>
    </w:p>
    <w:p w14:paraId="217F25DE">
      <w:pPr>
        <w:spacing w:line="360" w:lineRule="auto"/>
        <w:ind w:firstLine="472"/>
        <w:rPr>
          <w:rFonts w:hint="eastAsia" w:ascii="宋体" w:hAnsi="宋体" w:eastAsia="宋体" w:cs="宋体"/>
          <w:bCs/>
          <w:color w:val="auto"/>
          <w:sz w:val="24"/>
          <w:highlight w:val="none"/>
          <w:u w:val="single"/>
          <w:lang w:eastAsia="zh-CN"/>
        </w:rPr>
      </w:pPr>
      <w:r>
        <w:rPr>
          <w:rFonts w:hint="eastAsia" w:ascii="宋体" w:hAnsi="宋体" w:cs="宋体"/>
          <w:bCs/>
          <w:color w:val="auto"/>
          <w:sz w:val="24"/>
          <w:highlight w:val="none"/>
        </w:rPr>
        <w:t>1、项目名称：</w:t>
      </w:r>
      <w:r>
        <w:rPr>
          <w:rFonts w:hint="eastAsia" w:ascii="宋体" w:hAnsi="宋体" w:cs="宋体"/>
          <w:color w:val="auto"/>
          <w:sz w:val="24"/>
          <w:highlight w:val="none"/>
          <w:lang w:eastAsia="zh-CN"/>
        </w:rPr>
        <w:t>2025年南通市农村公路涉水桥梁下部结构风险隐患排查市级抽查项目</w:t>
      </w:r>
    </w:p>
    <w:p w14:paraId="751554EA">
      <w:pPr>
        <w:spacing w:line="360" w:lineRule="auto"/>
        <w:ind w:firstLine="472"/>
        <w:rPr>
          <w:rFonts w:ascii="宋体" w:hAnsi="宋体" w:cs="宋体"/>
          <w:b/>
          <w:color w:val="auto"/>
          <w:sz w:val="24"/>
          <w:highlight w:val="none"/>
          <w:u w:val="single"/>
        </w:rPr>
      </w:pPr>
      <w:r>
        <w:rPr>
          <w:rFonts w:hint="eastAsia" w:ascii="宋体" w:hAnsi="宋体" w:cs="宋体"/>
          <w:bCs/>
          <w:color w:val="auto"/>
          <w:sz w:val="24"/>
          <w:highlight w:val="none"/>
        </w:rPr>
        <w:t>2、项目地点：南通市</w:t>
      </w:r>
    </w:p>
    <w:p w14:paraId="6DB6C2E0">
      <w:pPr>
        <w:spacing w:line="360" w:lineRule="auto"/>
        <w:ind w:firstLine="471"/>
        <w:rPr>
          <w:rFonts w:hint="eastAsia" w:ascii="宋体" w:hAnsi="宋体" w:eastAsia="宋体" w:cs="宋体"/>
          <w:color w:val="auto"/>
          <w:sz w:val="24"/>
          <w:szCs w:val="24"/>
          <w:highlight w:val="none"/>
          <w:lang w:eastAsia="zh-CN"/>
        </w:rPr>
      </w:pPr>
      <w:r>
        <w:rPr>
          <w:rFonts w:hint="eastAsia" w:ascii="宋体" w:hAnsi="宋体" w:cs="宋体"/>
          <w:color w:val="auto"/>
          <w:sz w:val="24"/>
          <w:highlight w:val="none"/>
        </w:rPr>
        <w:t>3、工作内容：</w:t>
      </w:r>
      <w:r>
        <w:rPr>
          <w:rFonts w:hint="eastAsia" w:ascii="宋体" w:eastAsia="宋体" w:cs="宋体"/>
          <w:color w:val="auto"/>
          <w:sz w:val="24"/>
          <w:szCs w:val="24"/>
          <w:highlight w:val="none"/>
        </w:rPr>
        <w:t>对南通市域范围内农村公路31座涉水桥梁的下部结构152根桩和其中4座桥的桥墩（台）开展风险隐患检查工作，形成病害及风险隐患记录，分析并评定桥梁下部结构技术状况，并提出养护建议（含日常养护、维修、加固），并核查县级农村公路涉水桥梁下部结构风险隐患排查报告完整性和符合性。</w:t>
      </w:r>
    </w:p>
    <w:p w14:paraId="1BE5C8CF">
      <w:pPr>
        <w:spacing w:line="360" w:lineRule="auto"/>
        <w:ind w:firstLine="471"/>
        <w:rPr>
          <w:rFonts w:ascii="宋体" w:hAnsi="宋体" w:cs="宋体"/>
          <w:b/>
          <w:color w:val="auto"/>
          <w:sz w:val="24"/>
          <w:highlight w:val="none"/>
        </w:rPr>
      </w:pPr>
      <w:r>
        <w:rPr>
          <w:rFonts w:hint="eastAsia" w:ascii="宋体" w:hAnsi="宋体" w:cs="宋体"/>
          <w:b/>
          <w:color w:val="auto"/>
          <w:sz w:val="24"/>
          <w:highlight w:val="none"/>
        </w:rPr>
        <w:t>三、合同文件构成</w:t>
      </w:r>
    </w:p>
    <w:p w14:paraId="70440DD5">
      <w:pPr>
        <w:spacing w:line="360" w:lineRule="auto"/>
        <w:ind w:firstLine="471"/>
        <w:rPr>
          <w:rFonts w:ascii="宋体" w:hAnsi="宋体" w:cs="宋体"/>
          <w:bCs/>
          <w:color w:val="auto"/>
          <w:sz w:val="24"/>
          <w:highlight w:val="none"/>
        </w:rPr>
      </w:pPr>
      <w:r>
        <w:rPr>
          <w:rFonts w:hint="eastAsia" w:ascii="宋体" w:hAnsi="宋体" w:cs="宋体"/>
          <w:bCs/>
          <w:color w:val="auto"/>
          <w:sz w:val="24"/>
          <w:highlight w:val="none"/>
        </w:rPr>
        <w:t>本协议书与下列文件一起构成合同文件：</w:t>
      </w:r>
    </w:p>
    <w:p w14:paraId="6126EFF4">
      <w:pPr>
        <w:spacing w:line="360" w:lineRule="auto"/>
        <w:ind w:firstLine="471"/>
        <w:rPr>
          <w:rFonts w:ascii="宋体" w:hAnsi="宋体" w:cs="宋体"/>
          <w:bCs/>
          <w:color w:val="auto"/>
          <w:sz w:val="24"/>
          <w:highlight w:val="none"/>
        </w:rPr>
      </w:pPr>
      <w:r>
        <w:rPr>
          <w:rFonts w:hint="eastAsia" w:ascii="宋体" w:hAnsi="宋体" w:cs="宋体"/>
          <w:bCs/>
          <w:color w:val="auto"/>
          <w:sz w:val="24"/>
          <w:highlight w:val="none"/>
        </w:rPr>
        <w:t>（1）中标（成交）通知书；</w:t>
      </w:r>
    </w:p>
    <w:p w14:paraId="204D4D8C">
      <w:pPr>
        <w:spacing w:line="360" w:lineRule="auto"/>
        <w:ind w:firstLine="471"/>
        <w:rPr>
          <w:rFonts w:hint="eastAsia" w:ascii="宋体" w:hAnsi="宋体" w:cs="宋体"/>
          <w:bCs/>
          <w:color w:val="auto"/>
          <w:sz w:val="24"/>
          <w:highlight w:val="none"/>
        </w:rPr>
      </w:pPr>
      <w:r>
        <w:rPr>
          <w:rFonts w:hint="eastAsia" w:ascii="宋体" w:hAnsi="宋体" w:cs="宋体"/>
          <w:bCs/>
          <w:color w:val="auto"/>
          <w:sz w:val="24"/>
          <w:highlight w:val="none"/>
        </w:rPr>
        <w:t>（</w:t>
      </w:r>
      <w:r>
        <w:rPr>
          <w:rFonts w:hint="eastAsia" w:ascii="宋体" w:hAnsi="宋体" w:cs="宋体"/>
          <w:bCs/>
          <w:color w:val="auto"/>
          <w:sz w:val="24"/>
          <w:highlight w:val="none"/>
          <w:lang w:val="en-US" w:eastAsia="zh-CN"/>
        </w:rPr>
        <w:t>2</w:t>
      </w:r>
      <w:r>
        <w:rPr>
          <w:rFonts w:hint="eastAsia" w:ascii="宋体" w:hAnsi="宋体" w:cs="宋体"/>
          <w:bCs/>
          <w:color w:val="auto"/>
          <w:sz w:val="24"/>
          <w:highlight w:val="none"/>
        </w:rPr>
        <w:t>）投标承诺/服务承诺</w:t>
      </w: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如有</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w:t>
      </w:r>
    </w:p>
    <w:p w14:paraId="04027A45">
      <w:pPr>
        <w:spacing w:line="360" w:lineRule="auto"/>
        <w:ind w:firstLine="471"/>
        <w:rPr>
          <w:rFonts w:hint="default" w:ascii="宋体" w:hAnsi="宋体" w:cs="宋体"/>
          <w:bCs/>
          <w:color w:val="auto"/>
          <w:sz w:val="24"/>
          <w:highlight w:val="none"/>
          <w:lang w:val="en-US" w:eastAsia="zh-CN"/>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3</w:t>
      </w: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磋商文件；</w:t>
      </w:r>
    </w:p>
    <w:p w14:paraId="7BD25A5A">
      <w:pPr>
        <w:spacing w:line="360" w:lineRule="auto"/>
        <w:ind w:firstLine="471"/>
        <w:rPr>
          <w:rFonts w:hint="eastAsia" w:ascii="宋体" w:hAnsi="宋体" w:cs="宋体"/>
          <w:bCs/>
          <w:color w:val="auto"/>
          <w:sz w:val="24"/>
          <w:highlight w:val="none"/>
        </w:rPr>
      </w:pPr>
      <w:r>
        <w:rPr>
          <w:rFonts w:hint="eastAsia" w:ascii="宋体" w:hAnsi="宋体" w:cs="宋体"/>
          <w:bCs/>
          <w:color w:val="auto"/>
          <w:sz w:val="24"/>
          <w:highlight w:val="none"/>
        </w:rPr>
        <w:t>（4）其他合同文件。</w:t>
      </w:r>
    </w:p>
    <w:p w14:paraId="065C8026">
      <w:pPr>
        <w:spacing w:line="360" w:lineRule="auto"/>
        <w:ind w:firstLine="471"/>
        <w:rPr>
          <w:rFonts w:ascii="宋体" w:hAnsi="宋体" w:cs="宋体"/>
          <w:bCs/>
          <w:color w:val="auto"/>
          <w:sz w:val="24"/>
          <w:highlight w:val="none"/>
        </w:rPr>
      </w:pPr>
      <w:r>
        <w:rPr>
          <w:rFonts w:hint="eastAsia" w:ascii="宋体" w:hAnsi="宋体" w:cs="宋体"/>
          <w:bCs/>
          <w:color w:val="auto"/>
          <w:sz w:val="24"/>
          <w:highlight w:val="none"/>
        </w:rPr>
        <w:t>（5）响应文件及评标过程中形成的文字资料、澄清资料均作为本合同的组成部分，具有同等效力。</w:t>
      </w:r>
    </w:p>
    <w:p w14:paraId="1EB952FE">
      <w:pPr>
        <w:spacing w:line="360" w:lineRule="auto"/>
        <w:ind w:firstLine="471"/>
        <w:rPr>
          <w:rFonts w:ascii="宋体" w:hAnsi="宋体" w:cs="宋体"/>
          <w:bCs/>
          <w:color w:val="auto"/>
          <w:sz w:val="24"/>
          <w:highlight w:val="none"/>
        </w:rPr>
      </w:pPr>
      <w:r>
        <w:rPr>
          <w:rFonts w:hint="eastAsia" w:ascii="宋体" w:hAnsi="宋体" w:cs="宋体"/>
          <w:bCs/>
          <w:color w:val="auto"/>
          <w:sz w:val="24"/>
          <w:highlight w:val="none"/>
        </w:rPr>
        <w:t>上述各项合同文件包括合同当事人就该项合同文件所作出的补充和修改，属于同一类内容的文件，应以最新签署的为准。</w:t>
      </w:r>
    </w:p>
    <w:p w14:paraId="5F211139">
      <w:pPr>
        <w:spacing w:line="360" w:lineRule="auto"/>
        <w:ind w:firstLine="471"/>
        <w:rPr>
          <w:rFonts w:ascii="宋体" w:hAnsi="宋体" w:cs="宋体"/>
          <w:color w:val="auto"/>
          <w:sz w:val="24"/>
          <w:highlight w:val="none"/>
        </w:rPr>
      </w:pPr>
      <w:r>
        <w:rPr>
          <w:rFonts w:hint="eastAsia" w:ascii="宋体" w:hAnsi="宋体" w:cs="宋体"/>
          <w:b/>
          <w:color w:val="auto"/>
          <w:sz w:val="24"/>
          <w:highlight w:val="none"/>
        </w:rPr>
        <w:t>四、人员要求</w:t>
      </w:r>
    </w:p>
    <w:p w14:paraId="09D1B2D3">
      <w:pPr>
        <w:spacing w:line="360" w:lineRule="auto"/>
        <w:ind w:firstLine="471"/>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项目负责人</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，联系电话：</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投入本项目</w:t>
      </w:r>
      <w:r>
        <w:rPr>
          <w:rFonts w:hint="eastAsia" w:ascii="宋体" w:hAnsi="宋体" w:cs="宋体"/>
          <w:color w:val="auto"/>
          <w:sz w:val="24"/>
          <w:szCs w:val="24"/>
          <w:highlight w:val="none"/>
          <w:lang w:val="en-US" w:eastAsia="zh-CN"/>
        </w:rPr>
        <w:t>其他</w:t>
      </w:r>
      <w:r>
        <w:rPr>
          <w:rFonts w:hint="eastAsia" w:ascii="宋体" w:hAnsi="宋体" w:cs="宋体"/>
          <w:color w:val="auto"/>
          <w:sz w:val="24"/>
          <w:szCs w:val="24"/>
          <w:highlight w:val="none"/>
        </w:rPr>
        <w:t>人员见本合同协议书附件</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w:t>
      </w:r>
    </w:p>
    <w:p w14:paraId="54187479">
      <w:pPr>
        <w:spacing w:line="360" w:lineRule="auto"/>
        <w:ind w:firstLine="480"/>
        <w:rPr>
          <w:rFonts w:ascii="宋体" w:hAnsi="宋体" w:cs="宋体"/>
          <w:b/>
          <w:color w:val="auto"/>
          <w:sz w:val="24"/>
          <w:highlight w:val="none"/>
        </w:rPr>
      </w:pPr>
      <w:r>
        <w:rPr>
          <w:rFonts w:hint="eastAsia" w:ascii="宋体" w:hAnsi="宋体" w:cs="宋体"/>
          <w:b/>
          <w:color w:val="auto"/>
          <w:sz w:val="24"/>
          <w:highlight w:val="none"/>
        </w:rPr>
        <w:t>五、合同服务期</w:t>
      </w:r>
    </w:p>
    <w:p w14:paraId="01BA443F">
      <w:pPr>
        <w:spacing w:line="360" w:lineRule="auto"/>
        <w:ind w:firstLine="480" w:firstLineChars="200"/>
        <w:rPr>
          <w:rFonts w:hint="eastAsia" w:ascii="宋体" w:hAnsi="宋体" w:cs="宋体"/>
          <w:color w:val="auto"/>
          <w:sz w:val="24"/>
          <w:highlight w:val="none"/>
        </w:rPr>
      </w:pPr>
      <w:r>
        <w:rPr>
          <w:rFonts w:hint="eastAsia" w:ascii="宋体" w:eastAsia="宋体" w:cs="宋体"/>
          <w:color w:val="auto"/>
          <w:sz w:val="24"/>
          <w:szCs w:val="24"/>
          <w:highlight w:val="none"/>
        </w:rPr>
        <w:t>计划2025年11月开工，2025年12月20日前提交成果报告并通过采购人审查。</w:t>
      </w:r>
    </w:p>
    <w:p w14:paraId="54B00EA0">
      <w:pPr>
        <w:pStyle w:val="58"/>
        <w:spacing w:before="0"/>
        <w:ind w:firstLine="472"/>
        <w:rPr>
          <w:rFonts w:ascii="宋体" w:hAnsi="宋体" w:cs="宋体"/>
          <w:b/>
          <w:color w:val="auto"/>
          <w:szCs w:val="24"/>
          <w:highlight w:val="none"/>
        </w:rPr>
      </w:pPr>
      <w:r>
        <w:rPr>
          <w:rFonts w:hint="eastAsia" w:ascii="宋体" w:hAnsi="宋体" w:cs="宋体"/>
          <w:b/>
          <w:color w:val="auto"/>
          <w:szCs w:val="24"/>
          <w:highlight w:val="none"/>
        </w:rPr>
        <w:t>六、合同价款及付款方式</w:t>
      </w:r>
    </w:p>
    <w:p w14:paraId="491D7A5A">
      <w:pPr>
        <w:spacing w:line="360" w:lineRule="auto"/>
        <w:ind w:firstLine="471"/>
        <w:rPr>
          <w:rFonts w:hint="eastAsia" w:ascii="宋体" w:hAnsi="宋体" w:cs="宋体"/>
          <w:color w:val="auto"/>
          <w:sz w:val="24"/>
          <w:highlight w:val="none"/>
        </w:rPr>
      </w:pPr>
      <w:r>
        <w:rPr>
          <w:rFonts w:hint="eastAsia" w:ascii="宋体" w:hAnsi="宋体" w:cs="宋体"/>
          <w:color w:val="auto"/>
          <w:sz w:val="24"/>
          <w:highlight w:val="none"/>
        </w:rPr>
        <w:t>1、本项目</w:t>
      </w:r>
      <w:r>
        <w:rPr>
          <w:rFonts w:hint="eastAsia" w:ascii="宋体" w:hAnsi="宋体" w:cs="宋体"/>
          <w:color w:val="auto"/>
          <w:sz w:val="24"/>
          <w:highlight w:val="none"/>
          <w:lang w:val="en-US" w:eastAsia="zh-CN"/>
        </w:rPr>
        <w:t>为总价合同，</w:t>
      </w:r>
      <w:r>
        <w:rPr>
          <w:rFonts w:hint="eastAsia" w:ascii="宋体" w:hAnsi="宋体" w:cs="宋体"/>
          <w:color w:val="auto"/>
          <w:sz w:val="24"/>
          <w:highlight w:val="none"/>
        </w:rPr>
        <w:t>合同价为人民币</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7281CBA4">
      <w:pPr>
        <w:spacing w:line="360" w:lineRule="auto"/>
        <w:ind w:firstLine="471"/>
        <w:rPr>
          <w:rFonts w:hint="eastAsia" w:ascii="宋体" w:hAnsi="宋体" w:cs="宋体"/>
          <w:color w:val="auto"/>
          <w:sz w:val="24"/>
          <w:highlight w:val="none"/>
          <w:lang w:val="zh-CN" w:eastAsia="zh-CN"/>
        </w:rPr>
      </w:pPr>
      <w:r>
        <w:rPr>
          <w:rFonts w:hint="eastAsia" w:ascii="宋体" w:hAnsi="宋体" w:cs="宋体"/>
          <w:color w:val="auto"/>
          <w:sz w:val="24"/>
          <w:highlight w:val="none"/>
          <w:lang w:val="en-US" w:eastAsia="zh-CN"/>
        </w:rPr>
        <w:t>合同价</w:t>
      </w:r>
      <w:r>
        <w:rPr>
          <w:rFonts w:hint="eastAsia" w:ascii="宋体" w:hAnsi="宋体" w:cs="宋体"/>
          <w:color w:val="auto"/>
          <w:sz w:val="24"/>
          <w:highlight w:val="none"/>
          <w:lang w:val="zh-CN" w:eastAsia="zh-CN"/>
        </w:rPr>
        <w:t>包括完成本项目各项服务可能发生的全部费用，包括但不限于检测及管理人员费用、检</w:t>
      </w:r>
      <w:r>
        <w:rPr>
          <w:rFonts w:hint="eastAsia" w:ascii="宋体" w:hAnsi="宋体" w:cs="宋体"/>
          <w:color w:val="auto"/>
          <w:sz w:val="24"/>
          <w:highlight w:val="none"/>
          <w:lang w:val="en-US" w:eastAsia="zh-CN"/>
        </w:rPr>
        <w:t>查</w:t>
      </w:r>
      <w:r>
        <w:rPr>
          <w:rFonts w:hint="eastAsia" w:ascii="宋体" w:hAnsi="宋体" w:cs="宋体"/>
          <w:color w:val="auto"/>
          <w:sz w:val="24"/>
          <w:highlight w:val="none"/>
          <w:lang w:val="zh-CN" w:eastAsia="zh-CN"/>
        </w:rPr>
        <w:t>报告费用、专家评审费用（</w:t>
      </w:r>
      <w:r>
        <w:rPr>
          <w:rFonts w:hint="eastAsia" w:ascii="宋体" w:hAnsi="宋体" w:cs="宋体"/>
          <w:color w:val="auto"/>
          <w:sz w:val="24"/>
          <w:highlight w:val="none"/>
          <w:lang w:val="en-US" w:eastAsia="zh-CN"/>
        </w:rPr>
        <w:t>如有</w:t>
      </w:r>
      <w:r>
        <w:rPr>
          <w:rFonts w:hint="eastAsia" w:ascii="宋体" w:hAnsi="宋体" w:cs="宋体"/>
          <w:color w:val="auto"/>
          <w:sz w:val="24"/>
          <w:highlight w:val="none"/>
          <w:lang w:val="zh-CN" w:eastAsia="zh-CN"/>
        </w:rPr>
        <w:t>）、现场费用、交通安全措施费用、交通工具及使用费、检测设备、测量仪器费及相关费用、公司取费、法定税金、保险、利润等本文件明示或暗示的所有一般风险、责任和义务等费用以及合同明示或暗示的所有一般风险责任和义务费用，采购人不另行支付其它任何费用。</w:t>
      </w:r>
    </w:p>
    <w:p w14:paraId="08809D9A">
      <w:pPr>
        <w:spacing w:line="360" w:lineRule="auto"/>
        <w:ind w:firstLine="471"/>
        <w:rPr>
          <w:rFonts w:hint="eastAsia" w:ascii="宋体" w:hAnsi="宋体" w:cs="宋体"/>
          <w:color w:val="auto"/>
          <w:sz w:val="24"/>
          <w:highlight w:val="none"/>
          <w:lang w:val="zh-CN" w:eastAsia="zh-CN"/>
        </w:rPr>
      </w:pPr>
      <w:r>
        <w:rPr>
          <w:rFonts w:hint="eastAsia" w:ascii="宋体" w:hAnsi="宋体" w:cs="宋体"/>
          <w:color w:val="auto"/>
          <w:sz w:val="24"/>
          <w:highlight w:val="none"/>
          <w:lang w:val="en-US" w:eastAsia="zh-CN"/>
        </w:rPr>
        <w:t>乙方</w:t>
      </w:r>
      <w:r>
        <w:rPr>
          <w:rFonts w:hint="eastAsia" w:ascii="宋体" w:hAnsi="宋体" w:cs="宋体"/>
          <w:color w:val="auto"/>
          <w:sz w:val="24"/>
          <w:highlight w:val="none"/>
          <w:lang w:val="zh-CN" w:eastAsia="zh-CN"/>
        </w:rPr>
        <w:t>提交检</w:t>
      </w:r>
      <w:r>
        <w:rPr>
          <w:rFonts w:hint="eastAsia" w:ascii="宋体" w:hAnsi="宋体" w:cs="宋体"/>
          <w:color w:val="auto"/>
          <w:sz w:val="24"/>
          <w:highlight w:val="none"/>
          <w:lang w:val="en-US" w:eastAsia="zh-CN"/>
        </w:rPr>
        <w:t>查</w:t>
      </w:r>
      <w:r>
        <w:rPr>
          <w:rFonts w:hint="eastAsia" w:ascii="宋体" w:hAnsi="宋体" w:cs="宋体"/>
          <w:color w:val="auto"/>
          <w:sz w:val="24"/>
          <w:highlight w:val="none"/>
          <w:lang w:val="zh-CN" w:eastAsia="zh-CN"/>
        </w:rPr>
        <w:t>报告后，</w:t>
      </w:r>
      <w:r>
        <w:rPr>
          <w:rFonts w:hint="eastAsia" w:ascii="宋体" w:hAnsi="宋体" w:cs="宋体"/>
          <w:color w:val="auto"/>
          <w:sz w:val="24"/>
          <w:highlight w:val="none"/>
          <w:lang w:val="en-US" w:eastAsia="zh-CN"/>
        </w:rPr>
        <w:t>甲方</w:t>
      </w:r>
      <w:r>
        <w:rPr>
          <w:rFonts w:hint="eastAsia" w:ascii="宋体" w:hAnsi="宋体" w:cs="宋体"/>
          <w:color w:val="auto"/>
          <w:sz w:val="24"/>
          <w:highlight w:val="none"/>
          <w:lang w:val="zh-CN" w:eastAsia="zh-CN"/>
        </w:rPr>
        <w:t>将</w:t>
      </w:r>
      <w:r>
        <w:rPr>
          <w:rFonts w:hint="eastAsia" w:ascii="宋体" w:hAnsi="宋体" w:cs="宋体"/>
          <w:color w:val="auto"/>
          <w:sz w:val="24"/>
          <w:highlight w:val="none"/>
          <w:lang w:val="en-US" w:eastAsia="zh-CN"/>
        </w:rPr>
        <w:t>审核</w:t>
      </w:r>
      <w:r>
        <w:rPr>
          <w:rFonts w:hint="eastAsia" w:ascii="宋体" w:hAnsi="宋体" w:cs="宋体"/>
          <w:color w:val="auto"/>
          <w:sz w:val="24"/>
          <w:highlight w:val="none"/>
          <w:lang w:val="zh-CN" w:eastAsia="zh-CN"/>
        </w:rPr>
        <w:t>，</w:t>
      </w:r>
      <w:r>
        <w:rPr>
          <w:rFonts w:hint="eastAsia" w:ascii="宋体" w:hAnsi="宋体" w:cs="宋体"/>
          <w:color w:val="auto"/>
          <w:sz w:val="24"/>
          <w:highlight w:val="none"/>
          <w:lang w:val="en-US" w:eastAsia="zh-CN"/>
        </w:rPr>
        <w:t>乙方</w:t>
      </w:r>
      <w:r>
        <w:rPr>
          <w:rFonts w:hint="eastAsia" w:ascii="宋体" w:hAnsi="宋体" w:cs="宋体"/>
          <w:color w:val="auto"/>
          <w:sz w:val="24"/>
          <w:highlight w:val="none"/>
          <w:lang w:val="zh-CN" w:eastAsia="zh-CN"/>
        </w:rPr>
        <w:t>根据</w:t>
      </w:r>
      <w:r>
        <w:rPr>
          <w:rFonts w:hint="eastAsia" w:ascii="宋体" w:hAnsi="宋体" w:cs="宋体"/>
          <w:color w:val="auto"/>
          <w:sz w:val="24"/>
          <w:highlight w:val="none"/>
          <w:lang w:val="en-US" w:eastAsia="zh-CN"/>
        </w:rPr>
        <w:t>审核</w:t>
      </w:r>
      <w:r>
        <w:rPr>
          <w:rFonts w:hint="eastAsia" w:ascii="宋体" w:hAnsi="宋体" w:cs="宋体"/>
          <w:color w:val="auto"/>
          <w:sz w:val="24"/>
          <w:highlight w:val="none"/>
          <w:lang w:val="zh-CN" w:eastAsia="zh-CN"/>
        </w:rPr>
        <w:t>意见对报告进行完善后向</w:t>
      </w:r>
      <w:r>
        <w:rPr>
          <w:rFonts w:hint="eastAsia" w:ascii="宋体" w:hAnsi="宋体" w:cs="宋体"/>
          <w:color w:val="auto"/>
          <w:sz w:val="24"/>
          <w:highlight w:val="none"/>
          <w:lang w:val="en-US" w:eastAsia="zh-CN"/>
        </w:rPr>
        <w:t>技防</w:t>
      </w:r>
      <w:r>
        <w:rPr>
          <w:rFonts w:hint="eastAsia" w:ascii="宋体" w:hAnsi="宋体" w:cs="宋体"/>
          <w:color w:val="auto"/>
          <w:sz w:val="24"/>
          <w:highlight w:val="none"/>
          <w:lang w:val="zh-CN" w:eastAsia="zh-CN"/>
        </w:rPr>
        <w:t>出具最终的</w:t>
      </w:r>
      <w:r>
        <w:rPr>
          <w:rFonts w:hint="eastAsia" w:ascii="宋体" w:hAnsi="宋体" w:cs="宋体"/>
          <w:color w:val="auto"/>
          <w:sz w:val="24"/>
          <w:highlight w:val="none"/>
          <w:lang w:val="en-US" w:eastAsia="zh-CN"/>
        </w:rPr>
        <w:t>成果</w:t>
      </w:r>
      <w:r>
        <w:rPr>
          <w:rFonts w:hint="eastAsia" w:ascii="宋体" w:hAnsi="宋体" w:cs="宋体"/>
          <w:color w:val="auto"/>
          <w:sz w:val="24"/>
          <w:highlight w:val="none"/>
          <w:lang w:val="zh-CN" w:eastAsia="zh-CN"/>
        </w:rPr>
        <w:t>报告。</w:t>
      </w:r>
      <w:r>
        <w:rPr>
          <w:rFonts w:hint="eastAsia" w:ascii="宋体" w:hAnsi="宋体" w:cs="宋体"/>
          <w:color w:val="auto"/>
          <w:sz w:val="24"/>
          <w:highlight w:val="none"/>
          <w:lang w:val="en-US" w:eastAsia="zh-CN"/>
        </w:rPr>
        <w:t>若涉及</w:t>
      </w:r>
      <w:r>
        <w:rPr>
          <w:rFonts w:hint="eastAsia" w:ascii="宋体" w:hAnsi="宋体" w:cs="宋体"/>
          <w:color w:val="auto"/>
          <w:sz w:val="24"/>
          <w:highlight w:val="none"/>
          <w:lang w:val="zh-CN" w:eastAsia="zh-CN"/>
        </w:rPr>
        <w:t>专家评审，</w:t>
      </w:r>
      <w:r>
        <w:rPr>
          <w:rFonts w:hint="eastAsia" w:ascii="宋体" w:hAnsi="宋体" w:cs="宋体"/>
          <w:color w:val="auto"/>
          <w:sz w:val="24"/>
          <w:highlight w:val="none"/>
          <w:lang w:val="en-US" w:eastAsia="zh-CN"/>
        </w:rPr>
        <w:t>则专家评审</w:t>
      </w:r>
      <w:r>
        <w:rPr>
          <w:rFonts w:hint="eastAsia" w:ascii="宋体" w:hAnsi="宋体" w:cs="宋体"/>
          <w:color w:val="auto"/>
          <w:sz w:val="24"/>
          <w:highlight w:val="none"/>
          <w:lang w:val="zh-CN" w:eastAsia="zh-CN"/>
        </w:rPr>
        <w:t>费包含在</w:t>
      </w:r>
      <w:r>
        <w:rPr>
          <w:rFonts w:hint="eastAsia" w:ascii="宋体" w:hAnsi="宋体" w:cs="宋体"/>
          <w:color w:val="auto"/>
          <w:sz w:val="24"/>
          <w:highlight w:val="none"/>
          <w:lang w:val="en-US" w:eastAsia="zh-CN"/>
        </w:rPr>
        <w:t>合同价</w:t>
      </w:r>
      <w:r>
        <w:rPr>
          <w:rFonts w:hint="eastAsia" w:ascii="宋体" w:hAnsi="宋体" w:cs="宋体"/>
          <w:color w:val="auto"/>
          <w:sz w:val="24"/>
          <w:highlight w:val="none"/>
          <w:lang w:val="zh-CN" w:eastAsia="zh-CN"/>
        </w:rPr>
        <w:t>中。</w:t>
      </w:r>
    </w:p>
    <w:p w14:paraId="16E3DB33">
      <w:pPr>
        <w:spacing w:line="360" w:lineRule="auto"/>
        <w:ind w:firstLine="471"/>
        <w:rPr>
          <w:rFonts w:hint="eastAsia" w:ascii="宋体" w:hAnsi="宋体" w:cs="宋体"/>
          <w:color w:val="auto"/>
          <w:sz w:val="24"/>
          <w:highlight w:val="none"/>
          <w:lang w:val="zh-CN" w:eastAsia="zh-CN"/>
        </w:rPr>
      </w:pPr>
      <w:r>
        <w:rPr>
          <w:rFonts w:hint="eastAsia" w:ascii="宋体" w:hAnsi="宋体" w:cs="宋体"/>
          <w:color w:val="auto"/>
          <w:sz w:val="24"/>
          <w:highlight w:val="none"/>
          <w:lang w:val="en-US" w:eastAsia="zh-CN"/>
        </w:rPr>
        <w:t>乙方</w:t>
      </w:r>
      <w:r>
        <w:rPr>
          <w:rFonts w:hint="eastAsia" w:ascii="宋体" w:hAnsi="宋体" w:cs="宋体"/>
          <w:color w:val="auto"/>
          <w:sz w:val="24"/>
          <w:highlight w:val="none"/>
          <w:lang w:val="zh-CN" w:eastAsia="zh-CN"/>
        </w:rPr>
        <w:t>须考虑检测服务过程中桥梁所在航道的通行情况，并制定相应的措施，由此产生的费用（包含到相关部门完善相关手续所需的相关费用）均包含在</w:t>
      </w:r>
      <w:r>
        <w:rPr>
          <w:rFonts w:hint="eastAsia" w:ascii="宋体" w:hAnsi="宋体" w:cs="宋体"/>
          <w:color w:val="auto"/>
          <w:sz w:val="24"/>
          <w:highlight w:val="none"/>
          <w:lang w:val="en-US" w:eastAsia="zh-CN"/>
        </w:rPr>
        <w:t>合同价</w:t>
      </w:r>
      <w:r>
        <w:rPr>
          <w:rFonts w:hint="eastAsia" w:ascii="宋体" w:hAnsi="宋体" w:cs="宋体"/>
          <w:color w:val="auto"/>
          <w:sz w:val="24"/>
          <w:highlight w:val="none"/>
          <w:lang w:val="zh-CN" w:eastAsia="zh-CN"/>
        </w:rPr>
        <w:t>中。</w:t>
      </w:r>
    </w:p>
    <w:p w14:paraId="0BF2B35A">
      <w:pPr>
        <w:spacing w:line="360" w:lineRule="auto"/>
        <w:ind w:firstLine="471"/>
        <w:rPr>
          <w:rFonts w:ascii="宋体" w:hAnsi="宋体" w:cs="宋体"/>
          <w:color w:val="auto"/>
          <w:sz w:val="24"/>
          <w:highlight w:val="none"/>
        </w:rPr>
      </w:pPr>
      <w:r>
        <w:rPr>
          <w:rFonts w:hint="eastAsia" w:ascii="宋体" w:hAnsi="宋体" w:cs="宋体"/>
          <w:color w:val="auto"/>
          <w:sz w:val="24"/>
          <w:highlight w:val="none"/>
        </w:rPr>
        <w:t>2、付款方式：</w:t>
      </w:r>
    </w:p>
    <w:p w14:paraId="17CD5C2D">
      <w:pPr>
        <w:keepNext w:val="0"/>
        <w:keepLines w:val="0"/>
        <w:pageBreakBefore w:val="0"/>
        <w:topLinePunct w:val="0"/>
        <w:bidi w:val="0"/>
        <w:adjustRightInd w:val="0"/>
        <w:snapToGrid w:val="0"/>
        <w:spacing w:line="360" w:lineRule="auto"/>
        <w:ind w:firstLine="508" w:firstLineChars="200"/>
        <w:contextualSpacing/>
        <w:textAlignment w:val="auto"/>
        <w:rPr>
          <w:rFonts w:hint="eastAsia" w:ascii="宋体" w:hAnsi="宋体" w:cs="宋体"/>
          <w:color w:val="auto"/>
          <w:spacing w:val="7"/>
          <w:kern w:val="0"/>
          <w:sz w:val="24"/>
          <w:highlight w:val="none"/>
        </w:rPr>
      </w:pPr>
      <w:r>
        <w:rPr>
          <w:rFonts w:hint="eastAsia" w:ascii="宋体" w:hAnsi="宋体" w:cs="宋体"/>
          <w:color w:val="auto"/>
          <w:spacing w:val="7"/>
          <w:kern w:val="0"/>
          <w:sz w:val="24"/>
          <w:highlight w:val="none"/>
          <w:lang w:val="en-US" w:eastAsia="zh-CN"/>
        </w:rPr>
        <w:t>1.</w:t>
      </w:r>
      <w:r>
        <w:rPr>
          <w:rFonts w:hint="eastAsia" w:ascii="宋体" w:hAnsi="宋体" w:cs="宋体"/>
          <w:color w:val="auto"/>
          <w:spacing w:val="7"/>
          <w:kern w:val="0"/>
          <w:sz w:val="24"/>
          <w:highlight w:val="none"/>
        </w:rPr>
        <w:t>合同签订后15个工作日内，支付合同价30%为预付款；</w:t>
      </w:r>
    </w:p>
    <w:p w14:paraId="756C10CD">
      <w:pPr>
        <w:keepNext w:val="0"/>
        <w:keepLines w:val="0"/>
        <w:pageBreakBefore w:val="0"/>
        <w:topLinePunct w:val="0"/>
        <w:bidi w:val="0"/>
        <w:adjustRightInd w:val="0"/>
        <w:snapToGrid w:val="0"/>
        <w:spacing w:line="360" w:lineRule="auto"/>
        <w:ind w:firstLine="508" w:firstLineChars="200"/>
        <w:contextualSpacing/>
        <w:textAlignment w:val="auto"/>
        <w:rPr>
          <w:rFonts w:hint="eastAsia" w:ascii="宋体" w:hAnsi="宋体" w:cs="宋体"/>
          <w:color w:val="auto"/>
          <w:spacing w:val="7"/>
          <w:kern w:val="0"/>
          <w:sz w:val="24"/>
          <w:highlight w:val="none"/>
        </w:rPr>
      </w:pPr>
      <w:r>
        <w:rPr>
          <w:rFonts w:hint="eastAsia" w:ascii="宋体" w:hAnsi="宋体" w:cs="宋体"/>
          <w:color w:val="auto"/>
          <w:spacing w:val="7"/>
          <w:kern w:val="0"/>
          <w:sz w:val="24"/>
          <w:highlight w:val="none"/>
          <w:lang w:val="en-US" w:eastAsia="zh-CN"/>
        </w:rPr>
        <w:t>2.</w:t>
      </w:r>
      <w:r>
        <w:rPr>
          <w:rFonts w:hint="eastAsia" w:ascii="宋体" w:hAnsi="宋体" w:cs="宋体"/>
          <w:color w:val="auto"/>
          <w:spacing w:val="7"/>
          <w:kern w:val="0"/>
          <w:sz w:val="24"/>
          <w:highlight w:val="none"/>
        </w:rPr>
        <w:t>完成全部服务内容且成果报告通过采购人审查并修改完善后，付清尾款。</w:t>
      </w:r>
    </w:p>
    <w:p w14:paraId="3933436D">
      <w:pPr>
        <w:keepNext w:val="0"/>
        <w:keepLines w:val="0"/>
        <w:pageBreakBefore w:val="0"/>
        <w:topLinePunct w:val="0"/>
        <w:bidi w:val="0"/>
        <w:adjustRightInd w:val="0"/>
        <w:snapToGrid w:val="0"/>
        <w:spacing w:line="360" w:lineRule="auto"/>
        <w:ind w:firstLine="508" w:firstLineChars="200"/>
        <w:contextualSpacing/>
        <w:textAlignment w:val="auto"/>
        <w:rPr>
          <w:rFonts w:hint="eastAsia" w:ascii="宋体" w:hAnsi="宋体" w:cs="宋体"/>
          <w:color w:val="auto"/>
          <w:spacing w:val="7"/>
          <w:kern w:val="0"/>
          <w:sz w:val="24"/>
          <w:highlight w:val="none"/>
        </w:rPr>
      </w:pPr>
      <w:r>
        <w:rPr>
          <w:rFonts w:hint="eastAsia" w:ascii="宋体" w:hAnsi="宋体" w:cs="宋体"/>
          <w:color w:val="auto"/>
          <w:spacing w:val="7"/>
          <w:kern w:val="0"/>
          <w:sz w:val="24"/>
          <w:highlight w:val="none"/>
        </w:rPr>
        <w:t>注：</w:t>
      </w:r>
      <w:r>
        <w:rPr>
          <w:rFonts w:hint="eastAsia" w:ascii="宋体" w:hAnsi="宋体" w:cs="宋体"/>
          <w:color w:val="auto"/>
          <w:spacing w:val="7"/>
          <w:kern w:val="0"/>
          <w:sz w:val="24"/>
          <w:highlight w:val="none"/>
          <w:lang w:eastAsia="zh-CN"/>
        </w:rPr>
        <w:t>（</w:t>
      </w:r>
      <w:r>
        <w:rPr>
          <w:rFonts w:hint="eastAsia" w:ascii="宋体" w:hAnsi="宋体" w:cs="宋体"/>
          <w:color w:val="auto"/>
          <w:spacing w:val="7"/>
          <w:kern w:val="0"/>
          <w:sz w:val="24"/>
          <w:highlight w:val="none"/>
          <w:lang w:val="en-US" w:eastAsia="zh-CN"/>
        </w:rPr>
        <w:t>1</w:t>
      </w:r>
      <w:r>
        <w:rPr>
          <w:rFonts w:hint="eastAsia" w:ascii="宋体" w:hAnsi="宋体" w:cs="宋体"/>
          <w:color w:val="auto"/>
          <w:spacing w:val="7"/>
          <w:kern w:val="0"/>
          <w:sz w:val="24"/>
          <w:highlight w:val="none"/>
          <w:lang w:eastAsia="zh-CN"/>
        </w:rPr>
        <w:t>）</w:t>
      </w:r>
      <w:r>
        <w:rPr>
          <w:rFonts w:hint="eastAsia" w:ascii="宋体" w:hAnsi="宋体" w:cs="宋体"/>
          <w:color w:val="auto"/>
          <w:spacing w:val="7"/>
          <w:kern w:val="0"/>
          <w:sz w:val="24"/>
          <w:highlight w:val="none"/>
        </w:rPr>
        <w:t>每次付款须按合同扣减违约金和赔偿款；</w:t>
      </w:r>
    </w:p>
    <w:p w14:paraId="0261BA64">
      <w:pPr>
        <w:keepNext w:val="0"/>
        <w:keepLines w:val="0"/>
        <w:pageBreakBefore w:val="0"/>
        <w:topLinePunct w:val="0"/>
        <w:bidi w:val="0"/>
        <w:adjustRightInd w:val="0"/>
        <w:snapToGrid w:val="0"/>
        <w:spacing w:line="360" w:lineRule="auto"/>
        <w:ind w:firstLine="508" w:firstLineChars="200"/>
        <w:contextualSpacing/>
        <w:textAlignment w:val="auto"/>
        <w:rPr>
          <w:rFonts w:hint="eastAsia" w:ascii="宋体" w:hAnsi="宋体" w:cs="宋体"/>
          <w:color w:val="auto"/>
          <w:spacing w:val="7"/>
          <w:kern w:val="0"/>
          <w:sz w:val="24"/>
          <w:highlight w:val="none"/>
        </w:rPr>
      </w:pPr>
      <w:r>
        <w:rPr>
          <w:rFonts w:hint="eastAsia" w:ascii="宋体" w:hAnsi="宋体" w:cs="宋体"/>
          <w:color w:val="auto"/>
          <w:spacing w:val="7"/>
          <w:kern w:val="0"/>
          <w:sz w:val="24"/>
          <w:highlight w:val="none"/>
          <w:lang w:eastAsia="zh-CN"/>
        </w:rPr>
        <w:t>（</w:t>
      </w:r>
      <w:r>
        <w:rPr>
          <w:rFonts w:hint="eastAsia" w:ascii="宋体" w:hAnsi="宋体" w:cs="宋体"/>
          <w:color w:val="auto"/>
          <w:spacing w:val="7"/>
          <w:kern w:val="0"/>
          <w:sz w:val="24"/>
          <w:highlight w:val="none"/>
          <w:lang w:val="en-US" w:eastAsia="zh-CN"/>
        </w:rPr>
        <w:t>2</w:t>
      </w:r>
      <w:r>
        <w:rPr>
          <w:rFonts w:hint="eastAsia" w:ascii="宋体" w:hAnsi="宋体" w:cs="宋体"/>
          <w:color w:val="auto"/>
          <w:spacing w:val="7"/>
          <w:kern w:val="0"/>
          <w:sz w:val="24"/>
          <w:highlight w:val="none"/>
          <w:lang w:eastAsia="zh-CN"/>
        </w:rPr>
        <w:t>）</w:t>
      </w:r>
      <w:r>
        <w:rPr>
          <w:rFonts w:hint="eastAsia" w:ascii="宋体" w:hAnsi="宋体" w:cs="宋体"/>
          <w:color w:val="auto"/>
          <w:spacing w:val="7"/>
          <w:kern w:val="0"/>
          <w:sz w:val="24"/>
          <w:highlight w:val="none"/>
        </w:rPr>
        <w:t>付款前供应商须提供等额合规发票及相关申请资料，否则采购人可以拒付；</w:t>
      </w:r>
    </w:p>
    <w:p w14:paraId="786D8FC7">
      <w:pPr>
        <w:snapToGrid w:val="0"/>
        <w:spacing w:line="360" w:lineRule="auto"/>
        <w:ind w:firstLine="508"/>
        <w:contextualSpacing/>
        <w:rPr>
          <w:rFonts w:hint="eastAsia" w:ascii="宋体" w:hAnsi="宋体" w:cs="宋体"/>
          <w:color w:val="auto"/>
          <w:spacing w:val="7"/>
          <w:kern w:val="0"/>
          <w:sz w:val="24"/>
          <w:highlight w:val="none"/>
        </w:rPr>
      </w:pPr>
      <w:r>
        <w:rPr>
          <w:rFonts w:hint="eastAsia" w:ascii="宋体" w:hAnsi="宋体" w:cs="宋体"/>
          <w:color w:val="auto"/>
          <w:spacing w:val="7"/>
          <w:kern w:val="0"/>
          <w:sz w:val="24"/>
          <w:highlight w:val="none"/>
          <w:lang w:eastAsia="zh-CN"/>
        </w:rPr>
        <w:t>（</w:t>
      </w:r>
      <w:r>
        <w:rPr>
          <w:rFonts w:hint="eastAsia" w:ascii="宋体" w:hAnsi="宋体" w:cs="宋体"/>
          <w:color w:val="auto"/>
          <w:spacing w:val="7"/>
          <w:kern w:val="0"/>
          <w:sz w:val="24"/>
          <w:highlight w:val="none"/>
          <w:lang w:val="en-US" w:eastAsia="zh-CN"/>
        </w:rPr>
        <w:t>3</w:t>
      </w:r>
      <w:r>
        <w:rPr>
          <w:rFonts w:hint="eastAsia" w:ascii="宋体" w:hAnsi="宋体" w:cs="宋体"/>
          <w:color w:val="auto"/>
          <w:spacing w:val="7"/>
          <w:kern w:val="0"/>
          <w:sz w:val="24"/>
          <w:highlight w:val="none"/>
          <w:lang w:eastAsia="zh-CN"/>
        </w:rPr>
        <w:t>）</w:t>
      </w:r>
      <w:r>
        <w:rPr>
          <w:rFonts w:hint="eastAsia" w:ascii="宋体" w:hAnsi="宋体" w:cs="宋体"/>
          <w:color w:val="auto"/>
          <w:spacing w:val="7"/>
          <w:kern w:val="0"/>
          <w:sz w:val="24"/>
          <w:highlight w:val="none"/>
        </w:rPr>
        <w:t>所有付款均不计利息。</w:t>
      </w:r>
    </w:p>
    <w:p w14:paraId="5A8ECE63">
      <w:pPr>
        <w:spacing w:line="360" w:lineRule="auto"/>
        <w:ind w:firstLine="472"/>
        <w:rPr>
          <w:rFonts w:ascii="宋体" w:hAnsi="宋体" w:cs="宋体"/>
          <w:color w:val="auto"/>
          <w:sz w:val="24"/>
          <w:highlight w:val="none"/>
        </w:rPr>
      </w:pPr>
      <w:r>
        <w:rPr>
          <w:rFonts w:hint="eastAsia" w:ascii="宋体" w:hAnsi="宋体" w:cs="宋体"/>
          <w:b/>
          <w:color w:val="auto"/>
          <w:sz w:val="24"/>
          <w:highlight w:val="none"/>
        </w:rPr>
        <w:t>七、履约保证金</w:t>
      </w:r>
    </w:p>
    <w:p w14:paraId="25BE2BB8">
      <w:pPr>
        <w:spacing w:line="360" w:lineRule="auto"/>
        <w:ind w:firstLine="471"/>
        <w:rPr>
          <w:rFonts w:ascii="宋体" w:hAnsi="宋体" w:cs="宋体"/>
          <w:color w:val="auto"/>
          <w:sz w:val="24"/>
          <w:highlight w:val="none"/>
        </w:rPr>
      </w:pPr>
      <w:r>
        <w:rPr>
          <w:rFonts w:hint="eastAsia" w:ascii="宋体" w:hAnsi="宋体" w:cs="宋体"/>
          <w:color w:val="auto"/>
          <w:sz w:val="24"/>
          <w:highlight w:val="none"/>
        </w:rPr>
        <w:t>本项目免收履约保证金。</w:t>
      </w:r>
    </w:p>
    <w:p w14:paraId="66B7917B">
      <w:pPr>
        <w:widowControl/>
        <w:numPr>
          <w:ilvl w:val="0"/>
          <w:numId w:val="2"/>
        </w:numPr>
        <w:spacing w:line="360" w:lineRule="auto"/>
        <w:ind w:firstLine="474" w:firstLineChars="0"/>
        <w:jc w:val="left"/>
        <w:rPr>
          <w:rFonts w:hint="eastAsia" w:ascii="宋体" w:hAnsi="宋体" w:cs="宋体"/>
          <w:b/>
          <w:color w:val="auto"/>
          <w:spacing w:val="-2"/>
          <w:sz w:val="24"/>
          <w:highlight w:val="none"/>
          <w:lang w:val="en-US" w:eastAsia="zh-CN"/>
        </w:rPr>
      </w:pPr>
      <w:r>
        <w:rPr>
          <w:rFonts w:hint="eastAsia" w:ascii="宋体" w:hAnsi="宋体" w:cs="宋体"/>
          <w:b/>
          <w:color w:val="auto"/>
          <w:spacing w:val="-2"/>
          <w:kern w:val="2"/>
          <w:sz w:val="24"/>
          <w:szCs w:val="24"/>
          <w:highlight w:val="none"/>
          <w:lang w:val="en-US" w:eastAsia="zh-CN" w:bidi="ar-SA"/>
        </w:rPr>
        <w:t>甲、</w:t>
      </w:r>
      <w:r>
        <w:rPr>
          <w:rFonts w:hint="eastAsia" w:ascii="宋体" w:hAnsi="宋体" w:cs="宋体"/>
          <w:b/>
          <w:color w:val="auto"/>
          <w:spacing w:val="-2"/>
          <w:sz w:val="24"/>
          <w:highlight w:val="none"/>
          <w:lang w:val="en-US" w:eastAsia="zh-CN"/>
        </w:rPr>
        <w:t>乙双方的义务</w:t>
      </w:r>
    </w:p>
    <w:p w14:paraId="1EACC981">
      <w:pPr>
        <w:spacing w:line="360" w:lineRule="auto"/>
        <w:ind w:firstLine="471"/>
        <w:rPr>
          <w:rFonts w:hint="eastAsia" w:ascii="宋体" w:hAnsi="宋体" w:cs="宋体"/>
          <w:color w:val="auto"/>
          <w:sz w:val="24"/>
          <w:highlight w:val="none"/>
        </w:rPr>
      </w:pPr>
      <w:r>
        <w:rPr>
          <w:rFonts w:hint="eastAsia" w:ascii="宋体" w:hAnsi="宋体" w:cs="宋体"/>
          <w:color w:val="auto"/>
          <w:sz w:val="24"/>
          <w:highlight w:val="none"/>
          <w:lang w:val="en-US" w:eastAsia="zh-CN"/>
        </w:rPr>
        <w:t>（一）甲方</w:t>
      </w:r>
      <w:r>
        <w:rPr>
          <w:rFonts w:hint="eastAsia" w:ascii="宋体" w:hAnsi="宋体" w:cs="宋体"/>
          <w:color w:val="auto"/>
          <w:sz w:val="24"/>
          <w:highlight w:val="none"/>
        </w:rPr>
        <w:t>的义务</w:t>
      </w:r>
    </w:p>
    <w:p w14:paraId="3D8278C4">
      <w:pPr>
        <w:spacing w:line="360" w:lineRule="auto"/>
        <w:ind w:firstLine="471"/>
        <w:rPr>
          <w:rFonts w:hint="eastAsia" w:ascii="宋体" w:hAnsi="宋体" w:cs="宋体"/>
          <w:color w:val="auto"/>
          <w:sz w:val="24"/>
          <w:highlight w:val="none"/>
        </w:rPr>
      </w:pPr>
      <w:r>
        <w:rPr>
          <w:rFonts w:hint="eastAsia" w:ascii="宋体" w:hAnsi="宋体" w:cs="宋体"/>
          <w:color w:val="auto"/>
          <w:sz w:val="24"/>
          <w:highlight w:val="none"/>
          <w:lang w:val="en-US" w:eastAsia="zh-CN"/>
        </w:rPr>
        <w:t>1、甲方</w:t>
      </w:r>
      <w:r>
        <w:rPr>
          <w:rFonts w:hint="eastAsia" w:ascii="宋体" w:hAnsi="宋体" w:cs="宋体"/>
          <w:color w:val="auto"/>
          <w:sz w:val="24"/>
          <w:highlight w:val="none"/>
        </w:rPr>
        <w:t>根据</w:t>
      </w:r>
      <w:r>
        <w:rPr>
          <w:rFonts w:hint="eastAsia" w:ascii="宋体" w:hAnsi="宋体" w:cs="宋体"/>
          <w:color w:val="auto"/>
          <w:sz w:val="24"/>
          <w:highlight w:val="none"/>
          <w:lang w:val="en-US" w:eastAsia="zh-CN"/>
        </w:rPr>
        <w:t>乙方</w:t>
      </w:r>
      <w:r>
        <w:rPr>
          <w:rFonts w:hint="eastAsia" w:ascii="宋体" w:hAnsi="宋体" w:cs="宋体"/>
          <w:color w:val="auto"/>
          <w:sz w:val="24"/>
          <w:highlight w:val="none"/>
        </w:rPr>
        <w:t>有关针对本项目的质量和安全等重大问题的请示及时予以决定。</w:t>
      </w:r>
      <w:r>
        <w:rPr>
          <w:rFonts w:hint="eastAsia" w:ascii="宋体" w:hAnsi="宋体" w:cs="宋体"/>
          <w:color w:val="auto"/>
          <w:sz w:val="24"/>
          <w:highlight w:val="none"/>
          <w:lang w:val="en-US" w:eastAsia="zh-CN"/>
        </w:rPr>
        <w:t>甲方</w:t>
      </w:r>
      <w:r>
        <w:rPr>
          <w:rFonts w:hint="eastAsia" w:ascii="宋体" w:hAnsi="宋体" w:cs="宋体"/>
          <w:color w:val="auto"/>
          <w:sz w:val="24"/>
          <w:highlight w:val="none"/>
        </w:rPr>
        <w:t>对上述请示给予书面答复的期限，自收到书面请示之日起最长不超过15日。</w:t>
      </w:r>
    </w:p>
    <w:p w14:paraId="1CF4D0DC">
      <w:pPr>
        <w:spacing w:line="360" w:lineRule="auto"/>
        <w:ind w:firstLine="471"/>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代表</w:t>
      </w:r>
    </w:p>
    <w:p w14:paraId="17A1777D">
      <w:pPr>
        <w:spacing w:line="360" w:lineRule="auto"/>
        <w:ind w:firstLine="471"/>
        <w:rPr>
          <w:rFonts w:hint="eastAsia" w:ascii="宋体" w:hAnsi="宋体" w:cs="宋体"/>
          <w:color w:val="auto"/>
          <w:sz w:val="24"/>
          <w:highlight w:val="none"/>
        </w:rPr>
      </w:pPr>
      <w:r>
        <w:rPr>
          <w:rFonts w:hint="eastAsia" w:ascii="宋体" w:hAnsi="宋体" w:cs="宋体"/>
          <w:color w:val="auto"/>
          <w:sz w:val="24"/>
          <w:highlight w:val="none"/>
          <w:lang w:val="en-US" w:eastAsia="zh-CN"/>
        </w:rPr>
        <w:t>甲方</w:t>
      </w:r>
      <w:r>
        <w:rPr>
          <w:rFonts w:hint="eastAsia" w:ascii="宋体" w:hAnsi="宋体" w:cs="宋体"/>
          <w:color w:val="auto"/>
          <w:sz w:val="24"/>
          <w:highlight w:val="none"/>
        </w:rPr>
        <w:t>授权代表：</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 xml:space="preserve"> 。</w:t>
      </w:r>
    </w:p>
    <w:p w14:paraId="7E075793">
      <w:pPr>
        <w:spacing w:line="360" w:lineRule="auto"/>
        <w:ind w:firstLine="471"/>
        <w:rPr>
          <w:rFonts w:hint="eastAsia" w:ascii="宋体" w:hAnsi="宋体" w:cs="宋体"/>
          <w:color w:val="auto"/>
          <w:sz w:val="24"/>
          <w:highlight w:val="none"/>
          <w:lang w:val="en-US"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二</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乙方的义务</w:t>
      </w:r>
    </w:p>
    <w:p w14:paraId="618FF230">
      <w:pPr>
        <w:spacing w:line="360" w:lineRule="auto"/>
        <w:ind w:firstLine="471"/>
        <w:rPr>
          <w:rFonts w:hint="eastAsia" w:ascii="宋体" w:hAnsi="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服务形式</w:t>
      </w:r>
    </w:p>
    <w:p w14:paraId="53C06BDC">
      <w:pPr>
        <w:spacing w:line="360" w:lineRule="auto"/>
        <w:ind w:firstLine="471"/>
        <w:rPr>
          <w:rFonts w:hint="eastAsia" w:ascii="宋体" w:hAnsi="宋体" w:cs="宋体"/>
          <w:color w:val="auto"/>
          <w:sz w:val="24"/>
          <w:highlight w:val="none"/>
        </w:rPr>
      </w:pPr>
      <w:r>
        <w:rPr>
          <w:rFonts w:hint="eastAsia" w:ascii="宋体" w:hAnsi="宋体" w:cs="宋体"/>
          <w:color w:val="auto"/>
          <w:sz w:val="24"/>
          <w:highlight w:val="none"/>
          <w:lang w:val="en-US" w:eastAsia="zh-CN"/>
        </w:rPr>
        <w:t>乙方</w:t>
      </w:r>
      <w:r>
        <w:rPr>
          <w:rFonts w:hint="eastAsia" w:ascii="宋体" w:hAnsi="宋体" w:cs="宋体"/>
          <w:color w:val="auto"/>
          <w:sz w:val="24"/>
          <w:highlight w:val="none"/>
        </w:rPr>
        <w:t>应为本项目专门成立项目组，并在合同期间保证所有承诺的人员接到</w:t>
      </w:r>
      <w:r>
        <w:rPr>
          <w:rFonts w:hint="eastAsia" w:ascii="宋体" w:hAnsi="宋体" w:cs="宋体"/>
          <w:color w:val="auto"/>
          <w:sz w:val="24"/>
          <w:highlight w:val="none"/>
          <w:lang w:val="en-US" w:eastAsia="zh-CN"/>
        </w:rPr>
        <w:t>甲方</w:t>
      </w:r>
      <w:r>
        <w:rPr>
          <w:rFonts w:hint="eastAsia" w:ascii="宋体" w:hAnsi="宋体" w:cs="宋体"/>
          <w:color w:val="auto"/>
          <w:sz w:val="24"/>
          <w:highlight w:val="none"/>
        </w:rPr>
        <w:t>及其授权人通知后进场服务。</w:t>
      </w:r>
    </w:p>
    <w:p w14:paraId="3F2AE5DA">
      <w:pPr>
        <w:spacing w:line="360" w:lineRule="auto"/>
        <w:ind w:firstLine="471"/>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服务范围</w:t>
      </w:r>
    </w:p>
    <w:p w14:paraId="1D5079DF">
      <w:pPr>
        <w:spacing w:line="360" w:lineRule="auto"/>
        <w:ind w:firstLine="471"/>
        <w:rPr>
          <w:rFonts w:hint="eastAsia" w:ascii="宋体" w:hAnsi="宋体" w:cs="宋体"/>
          <w:color w:val="auto"/>
          <w:sz w:val="24"/>
          <w:highlight w:val="none"/>
        </w:rPr>
      </w:pPr>
      <w:r>
        <w:rPr>
          <w:rFonts w:hint="eastAsia" w:ascii="宋体" w:hAnsi="宋体" w:cs="宋体"/>
          <w:color w:val="auto"/>
          <w:sz w:val="24"/>
          <w:highlight w:val="none"/>
          <w:lang w:val="en-US" w:eastAsia="zh-CN"/>
        </w:rPr>
        <w:t>2.1</w:t>
      </w:r>
      <w:r>
        <w:rPr>
          <w:rFonts w:hint="eastAsia" w:ascii="宋体" w:hAnsi="宋体" w:cs="宋体"/>
          <w:color w:val="auto"/>
          <w:sz w:val="24"/>
          <w:highlight w:val="none"/>
        </w:rPr>
        <w:t>服务的工作范围：</w:t>
      </w:r>
      <w:r>
        <w:rPr>
          <w:rFonts w:hint="eastAsia" w:ascii="宋体" w:hAnsi="宋体" w:cs="宋体"/>
          <w:color w:val="auto"/>
          <w:sz w:val="24"/>
          <w:highlight w:val="none"/>
          <w:lang w:eastAsia="zh-CN"/>
        </w:rPr>
        <w:t>2025年南通市农村公路涉水桥梁下部结构风险隐患排查市级抽查项目</w:t>
      </w:r>
      <w:r>
        <w:rPr>
          <w:rFonts w:hint="eastAsia" w:ascii="宋体" w:hAnsi="宋体" w:cs="宋体"/>
          <w:color w:val="auto"/>
          <w:sz w:val="24"/>
          <w:highlight w:val="none"/>
        </w:rPr>
        <w:t>。</w:t>
      </w:r>
    </w:p>
    <w:p w14:paraId="71EB4B65">
      <w:pPr>
        <w:spacing w:line="360" w:lineRule="auto"/>
        <w:ind w:firstLine="471"/>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服务的内容</w:t>
      </w:r>
    </w:p>
    <w:p w14:paraId="5BDB5F25">
      <w:pPr>
        <w:spacing w:line="360" w:lineRule="auto"/>
        <w:ind w:firstLine="471"/>
        <w:rPr>
          <w:rFonts w:hint="eastAsia" w:ascii="宋体" w:hAnsi="宋体" w:cs="宋体"/>
          <w:color w:val="auto"/>
          <w:sz w:val="24"/>
          <w:highlight w:val="none"/>
        </w:rPr>
      </w:pPr>
      <w:r>
        <w:rPr>
          <w:rFonts w:hint="eastAsia" w:ascii="宋体" w:eastAsia="宋体" w:cs="宋体"/>
          <w:color w:val="auto"/>
          <w:sz w:val="24"/>
          <w:szCs w:val="24"/>
          <w:highlight w:val="none"/>
        </w:rPr>
        <w:t>根据《公路桥涵养护规范》（JTG 5120-2021）、《公路桥梁技术状况评定标准》（JTG/T H21-2011）等技术规范开展内业核查及外业检查。内业主要核查县级农村公路涉水桥梁下部结构风险隐患排查报告完整性和符合性；外业重点检查桥墩是否发生剥落、露筋、空洞、孔洞、钢筋锈蚀、位移、裂缝；桥台是否发生剥落、空洞、孔洞、位移、裂缝；基础是否发生冲刷、淘空、剥落、露筋、冲蚀、沉降、滑移、倾斜、裂缝，以及上述规范规定的其他情形。重点关注桥梁墩、台基础埋深不够，浅基础无防护或防护被冲空面积超过20%，以及墩、台冲蚀、剥落严重，桩顶外露或有缩颈、露筋及钢筋锈蚀严重等问题。</w:t>
      </w:r>
    </w:p>
    <w:p w14:paraId="7FDA4AF7">
      <w:pPr>
        <w:spacing w:line="360" w:lineRule="auto"/>
        <w:ind w:firstLine="471"/>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职责</w:t>
      </w:r>
    </w:p>
    <w:p w14:paraId="2120B822">
      <w:pPr>
        <w:spacing w:line="360" w:lineRule="auto"/>
        <w:ind w:firstLine="471"/>
        <w:rPr>
          <w:rFonts w:hint="eastAsia" w:ascii="宋体" w:hAnsi="宋体" w:cs="宋体"/>
          <w:color w:val="auto"/>
          <w:sz w:val="24"/>
          <w:highlight w:val="none"/>
        </w:rPr>
      </w:pPr>
      <w:r>
        <w:rPr>
          <w:rFonts w:hint="eastAsia" w:ascii="宋体" w:hAnsi="宋体" w:cs="宋体"/>
          <w:color w:val="auto"/>
          <w:sz w:val="24"/>
          <w:highlight w:val="none"/>
          <w:lang w:val="en-US" w:eastAsia="zh-CN"/>
        </w:rPr>
        <w:t>3.1</w:t>
      </w:r>
      <w:r>
        <w:rPr>
          <w:rFonts w:hint="eastAsia" w:ascii="宋体" w:hAnsi="宋体" w:cs="宋体"/>
          <w:color w:val="auto"/>
          <w:sz w:val="24"/>
          <w:highlight w:val="none"/>
        </w:rPr>
        <w:t>在签订合同之后，向</w:t>
      </w:r>
      <w:r>
        <w:rPr>
          <w:rFonts w:hint="eastAsia" w:ascii="宋体" w:hAnsi="宋体" w:cs="宋体"/>
          <w:color w:val="auto"/>
          <w:sz w:val="24"/>
          <w:highlight w:val="none"/>
          <w:lang w:val="en-US" w:eastAsia="zh-CN"/>
        </w:rPr>
        <w:t>甲方</w:t>
      </w:r>
      <w:r>
        <w:rPr>
          <w:rFonts w:hint="eastAsia" w:ascii="宋体" w:hAnsi="宋体" w:cs="宋体"/>
          <w:color w:val="auto"/>
          <w:sz w:val="24"/>
          <w:highlight w:val="none"/>
        </w:rPr>
        <w:t>提交本</w:t>
      </w:r>
      <w:r>
        <w:rPr>
          <w:rFonts w:hint="eastAsia" w:ascii="宋体" w:hAnsi="宋体" w:cs="宋体"/>
          <w:color w:val="auto"/>
          <w:sz w:val="24"/>
          <w:highlight w:val="none"/>
          <w:lang w:val="en-US" w:eastAsia="zh-CN"/>
        </w:rPr>
        <w:t>项目</w:t>
      </w:r>
      <w:r>
        <w:rPr>
          <w:rFonts w:hint="eastAsia" w:ascii="宋体" w:hAnsi="宋体" w:cs="宋体"/>
          <w:color w:val="auto"/>
          <w:sz w:val="24"/>
          <w:highlight w:val="none"/>
        </w:rPr>
        <w:t>工作细则，经</w:t>
      </w:r>
      <w:r>
        <w:rPr>
          <w:rFonts w:hint="eastAsia" w:ascii="宋体" w:hAnsi="宋体" w:cs="宋体"/>
          <w:color w:val="auto"/>
          <w:sz w:val="24"/>
          <w:highlight w:val="none"/>
          <w:lang w:val="en-US" w:eastAsia="zh-CN"/>
        </w:rPr>
        <w:t>甲方</w:t>
      </w:r>
      <w:r>
        <w:rPr>
          <w:rFonts w:hint="eastAsia" w:ascii="宋体" w:hAnsi="宋体" w:cs="宋体"/>
          <w:color w:val="auto"/>
          <w:sz w:val="24"/>
          <w:highlight w:val="none"/>
        </w:rPr>
        <w:t>批准同意后执行，并在实际工作中切实加以执行，并受其约束，同时作为</w:t>
      </w:r>
      <w:r>
        <w:rPr>
          <w:rFonts w:hint="eastAsia" w:ascii="宋体" w:hAnsi="宋体" w:cs="宋体"/>
          <w:color w:val="auto"/>
          <w:sz w:val="24"/>
          <w:highlight w:val="none"/>
          <w:lang w:val="en-US" w:eastAsia="zh-CN"/>
        </w:rPr>
        <w:t>甲方</w:t>
      </w:r>
      <w:r>
        <w:rPr>
          <w:rFonts w:hint="eastAsia" w:ascii="宋体" w:hAnsi="宋体" w:cs="宋体"/>
          <w:color w:val="auto"/>
          <w:sz w:val="24"/>
          <w:highlight w:val="none"/>
        </w:rPr>
        <w:t>检查监督和验收</w:t>
      </w:r>
      <w:r>
        <w:rPr>
          <w:rFonts w:hint="eastAsia" w:ascii="宋体" w:hAnsi="宋体" w:cs="宋体"/>
          <w:color w:val="auto"/>
          <w:sz w:val="24"/>
          <w:highlight w:val="none"/>
          <w:lang w:val="en-US" w:eastAsia="zh-CN"/>
        </w:rPr>
        <w:t>乙方</w:t>
      </w:r>
      <w:r>
        <w:rPr>
          <w:rFonts w:hint="eastAsia" w:ascii="宋体" w:hAnsi="宋体" w:cs="宋体"/>
          <w:color w:val="auto"/>
          <w:sz w:val="24"/>
          <w:highlight w:val="none"/>
        </w:rPr>
        <w:t>检查工作的依据。</w:t>
      </w:r>
    </w:p>
    <w:p w14:paraId="738CB40B">
      <w:pPr>
        <w:spacing w:line="360" w:lineRule="auto"/>
        <w:ind w:firstLine="471"/>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3.2乙方</w:t>
      </w:r>
      <w:r>
        <w:rPr>
          <w:rFonts w:hint="eastAsia" w:ascii="宋体" w:hAnsi="宋体" w:cs="宋体"/>
          <w:color w:val="auto"/>
          <w:sz w:val="24"/>
          <w:highlight w:val="none"/>
        </w:rPr>
        <w:t>在</w:t>
      </w:r>
      <w:r>
        <w:rPr>
          <w:rFonts w:hint="eastAsia" w:ascii="宋体" w:hAnsi="宋体" w:cs="宋体"/>
          <w:color w:val="auto"/>
          <w:sz w:val="24"/>
          <w:highlight w:val="none"/>
          <w:lang w:val="en-US" w:eastAsia="zh-CN"/>
        </w:rPr>
        <w:t>服务</w:t>
      </w:r>
      <w:r>
        <w:rPr>
          <w:rFonts w:hint="eastAsia" w:ascii="宋体" w:hAnsi="宋体" w:cs="宋体"/>
          <w:color w:val="auto"/>
          <w:sz w:val="24"/>
          <w:highlight w:val="none"/>
        </w:rPr>
        <w:t>过程中，应定期向</w:t>
      </w:r>
      <w:r>
        <w:rPr>
          <w:rFonts w:hint="eastAsia" w:ascii="宋体" w:hAnsi="宋体" w:cs="宋体"/>
          <w:color w:val="auto"/>
          <w:sz w:val="24"/>
          <w:highlight w:val="none"/>
          <w:lang w:val="en-US" w:eastAsia="zh-CN"/>
        </w:rPr>
        <w:t>甲方</w:t>
      </w:r>
      <w:r>
        <w:rPr>
          <w:rFonts w:hint="eastAsia" w:ascii="宋体" w:hAnsi="宋体" w:cs="宋体"/>
          <w:color w:val="auto"/>
          <w:sz w:val="24"/>
          <w:highlight w:val="none"/>
        </w:rPr>
        <w:t>提供成果和数据，包括书面报告等，并对其完整性、正确性负责。情况特殊应及时提供专题报告：报告的具体格式、内容、份数等必须符合</w:t>
      </w:r>
      <w:r>
        <w:rPr>
          <w:rFonts w:hint="eastAsia" w:ascii="宋体" w:hAnsi="宋体" w:cs="宋体"/>
          <w:color w:val="auto"/>
          <w:sz w:val="24"/>
          <w:highlight w:val="none"/>
          <w:lang w:val="en-US" w:eastAsia="zh-CN"/>
        </w:rPr>
        <w:t>甲方</w:t>
      </w:r>
      <w:r>
        <w:rPr>
          <w:rFonts w:hint="eastAsia" w:ascii="宋体" w:hAnsi="宋体" w:cs="宋体"/>
          <w:color w:val="auto"/>
          <w:sz w:val="24"/>
          <w:highlight w:val="none"/>
        </w:rPr>
        <w:t>的要求。</w:t>
      </w:r>
      <w:r>
        <w:rPr>
          <w:rFonts w:hint="eastAsia" w:ascii="宋体" w:hAnsi="宋体" w:cs="宋体"/>
          <w:color w:val="auto"/>
          <w:sz w:val="24"/>
          <w:highlight w:val="none"/>
          <w:lang w:val="en-US" w:eastAsia="zh-CN"/>
        </w:rPr>
        <w:t>乙方</w:t>
      </w:r>
      <w:r>
        <w:rPr>
          <w:rFonts w:hint="eastAsia" w:ascii="宋体" w:hAnsi="宋体" w:cs="宋体"/>
          <w:color w:val="auto"/>
          <w:sz w:val="24"/>
          <w:highlight w:val="none"/>
        </w:rPr>
        <w:t>必须按照合同规定的形式、范围与内容履行与项目有关的检测服务，其具体内容在</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项目需求</w:t>
      </w:r>
      <w:r>
        <w:rPr>
          <w:rFonts w:hint="eastAsia" w:ascii="宋体" w:hAnsi="宋体" w:cs="宋体"/>
          <w:color w:val="auto"/>
          <w:sz w:val="24"/>
          <w:highlight w:val="none"/>
          <w:lang w:eastAsia="zh-CN"/>
        </w:rPr>
        <w:t>”</w:t>
      </w:r>
      <w:r>
        <w:rPr>
          <w:rFonts w:hint="eastAsia" w:ascii="宋体" w:hAnsi="宋体" w:cs="宋体"/>
          <w:color w:val="auto"/>
          <w:sz w:val="24"/>
          <w:highlight w:val="none"/>
        </w:rPr>
        <w:t>要求规定。</w:t>
      </w:r>
      <w:r>
        <w:rPr>
          <w:rFonts w:hint="eastAsia" w:ascii="宋体" w:hAnsi="宋体" w:cs="宋体"/>
          <w:color w:val="auto"/>
          <w:sz w:val="24"/>
          <w:highlight w:val="none"/>
          <w:lang w:val="en-US" w:eastAsia="zh-CN"/>
        </w:rPr>
        <w:t>乙方</w:t>
      </w:r>
      <w:r>
        <w:rPr>
          <w:rFonts w:hint="eastAsia" w:ascii="宋体" w:hAnsi="宋体" w:cs="宋体"/>
          <w:color w:val="auto"/>
          <w:sz w:val="24"/>
          <w:highlight w:val="none"/>
        </w:rPr>
        <w:t>向</w:t>
      </w:r>
      <w:r>
        <w:rPr>
          <w:rFonts w:hint="eastAsia" w:ascii="宋体" w:hAnsi="宋体" w:cs="宋体"/>
          <w:color w:val="auto"/>
          <w:sz w:val="24"/>
          <w:highlight w:val="none"/>
          <w:lang w:val="en-US" w:eastAsia="zh-CN"/>
        </w:rPr>
        <w:t>甲方</w:t>
      </w:r>
      <w:r>
        <w:rPr>
          <w:rFonts w:hint="eastAsia" w:ascii="宋体" w:hAnsi="宋体" w:cs="宋体"/>
          <w:color w:val="auto"/>
          <w:sz w:val="24"/>
          <w:highlight w:val="none"/>
        </w:rPr>
        <w:t>提交</w:t>
      </w:r>
      <w:r>
        <w:rPr>
          <w:rFonts w:hint="eastAsia" w:ascii="宋体" w:eastAsia="宋体" w:cs="宋体"/>
          <w:color w:val="auto"/>
          <w:sz w:val="24"/>
          <w:szCs w:val="24"/>
          <w:highlight w:val="none"/>
        </w:rPr>
        <w:t>南通市农村公路涉水桥梁下部结构风险隐患核查和检查报告</w:t>
      </w:r>
      <w:r>
        <w:rPr>
          <w:rFonts w:hint="eastAsia" w:ascii="宋体" w:hAnsi="宋体" w:cs="宋体"/>
          <w:color w:val="auto"/>
          <w:sz w:val="24"/>
          <w:highlight w:val="none"/>
          <w:lang w:eastAsia="zh-CN"/>
        </w:rPr>
        <w:t>，</w:t>
      </w:r>
      <w:r>
        <w:rPr>
          <w:rFonts w:hint="eastAsia" w:ascii="宋体" w:eastAsia="宋体" w:cs="宋体"/>
          <w:color w:val="auto"/>
          <w:sz w:val="24"/>
          <w:szCs w:val="24"/>
          <w:highlight w:val="none"/>
        </w:rPr>
        <w:t>在此期间须协助南通各县（市、区）交通运输部门完成农村公路桥梁相关基础数据更新工作。</w:t>
      </w:r>
    </w:p>
    <w:p w14:paraId="20CD3018">
      <w:pPr>
        <w:spacing w:line="360" w:lineRule="auto"/>
        <w:ind w:firstLine="471"/>
        <w:rPr>
          <w:rFonts w:hint="eastAsia" w:ascii="宋体" w:hAnsi="宋体" w:cs="宋体"/>
          <w:color w:val="auto"/>
          <w:sz w:val="24"/>
          <w:highlight w:val="none"/>
        </w:rPr>
      </w:pPr>
      <w:r>
        <w:rPr>
          <w:rFonts w:hint="eastAsia" w:ascii="宋体" w:hAnsi="宋体" w:cs="宋体"/>
          <w:color w:val="auto"/>
          <w:sz w:val="24"/>
          <w:highlight w:val="none"/>
          <w:lang w:val="en-US" w:eastAsia="zh-CN"/>
        </w:rPr>
        <w:t>3.3乙方</w:t>
      </w:r>
      <w:r>
        <w:rPr>
          <w:rFonts w:hint="eastAsia" w:ascii="宋体" w:hAnsi="宋体" w:cs="宋体"/>
          <w:color w:val="auto"/>
          <w:sz w:val="24"/>
          <w:highlight w:val="none"/>
        </w:rPr>
        <w:t>应严格执行本项目服务合同、施工技术规范、补充技术规范、检测规范、设计图纸及交通运输部、省交通运输厅和</w:t>
      </w:r>
      <w:r>
        <w:rPr>
          <w:rFonts w:hint="eastAsia" w:ascii="宋体" w:hAnsi="宋体" w:cs="宋体"/>
          <w:color w:val="auto"/>
          <w:sz w:val="24"/>
          <w:highlight w:val="none"/>
          <w:lang w:val="en-US" w:eastAsia="zh-CN"/>
        </w:rPr>
        <w:t>甲方</w:t>
      </w:r>
      <w:r>
        <w:rPr>
          <w:rFonts w:hint="eastAsia" w:ascii="宋体" w:hAnsi="宋体" w:cs="宋体"/>
          <w:color w:val="auto"/>
          <w:sz w:val="24"/>
          <w:highlight w:val="none"/>
        </w:rPr>
        <w:t>一切有关该项目的文件、信函、规定和指令。</w:t>
      </w:r>
    </w:p>
    <w:p w14:paraId="67EBD68E">
      <w:pPr>
        <w:spacing w:line="360" w:lineRule="auto"/>
        <w:ind w:firstLine="471"/>
        <w:rPr>
          <w:rFonts w:hint="eastAsia" w:ascii="宋体" w:hAnsi="宋体" w:cs="宋体"/>
          <w:color w:val="auto"/>
          <w:sz w:val="24"/>
          <w:highlight w:val="none"/>
        </w:rPr>
      </w:pPr>
      <w:r>
        <w:rPr>
          <w:rFonts w:hint="eastAsia" w:ascii="宋体" w:hAnsi="宋体" w:cs="宋体"/>
          <w:color w:val="auto"/>
          <w:sz w:val="24"/>
          <w:highlight w:val="none"/>
          <w:lang w:val="en-US" w:eastAsia="zh-CN"/>
        </w:rPr>
        <w:t>3、服务</w:t>
      </w:r>
      <w:r>
        <w:rPr>
          <w:rFonts w:hint="eastAsia" w:ascii="宋体" w:hAnsi="宋体" w:cs="宋体"/>
          <w:color w:val="auto"/>
          <w:sz w:val="24"/>
          <w:highlight w:val="none"/>
        </w:rPr>
        <w:t>人员</w:t>
      </w:r>
    </w:p>
    <w:p w14:paraId="07619BEA">
      <w:pPr>
        <w:spacing w:line="360" w:lineRule="auto"/>
        <w:ind w:firstLine="471"/>
        <w:rPr>
          <w:rFonts w:hint="eastAsia" w:ascii="宋体" w:hAnsi="宋体" w:cs="宋体"/>
          <w:color w:val="auto"/>
          <w:sz w:val="24"/>
          <w:highlight w:val="none"/>
        </w:rPr>
      </w:pPr>
      <w:r>
        <w:rPr>
          <w:rFonts w:hint="eastAsia" w:ascii="宋体" w:hAnsi="宋体" w:cs="宋体"/>
          <w:color w:val="auto"/>
          <w:sz w:val="24"/>
          <w:highlight w:val="none"/>
          <w:lang w:val="en-US" w:eastAsia="zh-CN"/>
        </w:rPr>
        <w:t>3.1</w:t>
      </w:r>
      <w:r>
        <w:rPr>
          <w:rFonts w:hint="eastAsia" w:ascii="宋体" w:hAnsi="宋体" w:cs="宋体"/>
          <w:color w:val="auto"/>
          <w:sz w:val="24"/>
          <w:highlight w:val="none"/>
        </w:rPr>
        <w:t>为了履行</w:t>
      </w:r>
      <w:r>
        <w:rPr>
          <w:rFonts w:hint="eastAsia" w:ascii="宋体" w:hAnsi="宋体" w:cs="宋体"/>
          <w:color w:val="auto"/>
          <w:sz w:val="24"/>
          <w:highlight w:val="none"/>
          <w:lang w:val="en-US" w:eastAsia="zh-CN"/>
        </w:rPr>
        <w:t>本项目</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乙方</w:t>
      </w:r>
      <w:r>
        <w:rPr>
          <w:rFonts w:hint="eastAsia" w:ascii="宋体" w:hAnsi="宋体" w:cs="宋体"/>
          <w:color w:val="auto"/>
          <w:sz w:val="24"/>
          <w:highlight w:val="none"/>
        </w:rPr>
        <w:t>应在项目建议书中指定一名授权代表与</w:t>
      </w:r>
      <w:r>
        <w:rPr>
          <w:rFonts w:hint="eastAsia" w:ascii="宋体" w:hAnsi="宋体" w:cs="宋体"/>
          <w:color w:val="auto"/>
          <w:sz w:val="24"/>
          <w:highlight w:val="none"/>
          <w:lang w:val="en-US" w:eastAsia="zh-CN"/>
        </w:rPr>
        <w:t>甲方</w:t>
      </w:r>
      <w:r>
        <w:rPr>
          <w:rFonts w:hint="eastAsia" w:ascii="宋体" w:hAnsi="宋体" w:cs="宋体"/>
          <w:color w:val="auto"/>
          <w:sz w:val="24"/>
          <w:highlight w:val="none"/>
        </w:rPr>
        <w:t>建立工作联系。</w:t>
      </w:r>
    </w:p>
    <w:p w14:paraId="1FC62FBC">
      <w:pPr>
        <w:spacing w:line="360" w:lineRule="auto"/>
        <w:ind w:firstLine="471"/>
        <w:rPr>
          <w:rFonts w:hint="eastAsia" w:ascii="宋体" w:hAnsi="宋体" w:cs="宋体"/>
          <w:color w:val="auto"/>
          <w:sz w:val="24"/>
          <w:szCs w:val="24"/>
          <w:highlight w:val="none"/>
        </w:rPr>
      </w:pPr>
      <w:r>
        <w:rPr>
          <w:rFonts w:hint="eastAsia" w:ascii="宋体" w:hAnsi="宋体" w:cs="宋体"/>
          <w:color w:val="auto"/>
          <w:sz w:val="24"/>
          <w:highlight w:val="none"/>
          <w:lang w:val="en-US" w:eastAsia="zh-CN"/>
        </w:rPr>
        <w:t>3.2</w:t>
      </w:r>
      <w:r>
        <w:rPr>
          <w:rFonts w:hint="eastAsia" w:ascii="宋体" w:hAnsi="宋体" w:cs="宋体"/>
          <w:color w:val="auto"/>
          <w:sz w:val="24"/>
          <w:szCs w:val="24"/>
          <w:highlight w:val="none"/>
        </w:rPr>
        <w:t>在合同期内，未经</w:t>
      </w:r>
      <w:r>
        <w:rPr>
          <w:rFonts w:hint="eastAsia" w:ascii="宋体" w:hAnsi="宋体" w:cs="宋体"/>
          <w:color w:val="auto"/>
          <w:sz w:val="24"/>
          <w:szCs w:val="24"/>
          <w:highlight w:val="none"/>
          <w:lang w:val="en-US" w:eastAsia="zh-CN"/>
        </w:rPr>
        <w:t>甲方</w:t>
      </w:r>
      <w:r>
        <w:rPr>
          <w:rFonts w:hint="eastAsia" w:ascii="宋体" w:hAnsi="宋体" w:cs="宋体"/>
          <w:color w:val="auto"/>
          <w:sz w:val="24"/>
          <w:szCs w:val="24"/>
          <w:highlight w:val="none"/>
        </w:rPr>
        <w:t>同意不得随意更换人员。若确因特殊原因需要更换人员时，须提前7天提交与拟更换人员具备同等或更高资质的人员报</w:t>
      </w:r>
      <w:r>
        <w:rPr>
          <w:rFonts w:hint="eastAsia" w:ascii="宋体" w:hAnsi="宋体" w:cs="宋体"/>
          <w:color w:val="auto"/>
          <w:sz w:val="24"/>
          <w:szCs w:val="24"/>
          <w:highlight w:val="none"/>
          <w:lang w:val="en-US" w:eastAsia="zh-CN"/>
        </w:rPr>
        <w:t>甲方</w:t>
      </w:r>
      <w:r>
        <w:rPr>
          <w:rFonts w:hint="eastAsia" w:ascii="宋体" w:hAnsi="宋体" w:cs="宋体"/>
          <w:color w:val="auto"/>
          <w:sz w:val="24"/>
          <w:szCs w:val="24"/>
          <w:highlight w:val="none"/>
        </w:rPr>
        <w:t>批准，经</w:t>
      </w:r>
      <w:r>
        <w:rPr>
          <w:rFonts w:hint="eastAsia" w:ascii="宋体" w:hAnsi="宋体" w:cs="宋体"/>
          <w:color w:val="auto"/>
          <w:sz w:val="24"/>
          <w:szCs w:val="24"/>
          <w:highlight w:val="none"/>
          <w:lang w:val="en-US" w:eastAsia="zh-CN"/>
        </w:rPr>
        <w:t>甲方</w:t>
      </w:r>
      <w:r>
        <w:rPr>
          <w:rFonts w:hint="eastAsia" w:ascii="宋体" w:hAnsi="宋体" w:cs="宋体"/>
          <w:color w:val="auto"/>
          <w:sz w:val="24"/>
          <w:szCs w:val="24"/>
          <w:highlight w:val="none"/>
        </w:rPr>
        <w:t>批准后</w:t>
      </w:r>
      <w:r>
        <w:rPr>
          <w:rFonts w:hint="eastAsia" w:ascii="宋体" w:hAnsi="宋体" w:eastAsia="宋体" w:cs="宋体"/>
          <w:b w:val="0"/>
          <w:bCs w:val="0"/>
          <w:color w:val="auto"/>
          <w:sz w:val="24"/>
          <w:highlight w:val="none"/>
          <w:u w:val="none"/>
          <w:lang w:val="en-US" w:eastAsia="zh-CN"/>
        </w:rPr>
        <w:t>方可更换服务人员，乙方必须向甲方支付更换服务人员违约金</w:t>
      </w:r>
      <w:r>
        <w:rPr>
          <w:rFonts w:hint="eastAsia" w:ascii="宋体" w:hAnsi="宋体" w:cs="宋体"/>
          <w:color w:val="auto"/>
          <w:sz w:val="24"/>
          <w:szCs w:val="24"/>
          <w:highlight w:val="none"/>
        </w:rPr>
        <w:t>（</w:t>
      </w:r>
      <w:r>
        <w:rPr>
          <w:rFonts w:hint="eastAsia" w:ascii="宋体" w:hAnsi="宋体" w:cs="宋体"/>
          <w:b/>
          <w:bCs/>
          <w:color w:val="auto"/>
          <w:sz w:val="24"/>
          <w:szCs w:val="24"/>
          <w:highlight w:val="none"/>
        </w:rPr>
        <w:t>更换项目负责人</w:t>
      </w:r>
      <w:r>
        <w:rPr>
          <w:rFonts w:hint="eastAsia" w:ascii="宋体" w:hAnsi="宋体" w:cs="宋体"/>
          <w:b/>
          <w:bCs/>
          <w:color w:val="auto"/>
          <w:sz w:val="24"/>
          <w:szCs w:val="24"/>
          <w:highlight w:val="none"/>
          <w:lang w:val="en-US" w:eastAsia="zh-CN"/>
        </w:rPr>
        <w:t>2</w:t>
      </w:r>
      <w:r>
        <w:rPr>
          <w:rFonts w:hint="eastAsia" w:ascii="宋体" w:hAnsi="宋体" w:cs="宋体"/>
          <w:b/>
          <w:bCs/>
          <w:color w:val="auto"/>
          <w:sz w:val="24"/>
          <w:szCs w:val="24"/>
          <w:highlight w:val="none"/>
        </w:rPr>
        <w:t>万元/人，更换其他人员</w:t>
      </w:r>
      <w:r>
        <w:rPr>
          <w:rFonts w:hint="eastAsia" w:ascii="宋体" w:hAnsi="宋体" w:cs="宋体"/>
          <w:b/>
          <w:bCs/>
          <w:color w:val="auto"/>
          <w:sz w:val="24"/>
          <w:szCs w:val="24"/>
          <w:highlight w:val="none"/>
          <w:lang w:val="en-US" w:eastAsia="zh-CN"/>
        </w:rPr>
        <w:t>0.5</w:t>
      </w:r>
      <w:r>
        <w:rPr>
          <w:rFonts w:hint="eastAsia" w:ascii="宋体" w:hAnsi="宋体" w:cs="宋体"/>
          <w:b/>
          <w:bCs/>
          <w:color w:val="auto"/>
          <w:sz w:val="24"/>
          <w:szCs w:val="24"/>
          <w:highlight w:val="none"/>
        </w:rPr>
        <w:t>万元/人</w:t>
      </w:r>
      <w:r>
        <w:rPr>
          <w:rFonts w:hint="eastAsia" w:ascii="宋体" w:hAnsi="宋体" w:cs="宋体"/>
          <w:color w:val="auto"/>
          <w:sz w:val="24"/>
          <w:szCs w:val="24"/>
          <w:highlight w:val="none"/>
        </w:rPr>
        <w:t>）。若</w:t>
      </w:r>
      <w:r>
        <w:rPr>
          <w:rFonts w:hint="eastAsia" w:ascii="宋体" w:hAnsi="宋体" w:cs="宋体"/>
          <w:color w:val="auto"/>
          <w:sz w:val="24"/>
          <w:szCs w:val="24"/>
          <w:highlight w:val="none"/>
          <w:lang w:val="en-US" w:eastAsia="zh-CN"/>
        </w:rPr>
        <w:t>甲方</w:t>
      </w:r>
      <w:r>
        <w:rPr>
          <w:rFonts w:hint="eastAsia" w:ascii="宋体" w:hAnsi="宋体" w:cs="宋体"/>
          <w:color w:val="auto"/>
          <w:sz w:val="24"/>
          <w:szCs w:val="24"/>
          <w:highlight w:val="none"/>
        </w:rPr>
        <w:t>提出人员更换要求，</w:t>
      </w:r>
      <w:r>
        <w:rPr>
          <w:rFonts w:hint="eastAsia" w:ascii="宋体" w:hAnsi="宋体" w:cs="宋体"/>
          <w:color w:val="auto"/>
          <w:sz w:val="24"/>
          <w:szCs w:val="24"/>
          <w:highlight w:val="none"/>
          <w:lang w:val="en-US" w:eastAsia="zh-CN"/>
        </w:rPr>
        <w:t>乙方</w:t>
      </w:r>
      <w:r>
        <w:rPr>
          <w:rFonts w:hint="eastAsia" w:ascii="宋体" w:hAnsi="宋体" w:cs="宋体"/>
          <w:color w:val="auto"/>
          <w:sz w:val="24"/>
          <w:szCs w:val="24"/>
          <w:highlight w:val="none"/>
        </w:rPr>
        <w:t>应在接到通知的7天内选派资格和经验为</w:t>
      </w:r>
      <w:r>
        <w:rPr>
          <w:rFonts w:hint="eastAsia" w:ascii="宋体" w:hAnsi="宋体" w:cs="宋体"/>
          <w:color w:val="auto"/>
          <w:sz w:val="24"/>
          <w:szCs w:val="24"/>
          <w:highlight w:val="none"/>
          <w:lang w:val="en-US" w:eastAsia="zh-CN"/>
        </w:rPr>
        <w:t>甲方</w:t>
      </w:r>
      <w:r>
        <w:rPr>
          <w:rFonts w:hint="eastAsia" w:ascii="宋体" w:hAnsi="宋体" w:cs="宋体"/>
          <w:color w:val="auto"/>
          <w:sz w:val="24"/>
          <w:szCs w:val="24"/>
          <w:highlight w:val="none"/>
        </w:rPr>
        <w:t>接受的人员进行更换。由于更换人员引起的费用由</w:t>
      </w:r>
      <w:r>
        <w:rPr>
          <w:rFonts w:hint="eastAsia" w:ascii="宋体" w:hAnsi="宋体" w:cs="宋体"/>
          <w:color w:val="auto"/>
          <w:sz w:val="24"/>
          <w:szCs w:val="24"/>
          <w:highlight w:val="none"/>
          <w:lang w:val="en-US" w:eastAsia="zh-CN"/>
        </w:rPr>
        <w:t>乙方</w:t>
      </w:r>
      <w:r>
        <w:rPr>
          <w:rFonts w:hint="eastAsia" w:ascii="宋体" w:hAnsi="宋体" w:cs="宋体"/>
          <w:color w:val="auto"/>
          <w:sz w:val="24"/>
          <w:szCs w:val="24"/>
          <w:highlight w:val="none"/>
        </w:rPr>
        <w:t>承担，其更换人员的资质仍应得到</w:t>
      </w:r>
      <w:r>
        <w:rPr>
          <w:rFonts w:hint="eastAsia" w:ascii="宋体" w:hAnsi="宋体" w:cs="宋体"/>
          <w:color w:val="auto"/>
          <w:sz w:val="24"/>
          <w:szCs w:val="24"/>
          <w:highlight w:val="none"/>
          <w:lang w:val="en-US" w:eastAsia="zh-CN"/>
        </w:rPr>
        <w:t>甲方</w:t>
      </w:r>
      <w:r>
        <w:rPr>
          <w:rFonts w:hint="eastAsia" w:ascii="宋体" w:hAnsi="宋体" w:cs="宋体"/>
          <w:color w:val="auto"/>
          <w:sz w:val="24"/>
          <w:szCs w:val="24"/>
          <w:highlight w:val="none"/>
        </w:rPr>
        <w:t>的认可。</w:t>
      </w:r>
    </w:p>
    <w:p w14:paraId="36A42DF3">
      <w:pPr>
        <w:spacing w:line="360" w:lineRule="auto"/>
        <w:ind w:firstLine="471"/>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3.3</w:t>
      </w:r>
      <w:r>
        <w:rPr>
          <w:rFonts w:hint="eastAsia" w:ascii="宋体" w:eastAsia="宋体" w:cs="宋体"/>
          <w:color w:val="auto"/>
          <w:kern w:val="0"/>
          <w:sz w:val="24"/>
          <w:szCs w:val="24"/>
          <w:highlight w:val="none"/>
          <w:lang w:val="en-US" w:eastAsia="zh-CN"/>
        </w:rPr>
        <w:t>本项目若采用人员潜水方式检查的，则拟派潜水员须具有开放水域潜水员证书（或同等类别证书），</w:t>
      </w:r>
      <w:r>
        <w:rPr>
          <w:rFonts w:hint="eastAsia" w:ascii="宋体" w:cs="宋体"/>
          <w:color w:val="auto"/>
          <w:kern w:val="0"/>
          <w:sz w:val="24"/>
          <w:szCs w:val="24"/>
          <w:highlight w:val="none"/>
          <w:lang w:val="en-US" w:eastAsia="zh-CN"/>
        </w:rPr>
        <w:t>乙方</w:t>
      </w:r>
      <w:r>
        <w:rPr>
          <w:rFonts w:hint="eastAsia" w:ascii="宋体" w:eastAsia="宋体" w:cs="宋体"/>
          <w:color w:val="auto"/>
          <w:kern w:val="0"/>
          <w:sz w:val="24"/>
          <w:szCs w:val="24"/>
          <w:highlight w:val="none"/>
          <w:lang w:val="en-US" w:eastAsia="zh-CN"/>
        </w:rPr>
        <w:t>在开工前需将相关人员的证书交</w:t>
      </w:r>
      <w:r>
        <w:rPr>
          <w:rFonts w:hint="eastAsia" w:ascii="宋体" w:cs="宋体"/>
          <w:color w:val="auto"/>
          <w:kern w:val="0"/>
          <w:sz w:val="24"/>
          <w:szCs w:val="24"/>
          <w:highlight w:val="none"/>
          <w:lang w:val="en-US" w:eastAsia="zh-CN"/>
        </w:rPr>
        <w:t>甲方</w:t>
      </w:r>
      <w:r>
        <w:rPr>
          <w:rFonts w:hint="eastAsia" w:ascii="宋体" w:eastAsia="宋体" w:cs="宋体"/>
          <w:color w:val="auto"/>
          <w:kern w:val="0"/>
          <w:sz w:val="24"/>
          <w:szCs w:val="24"/>
          <w:highlight w:val="none"/>
          <w:lang w:val="en-US" w:eastAsia="zh-CN"/>
        </w:rPr>
        <w:t>审核通过后方可实施。</w:t>
      </w:r>
    </w:p>
    <w:p w14:paraId="65403B88">
      <w:pPr>
        <w:spacing w:line="360" w:lineRule="auto"/>
        <w:ind w:firstLine="471"/>
        <w:rPr>
          <w:rFonts w:hint="eastAsia" w:ascii="宋体" w:hAnsi="宋体" w:cs="宋体"/>
          <w:color w:val="auto"/>
          <w:sz w:val="24"/>
          <w:highlight w:val="none"/>
        </w:rPr>
      </w:pPr>
      <w:bookmarkStart w:id="2" w:name="_Toc493408521"/>
      <w:r>
        <w:rPr>
          <w:rFonts w:hint="eastAsia" w:ascii="宋体" w:hAnsi="宋体" w:cs="宋体"/>
          <w:color w:val="auto"/>
          <w:sz w:val="24"/>
          <w:highlight w:val="none"/>
          <w:lang w:val="en-US" w:eastAsia="zh-CN"/>
        </w:rPr>
        <w:t>4、</w:t>
      </w:r>
      <w:r>
        <w:rPr>
          <w:rFonts w:hint="eastAsia" w:ascii="宋体" w:hAnsi="宋体" w:cs="宋体"/>
          <w:color w:val="auto"/>
          <w:sz w:val="24"/>
          <w:highlight w:val="none"/>
        </w:rPr>
        <w:t>保密</w:t>
      </w:r>
      <w:bookmarkEnd w:id="2"/>
    </w:p>
    <w:p w14:paraId="44B45317">
      <w:pPr>
        <w:spacing w:line="360" w:lineRule="auto"/>
        <w:ind w:firstLine="471"/>
        <w:rPr>
          <w:rFonts w:hint="eastAsia" w:ascii="宋体" w:hAnsi="宋体" w:cs="宋体"/>
          <w:color w:val="auto"/>
          <w:sz w:val="24"/>
          <w:highlight w:val="none"/>
        </w:rPr>
      </w:pPr>
      <w:r>
        <w:rPr>
          <w:rFonts w:hint="eastAsia" w:ascii="宋体" w:hAnsi="宋体" w:cs="宋体"/>
          <w:color w:val="auto"/>
          <w:sz w:val="24"/>
          <w:highlight w:val="none"/>
        </w:rPr>
        <w:t>在合同有效期内及以后的3年内，未经</w:t>
      </w:r>
      <w:r>
        <w:rPr>
          <w:rFonts w:hint="eastAsia" w:ascii="宋体" w:hAnsi="宋体" w:cs="宋体"/>
          <w:color w:val="auto"/>
          <w:sz w:val="24"/>
          <w:highlight w:val="none"/>
          <w:lang w:val="en-US" w:eastAsia="zh-CN"/>
        </w:rPr>
        <w:t>甲方</w:t>
      </w:r>
      <w:r>
        <w:rPr>
          <w:rFonts w:hint="eastAsia" w:ascii="宋体" w:hAnsi="宋体" w:cs="宋体"/>
          <w:color w:val="auto"/>
          <w:sz w:val="24"/>
          <w:highlight w:val="none"/>
        </w:rPr>
        <w:t>同意，</w:t>
      </w:r>
      <w:r>
        <w:rPr>
          <w:rFonts w:hint="eastAsia" w:ascii="宋体" w:hAnsi="宋体" w:cs="宋体"/>
          <w:color w:val="auto"/>
          <w:sz w:val="24"/>
          <w:highlight w:val="none"/>
          <w:lang w:val="en-US" w:eastAsia="zh-CN"/>
        </w:rPr>
        <w:t>乙方</w:t>
      </w:r>
      <w:r>
        <w:rPr>
          <w:rFonts w:hint="eastAsia" w:ascii="宋体" w:hAnsi="宋体" w:cs="宋体"/>
          <w:color w:val="auto"/>
          <w:sz w:val="24"/>
          <w:highlight w:val="none"/>
        </w:rPr>
        <w:t>不得泄露</w:t>
      </w:r>
      <w:r>
        <w:rPr>
          <w:rFonts w:hint="eastAsia" w:ascii="宋体" w:hAnsi="宋体" w:cs="宋体"/>
          <w:color w:val="auto"/>
          <w:sz w:val="24"/>
          <w:highlight w:val="none"/>
          <w:lang w:val="en-US" w:eastAsia="zh-CN"/>
        </w:rPr>
        <w:t>甲方</w:t>
      </w:r>
      <w:r>
        <w:rPr>
          <w:rFonts w:hint="eastAsia" w:ascii="宋体" w:hAnsi="宋体" w:cs="宋体"/>
          <w:color w:val="auto"/>
          <w:sz w:val="24"/>
          <w:highlight w:val="none"/>
        </w:rPr>
        <w:t>与本项目、</w:t>
      </w:r>
      <w:r>
        <w:rPr>
          <w:rFonts w:hint="eastAsia" w:ascii="宋体" w:hAnsi="宋体" w:cs="宋体"/>
          <w:color w:val="auto"/>
          <w:sz w:val="24"/>
          <w:highlight w:val="none"/>
          <w:lang w:val="en-US" w:eastAsia="zh-CN"/>
        </w:rPr>
        <w:t>本</w:t>
      </w:r>
      <w:r>
        <w:rPr>
          <w:rFonts w:hint="eastAsia" w:ascii="宋体" w:hAnsi="宋体" w:cs="宋体"/>
          <w:color w:val="auto"/>
          <w:sz w:val="24"/>
          <w:highlight w:val="none"/>
        </w:rPr>
        <w:t>合同有关的保密资料。</w:t>
      </w:r>
    </w:p>
    <w:p w14:paraId="388BDC8C">
      <w:pPr>
        <w:widowControl/>
        <w:spacing w:line="360" w:lineRule="auto"/>
        <w:ind w:firstLine="474"/>
        <w:jc w:val="left"/>
        <w:rPr>
          <w:rFonts w:ascii="宋体" w:hAnsi="宋体" w:cs="宋体"/>
          <w:b/>
          <w:color w:val="auto"/>
          <w:spacing w:val="-2"/>
          <w:sz w:val="24"/>
          <w:highlight w:val="none"/>
        </w:rPr>
      </w:pPr>
      <w:r>
        <w:rPr>
          <w:rFonts w:hint="eastAsia" w:ascii="宋体" w:hAnsi="宋体" w:cs="宋体"/>
          <w:b/>
          <w:color w:val="auto"/>
          <w:spacing w:val="-2"/>
          <w:sz w:val="24"/>
          <w:highlight w:val="none"/>
        </w:rPr>
        <w:t>九、验收标准与要求</w:t>
      </w:r>
    </w:p>
    <w:p w14:paraId="3220E0B9">
      <w:pPr>
        <w:pStyle w:val="30"/>
        <w:adjustRightInd w:val="0"/>
        <w:snapToGrid w:val="0"/>
        <w:spacing w:line="360" w:lineRule="auto"/>
        <w:ind w:firstLine="480" w:firstLineChars="200"/>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lang w:val="en-US" w:eastAsia="zh-CN"/>
        </w:rPr>
        <w:t>1、甲方</w:t>
      </w:r>
      <w:r>
        <w:rPr>
          <w:rFonts w:hint="eastAsia" w:ascii="宋体" w:eastAsia="宋体" w:cs="宋体"/>
          <w:color w:val="auto"/>
          <w:kern w:val="0"/>
          <w:sz w:val="24"/>
          <w:szCs w:val="24"/>
          <w:highlight w:val="none"/>
        </w:rPr>
        <w:t>按合同约定积极配合</w:t>
      </w:r>
      <w:r>
        <w:rPr>
          <w:rFonts w:hint="eastAsia" w:ascii="宋体" w:eastAsia="宋体" w:cs="宋体"/>
          <w:color w:val="auto"/>
          <w:kern w:val="0"/>
          <w:sz w:val="24"/>
          <w:szCs w:val="24"/>
          <w:highlight w:val="none"/>
          <w:lang w:val="en-US" w:eastAsia="zh-CN"/>
        </w:rPr>
        <w:t>乙方</w:t>
      </w:r>
      <w:r>
        <w:rPr>
          <w:rFonts w:hint="eastAsia" w:ascii="宋体" w:eastAsia="宋体" w:cs="宋体"/>
          <w:color w:val="auto"/>
          <w:kern w:val="0"/>
          <w:sz w:val="24"/>
          <w:szCs w:val="24"/>
          <w:highlight w:val="none"/>
        </w:rPr>
        <w:t>履约，对照磋商文件及时组织项目验收，</w:t>
      </w:r>
      <w:r>
        <w:rPr>
          <w:rFonts w:hint="eastAsia" w:ascii="宋体" w:eastAsia="宋体" w:cs="宋体"/>
          <w:color w:val="auto"/>
          <w:kern w:val="0"/>
          <w:sz w:val="24"/>
          <w:szCs w:val="24"/>
          <w:highlight w:val="none"/>
          <w:lang w:val="en-US" w:eastAsia="zh-CN"/>
        </w:rPr>
        <w:t>乙方</w:t>
      </w:r>
      <w:r>
        <w:rPr>
          <w:rFonts w:hint="eastAsia" w:ascii="宋体" w:eastAsia="宋体" w:cs="宋体"/>
          <w:color w:val="auto"/>
          <w:kern w:val="0"/>
          <w:sz w:val="24"/>
          <w:szCs w:val="24"/>
          <w:highlight w:val="none"/>
        </w:rPr>
        <w:t>满足所有</w:t>
      </w:r>
      <w:r>
        <w:rPr>
          <w:rFonts w:hint="eastAsia" w:ascii="宋体" w:eastAsia="宋体" w:cs="宋体"/>
          <w:color w:val="auto"/>
          <w:kern w:val="0"/>
          <w:sz w:val="24"/>
          <w:szCs w:val="24"/>
          <w:highlight w:val="none"/>
          <w:lang w:val="en-US" w:eastAsia="zh-CN"/>
        </w:rPr>
        <w:t>服务</w:t>
      </w:r>
      <w:r>
        <w:rPr>
          <w:rFonts w:hint="eastAsia" w:ascii="宋体" w:eastAsia="宋体" w:cs="宋体"/>
          <w:color w:val="auto"/>
          <w:kern w:val="0"/>
          <w:sz w:val="24"/>
          <w:szCs w:val="24"/>
          <w:highlight w:val="none"/>
        </w:rPr>
        <w:t>要求视为验收合格，履约验收合格单将作为支付款项的依据。</w:t>
      </w:r>
    </w:p>
    <w:p w14:paraId="63A96E6C">
      <w:pPr>
        <w:pStyle w:val="30"/>
        <w:adjustRightInd w:val="0"/>
        <w:snapToGrid w:val="0"/>
        <w:spacing w:line="360" w:lineRule="auto"/>
        <w:ind w:firstLine="480" w:firstLineChars="200"/>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2、验收标准</w:t>
      </w:r>
    </w:p>
    <w:p w14:paraId="63AE0097">
      <w:pPr>
        <w:pStyle w:val="30"/>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宋体" w:eastAsia="宋体" w:cs="宋体"/>
          <w:color w:val="auto"/>
          <w:sz w:val="24"/>
          <w:szCs w:val="24"/>
          <w:highlight w:val="none"/>
          <w:lang w:val="zh-CN"/>
        </w:rPr>
      </w:pPr>
      <w:r>
        <w:rPr>
          <w:rFonts w:hint="eastAsia" w:ascii="宋体" w:eastAsia="宋体" w:cs="宋体"/>
          <w:color w:val="auto"/>
          <w:sz w:val="24"/>
          <w:szCs w:val="24"/>
          <w:highlight w:val="none"/>
          <w:lang w:val="zh-CN"/>
        </w:rPr>
        <w:t>验收实施主体：南通市公路事业发展中心。</w:t>
      </w:r>
    </w:p>
    <w:p w14:paraId="5EB7C4F3">
      <w:pPr>
        <w:pStyle w:val="30"/>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宋体" w:eastAsia="宋体" w:cs="宋体"/>
          <w:color w:val="auto"/>
          <w:sz w:val="24"/>
          <w:szCs w:val="24"/>
          <w:highlight w:val="none"/>
          <w:lang w:eastAsia="zh-CN"/>
        </w:rPr>
      </w:pPr>
      <w:r>
        <w:rPr>
          <w:rFonts w:hint="eastAsia" w:ascii="宋体" w:eastAsia="宋体" w:cs="宋体"/>
          <w:color w:val="auto"/>
          <w:sz w:val="24"/>
          <w:szCs w:val="24"/>
          <w:highlight w:val="none"/>
          <w:lang w:val="zh-CN"/>
        </w:rPr>
        <w:t>验收时间：</w:t>
      </w:r>
      <w:r>
        <w:rPr>
          <w:rFonts w:hint="eastAsia" w:ascii="宋体" w:eastAsia="宋体" w:cs="宋体"/>
          <w:color w:val="auto"/>
          <w:sz w:val="24"/>
          <w:szCs w:val="24"/>
          <w:highlight w:val="none"/>
        </w:rPr>
        <w:t>供应商完成全部工作后提交报告5日内</w:t>
      </w:r>
      <w:r>
        <w:rPr>
          <w:rFonts w:hint="eastAsia" w:ascii="宋体" w:eastAsia="宋体" w:cs="宋体"/>
          <w:color w:val="auto"/>
          <w:sz w:val="24"/>
          <w:szCs w:val="24"/>
          <w:highlight w:val="none"/>
          <w:lang w:eastAsia="zh-CN"/>
        </w:rPr>
        <w:t>。</w:t>
      </w:r>
    </w:p>
    <w:p w14:paraId="062D8592">
      <w:pPr>
        <w:pStyle w:val="30"/>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宋体" w:eastAsia="宋体" w:cs="宋体"/>
          <w:color w:val="auto"/>
          <w:sz w:val="24"/>
          <w:szCs w:val="24"/>
          <w:highlight w:val="none"/>
          <w:lang w:val="zh-CN"/>
        </w:rPr>
      </w:pPr>
      <w:r>
        <w:rPr>
          <w:rFonts w:hint="eastAsia" w:ascii="宋体" w:eastAsia="宋体" w:cs="宋体"/>
          <w:color w:val="auto"/>
          <w:sz w:val="24"/>
          <w:szCs w:val="24"/>
          <w:highlight w:val="none"/>
          <w:lang w:val="zh-CN"/>
        </w:rPr>
        <w:t>验收方式：农村公路科组织验收，采用书面审核的方式。</w:t>
      </w:r>
    </w:p>
    <w:p w14:paraId="55EF0D4F">
      <w:pPr>
        <w:pStyle w:val="30"/>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宋体" w:eastAsia="宋体" w:cs="宋体"/>
          <w:color w:val="auto"/>
          <w:sz w:val="24"/>
          <w:szCs w:val="24"/>
          <w:highlight w:val="none"/>
          <w:lang w:val="zh-CN"/>
        </w:rPr>
      </w:pPr>
      <w:r>
        <w:rPr>
          <w:rFonts w:hint="eastAsia" w:ascii="宋体" w:eastAsia="宋体" w:cs="宋体"/>
          <w:color w:val="auto"/>
          <w:sz w:val="24"/>
          <w:szCs w:val="24"/>
          <w:highlight w:val="none"/>
          <w:lang w:val="zh-CN"/>
        </w:rPr>
        <w:t>验收内容：</w:t>
      </w:r>
      <w:r>
        <w:rPr>
          <w:rFonts w:hint="eastAsia" w:ascii="宋体" w:eastAsia="宋体" w:cs="宋体"/>
          <w:color w:val="auto"/>
          <w:sz w:val="24"/>
          <w:szCs w:val="24"/>
          <w:highlight w:val="none"/>
        </w:rPr>
        <w:t>供应商是否按要求提交南通市农村公路涉水桥梁下部结构风险隐患检查检查报告，是否在此期间协助南通各县（市、区）交通运输部门完成农村公路桥梁相关基础数据更新工作。</w:t>
      </w:r>
    </w:p>
    <w:p w14:paraId="2D5F2205">
      <w:pPr>
        <w:pStyle w:val="30"/>
        <w:adjustRightInd w:val="0"/>
        <w:snapToGrid w:val="0"/>
        <w:spacing w:line="360" w:lineRule="auto"/>
        <w:ind w:firstLine="480" w:firstLineChars="200"/>
        <w:rPr>
          <w:rFonts w:hint="eastAsia" w:ascii="宋体" w:hAnsi="宋体" w:eastAsia="宋体" w:cs="宋体"/>
          <w:color w:val="auto"/>
          <w:kern w:val="0"/>
          <w:sz w:val="24"/>
          <w:szCs w:val="24"/>
          <w:highlight w:val="none"/>
          <w:lang w:val="en-US" w:eastAsia="zh-CN"/>
        </w:rPr>
      </w:pPr>
      <w:r>
        <w:rPr>
          <w:rFonts w:hint="eastAsia" w:ascii="宋体" w:eastAsia="宋体" w:cs="宋体"/>
          <w:color w:val="auto"/>
          <w:sz w:val="24"/>
          <w:szCs w:val="24"/>
          <w:highlight w:val="none"/>
          <w:lang w:val="zh-CN"/>
        </w:rPr>
        <w:t>验收标准</w:t>
      </w:r>
      <w:r>
        <w:rPr>
          <w:rFonts w:hint="eastAsia" w:ascii="宋体" w:eastAsia="宋体" w:cs="宋体"/>
          <w:color w:val="auto"/>
          <w:sz w:val="24"/>
          <w:szCs w:val="24"/>
          <w:highlight w:val="none"/>
        </w:rPr>
        <w:t>：通过农村公路科</w:t>
      </w:r>
      <w:r>
        <w:rPr>
          <w:rFonts w:hint="eastAsia" w:ascii="宋体" w:eastAsia="宋体" w:cs="宋体"/>
          <w:color w:val="auto"/>
          <w:sz w:val="24"/>
          <w:szCs w:val="24"/>
          <w:highlight w:val="none"/>
          <w:lang w:val="zh-CN"/>
        </w:rPr>
        <w:t>审核。</w:t>
      </w:r>
    </w:p>
    <w:p w14:paraId="43B70591">
      <w:pPr>
        <w:numPr>
          <w:ilvl w:val="0"/>
          <w:numId w:val="0"/>
        </w:numPr>
        <w:spacing w:line="360" w:lineRule="auto"/>
        <w:ind w:firstLine="472" w:firstLineChars="0"/>
        <w:rPr>
          <w:rFonts w:hint="eastAsia" w:ascii="宋体" w:hAnsi="宋体" w:cs="宋体"/>
          <w:b/>
          <w:color w:val="auto"/>
          <w:sz w:val="24"/>
          <w:highlight w:val="none"/>
        </w:rPr>
      </w:pPr>
      <w:r>
        <w:rPr>
          <w:rFonts w:hint="eastAsia" w:ascii="宋体" w:hAnsi="宋体" w:cs="宋体"/>
          <w:b/>
          <w:color w:val="auto"/>
          <w:kern w:val="2"/>
          <w:sz w:val="24"/>
          <w:szCs w:val="24"/>
          <w:highlight w:val="none"/>
          <w:lang w:val="en-US" w:eastAsia="zh-CN" w:bidi="ar-SA"/>
        </w:rPr>
        <w:t>十</w:t>
      </w:r>
      <w:r>
        <w:rPr>
          <w:rFonts w:hint="eastAsia" w:ascii="宋体" w:hAnsi="宋体" w:eastAsia="宋体" w:cs="宋体"/>
          <w:b/>
          <w:color w:val="auto"/>
          <w:kern w:val="2"/>
          <w:sz w:val="24"/>
          <w:szCs w:val="24"/>
          <w:highlight w:val="none"/>
          <w:lang w:val="en-US" w:eastAsia="zh-CN" w:bidi="ar-SA"/>
        </w:rPr>
        <w:t>、</w:t>
      </w:r>
      <w:r>
        <w:rPr>
          <w:rFonts w:hint="eastAsia" w:ascii="宋体" w:hAnsi="宋体" w:cs="宋体"/>
          <w:b/>
          <w:color w:val="auto"/>
          <w:sz w:val="24"/>
          <w:highlight w:val="none"/>
        </w:rPr>
        <w:t>其他相关重要条约</w:t>
      </w:r>
    </w:p>
    <w:p w14:paraId="24CC3496">
      <w:pPr>
        <w:pStyle w:val="30"/>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一</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赔偿责任</w:t>
      </w:r>
    </w:p>
    <w:p w14:paraId="52736B67">
      <w:pPr>
        <w:pStyle w:val="30"/>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eastAsia="宋体" w:cs="宋体"/>
          <w:color w:val="auto"/>
          <w:kern w:val="0"/>
          <w:sz w:val="24"/>
          <w:szCs w:val="24"/>
          <w:highlight w:val="none"/>
          <w:lang w:val="en-US" w:eastAsia="zh-CN"/>
        </w:rPr>
        <w:t>1、乙方</w:t>
      </w:r>
      <w:r>
        <w:rPr>
          <w:rFonts w:hint="eastAsia" w:ascii="宋体" w:hAnsi="宋体" w:eastAsia="宋体" w:cs="宋体"/>
          <w:color w:val="auto"/>
          <w:kern w:val="0"/>
          <w:sz w:val="24"/>
          <w:szCs w:val="24"/>
          <w:highlight w:val="none"/>
        </w:rPr>
        <w:t>的违约赔偿责任</w:t>
      </w:r>
    </w:p>
    <w:p w14:paraId="595EC826">
      <w:pPr>
        <w:pStyle w:val="30"/>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eastAsia="宋体" w:cs="宋体"/>
          <w:color w:val="auto"/>
          <w:kern w:val="0"/>
          <w:sz w:val="24"/>
          <w:szCs w:val="24"/>
          <w:highlight w:val="none"/>
          <w:lang w:val="en-US" w:eastAsia="zh-CN"/>
        </w:rPr>
        <w:t>乙方</w:t>
      </w:r>
      <w:r>
        <w:rPr>
          <w:rFonts w:hint="eastAsia" w:ascii="宋体" w:hAnsi="宋体" w:eastAsia="宋体" w:cs="宋体"/>
          <w:color w:val="auto"/>
          <w:kern w:val="0"/>
          <w:sz w:val="24"/>
          <w:szCs w:val="24"/>
          <w:highlight w:val="none"/>
        </w:rPr>
        <w:t>违反</w:t>
      </w:r>
      <w:r>
        <w:rPr>
          <w:rFonts w:hint="eastAsia" w:ascii="宋体" w:eastAsia="宋体" w:cs="宋体"/>
          <w:color w:val="auto"/>
          <w:kern w:val="0"/>
          <w:sz w:val="24"/>
          <w:szCs w:val="24"/>
          <w:highlight w:val="none"/>
          <w:lang w:val="en-US" w:eastAsia="zh-CN"/>
        </w:rPr>
        <w:t>本</w:t>
      </w:r>
      <w:r>
        <w:rPr>
          <w:rFonts w:hint="eastAsia" w:ascii="宋体" w:hAnsi="宋体" w:eastAsia="宋体" w:cs="宋体"/>
          <w:color w:val="auto"/>
          <w:kern w:val="0"/>
          <w:sz w:val="24"/>
          <w:szCs w:val="24"/>
          <w:highlight w:val="none"/>
        </w:rPr>
        <w:t>合同的规定，并因此造成</w:t>
      </w:r>
      <w:r>
        <w:rPr>
          <w:rFonts w:hint="eastAsia" w:ascii="宋体" w:eastAsia="宋体" w:cs="宋体"/>
          <w:color w:val="auto"/>
          <w:kern w:val="0"/>
          <w:sz w:val="24"/>
          <w:szCs w:val="24"/>
          <w:highlight w:val="none"/>
          <w:lang w:val="en-US" w:eastAsia="zh-CN"/>
        </w:rPr>
        <w:t>甲方</w:t>
      </w:r>
      <w:r>
        <w:rPr>
          <w:rFonts w:hint="eastAsia" w:ascii="宋体" w:hAnsi="宋体" w:eastAsia="宋体" w:cs="宋体"/>
          <w:color w:val="auto"/>
          <w:kern w:val="0"/>
          <w:sz w:val="24"/>
          <w:szCs w:val="24"/>
          <w:highlight w:val="none"/>
        </w:rPr>
        <w:t>的经济损失，应根据</w:t>
      </w:r>
      <w:r>
        <w:rPr>
          <w:rFonts w:hint="eastAsia" w:ascii="宋体" w:eastAsia="宋体" w:cs="宋体"/>
          <w:color w:val="auto"/>
          <w:kern w:val="0"/>
          <w:sz w:val="24"/>
          <w:szCs w:val="24"/>
          <w:highlight w:val="none"/>
          <w:lang w:val="en-US" w:eastAsia="zh-CN"/>
        </w:rPr>
        <w:t>甲方经济损失的金额向甲方赔偿</w:t>
      </w:r>
      <w:r>
        <w:rPr>
          <w:rFonts w:hint="eastAsia" w:ascii="宋体" w:hAnsi="宋体" w:eastAsia="宋体" w:cs="宋体"/>
          <w:color w:val="auto"/>
          <w:kern w:val="0"/>
          <w:sz w:val="24"/>
          <w:szCs w:val="24"/>
          <w:highlight w:val="none"/>
        </w:rPr>
        <w:t>。</w:t>
      </w:r>
    </w:p>
    <w:p w14:paraId="0F762F7D">
      <w:pPr>
        <w:pStyle w:val="30"/>
        <w:adjustRightInd w:val="0"/>
        <w:snapToGrid w:val="0"/>
        <w:spacing w:line="360" w:lineRule="auto"/>
        <w:ind w:firstLine="480" w:firstLineChars="200"/>
        <w:rPr>
          <w:rFonts w:hint="eastAsia" w:ascii="宋体" w:hAnsi="宋体" w:eastAsia="宋体" w:cs="宋体"/>
          <w:color w:val="auto"/>
          <w:kern w:val="0"/>
          <w:sz w:val="24"/>
          <w:szCs w:val="24"/>
          <w:highlight w:val="none"/>
        </w:rPr>
      </w:pPr>
      <w:bookmarkStart w:id="3" w:name="_Toc493408523"/>
      <w:r>
        <w:rPr>
          <w:rFonts w:hint="eastAsia" w:ascii="宋体" w:eastAsia="宋体" w:cs="宋体"/>
          <w:color w:val="auto"/>
          <w:kern w:val="0"/>
          <w:sz w:val="24"/>
          <w:szCs w:val="24"/>
          <w:highlight w:val="none"/>
          <w:lang w:val="en-US" w:eastAsia="zh-CN"/>
        </w:rPr>
        <w:t>2、甲方</w:t>
      </w:r>
      <w:r>
        <w:rPr>
          <w:rFonts w:hint="eastAsia" w:ascii="宋体" w:hAnsi="宋体" w:eastAsia="宋体" w:cs="宋体"/>
          <w:color w:val="auto"/>
          <w:kern w:val="0"/>
          <w:sz w:val="24"/>
          <w:szCs w:val="24"/>
          <w:highlight w:val="none"/>
        </w:rPr>
        <w:t>的赔偿责任</w:t>
      </w:r>
      <w:bookmarkEnd w:id="3"/>
    </w:p>
    <w:p w14:paraId="5D8F8EE1">
      <w:pPr>
        <w:pStyle w:val="30"/>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eastAsia="宋体" w:cs="宋体"/>
          <w:color w:val="auto"/>
          <w:kern w:val="0"/>
          <w:sz w:val="24"/>
          <w:szCs w:val="24"/>
          <w:highlight w:val="none"/>
          <w:lang w:val="en-US" w:eastAsia="zh-CN"/>
        </w:rPr>
        <w:t>甲方</w:t>
      </w:r>
      <w:r>
        <w:rPr>
          <w:rFonts w:hint="eastAsia" w:ascii="宋体" w:hAnsi="宋体" w:eastAsia="宋体" w:cs="宋体"/>
          <w:color w:val="auto"/>
          <w:kern w:val="0"/>
          <w:sz w:val="24"/>
          <w:szCs w:val="24"/>
          <w:highlight w:val="none"/>
        </w:rPr>
        <w:t>违反</w:t>
      </w:r>
      <w:r>
        <w:rPr>
          <w:rFonts w:hint="eastAsia" w:ascii="宋体" w:eastAsia="宋体" w:cs="宋体"/>
          <w:color w:val="auto"/>
          <w:kern w:val="0"/>
          <w:sz w:val="24"/>
          <w:szCs w:val="24"/>
          <w:highlight w:val="none"/>
          <w:lang w:val="en-US" w:eastAsia="zh-CN"/>
        </w:rPr>
        <w:t>本</w:t>
      </w:r>
      <w:r>
        <w:rPr>
          <w:rFonts w:hint="eastAsia" w:ascii="宋体" w:hAnsi="宋体" w:eastAsia="宋体" w:cs="宋体"/>
          <w:color w:val="auto"/>
          <w:kern w:val="0"/>
          <w:sz w:val="24"/>
          <w:szCs w:val="24"/>
          <w:highlight w:val="none"/>
        </w:rPr>
        <w:t>合同的规定，并因此造成</w:t>
      </w:r>
      <w:r>
        <w:rPr>
          <w:rFonts w:hint="eastAsia" w:ascii="宋体" w:eastAsia="宋体" w:cs="宋体"/>
          <w:color w:val="auto"/>
          <w:kern w:val="0"/>
          <w:sz w:val="24"/>
          <w:szCs w:val="24"/>
          <w:highlight w:val="none"/>
          <w:lang w:val="en-US" w:eastAsia="zh-CN"/>
        </w:rPr>
        <w:t>乙方</w:t>
      </w:r>
      <w:r>
        <w:rPr>
          <w:rFonts w:hint="eastAsia" w:ascii="宋体" w:hAnsi="宋体" w:eastAsia="宋体" w:cs="宋体"/>
          <w:color w:val="auto"/>
          <w:kern w:val="0"/>
          <w:sz w:val="24"/>
          <w:szCs w:val="24"/>
          <w:highlight w:val="none"/>
        </w:rPr>
        <w:t>的直接经济损失，应按直接经济损失向</w:t>
      </w:r>
      <w:r>
        <w:rPr>
          <w:rFonts w:hint="eastAsia" w:ascii="宋体" w:eastAsia="宋体" w:cs="宋体"/>
          <w:color w:val="auto"/>
          <w:kern w:val="0"/>
          <w:sz w:val="24"/>
          <w:szCs w:val="24"/>
          <w:highlight w:val="none"/>
          <w:lang w:val="en-US" w:eastAsia="zh-CN"/>
        </w:rPr>
        <w:t>乙方</w:t>
      </w:r>
      <w:r>
        <w:rPr>
          <w:rFonts w:hint="eastAsia" w:ascii="宋体" w:hAnsi="宋体" w:eastAsia="宋体" w:cs="宋体"/>
          <w:color w:val="auto"/>
          <w:kern w:val="0"/>
          <w:sz w:val="24"/>
          <w:szCs w:val="24"/>
          <w:highlight w:val="none"/>
        </w:rPr>
        <w:t>赔偿。</w:t>
      </w:r>
    </w:p>
    <w:p w14:paraId="163837C1">
      <w:pPr>
        <w:pStyle w:val="30"/>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二</w:t>
      </w:r>
      <w:r>
        <w:rPr>
          <w:rFonts w:hint="eastAsia" w:ascii="宋体" w:hAnsi="宋体" w:eastAsia="宋体" w:cs="宋体"/>
          <w:color w:val="auto"/>
          <w:kern w:val="0"/>
          <w:sz w:val="24"/>
          <w:szCs w:val="24"/>
          <w:highlight w:val="none"/>
          <w:lang w:eastAsia="zh-CN"/>
        </w:rPr>
        <w:t>）</w:t>
      </w:r>
      <w:r>
        <w:rPr>
          <w:rFonts w:hint="eastAsia" w:ascii="宋体" w:eastAsia="宋体" w:cs="宋体"/>
          <w:color w:val="auto"/>
          <w:kern w:val="0"/>
          <w:sz w:val="24"/>
          <w:szCs w:val="24"/>
          <w:highlight w:val="none"/>
          <w:lang w:val="en-US" w:eastAsia="zh-CN"/>
        </w:rPr>
        <w:t>甲方</w:t>
      </w:r>
      <w:r>
        <w:rPr>
          <w:rFonts w:hint="eastAsia" w:ascii="宋体" w:hAnsi="宋体" w:eastAsia="宋体" w:cs="宋体"/>
          <w:color w:val="auto"/>
          <w:kern w:val="0"/>
          <w:sz w:val="24"/>
          <w:szCs w:val="24"/>
          <w:highlight w:val="none"/>
        </w:rPr>
        <w:t>就本项目而向</w:t>
      </w:r>
      <w:r>
        <w:rPr>
          <w:rFonts w:hint="eastAsia" w:ascii="宋体" w:eastAsia="宋体" w:cs="宋体"/>
          <w:color w:val="auto"/>
          <w:kern w:val="0"/>
          <w:sz w:val="24"/>
          <w:szCs w:val="24"/>
          <w:highlight w:val="none"/>
          <w:lang w:val="en-US" w:eastAsia="zh-CN"/>
        </w:rPr>
        <w:t>乙方</w:t>
      </w:r>
      <w:r>
        <w:rPr>
          <w:rFonts w:hint="eastAsia" w:ascii="宋体" w:hAnsi="宋体" w:eastAsia="宋体" w:cs="宋体"/>
          <w:color w:val="auto"/>
          <w:kern w:val="0"/>
          <w:sz w:val="24"/>
          <w:szCs w:val="24"/>
          <w:highlight w:val="none"/>
        </w:rPr>
        <w:t>提供的成果为</w:t>
      </w:r>
      <w:r>
        <w:rPr>
          <w:rFonts w:hint="eastAsia" w:ascii="宋体" w:eastAsia="宋体" w:cs="宋体"/>
          <w:color w:val="auto"/>
          <w:kern w:val="0"/>
          <w:sz w:val="24"/>
          <w:szCs w:val="24"/>
          <w:highlight w:val="none"/>
          <w:lang w:val="en-US" w:eastAsia="zh-CN"/>
        </w:rPr>
        <w:t>甲方</w:t>
      </w:r>
      <w:r>
        <w:rPr>
          <w:rFonts w:hint="eastAsia" w:ascii="宋体" w:hAnsi="宋体" w:eastAsia="宋体" w:cs="宋体"/>
          <w:color w:val="auto"/>
          <w:kern w:val="0"/>
          <w:sz w:val="24"/>
          <w:szCs w:val="24"/>
          <w:highlight w:val="none"/>
        </w:rPr>
        <w:t>所拥有。</w:t>
      </w:r>
      <w:r>
        <w:rPr>
          <w:rFonts w:hint="eastAsia" w:ascii="宋体" w:eastAsia="宋体" w:cs="宋体"/>
          <w:color w:val="auto"/>
          <w:kern w:val="0"/>
          <w:sz w:val="24"/>
          <w:szCs w:val="24"/>
          <w:highlight w:val="none"/>
          <w:lang w:val="en-US" w:eastAsia="zh-CN"/>
        </w:rPr>
        <w:t>乙方</w:t>
      </w:r>
      <w:r>
        <w:rPr>
          <w:rFonts w:hint="eastAsia" w:ascii="宋体" w:hAnsi="宋体" w:eastAsia="宋体" w:cs="宋体"/>
          <w:color w:val="auto"/>
          <w:kern w:val="0"/>
          <w:sz w:val="24"/>
          <w:szCs w:val="24"/>
          <w:highlight w:val="none"/>
        </w:rPr>
        <w:t>因受</w:t>
      </w:r>
      <w:r>
        <w:rPr>
          <w:rFonts w:hint="eastAsia" w:ascii="宋体" w:eastAsia="宋体" w:cs="宋体"/>
          <w:color w:val="auto"/>
          <w:kern w:val="0"/>
          <w:sz w:val="24"/>
          <w:szCs w:val="24"/>
          <w:highlight w:val="none"/>
          <w:lang w:val="en-US" w:eastAsia="zh-CN"/>
        </w:rPr>
        <w:t>甲方</w:t>
      </w:r>
      <w:r>
        <w:rPr>
          <w:rFonts w:hint="eastAsia" w:ascii="宋体" w:hAnsi="宋体" w:eastAsia="宋体" w:cs="宋体"/>
          <w:color w:val="auto"/>
          <w:kern w:val="0"/>
          <w:sz w:val="24"/>
          <w:szCs w:val="24"/>
          <w:highlight w:val="none"/>
        </w:rPr>
        <w:t>委托进行的本项目而产生的成果均为双方共同享有，其中任何一方向第三方转让时须经另一方同意，但若</w:t>
      </w:r>
      <w:r>
        <w:rPr>
          <w:rFonts w:hint="eastAsia" w:ascii="宋体" w:eastAsia="宋体" w:cs="宋体"/>
          <w:color w:val="auto"/>
          <w:kern w:val="0"/>
          <w:sz w:val="24"/>
          <w:szCs w:val="24"/>
          <w:highlight w:val="none"/>
          <w:lang w:val="en-US" w:eastAsia="zh-CN"/>
        </w:rPr>
        <w:t>甲方</w:t>
      </w:r>
      <w:r>
        <w:rPr>
          <w:rFonts w:hint="eastAsia" w:ascii="宋体" w:hAnsi="宋体" w:eastAsia="宋体" w:cs="宋体"/>
          <w:color w:val="auto"/>
          <w:kern w:val="0"/>
          <w:sz w:val="24"/>
          <w:szCs w:val="24"/>
          <w:highlight w:val="none"/>
        </w:rPr>
        <w:t>因推行本项目的需要向第三方透露检测成果，则无须经过</w:t>
      </w:r>
      <w:r>
        <w:rPr>
          <w:rFonts w:hint="eastAsia" w:ascii="宋体" w:eastAsia="宋体" w:cs="宋体"/>
          <w:color w:val="auto"/>
          <w:kern w:val="0"/>
          <w:sz w:val="24"/>
          <w:szCs w:val="24"/>
          <w:highlight w:val="none"/>
          <w:lang w:val="en-US" w:eastAsia="zh-CN"/>
        </w:rPr>
        <w:t>乙方</w:t>
      </w:r>
      <w:r>
        <w:rPr>
          <w:rFonts w:hint="eastAsia" w:ascii="宋体" w:hAnsi="宋体" w:eastAsia="宋体" w:cs="宋体"/>
          <w:color w:val="auto"/>
          <w:kern w:val="0"/>
          <w:sz w:val="24"/>
          <w:szCs w:val="24"/>
          <w:highlight w:val="none"/>
        </w:rPr>
        <w:t>的同意。</w:t>
      </w:r>
    </w:p>
    <w:p w14:paraId="4FB02D6C">
      <w:pPr>
        <w:pStyle w:val="30"/>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eastAsia="宋体" w:cs="宋体"/>
          <w:color w:val="auto"/>
          <w:kern w:val="0"/>
          <w:sz w:val="24"/>
          <w:szCs w:val="24"/>
          <w:highlight w:val="none"/>
          <w:lang w:eastAsia="zh-CN"/>
        </w:rPr>
        <w:t>（</w:t>
      </w:r>
      <w:r>
        <w:rPr>
          <w:rFonts w:hint="eastAsia" w:ascii="宋体" w:eastAsia="宋体" w:cs="宋体"/>
          <w:color w:val="auto"/>
          <w:kern w:val="0"/>
          <w:sz w:val="24"/>
          <w:szCs w:val="24"/>
          <w:highlight w:val="none"/>
          <w:lang w:val="en-US" w:eastAsia="zh-CN"/>
        </w:rPr>
        <w:t>三</w:t>
      </w:r>
      <w:r>
        <w:rPr>
          <w:rFonts w:hint="eastAsia" w:ascii="宋体" w:eastAsia="宋体" w:cs="宋体"/>
          <w:color w:val="auto"/>
          <w:kern w:val="0"/>
          <w:sz w:val="24"/>
          <w:szCs w:val="24"/>
          <w:highlight w:val="none"/>
          <w:lang w:eastAsia="zh-CN"/>
        </w:rPr>
        <w:t>）</w:t>
      </w:r>
      <w:r>
        <w:rPr>
          <w:rFonts w:hint="eastAsia" w:ascii="宋体" w:eastAsia="宋体" w:cs="宋体"/>
          <w:color w:val="auto"/>
          <w:kern w:val="0"/>
          <w:sz w:val="24"/>
          <w:szCs w:val="24"/>
          <w:highlight w:val="none"/>
          <w:lang w:val="en-US" w:eastAsia="zh-CN"/>
        </w:rPr>
        <w:t>甲方</w:t>
      </w:r>
      <w:r>
        <w:rPr>
          <w:rFonts w:hint="eastAsia" w:ascii="宋体" w:hAnsi="宋体" w:eastAsia="宋体" w:cs="宋体"/>
          <w:color w:val="auto"/>
          <w:kern w:val="0"/>
          <w:sz w:val="24"/>
          <w:szCs w:val="24"/>
          <w:highlight w:val="none"/>
        </w:rPr>
        <w:t>有权在相关规范标准规定范围外提出任何</w:t>
      </w:r>
      <w:r>
        <w:rPr>
          <w:rFonts w:hint="eastAsia" w:ascii="宋体" w:eastAsia="宋体" w:cs="宋体"/>
          <w:color w:val="auto"/>
          <w:kern w:val="0"/>
          <w:sz w:val="24"/>
          <w:szCs w:val="24"/>
          <w:highlight w:val="none"/>
          <w:lang w:val="en-US" w:eastAsia="zh-CN"/>
        </w:rPr>
        <w:t>服务</w:t>
      </w:r>
      <w:r>
        <w:rPr>
          <w:rFonts w:hint="eastAsia" w:ascii="宋体" w:hAnsi="宋体" w:eastAsia="宋体" w:cs="宋体"/>
          <w:color w:val="auto"/>
          <w:kern w:val="0"/>
          <w:sz w:val="24"/>
          <w:szCs w:val="24"/>
          <w:highlight w:val="none"/>
        </w:rPr>
        <w:t>要求，额外增加的费用由双方协商后另行计量支付。</w:t>
      </w:r>
    </w:p>
    <w:p w14:paraId="45A6DE07">
      <w:pPr>
        <w:pStyle w:val="30"/>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eastAsia="宋体" w:cs="宋体"/>
          <w:color w:val="auto"/>
          <w:kern w:val="0"/>
          <w:sz w:val="24"/>
          <w:szCs w:val="24"/>
          <w:highlight w:val="none"/>
          <w:lang w:eastAsia="zh-CN"/>
        </w:rPr>
        <w:t>（</w:t>
      </w:r>
      <w:r>
        <w:rPr>
          <w:rFonts w:hint="eastAsia" w:ascii="宋体" w:eastAsia="宋体" w:cs="宋体"/>
          <w:color w:val="auto"/>
          <w:kern w:val="0"/>
          <w:sz w:val="24"/>
          <w:szCs w:val="24"/>
          <w:highlight w:val="none"/>
          <w:lang w:val="en-US" w:eastAsia="zh-CN"/>
        </w:rPr>
        <w:t>四</w:t>
      </w:r>
      <w:r>
        <w:rPr>
          <w:rFonts w:hint="eastAsia" w:ascii="宋体" w:eastAsia="宋体" w:cs="宋体"/>
          <w:color w:val="auto"/>
          <w:kern w:val="0"/>
          <w:sz w:val="24"/>
          <w:szCs w:val="24"/>
          <w:highlight w:val="none"/>
          <w:lang w:eastAsia="zh-CN"/>
        </w:rPr>
        <w:t>）</w:t>
      </w:r>
      <w:r>
        <w:rPr>
          <w:rFonts w:hint="eastAsia" w:ascii="宋体" w:eastAsia="宋体" w:cs="宋体"/>
          <w:color w:val="auto"/>
          <w:kern w:val="0"/>
          <w:sz w:val="24"/>
          <w:szCs w:val="24"/>
          <w:highlight w:val="none"/>
          <w:lang w:val="en-US" w:eastAsia="zh-CN"/>
        </w:rPr>
        <w:t>乙方</w:t>
      </w:r>
      <w:r>
        <w:rPr>
          <w:rFonts w:hint="eastAsia" w:ascii="宋体" w:hAnsi="宋体" w:eastAsia="宋体" w:cs="宋体"/>
          <w:color w:val="auto"/>
          <w:kern w:val="0"/>
          <w:sz w:val="24"/>
          <w:szCs w:val="24"/>
          <w:highlight w:val="none"/>
        </w:rPr>
        <w:t>对所有技术方法的完备性、稳定性和安全性承担全部责任，对其所有工作人员工作中的失误、疏忽、玩忽职守承担全部责任。</w:t>
      </w:r>
    </w:p>
    <w:p w14:paraId="0181B5ED">
      <w:pPr>
        <w:pStyle w:val="30"/>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eastAsia="宋体" w:cs="宋体"/>
          <w:color w:val="auto"/>
          <w:kern w:val="0"/>
          <w:sz w:val="24"/>
          <w:szCs w:val="24"/>
          <w:highlight w:val="none"/>
          <w:lang w:eastAsia="zh-CN"/>
        </w:rPr>
        <w:t>（</w:t>
      </w:r>
      <w:r>
        <w:rPr>
          <w:rFonts w:hint="eastAsia" w:ascii="宋体" w:eastAsia="宋体" w:cs="宋体"/>
          <w:color w:val="auto"/>
          <w:kern w:val="0"/>
          <w:sz w:val="24"/>
          <w:szCs w:val="24"/>
          <w:highlight w:val="none"/>
          <w:lang w:val="en-US" w:eastAsia="zh-CN"/>
        </w:rPr>
        <w:t>五</w:t>
      </w:r>
      <w:r>
        <w:rPr>
          <w:rFonts w:hint="eastAsia" w:ascii="宋体" w:eastAsia="宋体" w:cs="宋体"/>
          <w:color w:val="auto"/>
          <w:kern w:val="0"/>
          <w:sz w:val="24"/>
          <w:szCs w:val="24"/>
          <w:highlight w:val="none"/>
          <w:lang w:eastAsia="zh-CN"/>
        </w:rPr>
        <w:t>）</w:t>
      </w:r>
      <w:r>
        <w:rPr>
          <w:rFonts w:hint="eastAsia" w:ascii="宋体" w:eastAsia="宋体" w:cs="宋体"/>
          <w:color w:val="auto"/>
          <w:kern w:val="0"/>
          <w:sz w:val="24"/>
          <w:szCs w:val="24"/>
          <w:highlight w:val="none"/>
          <w:lang w:val="en-US" w:eastAsia="zh-CN"/>
        </w:rPr>
        <w:t>乙方</w:t>
      </w:r>
      <w:r>
        <w:rPr>
          <w:rFonts w:hint="eastAsia" w:ascii="宋体" w:hAnsi="宋体" w:eastAsia="宋体" w:cs="宋体"/>
          <w:color w:val="auto"/>
          <w:kern w:val="0"/>
          <w:sz w:val="24"/>
          <w:szCs w:val="24"/>
          <w:highlight w:val="none"/>
        </w:rPr>
        <w:t>如需查阅本工程的有关设计文件、技术经济资料，应征得</w:t>
      </w:r>
      <w:r>
        <w:rPr>
          <w:rFonts w:hint="eastAsia" w:ascii="宋体" w:eastAsia="宋体" w:cs="宋体"/>
          <w:color w:val="auto"/>
          <w:kern w:val="0"/>
          <w:sz w:val="24"/>
          <w:szCs w:val="24"/>
          <w:highlight w:val="none"/>
          <w:lang w:val="en-US" w:eastAsia="zh-CN"/>
        </w:rPr>
        <w:t>甲方</w:t>
      </w:r>
      <w:r>
        <w:rPr>
          <w:rFonts w:hint="eastAsia" w:ascii="宋体" w:hAnsi="宋体" w:eastAsia="宋体" w:cs="宋体"/>
          <w:color w:val="auto"/>
          <w:kern w:val="0"/>
          <w:sz w:val="24"/>
          <w:szCs w:val="24"/>
          <w:highlight w:val="none"/>
        </w:rPr>
        <w:t>同意。</w:t>
      </w:r>
    </w:p>
    <w:p w14:paraId="30E57F01">
      <w:pPr>
        <w:pStyle w:val="30"/>
        <w:adjustRightInd w:val="0"/>
        <w:snapToGrid w:val="0"/>
        <w:spacing w:line="360" w:lineRule="auto"/>
        <w:ind w:firstLine="480" w:firstLineChars="200"/>
        <w:rPr>
          <w:rFonts w:hint="default" w:ascii="宋体" w:eastAsia="宋体" w:cs="宋体"/>
          <w:color w:val="auto"/>
          <w:kern w:val="0"/>
          <w:sz w:val="24"/>
          <w:szCs w:val="24"/>
          <w:highlight w:val="none"/>
          <w:lang w:val="en-US" w:eastAsia="zh-CN"/>
        </w:rPr>
      </w:pPr>
      <w:r>
        <w:rPr>
          <w:rFonts w:hint="eastAsia" w:ascii="宋体" w:eastAsia="宋体" w:cs="宋体"/>
          <w:color w:val="auto"/>
          <w:kern w:val="0"/>
          <w:sz w:val="24"/>
          <w:szCs w:val="24"/>
          <w:highlight w:val="none"/>
          <w:lang w:eastAsia="zh-CN"/>
        </w:rPr>
        <w:t>（</w:t>
      </w:r>
      <w:r>
        <w:rPr>
          <w:rFonts w:hint="eastAsia" w:ascii="宋体" w:eastAsia="宋体" w:cs="宋体"/>
          <w:color w:val="auto"/>
          <w:kern w:val="0"/>
          <w:sz w:val="24"/>
          <w:szCs w:val="24"/>
          <w:highlight w:val="none"/>
          <w:lang w:val="en-US" w:eastAsia="zh-CN"/>
        </w:rPr>
        <w:t>六</w:t>
      </w:r>
      <w:r>
        <w:rPr>
          <w:rFonts w:hint="eastAsia" w:ascii="宋体" w:eastAsia="宋体" w:cs="宋体"/>
          <w:color w:val="auto"/>
          <w:kern w:val="0"/>
          <w:sz w:val="24"/>
          <w:szCs w:val="24"/>
          <w:highlight w:val="none"/>
          <w:lang w:eastAsia="zh-CN"/>
        </w:rPr>
        <w:t>）</w:t>
      </w:r>
      <w:r>
        <w:rPr>
          <w:rFonts w:hint="eastAsia" w:ascii="宋体" w:eastAsia="宋体" w:cs="宋体"/>
          <w:color w:val="auto"/>
          <w:kern w:val="0"/>
          <w:sz w:val="24"/>
          <w:szCs w:val="24"/>
          <w:highlight w:val="none"/>
          <w:lang w:val="en-US" w:eastAsia="zh-CN"/>
        </w:rPr>
        <w:t>本项目实施前中乙方应加强安全管理，严格操作规程，在实施过程中如发生安全事故则一切责任均由乙方负责，如乙方履约不到位给甲方造成损失，乙方须赔偿由此造成的一切损失。</w:t>
      </w:r>
    </w:p>
    <w:p w14:paraId="1DA24830">
      <w:pPr>
        <w:numPr>
          <w:ilvl w:val="0"/>
          <w:numId w:val="0"/>
        </w:numPr>
        <w:spacing w:line="360" w:lineRule="auto"/>
        <w:ind w:firstLine="471" w:firstLineChars="0"/>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十一、合同生效和终止</w:t>
      </w:r>
    </w:p>
    <w:p w14:paraId="4C52C410">
      <w:pPr>
        <w:spacing w:line="360" w:lineRule="auto"/>
        <w:ind w:firstLine="471"/>
        <w:rPr>
          <w:rFonts w:ascii="宋体" w:hAnsi="宋体" w:cs="宋体"/>
          <w:color w:val="auto"/>
          <w:sz w:val="24"/>
          <w:highlight w:val="none"/>
        </w:rPr>
      </w:pPr>
      <w:r>
        <w:rPr>
          <w:rFonts w:hint="eastAsia" w:ascii="宋体" w:hAnsi="宋体" w:cs="宋体"/>
          <w:color w:val="auto"/>
          <w:sz w:val="24"/>
          <w:highlight w:val="none"/>
        </w:rPr>
        <w:t>本合同经双方签字</w:t>
      </w:r>
      <w:r>
        <w:rPr>
          <w:rFonts w:hint="eastAsia" w:ascii="宋体" w:hAnsi="宋体" w:cs="宋体"/>
          <w:color w:val="auto"/>
          <w:sz w:val="24"/>
          <w:highlight w:val="none"/>
          <w:lang w:val="en-US" w:eastAsia="zh-CN"/>
        </w:rPr>
        <w:t>并加</w:t>
      </w:r>
      <w:r>
        <w:rPr>
          <w:rFonts w:hint="eastAsia" w:ascii="宋体" w:hAnsi="宋体" w:cs="宋体"/>
          <w:color w:val="auto"/>
          <w:sz w:val="24"/>
          <w:highlight w:val="none"/>
        </w:rPr>
        <w:t>盖</w:t>
      </w:r>
      <w:r>
        <w:rPr>
          <w:rFonts w:hint="eastAsia" w:ascii="宋体" w:hAnsi="宋体" w:cs="宋体"/>
          <w:color w:val="auto"/>
          <w:sz w:val="24"/>
          <w:highlight w:val="none"/>
          <w:lang w:val="en-US" w:eastAsia="zh-CN"/>
        </w:rPr>
        <w:t>公</w:t>
      </w:r>
      <w:r>
        <w:rPr>
          <w:rFonts w:hint="eastAsia" w:ascii="宋体" w:hAnsi="宋体" w:cs="宋体"/>
          <w:color w:val="auto"/>
          <w:sz w:val="24"/>
          <w:highlight w:val="none"/>
        </w:rPr>
        <w:t>章后生效，至双方按照合同的规定履行完各自的义务和责任后</w:t>
      </w:r>
      <w:r>
        <w:rPr>
          <w:rFonts w:hint="eastAsia" w:ascii="宋体" w:hAnsi="宋体" w:cs="宋体"/>
          <w:color w:val="auto"/>
          <w:sz w:val="24"/>
          <w:highlight w:val="none"/>
          <w:lang w:val="en-US" w:eastAsia="zh-CN"/>
        </w:rPr>
        <w:t>终止</w:t>
      </w:r>
      <w:r>
        <w:rPr>
          <w:rFonts w:hint="eastAsia" w:ascii="宋体" w:hAnsi="宋体" w:cs="宋体"/>
          <w:color w:val="auto"/>
          <w:sz w:val="24"/>
          <w:highlight w:val="none"/>
        </w:rPr>
        <w:t>。</w:t>
      </w:r>
    </w:p>
    <w:p w14:paraId="1A57407C">
      <w:pPr>
        <w:numPr>
          <w:ilvl w:val="0"/>
          <w:numId w:val="0"/>
        </w:numPr>
        <w:spacing w:line="360" w:lineRule="auto"/>
        <w:ind w:firstLine="471" w:firstLineChars="0"/>
        <w:rPr>
          <w:rFonts w:hint="eastAsia" w:ascii="宋体" w:hAnsi="宋体" w:cs="宋体"/>
          <w:b/>
          <w:color w:val="auto"/>
          <w:sz w:val="24"/>
          <w:highlight w:val="none"/>
        </w:rPr>
      </w:pPr>
      <w:r>
        <w:rPr>
          <w:rFonts w:hint="eastAsia" w:ascii="宋体" w:hAnsi="宋体" w:eastAsia="宋体" w:cs="宋体"/>
          <w:b/>
          <w:color w:val="auto"/>
          <w:kern w:val="2"/>
          <w:sz w:val="24"/>
          <w:szCs w:val="24"/>
          <w:highlight w:val="none"/>
          <w:lang w:val="en-US" w:eastAsia="zh-CN" w:bidi="ar-SA"/>
        </w:rPr>
        <w:t>十二、</w:t>
      </w:r>
      <w:r>
        <w:rPr>
          <w:rFonts w:hint="eastAsia" w:ascii="宋体" w:hAnsi="宋体" w:cs="宋体"/>
          <w:b/>
          <w:color w:val="auto"/>
          <w:sz w:val="24"/>
          <w:highlight w:val="none"/>
        </w:rPr>
        <w:t>违约责任</w:t>
      </w:r>
    </w:p>
    <w:p w14:paraId="0B4A3B44">
      <w:pPr>
        <w:spacing w:line="360" w:lineRule="auto"/>
        <w:ind w:firstLine="471"/>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（一）乙方违约</w:t>
      </w:r>
    </w:p>
    <w:p w14:paraId="1B0B7CA9">
      <w:pPr>
        <w:pStyle w:val="30"/>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eastAsia="宋体" w:cs="宋体"/>
          <w:color w:val="auto"/>
          <w:kern w:val="0"/>
          <w:sz w:val="24"/>
          <w:szCs w:val="24"/>
          <w:highlight w:val="none"/>
          <w:lang w:val="en-US" w:eastAsia="zh-CN"/>
        </w:rPr>
        <w:t>1、乙方</w:t>
      </w:r>
      <w:r>
        <w:rPr>
          <w:rFonts w:hint="eastAsia" w:ascii="宋体" w:hAnsi="宋体" w:eastAsia="宋体" w:cs="宋体"/>
          <w:color w:val="auto"/>
          <w:kern w:val="0"/>
          <w:sz w:val="24"/>
          <w:szCs w:val="24"/>
          <w:highlight w:val="none"/>
        </w:rPr>
        <w:t>将任务转包或者分包，除整改外</w:t>
      </w:r>
      <w:r>
        <w:rPr>
          <w:rFonts w:hint="eastAsia" w:ascii="宋体" w:eastAsia="宋体" w:cs="宋体"/>
          <w:color w:val="auto"/>
          <w:kern w:val="0"/>
          <w:sz w:val="24"/>
          <w:szCs w:val="24"/>
          <w:highlight w:val="none"/>
          <w:lang w:val="en-US" w:eastAsia="zh-CN"/>
        </w:rPr>
        <w:t>甲方</w:t>
      </w:r>
      <w:r>
        <w:rPr>
          <w:rFonts w:hint="eastAsia" w:ascii="宋体" w:hAnsi="宋体" w:eastAsia="宋体" w:cs="宋体"/>
          <w:color w:val="auto"/>
          <w:kern w:val="0"/>
          <w:sz w:val="24"/>
          <w:szCs w:val="24"/>
          <w:highlight w:val="none"/>
        </w:rPr>
        <w:t>将视情况扣除</w:t>
      </w:r>
      <w:r>
        <w:rPr>
          <w:rFonts w:hint="eastAsia" w:ascii="宋体" w:eastAsia="宋体" w:cs="宋体"/>
          <w:color w:val="auto"/>
          <w:kern w:val="0"/>
          <w:sz w:val="24"/>
          <w:szCs w:val="24"/>
          <w:highlight w:val="none"/>
          <w:lang w:val="en-US" w:eastAsia="zh-CN"/>
        </w:rPr>
        <w:t>乙方</w:t>
      </w:r>
      <w:r>
        <w:rPr>
          <w:rFonts w:hint="eastAsia" w:ascii="宋体" w:hAnsi="宋体" w:eastAsia="宋体" w:cs="宋体"/>
          <w:color w:val="auto"/>
          <w:kern w:val="0"/>
          <w:sz w:val="24"/>
          <w:szCs w:val="24"/>
          <w:highlight w:val="none"/>
        </w:rPr>
        <w:t>5万元至10万元的违约金。</w:t>
      </w:r>
    </w:p>
    <w:p w14:paraId="53B961DC">
      <w:pPr>
        <w:pStyle w:val="30"/>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合同生效后，如</w:t>
      </w:r>
      <w:r>
        <w:rPr>
          <w:rFonts w:hint="eastAsia" w:ascii="宋体" w:eastAsia="宋体" w:cs="宋体"/>
          <w:color w:val="auto"/>
          <w:kern w:val="0"/>
          <w:sz w:val="24"/>
          <w:szCs w:val="24"/>
          <w:highlight w:val="none"/>
          <w:lang w:val="en-US" w:eastAsia="zh-CN"/>
        </w:rPr>
        <w:t>乙方</w:t>
      </w:r>
      <w:r>
        <w:rPr>
          <w:rFonts w:hint="eastAsia" w:ascii="宋体" w:hAnsi="宋体" w:eastAsia="宋体" w:cs="宋体"/>
          <w:color w:val="auto"/>
          <w:kern w:val="0"/>
          <w:sz w:val="24"/>
          <w:szCs w:val="24"/>
          <w:highlight w:val="none"/>
        </w:rPr>
        <w:t>擅自中途停止或解除合同，</w:t>
      </w:r>
      <w:r>
        <w:rPr>
          <w:rFonts w:hint="eastAsia" w:ascii="宋体" w:eastAsia="宋体" w:cs="宋体"/>
          <w:color w:val="auto"/>
          <w:kern w:val="0"/>
          <w:sz w:val="24"/>
          <w:szCs w:val="24"/>
          <w:highlight w:val="none"/>
          <w:lang w:val="en-US" w:eastAsia="zh-CN"/>
        </w:rPr>
        <w:t>乙方</w:t>
      </w:r>
      <w:r>
        <w:rPr>
          <w:rFonts w:hint="eastAsia" w:ascii="宋体" w:hAnsi="宋体" w:eastAsia="宋体" w:cs="宋体"/>
          <w:color w:val="auto"/>
          <w:kern w:val="0"/>
          <w:sz w:val="24"/>
          <w:szCs w:val="24"/>
          <w:highlight w:val="none"/>
        </w:rPr>
        <w:t>应向</w:t>
      </w:r>
      <w:r>
        <w:rPr>
          <w:rFonts w:hint="eastAsia" w:ascii="宋体" w:eastAsia="宋体" w:cs="宋体"/>
          <w:color w:val="auto"/>
          <w:kern w:val="0"/>
          <w:sz w:val="24"/>
          <w:szCs w:val="24"/>
          <w:highlight w:val="none"/>
          <w:lang w:val="en-US" w:eastAsia="zh-CN"/>
        </w:rPr>
        <w:t>甲方</w:t>
      </w:r>
      <w:r>
        <w:rPr>
          <w:rFonts w:hint="eastAsia" w:ascii="宋体" w:hAnsi="宋体" w:eastAsia="宋体" w:cs="宋体"/>
          <w:color w:val="auto"/>
          <w:kern w:val="0"/>
          <w:sz w:val="24"/>
          <w:szCs w:val="24"/>
          <w:highlight w:val="none"/>
        </w:rPr>
        <w:t>双倍返还已支付的费用。</w:t>
      </w:r>
    </w:p>
    <w:p w14:paraId="4E917A7B">
      <w:pPr>
        <w:pStyle w:val="30"/>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eastAsia="宋体" w:cs="宋体"/>
          <w:color w:val="auto"/>
          <w:kern w:val="0"/>
          <w:sz w:val="24"/>
          <w:szCs w:val="24"/>
          <w:highlight w:val="none"/>
          <w:lang w:val="en-US" w:eastAsia="zh-CN"/>
        </w:rPr>
        <w:t>3、乙方</w:t>
      </w:r>
      <w:r>
        <w:rPr>
          <w:rFonts w:hint="eastAsia" w:ascii="宋体" w:hAnsi="宋体" w:eastAsia="宋体" w:cs="宋体"/>
          <w:color w:val="auto"/>
          <w:kern w:val="0"/>
          <w:sz w:val="24"/>
          <w:szCs w:val="24"/>
          <w:highlight w:val="none"/>
        </w:rPr>
        <w:t>因自身原因未按期向</w:t>
      </w:r>
      <w:r>
        <w:rPr>
          <w:rFonts w:hint="eastAsia" w:ascii="宋体" w:eastAsia="宋体" w:cs="宋体"/>
          <w:color w:val="auto"/>
          <w:kern w:val="0"/>
          <w:sz w:val="24"/>
          <w:szCs w:val="24"/>
          <w:highlight w:val="none"/>
          <w:lang w:val="en-US" w:eastAsia="zh-CN"/>
        </w:rPr>
        <w:t>甲方</w:t>
      </w:r>
      <w:r>
        <w:rPr>
          <w:rFonts w:hint="eastAsia" w:ascii="宋体" w:hAnsi="宋体" w:eastAsia="宋体" w:cs="宋体"/>
          <w:color w:val="auto"/>
          <w:kern w:val="0"/>
          <w:sz w:val="24"/>
          <w:szCs w:val="24"/>
          <w:highlight w:val="none"/>
        </w:rPr>
        <w:t>提交成果，视为</w:t>
      </w:r>
      <w:r>
        <w:rPr>
          <w:rFonts w:hint="eastAsia" w:ascii="宋体" w:eastAsia="宋体" w:cs="宋体"/>
          <w:color w:val="auto"/>
          <w:kern w:val="0"/>
          <w:sz w:val="24"/>
          <w:szCs w:val="24"/>
          <w:highlight w:val="none"/>
          <w:lang w:val="en-US" w:eastAsia="zh-CN"/>
        </w:rPr>
        <w:t>乙方</w:t>
      </w:r>
      <w:r>
        <w:rPr>
          <w:rFonts w:hint="eastAsia" w:ascii="宋体" w:hAnsi="宋体" w:eastAsia="宋体" w:cs="宋体"/>
          <w:color w:val="auto"/>
          <w:kern w:val="0"/>
          <w:sz w:val="24"/>
          <w:szCs w:val="24"/>
          <w:highlight w:val="none"/>
        </w:rPr>
        <w:t>违约，</w:t>
      </w:r>
      <w:r>
        <w:rPr>
          <w:rFonts w:hint="eastAsia" w:ascii="宋体" w:eastAsia="宋体" w:cs="宋体"/>
          <w:color w:val="auto"/>
          <w:kern w:val="0"/>
          <w:sz w:val="24"/>
          <w:szCs w:val="24"/>
          <w:highlight w:val="none"/>
          <w:lang w:val="en-US" w:eastAsia="zh-CN"/>
        </w:rPr>
        <w:t>甲方除有权按</w:t>
      </w:r>
      <w:r>
        <w:rPr>
          <w:rFonts w:hint="eastAsia" w:ascii="宋体" w:hAnsi="宋体" w:eastAsia="宋体" w:cs="宋体"/>
          <w:color w:val="auto"/>
          <w:kern w:val="0"/>
          <w:sz w:val="24"/>
          <w:szCs w:val="24"/>
          <w:highlight w:val="none"/>
        </w:rPr>
        <w:t>0.5万元/天的标准扣除</w:t>
      </w:r>
      <w:r>
        <w:rPr>
          <w:rFonts w:hint="eastAsia" w:ascii="宋体" w:eastAsia="宋体" w:cs="宋体"/>
          <w:color w:val="auto"/>
          <w:kern w:val="0"/>
          <w:sz w:val="24"/>
          <w:szCs w:val="24"/>
          <w:highlight w:val="none"/>
          <w:lang w:val="en-US" w:eastAsia="zh-CN"/>
        </w:rPr>
        <w:t>乙方</w:t>
      </w:r>
      <w:r>
        <w:rPr>
          <w:rFonts w:hint="eastAsia" w:ascii="宋体" w:hAnsi="宋体" w:eastAsia="宋体" w:cs="宋体"/>
          <w:color w:val="auto"/>
          <w:kern w:val="0"/>
          <w:sz w:val="24"/>
          <w:szCs w:val="24"/>
          <w:highlight w:val="none"/>
        </w:rPr>
        <w:t>违约金</w:t>
      </w:r>
      <w:r>
        <w:rPr>
          <w:rFonts w:hint="eastAsia" w:ascii="宋体" w:eastAsia="宋体" w:cs="宋体"/>
          <w:color w:val="auto"/>
          <w:kern w:val="0"/>
          <w:sz w:val="24"/>
          <w:szCs w:val="24"/>
          <w:highlight w:val="none"/>
          <w:lang w:val="en-US" w:eastAsia="zh-CN"/>
        </w:rPr>
        <w:t>外</w:t>
      </w:r>
      <w:r>
        <w:rPr>
          <w:rFonts w:hint="eastAsia" w:ascii="宋体" w:hAnsi="宋体" w:eastAsia="宋体" w:cs="宋体"/>
          <w:color w:val="auto"/>
          <w:kern w:val="0"/>
          <w:sz w:val="24"/>
          <w:szCs w:val="24"/>
          <w:highlight w:val="none"/>
        </w:rPr>
        <w:t>，同时</w:t>
      </w:r>
      <w:r>
        <w:rPr>
          <w:rFonts w:hint="eastAsia" w:ascii="宋体" w:eastAsia="宋体" w:cs="宋体"/>
          <w:color w:val="auto"/>
          <w:kern w:val="0"/>
          <w:sz w:val="24"/>
          <w:szCs w:val="24"/>
          <w:highlight w:val="none"/>
          <w:lang w:val="en-US" w:eastAsia="zh-CN"/>
        </w:rPr>
        <w:t>有权要求乙方</w:t>
      </w:r>
      <w:r>
        <w:rPr>
          <w:rFonts w:hint="eastAsia" w:ascii="宋体" w:hAnsi="宋体" w:eastAsia="宋体" w:cs="宋体"/>
          <w:color w:val="auto"/>
          <w:kern w:val="0"/>
          <w:sz w:val="24"/>
          <w:szCs w:val="24"/>
          <w:highlight w:val="none"/>
        </w:rPr>
        <w:t>向</w:t>
      </w:r>
      <w:r>
        <w:rPr>
          <w:rFonts w:hint="eastAsia" w:ascii="宋体" w:eastAsia="宋体" w:cs="宋体"/>
          <w:color w:val="auto"/>
          <w:kern w:val="0"/>
          <w:sz w:val="24"/>
          <w:szCs w:val="24"/>
          <w:highlight w:val="none"/>
          <w:lang w:val="en-US" w:eastAsia="zh-CN"/>
        </w:rPr>
        <w:t>甲方</w:t>
      </w:r>
      <w:r>
        <w:rPr>
          <w:rFonts w:hint="eastAsia" w:ascii="宋体" w:hAnsi="宋体" w:eastAsia="宋体" w:cs="宋体"/>
          <w:color w:val="auto"/>
          <w:kern w:val="0"/>
          <w:sz w:val="24"/>
          <w:szCs w:val="24"/>
          <w:highlight w:val="none"/>
        </w:rPr>
        <w:t>偿付由此而导致的</w:t>
      </w:r>
      <w:r>
        <w:rPr>
          <w:rFonts w:hint="eastAsia" w:ascii="宋体" w:eastAsia="宋体" w:cs="宋体"/>
          <w:color w:val="auto"/>
          <w:kern w:val="0"/>
          <w:sz w:val="24"/>
          <w:szCs w:val="24"/>
          <w:highlight w:val="none"/>
          <w:lang w:val="en-US" w:eastAsia="zh-CN"/>
        </w:rPr>
        <w:t>甲方</w:t>
      </w:r>
      <w:r>
        <w:rPr>
          <w:rFonts w:hint="eastAsia" w:ascii="宋体" w:hAnsi="宋体" w:eastAsia="宋体" w:cs="宋体"/>
          <w:color w:val="auto"/>
          <w:kern w:val="0"/>
          <w:sz w:val="24"/>
          <w:szCs w:val="24"/>
          <w:highlight w:val="none"/>
        </w:rPr>
        <w:t>的损失费。</w:t>
      </w:r>
    </w:p>
    <w:p w14:paraId="6E1AEB76">
      <w:pPr>
        <w:pStyle w:val="30"/>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未经</w:t>
      </w:r>
      <w:r>
        <w:rPr>
          <w:rFonts w:hint="eastAsia" w:ascii="宋体" w:eastAsia="宋体" w:cs="宋体"/>
          <w:color w:val="auto"/>
          <w:kern w:val="0"/>
          <w:sz w:val="24"/>
          <w:szCs w:val="24"/>
          <w:highlight w:val="none"/>
          <w:lang w:val="en-US" w:eastAsia="zh-CN"/>
        </w:rPr>
        <w:t>甲方</w:t>
      </w:r>
      <w:r>
        <w:rPr>
          <w:rFonts w:hint="eastAsia" w:ascii="宋体" w:hAnsi="宋体" w:eastAsia="宋体" w:cs="宋体"/>
          <w:color w:val="auto"/>
          <w:kern w:val="0"/>
          <w:sz w:val="24"/>
          <w:szCs w:val="24"/>
          <w:highlight w:val="none"/>
        </w:rPr>
        <w:t>批准而擅自更换人员的，视为</w:t>
      </w:r>
      <w:r>
        <w:rPr>
          <w:rFonts w:hint="eastAsia" w:ascii="宋体" w:eastAsia="宋体" w:cs="宋体"/>
          <w:color w:val="auto"/>
          <w:kern w:val="0"/>
          <w:sz w:val="24"/>
          <w:szCs w:val="24"/>
          <w:highlight w:val="none"/>
          <w:lang w:val="en-US" w:eastAsia="zh-CN"/>
        </w:rPr>
        <w:t>乙方</w:t>
      </w:r>
      <w:r>
        <w:rPr>
          <w:rFonts w:hint="eastAsia" w:ascii="宋体" w:hAnsi="宋体" w:eastAsia="宋体" w:cs="宋体"/>
          <w:color w:val="auto"/>
          <w:kern w:val="0"/>
          <w:sz w:val="24"/>
          <w:szCs w:val="24"/>
          <w:highlight w:val="none"/>
        </w:rPr>
        <w:t>违约，</w:t>
      </w:r>
      <w:r>
        <w:rPr>
          <w:rFonts w:hint="eastAsia" w:ascii="宋体" w:eastAsia="宋体" w:cs="宋体"/>
          <w:color w:val="auto"/>
          <w:kern w:val="0"/>
          <w:sz w:val="24"/>
          <w:szCs w:val="24"/>
          <w:highlight w:val="none"/>
          <w:lang w:val="en-US" w:eastAsia="zh-CN"/>
        </w:rPr>
        <w:t>甲方</w:t>
      </w:r>
      <w:r>
        <w:rPr>
          <w:rFonts w:hint="eastAsia" w:ascii="宋体" w:hAnsi="宋体" w:eastAsia="宋体" w:cs="宋体"/>
          <w:color w:val="auto"/>
          <w:kern w:val="0"/>
          <w:sz w:val="24"/>
          <w:szCs w:val="24"/>
          <w:highlight w:val="none"/>
        </w:rPr>
        <w:t>按照</w:t>
      </w:r>
      <w:r>
        <w:rPr>
          <w:rFonts w:hint="eastAsia" w:ascii="宋体" w:eastAsia="宋体" w:cs="宋体"/>
          <w:color w:val="auto"/>
          <w:kern w:val="0"/>
          <w:sz w:val="24"/>
          <w:szCs w:val="24"/>
          <w:highlight w:val="none"/>
          <w:lang w:eastAsia="zh-CN"/>
        </w:rPr>
        <w:t>“</w:t>
      </w:r>
      <w:r>
        <w:rPr>
          <w:rFonts w:hint="eastAsia" w:ascii="宋体" w:eastAsia="宋体" w:cs="宋体"/>
          <w:color w:val="auto"/>
          <w:kern w:val="0"/>
          <w:sz w:val="24"/>
          <w:szCs w:val="24"/>
          <w:highlight w:val="none"/>
          <w:lang w:val="en-US" w:eastAsia="zh-CN"/>
        </w:rPr>
        <w:t>乙方的义务</w:t>
      </w:r>
      <w:r>
        <w:rPr>
          <w:rFonts w:hint="eastAsia" w:asci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规定的违约金标准扣取违约金，并视情况可单方面终止合同。</w:t>
      </w:r>
    </w:p>
    <w:p w14:paraId="7A66446D">
      <w:pPr>
        <w:pStyle w:val="30"/>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eastAsia="宋体" w:cs="宋体"/>
          <w:color w:val="auto"/>
          <w:kern w:val="0"/>
          <w:sz w:val="24"/>
          <w:szCs w:val="24"/>
          <w:highlight w:val="none"/>
          <w:lang w:val="en-US" w:eastAsia="zh-CN"/>
        </w:rPr>
        <w:t>5、服务</w:t>
      </w:r>
      <w:r>
        <w:rPr>
          <w:rFonts w:hint="eastAsia" w:ascii="宋体" w:hAnsi="宋体" w:eastAsia="宋体" w:cs="宋体"/>
          <w:color w:val="auto"/>
          <w:kern w:val="0"/>
          <w:sz w:val="24"/>
          <w:szCs w:val="24"/>
          <w:highlight w:val="none"/>
        </w:rPr>
        <w:t>人员责任心不强、工作不到位，伪造数据出具错误数据或错误鉴定结论，导致发生质量事故，造成经济损失或不良影响。</w:t>
      </w:r>
      <w:r>
        <w:rPr>
          <w:rFonts w:hint="eastAsia" w:ascii="宋体" w:eastAsia="宋体" w:cs="宋体"/>
          <w:color w:val="auto"/>
          <w:kern w:val="0"/>
          <w:sz w:val="24"/>
          <w:szCs w:val="24"/>
          <w:highlight w:val="none"/>
          <w:lang w:val="en-US" w:eastAsia="zh-CN"/>
        </w:rPr>
        <w:t>乙方</w:t>
      </w:r>
      <w:r>
        <w:rPr>
          <w:rFonts w:hint="eastAsia" w:ascii="宋体" w:hAnsi="宋体" w:eastAsia="宋体" w:cs="宋体"/>
          <w:color w:val="auto"/>
          <w:kern w:val="0"/>
          <w:sz w:val="24"/>
          <w:szCs w:val="24"/>
          <w:highlight w:val="none"/>
        </w:rPr>
        <w:t>发现有危及工程结构安全和重要使用功能安全的问题时，未及时向</w:t>
      </w:r>
      <w:r>
        <w:rPr>
          <w:rFonts w:hint="eastAsia" w:ascii="宋体" w:eastAsia="宋体" w:cs="宋体"/>
          <w:color w:val="auto"/>
          <w:kern w:val="0"/>
          <w:sz w:val="24"/>
          <w:szCs w:val="24"/>
          <w:highlight w:val="none"/>
          <w:lang w:val="en-US" w:eastAsia="zh-CN"/>
        </w:rPr>
        <w:t>甲方</w:t>
      </w:r>
      <w:r>
        <w:rPr>
          <w:rFonts w:hint="eastAsia" w:ascii="宋体" w:hAnsi="宋体" w:eastAsia="宋体" w:cs="宋体"/>
          <w:color w:val="auto"/>
          <w:kern w:val="0"/>
          <w:sz w:val="24"/>
          <w:szCs w:val="24"/>
          <w:highlight w:val="none"/>
        </w:rPr>
        <w:t>报告。</w:t>
      </w:r>
    </w:p>
    <w:p w14:paraId="6B47B9E9">
      <w:pPr>
        <w:pStyle w:val="30"/>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eastAsia="宋体" w:cs="宋体"/>
          <w:color w:val="auto"/>
          <w:kern w:val="0"/>
          <w:sz w:val="24"/>
          <w:szCs w:val="24"/>
          <w:highlight w:val="none"/>
          <w:lang w:val="en-US" w:eastAsia="zh-CN"/>
        </w:rPr>
        <w:t>6、乙方</w:t>
      </w:r>
      <w:r>
        <w:rPr>
          <w:rFonts w:hint="eastAsia" w:ascii="宋体" w:hAnsi="宋体" w:eastAsia="宋体" w:cs="宋体"/>
          <w:color w:val="auto"/>
          <w:kern w:val="0"/>
          <w:sz w:val="24"/>
          <w:szCs w:val="24"/>
          <w:highlight w:val="none"/>
        </w:rPr>
        <w:t>检测制度不全，检测仪器设备不全，档案资料不按规定存档。</w:t>
      </w:r>
    </w:p>
    <w:p w14:paraId="24F16B7F">
      <w:pPr>
        <w:pStyle w:val="30"/>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违反廉政合同条款的规定。</w:t>
      </w:r>
    </w:p>
    <w:p w14:paraId="75FFAA09">
      <w:pPr>
        <w:pStyle w:val="30"/>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eastAsia="宋体" w:cs="宋体"/>
          <w:color w:val="auto"/>
          <w:kern w:val="0"/>
          <w:sz w:val="24"/>
          <w:szCs w:val="24"/>
          <w:highlight w:val="none"/>
          <w:lang w:val="en-US" w:eastAsia="zh-CN"/>
        </w:rPr>
        <w:t>乙方</w:t>
      </w:r>
      <w:r>
        <w:rPr>
          <w:rFonts w:hint="eastAsia" w:ascii="宋体" w:hAnsi="宋体" w:eastAsia="宋体" w:cs="宋体"/>
          <w:color w:val="auto"/>
          <w:kern w:val="0"/>
          <w:sz w:val="24"/>
          <w:szCs w:val="24"/>
          <w:highlight w:val="none"/>
        </w:rPr>
        <w:t>发生以上第</w:t>
      </w:r>
      <w:r>
        <w:rPr>
          <w:rFonts w:hint="eastAsia" w:asci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w:t>
      </w:r>
      <w:r>
        <w:rPr>
          <w:rFonts w:hint="eastAsia" w:asci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条情况，</w:t>
      </w:r>
      <w:r>
        <w:rPr>
          <w:rFonts w:hint="eastAsia" w:ascii="宋体" w:eastAsia="宋体" w:cs="宋体"/>
          <w:color w:val="auto"/>
          <w:kern w:val="0"/>
          <w:sz w:val="24"/>
          <w:szCs w:val="24"/>
          <w:highlight w:val="none"/>
          <w:lang w:val="en-US" w:eastAsia="zh-CN"/>
        </w:rPr>
        <w:t>甲方</w:t>
      </w:r>
      <w:r>
        <w:rPr>
          <w:rFonts w:hint="eastAsia" w:ascii="宋体" w:hAnsi="宋体" w:eastAsia="宋体" w:cs="宋体"/>
          <w:color w:val="auto"/>
          <w:kern w:val="0"/>
          <w:sz w:val="24"/>
          <w:szCs w:val="24"/>
          <w:highlight w:val="none"/>
        </w:rPr>
        <w:t>将视情节轻重对有关人员提出警告、责令更正、通报批评至逐出现场，同时</w:t>
      </w:r>
      <w:r>
        <w:rPr>
          <w:rFonts w:hint="eastAsia" w:ascii="宋体" w:eastAsia="宋体" w:cs="宋体"/>
          <w:color w:val="auto"/>
          <w:kern w:val="0"/>
          <w:sz w:val="24"/>
          <w:szCs w:val="24"/>
          <w:highlight w:val="none"/>
          <w:lang w:val="en-US" w:eastAsia="zh-CN"/>
        </w:rPr>
        <w:t>甲方</w:t>
      </w:r>
      <w:r>
        <w:rPr>
          <w:rFonts w:hint="eastAsia" w:ascii="宋体" w:hAnsi="宋体" w:eastAsia="宋体" w:cs="宋体"/>
          <w:color w:val="auto"/>
          <w:kern w:val="0"/>
          <w:sz w:val="24"/>
          <w:szCs w:val="24"/>
          <w:highlight w:val="none"/>
        </w:rPr>
        <w:t>将视情况扣除</w:t>
      </w:r>
      <w:r>
        <w:rPr>
          <w:rFonts w:hint="eastAsia" w:ascii="宋体" w:eastAsia="宋体" w:cs="宋体"/>
          <w:color w:val="auto"/>
          <w:kern w:val="0"/>
          <w:sz w:val="24"/>
          <w:szCs w:val="24"/>
          <w:highlight w:val="none"/>
          <w:lang w:val="en-US" w:eastAsia="zh-CN"/>
        </w:rPr>
        <w:t>乙方</w:t>
      </w:r>
      <w:r>
        <w:rPr>
          <w:rFonts w:hint="eastAsia" w:ascii="宋体" w:hAnsi="宋体" w:eastAsia="宋体" w:cs="宋体"/>
          <w:color w:val="auto"/>
          <w:kern w:val="0"/>
          <w:sz w:val="24"/>
          <w:szCs w:val="24"/>
          <w:highlight w:val="none"/>
        </w:rPr>
        <w:t>1万元至10万元的违约金。</w:t>
      </w:r>
    </w:p>
    <w:p w14:paraId="75E83520">
      <w:pPr>
        <w:pStyle w:val="30"/>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上述违约金由</w:t>
      </w:r>
      <w:r>
        <w:rPr>
          <w:rFonts w:hint="eastAsia" w:ascii="宋体" w:eastAsia="宋体" w:cs="宋体"/>
          <w:color w:val="auto"/>
          <w:kern w:val="0"/>
          <w:sz w:val="24"/>
          <w:szCs w:val="24"/>
          <w:highlight w:val="none"/>
          <w:lang w:val="en-US" w:eastAsia="zh-CN"/>
        </w:rPr>
        <w:t>甲方</w:t>
      </w:r>
      <w:r>
        <w:rPr>
          <w:rFonts w:hint="eastAsia" w:ascii="宋体" w:hAnsi="宋体" w:eastAsia="宋体" w:cs="宋体"/>
          <w:color w:val="auto"/>
          <w:kern w:val="0"/>
          <w:sz w:val="24"/>
          <w:szCs w:val="24"/>
          <w:highlight w:val="none"/>
        </w:rPr>
        <w:t>直接从当期服务费用中扣除。</w:t>
      </w:r>
    </w:p>
    <w:p w14:paraId="65B917BC">
      <w:pPr>
        <w:spacing w:line="360" w:lineRule="auto"/>
        <w:ind w:firstLine="471"/>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（二）甲方违约</w:t>
      </w:r>
    </w:p>
    <w:p w14:paraId="6D98DF2F">
      <w:pPr>
        <w:spacing w:line="360" w:lineRule="auto"/>
        <w:ind w:firstLine="471"/>
        <w:rPr>
          <w:rFonts w:ascii="宋体" w:hAnsi="宋体" w:cs="宋体"/>
          <w:bCs/>
          <w:color w:val="auto"/>
          <w:sz w:val="24"/>
          <w:highlight w:val="none"/>
        </w:rPr>
      </w:pPr>
      <w:r>
        <w:rPr>
          <w:rFonts w:hint="eastAsia" w:ascii="宋体" w:hAnsi="宋体" w:cs="宋体"/>
          <w:color w:val="auto"/>
          <w:sz w:val="24"/>
          <w:highlight w:val="none"/>
          <w:lang w:val="en-US" w:eastAsia="zh-CN"/>
        </w:rPr>
        <w:t>甲方未按合同约定支付</w:t>
      </w:r>
      <w:r>
        <w:rPr>
          <w:rFonts w:hint="eastAsia" w:ascii="宋体" w:hAnsi="宋体" w:eastAsia="宋体" w:cs="宋体"/>
          <w:color w:val="auto"/>
          <w:kern w:val="0"/>
          <w:sz w:val="24"/>
          <w:szCs w:val="24"/>
          <w:highlight w:val="none"/>
        </w:rPr>
        <w:t>服务费用</w:t>
      </w:r>
      <w:r>
        <w:rPr>
          <w:rFonts w:hint="eastAsia" w:ascii="宋体" w:hAnsi="宋体" w:cs="宋体"/>
          <w:color w:val="auto"/>
          <w:sz w:val="24"/>
          <w:highlight w:val="none"/>
          <w:lang w:val="en-US" w:eastAsia="zh-CN"/>
        </w:rPr>
        <w:t>的，甲方按相当于中国人民银行发布的同期六个月以内（含六个月）短期贷款基准利率（不计复利）加手续费支付逾期付款违约金。</w:t>
      </w:r>
    </w:p>
    <w:p w14:paraId="3DD71962">
      <w:pPr>
        <w:spacing w:line="360" w:lineRule="auto"/>
        <w:ind w:firstLine="482"/>
        <w:rPr>
          <w:rFonts w:ascii="宋体" w:hAnsi="宋体" w:cs="宋体"/>
          <w:b/>
          <w:color w:val="auto"/>
          <w:sz w:val="24"/>
          <w:highlight w:val="none"/>
        </w:rPr>
      </w:pPr>
      <w:r>
        <w:rPr>
          <w:rFonts w:hint="eastAsia" w:ascii="宋体" w:hAnsi="宋体" w:cs="宋体"/>
          <w:b/>
          <w:color w:val="auto"/>
          <w:sz w:val="24"/>
          <w:highlight w:val="none"/>
        </w:rPr>
        <w:t>十</w:t>
      </w:r>
      <w:r>
        <w:rPr>
          <w:rFonts w:hint="eastAsia" w:ascii="宋体" w:hAnsi="宋体" w:cs="宋体"/>
          <w:b/>
          <w:color w:val="auto"/>
          <w:sz w:val="24"/>
          <w:highlight w:val="none"/>
          <w:lang w:val="en-US" w:eastAsia="zh-CN"/>
        </w:rPr>
        <w:t>三</w:t>
      </w:r>
      <w:r>
        <w:rPr>
          <w:rFonts w:hint="eastAsia" w:ascii="宋体" w:hAnsi="宋体" w:cs="宋体"/>
          <w:b/>
          <w:color w:val="auto"/>
          <w:sz w:val="24"/>
          <w:highlight w:val="none"/>
        </w:rPr>
        <w:t>、不可抗力事件处理</w:t>
      </w:r>
    </w:p>
    <w:p w14:paraId="71A73D9B">
      <w:pPr>
        <w:tabs>
          <w:tab w:val="left" w:pos="360"/>
        </w:tabs>
        <w:spacing w:line="360" w:lineRule="auto"/>
        <w:ind w:firstLine="480"/>
        <w:rPr>
          <w:rFonts w:ascii="宋体" w:hAnsi="宋体" w:cs="宋体"/>
          <w:bCs/>
          <w:color w:val="auto"/>
          <w:sz w:val="24"/>
          <w:highlight w:val="none"/>
        </w:rPr>
      </w:pPr>
      <w:r>
        <w:rPr>
          <w:rFonts w:hint="eastAsia" w:ascii="宋体" w:hAnsi="宋体" w:cs="宋体"/>
          <w:bCs/>
          <w:color w:val="auto"/>
          <w:sz w:val="24"/>
          <w:highlight w:val="none"/>
        </w:rPr>
        <w:t>1、由于不可抗力因素（指火灾、地震、洪水、战争等）使乙方不能在合同规定的期限内完成服务时，乙方必须立即以书面形式通知甲方，并以书面形式向甲方提供有关政府机关所出具的不可抗力因素证明。</w:t>
      </w:r>
    </w:p>
    <w:p w14:paraId="1CAC4A7C">
      <w:pPr>
        <w:spacing w:line="360" w:lineRule="auto"/>
        <w:ind w:firstLine="480"/>
        <w:rPr>
          <w:rFonts w:ascii="宋体" w:hAnsi="宋体" w:cs="宋体"/>
          <w:color w:val="auto"/>
          <w:sz w:val="24"/>
          <w:highlight w:val="none"/>
        </w:rPr>
      </w:pPr>
      <w:r>
        <w:rPr>
          <w:rFonts w:hint="eastAsia" w:ascii="宋体" w:hAnsi="宋体" w:cs="宋体"/>
          <w:bCs/>
          <w:color w:val="auto"/>
          <w:sz w:val="24"/>
          <w:highlight w:val="none"/>
        </w:rPr>
        <w:t>2、在不可抗力发生时，乙方应尽快以书面形式将不可抗力的情况和原因通知甲方。除非甲方书面另有要求，乙方应尽可能继续履行合同义务，以及寻求合理的方案履行未受不可抗力影响的其它事项。如因不可抗力导致合同不能履约，并在30天内不能恢复履约，则任何一方可提出终止合同。在这种情况下，双方应协商解决合同终止以前双方应得的利益问题。</w:t>
      </w:r>
    </w:p>
    <w:p w14:paraId="7B21595F">
      <w:pPr>
        <w:spacing w:line="360" w:lineRule="auto"/>
        <w:ind w:firstLine="471"/>
        <w:jc w:val="left"/>
        <w:rPr>
          <w:rFonts w:ascii="宋体" w:hAnsi="宋体" w:cs="宋体"/>
          <w:b/>
          <w:color w:val="auto"/>
          <w:sz w:val="24"/>
          <w:highlight w:val="none"/>
          <w:lang w:val="zh-CN"/>
        </w:rPr>
      </w:pPr>
      <w:r>
        <w:rPr>
          <w:rFonts w:hint="eastAsia" w:ascii="宋体" w:hAnsi="宋体" w:cs="宋体"/>
          <w:b/>
          <w:color w:val="auto"/>
          <w:sz w:val="24"/>
          <w:highlight w:val="none"/>
        </w:rPr>
        <w:t>十</w:t>
      </w:r>
      <w:r>
        <w:rPr>
          <w:rFonts w:hint="eastAsia" w:ascii="宋体" w:hAnsi="宋体" w:cs="宋体"/>
          <w:b/>
          <w:color w:val="auto"/>
          <w:sz w:val="24"/>
          <w:highlight w:val="none"/>
          <w:lang w:val="en-US" w:eastAsia="zh-CN"/>
        </w:rPr>
        <w:t>四</w:t>
      </w:r>
      <w:r>
        <w:rPr>
          <w:rFonts w:hint="eastAsia" w:ascii="宋体" w:hAnsi="宋体" w:cs="宋体"/>
          <w:b/>
          <w:color w:val="auto"/>
          <w:sz w:val="24"/>
          <w:highlight w:val="none"/>
        </w:rPr>
        <w:t>、</w:t>
      </w:r>
      <w:r>
        <w:rPr>
          <w:rFonts w:hint="eastAsia" w:ascii="宋体" w:hAnsi="宋体" w:cs="宋体"/>
          <w:b/>
          <w:color w:val="auto"/>
          <w:sz w:val="24"/>
          <w:highlight w:val="none"/>
          <w:lang w:val="zh-CN"/>
        </w:rPr>
        <w:t>争议处理</w:t>
      </w:r>
    </w:p>
    <w:p w14:paraId="69080279">
      <w:pPr>
        <w:spacing w:line="360" w:lineRule="auto"/>
        <w:ind w:firstLine="471"/>
        <w:jc w:val="left"/>
        <w:rPr>
          <w:rFonts w:ascii="宋体" w:hAnsi="宋体" w:cs="宋体"/>
          <w:color w:val="auto"/>
          <w:sz w:val="24"/>
          <w:highlight w:val="none"/>
          <w:lang w:val="zh-CN"/>
        </w:rPr>
      </w:pPr>
      <w:r>
        <w:rPr>
          <w:rFonts w:hint="eastAsia" w:ascii="宋体" w:hAnsi="宋体" w:cs="宋体"/>
          <w:color w:val="auto"/>
          <w:sz w:val="24"/>
          <w:highlight w:val="none"/>
          <w:lang w:val="zh-CN"/>
        </w:rPr>
        <w:t xml:space="preserve">争议的最终解决方式：仲裁 </w:t>
      </w:r>
    </w:p>
    <w:p w14:paraId="167EECD1">
      <w:pPr>
        <w:spacing w:line="360" w:lineRule="auto"/>
        <w:ind w:firstLine="471"/>
        <w:jc w:val="left"/>
        <w:rPr>
          <w:rFonts w:ascii="宋体" w:hAnsi="宋体" w:cs="宋体"/>
          <w:b/>
          <w:color w:val="auto"/>
          <w:sz w:val="24"/>
          <w:highlight w:val="none"/>
        </w:rPr>
      </w:pPr>
      <w:r>
        <w:rPr>
          <w:rFonts w:hint="eastAsia" w:ascii="宋体" w:hAnsi="宋体" w:cs="宋体"/>
          <w:color w:val="auto"/>
          <w:sz w:val="24"/>
          <w:highlight w:val="none"/>
          <w:lang w:val="zh-CN"/>
        </w:rPr>
        <w:t>如采用仲裁，向南通仲裁委员会提起仲裁。</w:t>
      </w:r>
    </w:p>
    <w:p w14:paraId="6FBBD9C4">
      <w:pPr>
        <w:spacing w:line="360" w:lineRule="auto"/>
        <w:ind w:firstLine="471"/>
        <w:jc w:val="left"/>
        <w:rPr>
          <w:rFonts w:ascii="宋体" w:hAnsi="宋体" w:cs="宋体"/>
          <w:b/>
          <w:color w:val="auto"/>
          <w:sz w:val="24"/>
          <w:highlight w:val="none"/>
          <w:lang w:val="zh-CN"/>
        </w:rPr>
      </w:pPr>
      <w:r>
        <w:rPr>
          <w:rFonts w:hint="eastAsia" w:ascii="宋体" w:hAnsi="宋体" w:cs="宋体"/>
          <w:b/>
          <w:color w:val="auto"/>
          <w:sz w:val="24"/>
          <w:highlight w:val="none"/>
        </w:rPr>
        <w:t>十</w:t>
      </w:r>
      <w:r>
        <w:rPr>
          <w:rFonts w:hint="eastAsia" w:ascii="宋体" w:hAnsi="宋体" w:cs="宋体"/>
          <w:b/>
          <w:color w:val="auto"/>
          <w:sz w:val="24"/>
          <w:highlight w:val="none"/>
          <w:lang w:val="en-US" w:eastAsia="zh-CN"/>
        </w:rPr>
        <w:t>五</w:t>
      </w:r>
      <w:r>
        <w:rPr>
          <w:rFonts w:hint="eastAsia" w:ascii="宋体" w:hAnsi="宋体" w:cs="宋体"/>
          <w:b/>
          <w:color w:val="auto"/>
          <w:sz w:val="24"/>
          <w:highlight w:val="none"/>
        </w:rPr>
        <w:t>、</w:t>
      </w:r>
      <w:r>
        <w:rPr>
          <w:rFonts w:hint="eastAsia" w:ascii="宋体" w:hAnsi="宋体" w:cs="宋体"/>
          <w:b/>
          <w:color w:val="auto"/>
          <w:sz w:val="24"/>
          <w:highlight w:val="none"/>
          <w:lang w:val="zh-CN"/>
        </w:rPr>
        <w:t>其他</w:t>
      </w:r>
    </w:p>
    <w:p w14:paraId="10FA0F87">
      <w:pPr>
        <w:spacing w:line="360" w:lineRule="auto"/>
        <w:ind w:firstLine="471"/>
        <w:jc w:val="left"/>
        <w:rPr>
          <w:rFonts w:ascii="宋体" w:hAnsi="宋体" w:cs="宋体"/>
          <w:color w:val="auto"/>
          <w:sz w:val="24"/>
          <w:highlight w:val="none"/>
          <w:lang w:val="zh-CN"/>
        </w:rPr>
      </w:pPr>
      <w:r>
        <w:rPr>
          <w:rFonts w:hint="eastAsia" w:ascii="宋体" w:hAnsi="宋体" w:cs="宋体"/>
          <w:color w:val="auto"/>
          <w:sz w:val="24"/>
          <w:highlight w:val="none"/>
        </w:rPr>
        <w:t>1、</w:t>
      </w:r>
      <w:r>
        <w:rPr>
          <w:rFonts w:hint="eastAsia" w:ascii="宋体" w:hAnsi="宋体" w:cs="宋体"/>
          <w:color w:val="auto"/>
          <w:sz w:val="24"/>
          <w:highlight w:val="none"/>
          <w:lang w:val="zh-CN"/>
        </w:rPr>
        <w:t>未经过甲方的书面同意，乙方不得转让其应履行的合同项下的义务，</w:t>
      </w:r>
      <w:r>
        <w:rPr>
          <w:rFonts w:hint="eastAsia" w:ascii="宋体" w:hAnsi="宋体" w:cs="宋体"/>
          <w:color w:val="auto"/>
          <w:sz w:val="24"/>
          <w:highlight w:val="none"/>
        </w:rPr>
        <w:t>或</w:t>
      </w:r>
      <w:r>
        <w:rPr>
          <w:rFonts w:hint="eastAsia" w:ascii="宋体" w:hAnsi="宋体" w:cs="宋体"/>
          <w:color w:val="auto"/>
          <w:sz w:val="24"/>
          <w:highlight w:val="none"/>
          <w:lang w:val="zh-CN"/>
        </w:rPr>
        <w:t>将部分合同项下的义务分包给其他单位完成。</w:t>
      </w:r>
    </w:p>
    <w:p w14:paraId="39468C8D">
      <w:pPr>
        <w:spacing w:line="360" w:lineRule="auto"/>
        <w:ind w:firstLine="471"/>
        <w:jc w:val="left"/>
        <w:rPr>
          <w:rFonts w:ascii="宋体" w:hAnsi="宋体" w:cs="宋体"/>
          <w:color w:val="auto"/>
          <w:sz w:val="24"/>
          <w:highlight w:val="none"/>
        </w:rPr>
      </w:pPr>
      <w:r>
        <w:rPr>
          <w:rFonts w:hint="eastAsia" w:ascii="宋体" w:hAnsi="宋体" w:cs="宋体"/>
          <w:color w:val="auto"/>
          <w:sz w:val="24"/>
          <w:highlight w:val="none"/>
        </w:rPr>
        <w:t>2、合同履行期内甲乙双方均不得随意变更或解除合同。合同若有未尽事宜，需经双方共同协商，订立补充协议，补充协议条款与本合同条款有冲突的，以补充协议条款为准，补充协议与本合同有同等法律效力。</w:t>
      </w:r>
    </w:p>
    <w:p w14:paraId="48160450">
      <w:pPr>
        <w:spacing w:line="360" w:lineRule="auto"/>
        <w:ind w:firstLine="471"/>
        <w:rPr>
          <w:rFonts w:ascii="宋体" w:hAnsi="宋体" w:cs="宋体"/>
          <w:color w:val="auto"/>
          <w:sz w:val="24"/>
          <w:highlight w:val="none"/>
        </w:rPr>
      </w:pPr>
      <w:r>
        <w:rPr>
          <w:rFonts w:hint="eastAsia" w:ascii="宋体" w:hAnsi="宋体" w:cs="宋体"/>
          <w:color w:val="auto"/>
          <w:sz w:val="24"/>
          <w:highlight w:val="none"/>
        </w:rPr>
        <w:t>3、本合同</w:t>
      </w:r>
      <w:r>
        <w:rPr>
          <w:rFonts w:hint="eastAsia" w:ascii="宋体" w:hAnsi="宋体" w:cs="宋体"/>
          <w:color w:val="auto"/>
          <w:sz w:val="24"/>
          <w:highlight w:val="none"/>
          <w:u w:val="single"/>
        </w:rPr>
        <w:t>一式陆份</w:t>
      </w:r>
      <w:r>
        <w:rPr>
          <w:rFonts w:hint="eastAsia" w:ascii="宋体" w:hAnsi="宋体" w:cs="宋体"/>
          <w:color w:val="auto"/>
          <w:sz w:val="24"/>
          <w:highlight w:val="none"/>
        </w:rPr>
        <w:t>，双方各执叁份，自签订之日起生效。</w:t>
      </w:r>
    </w:p>
    <w:p w14:paraId="663A6222">
      <w:pPr>
        <w:spacing w:line="360" w:lineRule="auto"/>
        <w:ind w:firstLine="471"/>
        <w:rPr>
          <w:rFonts w:ascii="宋体" w:hAnsi="宋体" w:cs="宋体"/>
          <w:color w:val="auto"/>
          <w:sz w:val="24"/>
          <w:highlight w:val="none"/>
        </w:rPr>
      </w:pPr>
      <w:r>
        <w:rPr>
          <w:rFonts w:hint="eastAsia" w:ascii="宋体" w:hAnsi="宋体" w:cs="宋体"/>
          <w:color w:val="auto"/>
          <w:sz w:val="24"/>
          <w:highlight w:val="none"/>
        </w:rPr>
        <w:t>4、本合同未尽事宜，遵照《中华人民共和国民法典》有关条文执行。</w:t>
      </w:r>
    </w:p>
    <w:p w14:paraId="56DE8FF7">
      <w:pPr>
        <w:pStyle w:val="17"/>
        <w:rPr>
          <w:rFonts w:hint="eastAsia" w:ascii="宋体" w:hAnsi="宋体" w:cs="宋体"/>
          <w:color w:val="auto"/>
          <w:sz w:val="24"/>
          <w:highlight w:val="none"/>
        </w:rPr>
      </w:pPr>
    </w:p>
    <w:p w14:paraId="1367DCF7">
      <w:pPr>
        <w:pStyle w:val="17"/>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附件1：投入本项目主要人员情况汇总表</w:t>
      </w:r>
    </w:p>
    <w:p w14:paraId="156F835E">
      <w:pPr>
        <w:pStyle w:val="17"/>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附件2：供应商二次报价单</w:t>
      </w:r>
    </w:p>
    <w:p w14:paraId="5AE09D6C">
      <w:pPr>
        <w:pStyle w:val="17"/>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附件3：供应商分项报价明细表</w:t>
      </w:r>
    </w:p>
    <w:p w14:paraId="2853D834">
      <w:pPr>
        <w:pStyle w:val="17"/>
        <w:rPr>
          <w:color w:val="auto"/>
          <w:highlight w:val="none"/>
        </w:rPr>
      </w:pPr>
    </w:p>
    <w:p w14:paraId="0F01DD8B">
      <w:pPr>
        <w:ind w:firstLine="400"/>
        <w:rPr>
          <w:rFonts w:cs="宋体" w:asciiTheme="minorEastAsia" w:hAnsiTheme="minorEastAsia" w:eastAsiaTheme="minorEastAsia"/>
          <w:bCs/>
          <w:color w:val="auto"/>
          <w:spacing w:val="2"/>
          <w:sz w:val="24"/>
          <w:highlight w:val="none"/>
        </w:rPr>
      </w:pPr>
    </w:p>
    <w:p w14:paraId="7645C5B4">
      <w:pPr>
        <w:ind w:firstLine="400"/>
        <w:rPr>
          <w:rFonts w:cs="宋体" w:asciiTheme="minorEastAsia" w:hAnsiTheme="minorEastAsia" w:eastAsiaTheme="minorEastAsia"/>
          <w:bCs/>
          <w:color w:val="auto"/>
          <w:spacing w:val="2"/>
          <w:sz w:val="24"/>
          <w:highlight w:val="none"/>
        </w:rPr>
      </w:pPr>
    </w:p>
    <w:p w14:paraId="628354F8">
      <w:pPr>
        <w:spacing w:line="360" w:lineRule="auto"/>
        <w:rPr>
          <w:rFonts w:cs="宋体" w:asciiTheme="minorEastAsia" w:hAnsiTheme="minorEastAsia" w:eastAsiaTheme="minorEastAsia"/>
          <w:color w:val="auto"/>
          <w:sz w:val="24"/>
          <w:highlight w:val="none"/>
          <w:u w:val="single"/>
        </w:rPr>
      </w:pPr>
      <w:r>
        <w:rPr>
          <w:rFonts w:hint="eastAsia" w:cs="宋体" w:asciiTheme="minorEastAsia" w:hAnsiTheme="minorEastAsia" w:eastAsiaTheme="minorEastAsia"/>
          <w:color w:val="auto"/>
          <w:sz w:val="24"/>
          <w:highlight w:val="none"/>
        </w:rPr>
        <w:t>甲方</w:t>
      </w: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u w:val="single"/>
        </w:rPr>
        <w:t xml:space="preserve"> （全称）         （盖章）  </w:t>
      </w:r>
      <w:r>
        <w:rPr>
          <w:rFonts w:hint="eastAsia" w:cs="宋体" w:asciiTheme="minorEastAsia" w:hAnsiTheme="minorEastAsia" w:eastAsiaTheme="minorEastAsia"/>
          <w:color w:val="auto"/>
          <w:sz w:val="24"/>
          <w:highlight w:val="none"/>
        </w:rPr>
        <w:t>　      乙方</w:t>
      </w: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u w:val="single"/>
        </w:rPr>
        <w:t xml:space="preserve"> （全称） （盖章）         </w:t>
      </w:r>
    </w:p>
    <w:p w14:paraId="487B9A6E">
      <w:pPr>
        <w:spacing w:line="360" w:lineRule="auto"/>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法定代表人                               法定代表人</w:t>
      </w:r>
    </w:p>
    <w:p w14:paraId="51876F8D">
      <w:pPr>
        <w:spacing w:line="360" w:lineRule="auto"/>
        <w:jc w:val="left"/>
        <w:rPr>
          <w:rFonts w:cs="宋体" w:asciiTheme="minorEastAsia" w:hAnsiTheme="minorEastAsia" w:eastAsiaTheme="minorEastAsia"/>
          <w:color w:val="auto"/>
          <w:sz w:val="24"/>
          <w:highlight w:val="none"/>
          <w:u w:val="single"/>
        </w:rPr>
      </w:pPr>
      <w:r>
        <w:rPr>
          <w:rFonts w:hint="eastAsia" w:cs="宋体" w:asciiTheme="minorEastAsia" w:hAnsiTheme="minorEastAsia" w:eastAsiaTheme="minorEastAsia"/>
          <w:color w:val="auto"/>
          <w:sz w:val="24"/>
          <w:highlight w:val="none"/>
        </w:rPr>
        <w:t>或其委托代理人：</w:t>
      </w:r>
      <w:r>
        <w:rPr>
          <w:rFonts w:hint="eastAsia" w:cs="宋体" w:asciiTheme="minorEastAsia" w:hAnsiTheme="minorEastAsia" w:eastAsiaTheme="minorEastAsia"/>
          <w:color w:val="auto"/>
          <w:sz w:val="24"/>
          <w:highlight w:val="none"/>
          <w:u w:val="single"/>
        </w:rPr>
        <w:t>（签字）</w:t>
      </w:r>
      <w:r>
        <w:rPr>
          <w:rFonts w:hint="eastAsia" w:cs="宋体" w:asciiTheme="minorEastAsia" w:hAnsiTheme="minorEastAsia" w:eastAsiaTheme="minorEastAsia"/>
          <w:color w:val="auto"/>
          <w:sz w:val="24"/>
          <w:highlight w:val="none"/>
        </w:rPr>
        <w:t xml:space="preserve">                 或其委托代理人：</w:t>
      </w:r>
      <w:r>
        <w:rPr>
          <w:rFonts w:hint="eastAsia" w:cs="宋体" w:asciiTheme="minorEastAsia" w:hAnsiTheme="minorEastAsia" w:eastAsiaTheme="minorEastAsia"/>
          <w:color w:val="auto"/>
          <w:sz w:val="24"/>
          <w:highlight w:val="none"/>
          <w:u w:val="single"/>
        </w:rPr>
        <w:t>（签字）</w:t>
      </w:r>
    </w:p>
    <w:p w14:paraId="7FCFA95F">
      <w:pPr>
        <w:spacing w:line="360" w:lineRule="auto"/>
        <w:jc w:val="left"/>
        <w:rPr>
          <w:rFonts w:cs="宋体" w:asciiTheme="minorEastAsia" w:hAnsiTheme="minorEastAsia" w:eastAsiaTheme="minorEastAsia"/>
          <w:color w:val="auto"/>
          <w:sz w:val="24"/>
          <w:highlight w:val="none"/>
        </w:rPr>
      </w:pPr>
    </w:p>
    <w:p w14:paraId="676BB3DF">
      <w:pPr>
        <w:tabs>
          <w:tab w:val="left" w:pos="4395"/>
          <w:tab w:val="left" w:pos="4678"/>
          <w:tab w:val="left" w:pos="4820"/>
        </w:tabs>
        <w:spacing w:line="360" w:lineRule="auto"/>
        <w:ind w:firstLine="36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年   月   日                                    年  月  日</w:t>
      </w:r>
    </w:p>
    <w:p w14:paraId="3EAF0DDB">
      <w:pPr>
        <w:spacing w:line="360" w:lineRule="auto"/>
        <w:rPr>
          <w:rFonts w:asciiTheme="minorEastAsia" w:hAnsiTheme="minorEastAsia" w:eastAsiaTheme="minorEastAsia"/>
          <w:color w:val="auto"/>
          <w:sz w:val="24"/>
          <w:highlight w:val="none"/>
        </w:rPr>
      </w:pPr>
    </w:p>
    <w:p w14:paraId="4BE6887A">
      <w:pPr>
        <w:rPr>
          <w:rFonts w:hint="eastAsia" w:ascii="宋体" w:hAnsi="宋体" w:cs="宋体"/>
          <w:b/>
          <w:color w:val="auto"/>
          <w:sz w:val="24"/>
          <w:szCs w:val="20"/>
          <w:highlight w:val="none"/>
        </w:rPr>
      </w:pPr>
      <w:r>
        <w:rPr>
          <w:rFonts w:hint="eastAsia" w:ascii="宋体" w:hAnsi="宋体" w:cs="宋体"/>
          <w:b/>
          <w:color w:val="auto"/>
          <w:sz w:val="24"/>
          <w:szCs w:val="20"/>
          <w:highlight w:val="none"/>
        </w:rPr>
        <w:br w:type="page"/>
      </w:r>
    </w:p>
    <w:p w14:paraId="673325DF">
      <w:pPr>
        <w:spacing w:line="360" w:lineRule="auto"/>
        <w:rPr>
          <w:rFonts w:ascii="宋体" w:hAnsi="宋体" w:cs="宋体"/>
          <w:b/>
          <w:color w:val="auto"/>
          <w:sz w:val="24"/>
          <w:szCs w:val="20"/>
          <w:highlight w:val="none"/>
        </w:rPr>
      </w:pPr>
      <w:r>
        <w:rPr>
          <w:rFonts w:hint="eastAsia" w:ascii="宋体" w:hAnsi="宋体" w:cs="宋体"/>
          <w:b/>
          <w:color w:val="auto"/>
          <w:sz w:val="24"/>
          <w:szCs w:val="20"/>
          <w:highlight w:val="none"/>
        </w:rPr>
        <w:t>附件1</w:t>
      </w:r>
    </w:p>
    <w:p w14:paraId="7B62FAC6">
      <w:pPr>
        <w:spacing w:line="300" w:lineRule="auto"/>
        <w:jc w:val="center"/>
        <w:rPr>
          <w:rFonts w:ascii="宋体" w:hAnsi="宋体"/>
          <w:bCs/>
          <w:color w:val="auto"/>
          <w:sz w:val="32"/>
          <w:szCs w:val="32"/>
          <w:highlight w:val="none"/>
        </w:rPr>
      </w:pPr>
      <w:r>
        <w:rPr>
          <w:rFonts w:hint="eastAsia" w:ascii="宋体" w:hAnsi="宋体"/>
          <w:bCs/>
          <w:color w:val="auto"/>
          <w:sz w:val="32"/>
          <w:szCs w:val="32"/>
          <w:highlight w:val="none"/>
        </w:rPr>
        <w:t>投入本项目主要人员情况汇总表</w:t>
      </w:r>
    </w:p>
    <w:tbl>
      <w:tblPr>
        <w:tblStyle w:val="18"/>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6"/>
        <w:gridCol w:w="1024"/>
        <w:gridCol w:w="900"/>
        <w:gridCol w:w="540"/>
        <w:gridCol w:w="900"/>
        <w:gridCol w:w="720"/>
        <w:gridCol w:w="900"/>
        <w:gridCol w:w="1260"/>
        <w:gridCol w:w="1800"/>
        <w:gridCol w:w="720"/>
        <w:gridCol w:w="720"/>
      </w:tblGrid>
      <w:tr w14:paraId="164E8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416" w:type="dxa"/>
            <w:vMerge w:val="restart"/>
            <w:noWrap/>
            <w:vAlign w:val="center"/>
          </w:tcPr>
          <w:p w14:paraId="1599C851">
            <w:pPr>
              <w:widowControl/>
              <w:jc w:val="center"/>
              <w:textAlignment w:val="bottom"/>
              <w:rPr>
                <w:rFonts w:ascii="Arial" w:hAnsi="Arial" w:cs="Arial"/>
                <w:color w:val="auto"/>
                <w:sz w:val="20"/>
                <w:highlight w:val="none"/>
              </w:rPr>
            </w:pPr>
            <w:r>
              <w:rPr>
                <w:rFonts w:ascii="Arial" w:hAnsi="Arial" w:cs="Arial"/>
                <w:color w:val="auto"/>
                <w:kern w:val="0"/>
                <w:sz w:val="20"/>
                <w:highlight w:val="none"/>
              </w:rPr>
              <w:t>序号</w:t>
            </w:r>
          </w:p>
        </w:tc>
        <w:tc>
          <w:tcPr>
            <w:tcW w:w="1024" w:type="dxa"/>
            <w:vMerge w:val="restart"/>
            <w:noWrap/>
            <w:vAlign w:val="center"/>
          </w:tcPr>
          <w:p w14:paraId="1D1C7A84">
            <w:pPr>
              <w:widowControl/>
              <w:jc w:val="center"/>
              <w:textAlignment w:val="bottom"/>
              <w:rPr>
                <w:rFonts w:ascii="Arial" w:hAnsi="Arial" w:cs="Arial"/>
                <w:color w:val="auto"/>
                <w:sz w:val="20"/>
                <w:highlight w:val="none"/>
              </w:rPr>
            </w:pPr>
            <w:r>
              <w:rPr>
                <w:rFonts w:ascii="Arial" w:hAnsi="Arial" w:cs="Arial"/>
                <w:color w:val="auto"/>
                <w:kern w:val="0"/>
                <w:sz w:val="20"/>
                <w:highlight w:val="none"/>
              </w:rPr>
              <w:t>在本</w:t>
            </w:r>
            <w:r>
              <w:rPr>
                <w:rFonts w:hint="eastAsia" w:ascii="Arial" w:hAnsi="Arial" w:cs="Arial"/>
                <w:color w:val="auto"/>
                <w:kern w:val="0"/>
                <w:sz w:val="20"/>
                <w:highlight w:val="none"/>
              </w:rPr>
              <w:t>项目</w:t>
            </w:r>
            <w:r>
              <w:rPr>
                <w:rFonts w:ascii="Arial" w:hAnsi="Arial" w:cs="Arial"/>
                <w:color w:val="auto"/>
                <w:kern w:val="0"/>
                <w:sz w:val="20"/>
                <w:highlight w:val="none"/>
              </w:rPr>
              <w:t>任职</w:t>
            </w:r>
          </w:p>
        </w:tc>
        <w:tc>
          <w:tcPr>
            <w:tcW w:w="900" w:type="dxa"/>
            <w:vMerge w:val="restart"/>
            <w:noWrap/>
            <w:vAlign w:val="center"/>
          </w:tcPr>
          <w:p w14:paraId="22DAE89F">
            <w:pPr>
              <w:widowControl/>
              <w:jc w:val="center"/>
              <w:textAlignment w:val="bottom"/>
              <w:rPr>
                <w:rFonts w:ascii="Arial" w:hAnsi="Arial" w:cs="Arial"/>
                <w:color w:val="auto"/>
                <w:sz w:val="20"/>
                <w:highlight w:val="none"/>
              </w:rPr>
            </w:pPr>
            <w:r>
              <w:rPr>
                <w:rFonts w:ascii="Arial" w:hAnsi="Arial" w:cs="Arial"/>
                <w:color w:val="auto"/>
                <w:kern w:val="0"/>
                <w:sz w:val="20"/>
                <w:highlight w:val="none"/>
              </w:rPr>
              <w:t>姓名</w:t>
            </w:r>
          </w:p>
        </w:tc>
        <w:tc>
          <w:tcPr>
            <w:tcW w:w="540" w:type="dxa"/>
            <w:vMerge w:val="restart"/>
            <w:noWrap/>
            <w:vAlign w:val="center"/>
          </w:tcPr>
          <w:p w14:paraId="67BB813D">
            <w:pPr>
              <w:widowControl/>
              <w:jc w:val="center"/>
              <w:textAlignment w:val="bottom"/>
              <w:rPr>
                <w:rFonts w:ascii="Arial" w:hAnsi="Arial" w:cs="Arial"/>
                <w:color w:val="auto"/>
                <w:sz w:val="20"/>
                <w:highlight w:val="none"/>
              </w:rPr>
            </w:pPr>
            <w:r>
              <w:rPr>
                <w:rFonts w:ascii="Arial" w:hAnsi="Arial" w:cs="Arial"/>
                <w:color w:val="auto"/>
                <w:kern w:val="0"/>
                <w:sz w:val="20"/>
                <w:highlight w:val="none"/>
              </w:rPr>
              <w:t>学历</w:t>
            </w:r>
          </w:p>
        </w:tc>
        <w:tc>
          <w:tcPr>
            <w:tcW w:w="900" w:type="dxa"/>
            <w:vMerge w:val="restart"/>
            <w:noWrap/>
            <w:vAlign w:val="center"/>
          </w:tcPr>
          <w:p w14:paraId="21D85A67">
            <w:pPr>
              <w:widowControl/>
              <w:jc w:val="center"/>
              <w:textAlignment w:val="bottom"/>
              <w:rPr>
                <w:rFonts w:ascii="Arial" w:hAnsi="Arial" w:cs="Arial"/>
                <w:color w:val="auto"/>
                <w:kern w:val="0"/>
                <w:sz w:val="20"/>
                <w:highlight w:val="none"/>
              </w:rPr>
            </w:pPr>
            <w:r>
              <w:rPr>
                <w:rFonts w:ascii="Arial" w:hAnsi="Arial" w:cs="Arial"/>
                <w:color w:val="auto"/>
                <w:kern w:val="0"/>
                <w:sz w:val="20"/>
                <w:highlight w:val="none"/>
              </w:rPr>
              <w:t>技术</w:t>
            </w:r>
          </w:p>
          <w:p w14:paraId="07E7170E">
            <w:pPr>
              <w:widowControl/>
              <w:jc w:val="center"/>
              <w:textAlignment w:val="bottom"/>
              <w:rPr>
                <w:rFonts w:ascii="Arial" w:hAnsi="Arial" w:cs="Arial"/>
                <w:color w:val="auto"/>
                <w:sz w:val="20"/>
                <w:highlight w:val="none"/>
              </w:rPr>
            </w:pPr>
            <w:r>
              <w:rPr>
                <w:rFonts w:ascii="Arial" w:hAnsi="Arial" w:cs="Arial"/>
                <w:color w:val="auto"/>
                <w:kern w:val="0"/>
                <w:sz w:val="20"/>
                <w:highlight w:val="none"/>
              </w:rPr>
              <w:t>职称</w:t>
            </w:r>
          </w:p>
        </w:tc>
        <w:tc>
          <w:tcPr>
            <w:tcW w:w="720" w:type="dxa"/>
            <w:vMerge w:val="restart"/>
            <w:noWrap/>
            <w:vAlign w:val="center"/>
          </w:tcPr>
          <w:p w14:paraId="25556876">
            <w:pPr>
              <w:widowControl/>
              <w:jc w:val="center"/>
              <w:textAlignment w:val="bottom"/>
              <w:rPr>
                <w:rFonts w:ascii="Arial" w:hAnsi="Arial" w:cs="Arial"/>
                <w:color w:val="auto"/>
                <w:sz w:val="20"/>
                <w:highlight w:val="none"/>
              </w:rPr>
            </w:pPr>
            <w:r>
              <w:rPr>
                <w:rFonts w:ascii="Arial" w:hAnsi="Arial" w:cs="Arial"/>
                <w:color w:val="auto"/>
                <w:kern w:val="0"/>
                <w:sz w:val="20"/>
                <w:highlight w:val="none"/>
              </w:rPr>
              <w:t>专业</w:t>
            </w:r>
          </w:p>
        </w:tc>
        <w:tc>
          <w:tcPr>
            <w:tcW w:w="2160" w:type="dxa"/>
            <w:gridSpan w:val="2"/>
            <w:noWrap/>
            <w:vAlign w:val="center"/>
          </w:tcPr>
          <w:p w14:paraId="06D49E58">
            <w:pPr>
              <w:widowControl/>
              <w:jc w:val="center"/>
              <w:textAlignment w:val="bottom"/>
              <w:rPr>
                <w:rFonts w:ascii="Arial" w:hAnsi="Arial" w:cs="Arial"/>
                <w:color w:val="auto"/>
                <w:kern w:val="0"/>
                <w:sz w:val="20"/>
                <w:highlight w:val="none"/>
              </w:rPr>
            </w:pPr>
            <w:r>
              <w:rPr>
                <w:rFonts w:hint="eastAsia" w:ascii="Arial" w:hAnsi="Arial" w:cs="Arial"/>
                <w:color w:val="auto"/>
                <w:kern w:val="0"/>
                <w:sz w:val="20"/>
                <w:highlight w:val="none"/>
              </w:rPr>
              <w:t>执业或职业资格证明</w:t>
            </w:r>
          </w:p>
        </w:tc>
        <w:tc>
          <w:tcPr>
            <w:tcW w:w="1800" w:type="dxa"/>
            <w:vMerge w:val="restart"/>
            <w:noWrap/>
            <w:vAlign w:val="center"/>
          </w:tcPr>
          <w:p w14:paraId="32E71C4A">
            <w:pPr>
              <w:widowControl/>
              <w:jc w:val="center"/>
              <w:textAlignment w:val="bottom"/>
              <w:rPr>
                <w:rFonts w:ascii="Arial" w:hAnsi="Arial" w:cs="Arial"/>
                <w:color w:val="auto"/>
                <w:sz w:val="20"/>
                <w:highlight w:val="none"/>
              </w:rPr>
            </w:pPr>
            <w:r>
              <w:rPr>
                <w:rFonts w:hint="eastAsia" w:ascii="Arial" w:hAnsi="Arial" w:cs="Arial"/>
                <w:color w:val="auto"/>
                <w:kern w:val="0"/>
                <w:sz w:val="20"/>
                <w:highlight w:val="none"/>
              </w:rPr>
              <w:t>身份证号</w:t>
            </w:r>
          </w:p>
        </w:tc>
        <w:tc>
          <w:tcPr>
            <w:tcW w:w="720" w:type="dxa"/>
            <w:vMerge w:val="restart"/>
            <w:noWrap/>
            <w:vAlign w:val="center"/>
          </w:tcPr>
          <w:p w14:paraId="039DB20E">
            <w:pPr>
              <w:widowControl/>
              <w:jc w:val="center"/>
              <w:textAlignment w:val="bottom"/>
              <w:rPr>
                <w:rFonts w:ascii="Arial" w:hAnsi="Arial" w:cs="Arial"/>
                <w:color w:val="auto"/>
                <w:sz w:val="20"/>
                <w:highlight w:val="none"/>
              </w:rPr>
            </w:pPr>
            <w:r>
              <w:rPr>
                <w:rFonts w:hint="eastAsia" w:ascii="Arial" w:hAnsi="Arial" w:cs="Arial"/>
                <w:color w:val="auto"/>
                <w:sz w:val="20"/>
                <w:highlight w:val="none"/>
              </w:rPr>
              <w:t>社保</w:t>
            </w:r>
          </w:p>
          <w:p w14:paraId="545D7E3B">
            <w:pPr>
              <w:widowControl/>
              <w:jc w:val="center"/>
              <w:textAlignment w:val="bottom"/>
              <w:rPr>
                <w:rFonts w:ascii="Arial" w:hAnsi="Arial" w:cs="Arial"/>
                <w:color w:val="auto"/>
                <w:sz w:val="20"/>
                <w:highlight w:val="none"/>
              </w:rPr>
            </w:pPr>
            <w:r>
              <w:rPr>
                <w:rFonts w:hint="eastAsia" w:ascii="Arial" w:hAnsi="Arial" w:cs="Arial"/>
                <w:color w:val="auto"/>
                <w:sz w:val="20"/>
                <w:highlight w:val="none"/>
              </w:rPr>
              <w:t>缴费单位</w:t>
            </w:r>
          </w:p>
        </w:tc>
        <w:tc>
          <w:tcPr>
            <w:tcW w:w="720" w:type="dxa"/>
            <w:vMerge w:val="restart"/>
            <w:noWrap/>
            <w:vAlign w:val="center"/>
          </w:tcPr>
          <w:p w14:paraId="3AE4EE2F">
            <w:pPr>
              <w:widowControl/>
              <w:jc w:val="center"/>
              <w:textAlignment w:val="bottom"/>
              <w:rPr>
                <w:rFonts w:ascii="Arial" w:hAnsi="Arial" w:cs="Arial"/>
                <w:color w:val="auto"/>
                <w:sz w:val="20"/>
                <w:highlight w:val="none"/>
              </w:rPr>
            </w:pPr>
            <w:r>
              <w:rPr>
                <w:rFonts w:hint="eastAsia" w:ascii="Arial" w:hAnsi="Arial" w:cs="Arial"/>
                <w:color w:val="auto"/>
                <w:sz w:val="20"/>
                <w:highlight w:val="none"/>
              </w:rPr>
              <w:t>备注</w:t>
            </w:r>
          </w:p>
        </w:tc>
      </w:tr>
      <w:tr w14:paraId="60172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416" w:type="dxa"/>
            <w:vMerge w:val="continue"/>
            <w:noWrap/>
            <w:vAlign w:val="center"/>
          </w:tcPr>
          <w:p w14:paraId="60E08201">
            <w:pPr>
              <w:spacing w:line="300" w:lineRule="auto"/>
              <w:jc w:val="center"/>
              <w:rPr>
                <w:rFonts w:ascii="黑体" w:eastAsia="黑体"/>
                <w:b/>
                <w:color w:val="auto"/>
                <w:sz w:val="24"/>
                <w:highlight w:val="none"/>
              </w:rPr>
            </w:pPr>
          </w:p>
        </w:tc>
        <w:tc>
          <w:tcPr>
            <w:tcW w:w="1024" w:type="dxa"/>
            <w:vMerge w:val="continue"/>
            <w:noWrap/>
            <w:vAlign w:val="center"/>
          </w:tcPr>
          <w:p w14:paraId="33A64542">
            <w:pPr>
              <w:spacing w:line="300" w:lineRule="auto"/>
              <w:jc w:val="center"/>
              <w:rPr>
                <w:rFonts w:ascii="黑体" w:eastAsia="黑体"/>
                <w:b/>
                <w:color w:val="auto"/>
                <w:sz w:val="24"/>
                <w:highlight w:val="none"/>
              </w:rPr>
            </w:pPr>
          </w:p>
        </w:tc>
        <w:tc>
          <w:tcPr>
            <w:tcW w:w="900" w:type="dxa"/>
            <w:vMerge w:val="continue"/>
            <w:noWrap/>
            <w:vAlign w:val="center"/>
          </w:tcPr>
          <w:p w14:paraId="7EA69BF9">
            <w:pPr>
              <w:spacing w:line="300" w:lineRule="auto"/>
              <w:jc w:val="center"/>
              <w:rPr>
                <w:rFonts w:ascii="黑体" w:eastAsia="黑体"/>
                <w:b/>
                <w:color w:val="auto"/>
                <w:sz w:val="24"/>
                <w:highlight w:val="none"/>
              </w:rPr>
            </w:pPr>
          </w:p>
        </w:tc>
        <w:tc>
          <w:tcPr>
            <w:tcW w:w="540" w:type="dxa"/>
            <w:vMerge w:val="continue"/>
            <w:noWrap/>
            <w:vAlign w:val="center"/>
          </w:tcPr>
          <w:p w14:paraId="36B183FD">
            <w:pPr>
              <w:spacing w:line="300" w:lineRule="auto"/>
              <w:jc w:val="center"/>
              <w:rPr>
                <w:rFonts w:ascii="黑体" w:eastAsia="黑体"/>
                <w:b/>
                <w:color w:val="auto"/>
                <w:sz w:val="24"/>
                <w:highlight w:val="none"/>
              </w:rPr>
            </w:pPr>
          </w:p>
        </w:tc>
        <w:tc>
          <w:tcPr>
            <w:tcW w:w="900" w:type="dxa"/>
            <w:vMerge w:val="continue"/>
            <w:noWrap/>
            <w:vAlign w:val="center"/>
          </w:tcPr>
          <w:p w14:paraId="2C51BA54">
            <w:pPr>
              <w:spacing w:line="300" w:lineRule="auto"/>
              <w:jc w:val="center"/>
              <w:rPr>
                <w:rFonts w:ascii="黑体" w:eastAsia="黑体"/>
                <w:b/>
                <w:color w:val="auto"/>
                <w:sz w:val="24"/>
                <w:highlight w:val="none"/>
              </w:rPr>
            </w:pPr>
          </w:p>
        </w:tc>
        <w:tc>
          <w:tcPr>
            <w:tcW w:w="720" w:type="dxa"/>
            <w:vMerge w:val="continue"/>
            <w:noWrap/>
            <w:vAlign w:val="center"/>
          </w:tcPr>
          <w:p w14:paraId="453BEA9B">
            <w:pPr>
              <w:spacing w:line="300" w:lineRule="auto"/>
              <w:jc w:val="center"/>
              <w:rPr>
                <w:rFonts w:ascii="黑体" w:eastAsia="黑体"/>
                <w:b/>
                <w:color w:val="auto"/>
                <w:sz w:val="24"/>
                <w:highlight w:val="none"/>
              </w:rPr>
            </w:pPr>
          </w:p>
        </w:tc>
        <w:tc>
          <w:tcPr>
            <w:tcW w:w="900" w:type="dxa"/>
            <w:noWrap/>
            <w:vAlign w:val="center"/>
          </w:tcPr>
          <w:p w14:paraId="52815927">
            <w:pPr>
              <w:jc w:val="center"/>
              <w:rPr>
                <w:rFonts w:ascii="Arial" w:hAnsi="Arial" w:cs="Arial"/>
                <w:color w:val="auto"/>
                <w:kern w:val="0"/>
                <w:sz w:val="20"/>
                <w:highlight w:val="none"/>
              </w:rPr>
            </w:pPr>
            <w:r>
              <w:rPr>
                <w:rFonts w:hint="eastAsia" w:ascii="Arial" w:hAnsi="Arial" w:cs="Arial"/>
                <w:color w:val="auto"/>
                <w:kern w:val="0"/>
                <w:sz w:val="20"/>
                <w:highlight w:val="none"/>
              </w:rPr>
              <w:t>证书</w:t>
            </w:r>
          </w:p>
          <w:p w14:paraId="6C79BB18">
            <w:pPr>
              <w:jc w:val="center"/>
              <w:rPr>
                <w:rFonts w:ascii="Arial" w:hAnsi="Arial" w:cs="Arial"/>
                <w:color w:val="auto"/>
                <w:kern w:val="0"/>
                <w:sz w:val="20"/>
                <w:highlight w:val="none"/>
              </w:rPr>
            </w:pPr>
            <w:r>
              <w:rPr>
                <w:rFonts w:hint="eastAsia" w:ascii="Arial" w:hAnsi="Arial" w:cs="Arial"/>
                <w:color w:val="auto"/>
                <w:kern w:val="0"/>
                <w:sz w:val="20"/>
                <w:highlight w:val="none"/>
              </w:rPr>
              <w:t>名称</w:t>
            </w:r>
          </w:p>
        </w:tc>
        <w:tc>
          <w:tcPr>
            <w:tcW w:w="1260" w:type="dxa"/>
            <w:noWrap/>
            <w:vAlign w:val="center"/>
          </w:tcPr>
          <w:p w14:paraId="05E1BB81">
            <w:pPr>
              <w:spacing w:line="300" w:lineRule="auto"/>
              <w:jc w:val="center"/>
              <w:rPr>
                <w:rFonts w:ascii="Arial" w:hAnsi="Arial" w:cs="Arial"/>
                <w:color w:val="auto"/>
                <w:kern w:val="0"/>
                <w:sz w:val="20"/>
                <w:highlight w:val="none"/>
              </w:rPr>
            </w:pPr>
            <w:r>
              <w:rPr>
                <w:rFonts w:hint="eastAsia" w:ascii="Arial" w:hAnsi="Arial" w:cs="Arial"/>
                <w:color w:val="auto"/>
                <w:kern w:val="0"/>
                <w:sz w:val="20"/>
                <w:highlight w:val="none"/>
              </w:rPr>
              <w:t>证 号</w:t>
            </w:r>
          </w:p>
        </w:tc>
        <w:tc>
          <w:tcPr>
            <w:tcW w:w="1800" w:type="dxa"/>
            <w:vMerge w:val="continue"/>
            <w:noWrap/>
            <w:vAlign w:val="center"/>
          </w:tcPr>
          <w:p w14:paraId="60C8F842">
            <w:pPr>
              <w:spacing w:line="300" w:lineRule="auto"/>
              <w:jc w:val="center"/>
              <w:rPr>
                <w:rFonts w:ascii="黑体" w:eastAsia="黑体"/>
                <w:b/>
                <w:color w:val="auto"/>
                <w:sz w:val="24"/>
                <w:highlight w:val="none"/>
              </w:rPr>
            </w:pPr>
          </w:p>
        </w:tc>
        <w:tc>
          <w:tcPr>
            <w:tcW w:w="720" w:type="dxa"/>
            <w:vMerge w:val="continue"/>
            <w:noWrap/>
            <w:vAlign w:val="center"/>
          </w:tcPr>
          <w:p w14:paraId="1C1C9521">
            <w:pPr>
              <w:widowControl/>
              <w:jc w:val="center"/>
              <w:textAlignment w:val="bottom"/>
              <w:rPr>
                <w:rFonts w:ascii="黑体" w:eastAsia="黑体"/>
                <w:b/>
                <w:color w:val="auto"/>
                <w:sz w:val="24"/>
                <w:highlight w:val="none"/>
              </w:rPr>
            </w:pPr>
          </w:p>
        </w:tc>
        <w:tc>
          <w:tcPr>
            <w:tcW w:w="720" w:type="dxa"/>
            <w:vMerge w:val="continue"/>
            <w:noWrap/>
            <w:vAlign w:val="center"/>
          </w:tcPr>
          <w:p w14:paraId="6B0E9E02">
            <w:pPr>
              <w:spacing w:line="300" w:lineRule="auto"/>
              <w:jc w:val="center"/>
              <w:rPr>
                <w:rFonts w:ascii="黑体" w:eastAsia="黑体"/>
                <w:b/>
                <w:color w:val="auto"/>
                <w:sz w:val="24"/>
                <w:highlight w:val="none"/>
              </w:rPr>
            </w:pPr>
          </w:p>
        </w:tc>
      </w:tr>
      <w:tr w14:paraId="7F798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dxa"/>
            <w:noWrap/>
            <w:vAlign w:val="center"/>
          </w:tcPr>
          <w:p w14:paraId="4AEE2FE7">
            <w:pPr>
              <w:spacing w:line="300" w:lineRule="auto"/>
              <w:jc w:val="center"/>
              <w:rPr>
                <w:rFonts w:ascii="黑体" w:eastAsia="黑体"/>
                <w:b/>
                <w:color w:val="auto"/>
                <w:sz w:val="24"/>
                <w:highlight w:val="none"/>
              </w:rPr>
            </w:pPr>
          </w:p>
        </w:tc>
        <w:tc>
          <w:tcPr>
            <w:tcW w:w="1024" w:type="dxa"/>
            <w:noWrap/>
            <w:vAlign w:val="center"/>
          </w:tcPr>
          <w:p w14:paraId="43D17D2D">
            <w:pPr>
              <w:spacing w:line="300" w:lineRule="auto"/>
              <w:jc w:val="center"/>
              <w:rPr>
                <w:rFonts w:ascii="黑体" w:eastAsia="黑体"/>
                <w:b/>
                <w:color w:val="auto"/>
                <w:sz w:val="24"/>
                <w:highlight w:val="none"/>
              </w:rPr>
            </w:pPr>
          </w:p>
        </w:tc>
        <w:tc>
          <w:tcPr>
            <w:tcW w:w="900" w:type="dxa"/>
            <w:noWrap/>
            <w:vAlign w:val="center"/>
          </w:tcPr>
          <w:p w14:paraId="6A602E56">
            <w:pPr>
              <w:spacing w:line="300" w:lineRule="auto"/>
              <w:jc w:val="center"/>
              <w:rPr>
                <w:rFonts w:ascii="黑体" w:eastAsia="黑体"/>
                <w:b/>
                <w:color w:val="auto"/>
                <w:sz w:val="24"/>
                <w:highlight w:val="none"/>
              </w:rPr>
            </w:pPr>
          </w:p>
        </w:tc>
        <w:tc>
          <w:tcPr>
            <w:tcW w:w="540" w:type="dxa"/>
            <w:noWrap/>
            <w:vAlign w:val="center"/>
          </w:tcPr>
          <w:p w14:paraId="2FC2764F">
            <w:pPr>
              <w:spacing w:line="300" w:lineRule="auto"/>
              <w:jc w:val="center"/>
              <w:rPr>
                <w:rFonts w:ascii="黑体" w:eastAsia="黑体"/>
                <w:b/>
                <w:color w:val="auto"/>
                <w:sz w:val="24"/>
                <w:highlight w:val="none"/>
              </w:rPr>
            </w:pPr>
          </w:p>
        </w:tc>
        <w:tc>
          <w:tcPr>
            <w:tcW w:w="900" w:type="dxa"/>
            <w:noWrap/>
            <w:vAlign w:val="center"/>
          </w:tcPr>
          <w:p w14:paraId="4A3CEE11">
            <w:pPr>
              <w:spacing w:line="300" w:lineRule="auto"/>
              <w:jc w:val="center"/>
              <w:rPr>
                <w:rFonts w:ascii="黑体" w:eastAsia="黑体"/>
                <w:b/>
                <w:color w:val="auto"/>
                <w:sz w:val="24"/>
                <w:highlight w:val="none"/>
              </w:rPr>
            </w:pPr>
          </w:p>
        </w:tc>
        <w:tc>
          <w:tcPr>
            <w:tcW w:w="720" w:type="dxa"/>
            <w:noWrap/>
            <w:vAlign w:val="center"/>
          </w:tcPr>
          <w:p w14:paraId="7224AA3E">
            <w:pPr>
              <w:spacing w:line="300" w:lineRule="auto"/>
              <w:jc w:val="center"/>
              <w:rPr>
                <w:rFonts w:ascii="黑体" w:eastAsia="黑体"/>
                <w:b/>
                <w:color w:val="auto"/>
                <w:sz w:val="24"/>
                <w:highlight w:val="none"/>
              </w:rPr>
            </w:pPr>
          </w:p>
        </w:tc>
        <w:tc>
          <w:tcPr>
            <w:tcW w:w="900" w:type="dxa"/>
            <w:noWrap/>
            <w:vAlign w:val="center"/>
          </w:tcPr>
          <w:p w14:paraId="5AAE648F">
            <w:pPr>
              <w:spacing w:line="300" w:lineRule="auto"/>
              <w:jc w:val="center"/>
              <w:rPr>
                <w:rFonts w:ascii="黑体" w:eastAsia="黑体"/>
                <w:b/>
                <w:color w:val="auto"/>
                <w:sz w:val="24"/>
                <w:highlight w:val="none"/>
              </w:rPr>
            </w:pPr>
          </w:p>
        </w:tc>
        <w:tc>
          <w:tcPr>
            <w:tcW w:w="1260" w:type="dxa"/>
            <w:noWrap/>
            <w:vAlign w:val="center"/>
          </w:tcPr>
          <w:p w14:paraId="7532A319">
            <w:pPr>
              <w:spacing w:line="300" w:lineRule="auto"/>
              <w:jc w:val="center"/>
              <w:rPr>
                <w:rFonts w:ascii="黑体" w:eastAsia="黑体"/>
                <w:b/>
                <w:color w:val="auto"/>
                <w:sz w:val="24"/>
                <w:highlight w:val="none"/>
              </w:rPr>
            </w:pPr>
          </w:p>
        </w:tc>
        <w:tc>
          <w:tcPr>
            <w:tcW w:w="1800" w:type="dxa"/>
            <w:noWrap/>
            <w:vAlign w:val="center"/>
          </w:tcPr>
          <w:p w14:paraId="27B9FEA7">
            <w:pPr>
              <w:spacing w:line="300" w:lineRule="auto"/>
              <w:jc w:val="center"/>
              <w:rPr>
                <w:rFonts w:ascii="黑体" w:eastAsia="黑体"/>
                <w:b/>
                <w:color w:val="auto"/>
                <w:sz w:val="24"/>
                <w:highlight w:val="none"/>
              </w:rPr>
            </w:pPr>
          </w:p>
        </w:tc>
        <w:tc>
          <w:tcPr>
            <w:tcW w:w="720" w:type="dxa"/>
            <w:noWrap/>
            <w:vAlign w:val="center"/>
          </w:tcPr>
          <w:p w14:paraId="576CD652">
            <w:pPr>
              <w:spacing w:line="300" w:lineRule="auto"/>
              <w:jc w:val="center"/>
              <w:rPr>
                <w:rFonts w:ascii="黑体" w:eastAsia="黑体"/>
                <w:b/>
                <w:color w:val="auto"/>
                <w:sz w:val="24"/>
                <w:highlight w:val="none"/>
              </w:rPr>
            </w:pPr>
          </w:p>
        </w:tc>
        <w:tc>
          <w:tcPr>
            <w:tcW w:w="720" w:type="dxa"/>
            <w:noWrap/>
            <w:vAlign w:val="center"/>
          </w:tcPr>
          <w:p w14:paraId="0B762B77">
            <w:pPr>
              <w:spacing w:line="300" w:lineRule="auto"/>
              <w:jc w:val="center"/>
              <w:rPr>
                <w:rFonts w:ascii="黑体" w:eastAsia="黑体"/>
                <w:b/>
                <w:color w:val="auto"/>
                <w:sz w:val="24"/>
                <w:highlight w:val="none"/>
              </w:rPr>
            </w:pPr>
          </w:p>
        </w:tc>
      </w:tr>
      <w:tr w14:paraId="5C0FC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dxa"/>
            <w:noWrap/>
            <w:vAlign w:val="center"/>
          </w:tcPr>
          <w:p w14:paraId="601A642D">
            <w:pPr>
              <w:spacing w:line="300" w:lineRule="auto"/>
              <w:jc w:val="center"/>
              <w:rPr>
                <w:rFonts w:ascii="黑体" w:eastAsia="黑体"/>
                <w:b/>
                <w:color w:val="auto"/>
                <w:sz w:val="24"/>
                <w:highlight w:val="none"/>
              </w:rPr>
            </w:pPr>
          </w:p>
        </w:tc>
        <w:tc>
          <w:tcPr>
            <w:tcW w:w="1024" w:type="dxa"/>
            <w:noWrap/>
            <w:vAlign w:val="center"/>
          </w:tcPr>
          <w:p w14:paraId="0C3B00C0">
            <w:pPr>
              <w:spacing w:line="300" w:lineRule="auto"/>
              <w:jc w:val="center"/>
              <w:rPr>
                <w:rFonts w:ascii="黑体" w:eastAsia="黑体"/>
                <w:b/>
                <w:color w:val="auto"/>
                <w:sz w:val="24"/>
                <w:highlight w:val="none"/>
              </w:rPr>
            </w:pPr>
          </w:p>
        </w:tc>
        <w:tc>
          <w:tcPr>
            <w:tcW w:w="900" w:type="dxa"/>
            <w:noWrap/>
            <w:vAlign w:val="center"/>
          </w:tcPr>
          <w:p w14:paraId="49C1654F">
            <w:pPr>
              <w:spacing w:line="300" w:lineRule="auto"/>
              <w:jc w:val="center"/>
              <w:rPr>
                <w:rFonts w:ascii="黑体" w:eastAsia="黑体"/>
                <w:b/>
                <w:color w:val="auto"/>
                <w:sz w:val="24"/>
                <w:highlight w:val="none"/>
              </w:rPr>
            </w:pPr>
          </w:p>
        </w:tc>
        <w:tc>
          <w:tcPr>
            <w:tcW w:w="540" w:type="dxa"/>
            <w:noWrap/>
            <w:vAlign w:val="center"/>
          </w:tcPr>
          <w:p w14:paraId="4DBCF28A">
            <w:pPr>
              <w:spacing w:line="300" w:lineRule="auto"/>
              <w:jc w:val="center"/>
              <w:rPr>
                <w:rFonts w:ascii="黑体" w:eastAsia="黑体"/>
                <w:b/>
                <w:color w:val="auto"/>
                <w:sz w:val="24"/>
                <w:highlight w:val="none"/>
              </w:rPr>
            </w:pPr>
          </w:p>
        </w:tc>
        <w:tc>
          <w:tcPr>
            <w:tcW w:w="900" w:type="dxa"/>
            <w:noWrap/>
            <w:vAlign w:val="center"/>
          </w:tcPr>
          <w:p w14:paraId="242B86E9">
            <w:pPr>
              <w:spacing w:line="300" w:lineRule="auto"/>
              <w:jc w:val="center"/>
              <w:rPr>
                <w:rFonts w:ascii="黑体" w:eastAsia="黑体"/>
                <w:b/>
                <w:color w:val="auto"/>
                <w:sz w:val="24"/>
                <w:highlight w:val="none"/>
              </w:rPr>
            </w:pPr>
          </w:p>
        </w:tc>
        <w:tc>
          <w:tcPr>
            <w:tcW w:w="720" w:type="dxa"/>
            <w:noWrap/>
            <w:vAlign w:val="center"/>
          </w:tcPr>
          <w:p w14:paraId="33B4653D">
            <w:pPr>
              <w:spacing w:line="300" w:lineRule="auto"/>
              <w:jc w:val="center"/>
              <w:rPr>
                <w:rFonts w:ascii="黑体" w:eastAsia="黑体"/>
                <w:b/>
                <w:color w:val="auto"/>
                <w:sz w:val="24"/>
                <w:highlight w:val="none"/>
              </w:rPr>
            </w:pPr>
          </w:p>
        </w:tc>
        <w:tc>
          <w:tcPr>
            <w:tcW w:w="900" w:type="dxa"/>
            <w:noWrap/>
            <w:vAlign w:val="center"/>
          </w:tcPr>
          <w:p w14:paraId="56662D5E">
            <w:pPr>
              <w:spacing w:line="300" w:lineRule="auto"/>
              <w:jc w:val="center"/>
              <w:rPr>
                <w:rFonts w:ascii="黑体" w:eastAsia="黑体"/>
                <w:b/>
                <w:color w:val="auto"/>
                <w:sz w:val="24"/>
                <w:highlight w:val="none"/>
              </w:rPr>
            </w:pPr>
          </w:p>
        </w:tc>
        <w:tc>
          <w:tcPr>
            <w:tcW w:w="1260" w:type="dxa"/>
            <w:noWrap/>
            <w:vAlign w:val="center"/>
          </w:tcPr>
          <w:p w14:paraId="1DBF71C5">
            <w:pPr>
              <w:spacing w:line="300" w:lineRule="auto"/>
              <w:jc w:val="center"/>
              <w:rPr>
                <w:rFonts w:ascii="黑体" w:eastAsia="黑体"/>
                <w:b/>
                <w:color w:val="auto"/>
                <w:sz w:val="24"/>
                <w:highlight w:val="none"/>
              </w:rPr>
            </w:pPr>
          </w:p>
        </w:tc>
        <w:tc>
          <w:tcPr>
            <w:tcW w:w="1800" w:type="dxa"/>
            <w:noWrap/>
            <w:vAlign w:val="center"/>
          </w:tcPr>
          <w:p w14:paraId="048F6334">
            <w:pPr>
              <w:spacing w:line="300" w:lineRule="auto"/>
              <w:jc w:val="center"/>
              <w:rPr>
                <w:rFonts w:ascii="黑体" w:eastAsia="黑体"/>
                <w:b/>
                <w:color w:val="auto"/>
                <w:sz w:val="24"/>
                <w:highlight w:val="none"/>
              </w:rPr>
            </w:pPr>
          </w:p>
        </w:tc>
        <w:tc>
          <w:tcPr>
            <w:tcW w:w="720" w:type="dxa"/>
            <w:noWrap/>
            <w:vAlign w:val="center"/>
          </w:tcPr>
          <w:p w14:paraId="3C2A4BE3">
            <w:pPr>
              <w:spacing w:line="300" w:lineRule="auto"/>
              <w:jc w:val="center"/>
              <w:rPr>
                <w:rFonts w:ascii="黑体" w:eastAsia="黑体"/>
                <w:b/>
                <w:color w:val="auto"/>
                <w:sz w:val="24"/>
                <w:highlight w:val="none"/>
              </w:rPr>
            </w:pPr>
          </w:p>
        </w:tc>
        <w:tc>
          <w:tcPr>
            <w:tcW w:w="720" w:type="dxa"/>
            <w:noWrap/>
            <w:vAlign w:val="center"/>
          </w:tcPr>
          <w:p w14:paraId="45447035">
            <w:pPr>
              <w:spacing w:line="300" w:lineRule="auto"/>
              <w:jc w:val="center"/>
              <w:rPr>
                <w:rFonts w:ascii="黑体" w:eastAsia="黑体"/>
                <w:b/>
                <w:color w:val="auto"/>
                <w:sz w:val="24"/>
                <w:highlight w:val="none"/>
              </w:rPr>
            </w:pPr>
          </w:p>
        </w:tc>
      </w:tr>
      <w:tr w14:paraId="72DCC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dxa"/>
            <w:noWrap/>
            <w:vAlign w:val="center"/>
          </w:tcPr>
          <w:p w14:paraId="2C04118C">
            <w:pPr>
              <w:spacing w:line="300" w:lineRule="auto"/>
              <w:jc w:val="center"/>
              <w:rPr>
                <w:rFonts w:ascii="黑体" w:eastAsia="黑体"/>
                <w:b/>
                <w:color w:val="auto"/>
                <w:sz w:val="24"/>
                <w:highlight w:val="none"/>
              </w:rPr>
            </w:pPr>
          </w:p>
        </w:tc>
        <w:tc>
          <w:tcPr>
            <w:tcW w:w="1024" w:type="dxa"/>
            <w:noWrap/>
            <w:vAlign w:val="center"/>
          </w:tcPr>
          <w:p w14:paraId="05C52999">
            <w:pPr>
              <w:spacing w:line="300" w:lineRule="auto"/>
              <w:jc w:val="center"/>
              <w:rPr>
                <w:rFonts w:ascii="黑体" w:eastAsia="黑体"/>
                <w:b/>
                <w:color w:val="auto"/>
                <w:sz w:val="24"/>
                <w:highlight w:val="none"/>
              </w:rPr>
            </w:pPr>
          </w:p>
        </w:tc>
        <w:tc>
          <w:tcPr>
            <w:tcW w:w="900" w:type="dxa"/>
            <w:noWrap/>
            <w:vAlign w:val="center"/>
          </w:tcPr>
          <w:p w14:paraId="2D504ABD">
            <w:pPr>
              <w:spacing w:line="300" w:lineRule="auto"/>
              <w:jc w:val="center"/>
              <w:rPr>
                <w:rFonts w:ascii="黑体" w:eastAsia="黑体"/>
                <w:b/>
                <w:color w:val="auto"/>
                <w:sz w:val="24"/>
                <w:highlight w:val="none"/>
              </w:rPr>
            </w:pPr>
          </w:p>
        </w:tc>
        <w:tc>
          <w:tcPr>
            <w:tcW w:w="540" w:type="dxa"/>
            <w:noWrap/>
            <w:vAlign w:val="center"/>
          </w:tcPr>
          <w:p w14:paraId="1D0E68A1">
            <w:pPr>
              <w:spacing w:line="300" w:lineRule="auto"/>
              <w:jc w:val="center"/>
              <w:rPr>
                <w:rFonts w:ascii="黑体" w:eastAsia="黑体"/>
                <w:b/>
                <w:color w:val="auto"/>
                <w:sz w:val="24"/>
                <w:highlight w:val="none"/>
              </w:rPr>
            </w:pPr>
          </w:p>
        </w:tc>
        <w:tc>
          <w:tcPr>
            <w:tcW w:w="900" w:type="dxa"/>
            <w:noWrap/>
            <w:vAlign w:val="center"/>
          </w:tcPr>
          <w:p w14:paraId="702E4C60">
            <w:pPr>
              <w:spacing w:line="300" w:lineRule="auto"/>
              <w:jc w:val="center"/>
              <w:rPr>
                <w:rFonts w:ascii="黑体" w:eastAsia="黑体"/>
                <w:b/>
                <w:color w:val="auto"/>
                <w:sz w:val="24"/>
                <w:highlight w:val="none"/>
              </w:rPr>
            </w:pPr>
          </w:p>
        </w:tc>
        <w:tc>
          <w:tcPr>
            <w:tcW w:w="720" w:type="dxa"/>
            <w:noWrap/>
            <w:vAlign w:val="center"/>
          </w:tcPr>
          <w:p w14:paraId="502F36A1">
            <w:pPr>
              <w:spacing w:line="300" w:lineRule="auto"/>
              <w:jc w:val="center"/>
              <w:rPr>
                <w:rFonts w:ascii="黑体" w:eastAsia="黑体"/>
                <w:b/>
                <w:color w:val="auto"/>
                <w:sz w:val="24"/>
                <w:highlight w:val="none"/>
              </w:rPr>
            </w:pPr>
          </w:p>
        </w:tc>
        <w:tc>
          <w:tcPr>
            <w:tcW w:w="900" w:type="dxa"/>
            <w:noWrap/>
            <w:vAlign w:val="center"/>
          </w:tcPr>
          <w:p w14:paraId="2D78E29F">
            <w:pPr>
              <w:spacing w:line="300" w:lineRule="auto"/>
              <w:jc w:val="center"/>
              <w:rPr>
                <w:rFonts w:ascii="黑体" w:eastAsia="黑体"/>
                <w:b/>
                <w:color w:val="auto"/>
                <w:sz w:val="24"/>
                <w:highlight w:val="none"/>
              </w:rPr>
            </w:pPr>
          </w:p>
        </w:tc>
        <w:tc>
          <w:tcPr>
            <w:tcW w:w="1260" w:type="dxa"/>
            <w:noWrap/>
            <w:vAlign w:val="center"/>
          </w:tcPr>
          <w:p w14:paraId="0CD241C3">
            <w:pPr>
              <w:spacing w:line="300" w:lineRule="auto"/>
              <w:jc w:val="center"/>
              <w:rPr>
                <w:rFonts w:ascii="黑体" w:eastAsia="黑体"/>
                <w:b/>
                <w:color w:val="auto"/>
                <w:sz w:val="24"/>
                <w:highlight w:val="none"/>
              </w:rPr>
            </w:pPr>
          </w:p>
        </w:tc>
        <w:tc>
          <w:tcPr>
            <w:tcW w:w="1800" w:type="dxa"/>
            <w:noWrap/>
            <w:vAlign w:val="center"/>
          </w:tcPr>
          <w:p w14:paraId="363C0AD1">
            <w:pPr>
              <w:spacing w:line="300" w:lineRule="auto"/>
              <w:jc w:val="center"/>
              <w:rPr>
                <w:rFonts w:ascii="黑体" w:eastAsia="黑体"/>
                <w:b/>
                <w:color w:val="auto"/>
                <w:sz w:val="24"/>
                <w:highlight w:val="none"/>
              </w:rPr>
            </w:pPr>
          </w:p>
        </w:tc>
        <w:tc>
          <w:tcPr>
            <w:tcW w:w="720" w:type="dxa"/>
            <w:noWrap/>
            <w:vAlign w:val="center"/>
          </w:tcPr>
          <w:p w14:paraId="56E87E03">
            <w:pPr>
              <w:spacing w:line="300" w:lineRule="auto"/>
              <w:jc w:val="center"/>
              <w:rPr>
                <w:rFonts w:ascii="黑体" w:eastAsia="黑体"/>
                <w:b/>
                <w:color w:val="auto"/>
                <w:sz w:val="24"/>
                <w:highlight w:val="none"/>
              </w:rPr>
            </w:pPr>
          </w:p>
        </w:tc>
        <w:tc>
          <w:tcPr>
            <w:tcW w:w="720" w:type="dxa"/>
            <w:noWrap/>
            <w:vAlign w:val="center"/>
          </w:tcPr>
          <w:p w14:paraId="27F6EC90">
            <w:pPr>
              <w:spacing w:line="300" w:lineRule="auto"/>
              <w:jc w:val="center"/>
              <w:rPr>
                <w:rFonts w:ascii="黑体" w:eastAsia="黑体"/>
                <w:b/>
                <w:color w:val="auto"/>
                <w:sz w:val="24"/>
                <w:highlight w:val="none"/>
              </w:rPr>
            </w:pPr>
          </w:p>
        </w:tc>
      </w:tr>
      <w:tr w14:paraId="4EE65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dxa"/>
            <w:noWrap/>
            <w:vAlign w:val="center"/>
          </w:tcPr>
          <w:p w14:paraId="1668859F">
            <w:pPr>
              <w:spacing w:line="300" w:lineRule="auto"/>
              <w:jc w:val="center"/>
              <w:rPr>
                <w:rFonts w:ascii="黑体" w:eastAsia="黑体"/>
                <w:b/>
                <w:color w:val="auto"/>
                <w:sz w:val="24"/>
                <w:highlight w:val="none"/>
              </w:rPr>
            </w:pPr>
          </w:p>
        </w:tc>
        <w:tc>
          <w:tcPr>
            <w:tcW w:w="1024" w:type="dxa"/>
            <w:noWrap/>
            <w:vAlign w:val="center"/>
          </w:tcPr>
          <w:p w14:paraId="14FAC9ED">
            <w:pPr>
              <w:spacing w:line="300" w:lineRule="auto"/>
              <w:jc w:val="center"/>
              <w:rPr>
                <w:rFonts w:ascii="黑体" w:eastAsia="黑体"/>
                <w:b/>
                <w:color w:val="auto"/>
                <w:sz w:val="24"/>
                <w:highlight w:val="none"/>
              </w:rPr>
            </w:pPr>
          </w:p>
        </w:tc>
        <w:tc>
          <w:tcPr>
            <w:tcW w:w="900" w:type="dxa"/>
            <w:noWrap/>
            <w:vAlign w:val="center"/>
          </w:tcPr>
          <w:p w14:paraId="54F34FE5">
            <w:pPr>
              <w:spacing w:line="300" w:lineRule="auto"/>
              <w:jc w:val="center"/>
              <w:rPr>
                <w:rFonts w:ascii="黑体" w:eastAsia="黑体"/>
                <w:b/>
                <w:color w:val="auto"/>
                <w:sz w:val="24"/>
                <w:highlight w:val="none"/>
              </w:rPr>
            </w:pPr>
          </w:p>
        </w:tc>
        <w:tc>
          <w:tcPr>
            <w:tcW w:w="540" w:type="dxa"/>
            <w:noWrap/>
            <w:vAlign w:val="center"/>
          </w:tcPr>
          <w:p w14:paraId="29772AEC">
            <w:pPr>
              <w:spacing w:line="300" w:lineRule="auto"/>
              <w:jc w:val="center"/>
              <w:rPr>
                <w:rFonts w:ascii="黑体" w:eastAsia="黑体"/>
                <w:b/>
                <w:color w:val="auto"/>
                <w:sz w:val="24"/>
                <w:highlight w:val="none"/>
              </w:rPr>
            </w:pPr>
          </w:p>
        </w:tc>
        <w:tc>
          <w:tcPr>
            <w:tcW w:w="900" w:type="dxa"/>
            <w:noWrap/>
            <w:vAlign w:val="center"/>
          </w:tcPr>
          <w:p w14:paraId="0E3D3BA8">
            <w:pPr>
              <w:spacing w:line="300" w:lineRule="auto"/>
              <w:jc w:val="center"/>
              <w:rPr>
                <w:rFonts w:ascii="黑体" w:eastAsia="黑体"/>
                <w:b/>
                <w:color w:val="auto"/>
                <w:sz w:val="24"/>
                <w:highlight w:val="none"/>
              </w:rPr>
            </w:pPr>
          </w:p>
        </w:tc>
        <w:tc>
          <w:tcPr>
            <w:tcW w:w="720" w:type="dxa"/>
            <w:noWrap/>
            <w:vAlign w:val="center"/>
          </w:tcPr>
          <w:p w14:paraId="0FBC22E5">
            <w:pPr>
              <w:spacing w:line="300" w:lineRule="auto"/>
              <w:jc w:val="center"/>
              <w:rPr>
                <w:rFonts w:ascii="黑体" w:eastAsia="黑体"/>
                <w:b/>
                <w:color w:val="auto"/>
                <w:sz w:val="24"/>
                <w:highlight w:val="none"/>
              </w:rPr>
            </w:pPr>
          </w:p>
        </w:tc>
        <w:tc>
          <w:tcPr>
            <w:tcW w:w="900" w:type="dxa"/>
            <w:noWrap/>
            <w:vAlign w:val="center"/>
          </w:tcPr>
          <w:p w14:paraId="4D3EC1D1">
            <w:pPr>
              <w:spacing w:line="300" w:lineRule="auto"/>
              <w:jc w:val="center"/>
              <w:rPr>
                <w:rFonts w:ascii="黑体" w:eastAsia="黑体"/>
                <w:b/>
                <w:color w:val="auto"/>
                <w:sz w:val="24"/>
                <w:highlight w:val="none"/>
              </w:rPr>
            </w:pPr>
          </w:p>
        </w:tc>
        <w:tc>
          <w:tcPr>
            <w:tcW w:w="1260" w:type="dxa"/>
            <w:noWrap/>
            <w:vAlign w:val="center"/>
          </w:tcPr>
          <w:p w14:paraId="0A99EE0E">
            <w:pPr>
              <w:spacing w:line="300" w:lineRule="auto"/>
              <w:jc w:val="center"/>
              <w:rPr>
                <w:rFonts w:ascii="黑体" w:eastAsia="黑体"/>
                <w:b/>
                <w:color w:val="auto"/>
                <w:sz w:val="24"/>
                <w:highlight w:val="none"/>
              </w:rPr>
            </w:pPr>
          </w:p>
        </w:tc>
        <w:tc>
          <w:tcPr>
            <w:tcW w:w="1800" w:type="dxa"/>
            <w:noWrap/>
            <w:vAlign w:val="center"/>
          </w:tcPr>
          <w:p w14:paraId="5F339E2F">
            <w:pPr>
              <w:spacing w:line="300" w:lineRule="auto"/>
              <w:jc w:val="center"/>
              <w:rPr>
                <w:rFonts w:ascii="黑体" w:eastAsia="黑体"/>
                <w:b/>
                <w:color w:val="auto"/>
                <w:sz w:val="24"/>
                <w:highlight w:val="none"/>
              </w:rPr>
            </w:pPr>
          </w:p>
        </w:tc>
        <w:tc>
          <w:tcPr>
            <w:tcW w:w="720" w:type="dxa"/>
            <w:noWrap/>
            <w:vAlign w:val="center"/>
          </w:tcPr>
          <w:p w14:paraId="2EF6418E">
            <w:pPr>
              <w:spacing w:line="300" w:lineRule="auto"/>
              <w:jc w:val="center"/>
              <w:rPr>
                <w:rFonts w:ascii="黑体" w:eastAsia="黑体"/>
                <w:b/>
                <w:color w:val="auto"/>
                <w:sz w:val="24"/>
                <w:highlight w:val="none"/>
              </w:rPr>
            </w:pPr>
          </w:p>
        </w:tc>
        <w:tc>
          <w:tcPr>
            <w:tcW w:w="720" w:type="dxa"/>
            <w:noWrap/>
            <w:vAlign w:val="center"/>
          </w:tcPr>
          <w:p w14:paraId="1A618429">
            <w:pPr>
              <w:spacing w:line="300" w:lineRule="auto"/>
              <w:jc w:val="center"/>
              <w:rPr>
                <w:rFonts w:ascii="黑体" w:eastAsia="黑体"/>
                <w:b/>
                <w:color w:val="auto"/>
                <w:sz w:val="24"/>
                <w:highlight w:val="none"/>
              </w:rPr>
            </w:pPr>
          </w:p>
        </w:tc>
      </w:tr>
      <w:tr w14:paraId="3EF3A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dxa"/>
            <w:noWrap/>
            <w:vAlign w:val="center"/>
          </w:tcPr>
          <w:p w14:paraId="264DF77D">
            <w:pPr>
              <w:spacing w:line="300" w:lineRule="auto"/>
              <w:jc w:val="center"/>
              <w:rPr>
                <w:rFonts w:ascii="黑体" w:eastAsia="黑体"/>
                <w:b/>
                <w:color w:val="auto"/>
                <w:sz w:val="24"/>
                <w:highlight w:val="none"/>
              </w:rPr>
            </w:pPr>
          </w:p>
        </w:tc>
        <w:tc>
          <w:tcPr>
            <w:tcW w:w="1024" w:type="dxa"/>
            <w:noWrap/>
            <w:vAlign w:val="center"/>
          </w:tcPr>
          <w:p w14:paraId="29072FD7">
            <w:pPr>
              <w:spacing w:line="300" w:lineRule="auto"/>
              <w:jc w:val="center"/>
              <w:rPr>
                <w:rFonts w:ascii="黑体" w:eastAsia="黑体"/>
                <w:b/>
                <w:color w:val="auto"/>
                <w:sz w:val="24"/>
                <w:highlight w:val="none"/>
              </w:rPr>
            </w:pPr>
          </w:p>
        </w:tc>
        <w:tc>
          <w:tcPr>
            <w:tcW w:w="900" w:type="dxa"/>
            <w:noWrap/>
            <w:vAlign w:val="center"/>
          </w:tcPr>
          <w:p w14:paraId="1AAF3C2E">
            <w:pPr>
              <w:spacing w:line="300" w:lineRule="auto"/>
              <w:jc w:val="center"/>
              <w:rPr>
                <w:rFonts w:ascii="黑体" w:eastAsia="黑体"/>
                <w:b/>
                <w:color w:val="auto"/>
                <w:sz w:val="24"/>
                <w:highlight w:val="none"/>
              </w:rPr>
            </w:pPr>
          </w:p>
        </w:tc>
        <w:tc>
          <w:tcPr>
            <w:tcW w:w="540" w:type="dxa"/>
            <w:noWrap/>
            <w:vAlign w:val="center"/>
          </w:tcPr>
          <w:p w14:paraId="00F56250">
            <w:pPr>
              <w:spacing w:line="300" w:lineRule="auto"/>
              <w:jc w:val="center"/>
              <w:rPr>
                <w:rFonts w:ascii="黑体" w:eastAsia="黑体"/>
                <w:b/>
                <w:color w:val="auto"/>
                <w:sz w:val="24"/>
                <w:highlight w:val="none"/>
              </w:rPr>
            </w:pPr>
          </w:p>
        </w:tc>
        <w:tc>
          <w:tcPr>
            <w:tcW w:w="900" w:type="dxa"/>
            <w:noWrap/>
            <w:vAlign w:val="center"/>
          </w:tcPr>
          <w:p w14:paraId="54A6C916">
            <w:pPr>
              <w:spacing w:line="300" w:lineRule="auto"/>
              <w:jc w:val="center"/>
              <w:rPr>
                <w:rFonts w:ascii="黑体" w:eastAsia="黑体"/>
                <w:b/>
                <w:color w:val="auto"/>
                <w:sz w:val="24"/>
                <w:highlight w:val="none"/>
              </w:rPr>
            </w:pPr>
          </w:p>
        </w:tc>
        <w:tc>
          <w:tcPr>
            <w:tcW w:w="720" w:type="dxa"/>
            <w:noWrap/>
            <w:vAlign w:val="center"/>
          </w:tcPr>
          <w:p w14:paraId="259E2D0B">
            <w:pPr>
              <w:spacing w:line="300" w:lineRule="auto"/>
              <w:jc w:val="center"/>
              <w:rPr>
                <w:rFonts w:ascii="黑体" w:eastAsia="黑体"/>
                <w:b/>
                <w:color w:val="auto"/>
                <w:sz w:val="24"/>
                <w:highlight w:val="none"/>
              </w:rPr>
            </w:pPr>
          </w:p>
        </w:tc>
        <w:tc>
          <w:tcPr>
            <w:tcW w:w="900" w:type="dxa"/>
            <w:noWrap/>
            <w:vAlign w:val="center"/>
          </w:tcPr>
          <w:p w14:paraId="1C48D2F5">
            <w:pPr>
              <w:spacing w:line="300" w:lineRule="auto"/>
              <w:jc w:val="center"/>
              <w:rPr>
                <w:rFonts w:ascii="黑体" w:eastAsia="黑体"/>
                <w:b/>
                <w:color w:val="auto"/>
                <w:sz w:val="24"/>
                <w:highlight w:val="none"/>
              </w:rPr>
            </w:pPr>
          </w:p>
        </w:tc>
        <w:tc>
          <w:tcPr>
            <w:tcW w:w="1260" w:type="dxa"/>
            <w:noWrap/>
            <w:vAlign w:val="center"/>
          </w:tcPr>
          <w:p w14:paraId="58FDEFCF">
            <w:pPr>
              <w:spacing w:line="300" w:lineRule="auto"/>
              <w:jc w:val="center"/>
              <w:rPr>
                <w:rFonts w:ascii="黑体" w:eastAsia="黑体"/>
                <w:b/>
                <w:color w:val="auto"/>
                <w:sz w:val="24"/>
                <w:highlight w:val="none"/>
              </w:rPr>
            </w:pPr>
          </w:p>
        </w:tc>
        <w:tc>
          <w:tcPr>
            <w:tcW w:w="1800" w:type="dxa"/>
            <w:noWrap/>
            <w:vAlign w:val="center"/>
          </w:tcPr>
          <w:p w14:paraId="7361B6B2">
            <w:pPr>
              <w:spacing w:line="300" w:lineRule="auto"/>
              <w:jc w:val="center"/>
              <w:rPr>
                <w:rFonts w:ascii="黑体" w:eastAsia="黑体"/>
                <w:b/>
                <w:color w:val="auto"/>
                <w:sz w:val="24"/>
                <w:highlight w:val="none"/>
              </w:rPr>
            </w:pPr>
          </w:p>
        </w:tc>
        <w:tc>
          <w:tcPr>
            <w:tcW w:w="720" w:type="dxa"/>
            <w:noWrap/>
            <w:vAlign w:val="center"/>
          </w:tcPr>
          <w:p w14:paraId="0646C216">
            <w:pPr>
              <w:spacing w:line="300" w:lineRule="auto"/>
              <w:jc w:val="center"/>
              <w:rPr>
                <w:rFonts w:ascii="黑体" w:eastAsia="黑体"/>
                <w:b/>
                <w:color w:val="auto"/>
                <w:sz w:val="24"/>
                <w:highlight w:val="none"/>
              </w:rPr>
            </w:pPr>
          </w:p>
        </w:tc>
        <w:tc>
          <w:tcPr>
            <w:tcW w:w="720" w:type="dxa"/>
            <w:noWrap/>
            <w:vAlign w:val="center"/>
          </w:tcPr>
          <w:p w14:paraId="010226FB">
            <w:pPr>
              <w:spacing w:line="300" w:lineRule="auto"/>
              <w:jc w:val="center"/>
              <w:rPr>
                <w:rFonts w:ascii="黑体" w:eastAsia="黑体"/>
                <w:b/>
                <w:color w:val="auto"/>
                <w:sz w:val="24"/>
                <w:highlight w:val="none"/>
              </w:rPr>
            </w:pPr>
          </w:p>
        </w:tc>
      </w:tr>
      <w:tr w14:paraId="49C07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dxa"/>
            <w:noWrap/>
            <w:vAlign w:val="center"/>
          </w:tcPr>
          <w:p w14:paraId="77364A4F">
            <w:pPr>
              <w:spacing w:line="300" w:lineRule="auto"/>
              <w:jc w:val="center"/>
              <w:rPr>
                <w:rFonts w:ascii="黑体" w:eastAsia="黑体"/>
                <w:b/>
                <w:color w:val="auto"/>
                <w:sz w:val="24"/>
                <w:highlight w:val="none"/>
              </w:rPr>
            </w:pPr>
          </w:p>
        </w:tc>
        <w:tc>
          <w:tcPr>
            <w:tcW w:w="1024" w:type="dxa"/>
            <w:noWrap/>
            <w:vAlign w:val="center"/>
          </w:tcPr>
          <w:p w14:paraId="08D3D928">
            <w:pPr>
              <w:spacing w:line="300" w:lineRule="auto"/>
              <w:jc w:val="center"/>
              <w:rPr>
                <w:rFonts w:ascii="黑体" w:eastAsia="黑体"/>
                <w:b/>
                <w:color w:val="auto"/>
                <w:sz w:val="24"/>
                <w:highlight w:val="none"/>
              </w:rPr>
            </w:pPr>
          </w:p>
        </w:tc>
        <w:tc>
          <w:tcPr>
            <w:tcW w:w="900" w:type="dxa"/>
            <w:noWrap/>
            <w:vAlign w:val="center"/>
          </w:tcPr>
          <w:p w14:paraId="4B219D83">
            <w:pPr>
              <w:spacing w:line="300" w:lineRule="auto"/>
              <w:jc w:val="center"/>
              <w:rPr>
                <w:rFonts w:ascii="黑体" w:eastAsia="黑体"/>
                <w:b/>
                <w:color w:val="auto"/>
                <w:sz w:val="24"/>
                <w:highlight w:val="none"/>
              </w:rPr>
            </w:pPr>
          </w:p>
        </w:tc>
        <w:tc>
          <w:tcPr>
            <w:tcW w:w="540" w:type="dxa"/>
            <w:noWrap/>
            <w:vAlign w:val="center"/>
          </w:tcPr>
          <w:p w14:paraId="6C01B0F2">
            <w:pPr>
              <w:spacing w:line="300" w:lineRule="auto"/>
              <w:jc w:val="center"/>
              <w:rPr>
                <w:rFonts w:ascii="黑体" w:eastAsia="黑体"/>
                <w:b/>
                <w:color w:val="auto"/>
                <w:sz w:val="24"/>
                <w:highlight w:val="none"/>
              </w:rPr>
            </w:pPr>
          </w:p>
        </w:tc>
        <w:tc>
          <w:tcPr>
            <w:tcW w:w="900" w:type="dxa"/>
            <w:noWrap/>
            <w:vAlign w:val="center"/>
          </w:tcPr>
          <w:p w14:paraId="4822EA2C">
            <w:pPr>
              <w:spacing w:line="300" w:lineRule="auto"/>
              <w:jc w:val="center"/>
              <w:rPr>
                <w:rFonts w:ascii="黑体" w:eastAsia="黑体"/>
                <w:b/>
                <w:color w:val="auto"/>
                <w:sz w:val="24"/>
                <w:highlight w:val="none"/>
              </w:rPr>
            </w:pPr>
          </w:p>
        </w:tc>
        <w:tc>
          <w:tcPr>
            <w:tcW w:w="720" w:type="dxa"/>
            <w:noWrap/>
            <w:vAlign w:val="center"/>
          </w:tcPr>
          <w:p w14:paraId="2D98B682">
            <w:pPr>
              <w:spacing w:line="300" w:lineRule="auto"/>
              <w:jc w:val="center"/>
              <w:rPr>
                <w:rFonts w:ascii="黑体" w:eastAsia="黑体"/>
                <w:b/>
                <w:color w:val="auto"/>
                <w:sz w:val="24"/>
                <w:highlight w:val="none"/>
              </w:rPr>
            </w:pPr>
          </w:p>
        </w:tc>
        <w:tc>
          <w:tcPr>
            <w:tcW w:w="900" w:type="dxa"/>
            <w:noWrap/>
            <w:vAlign w:val="center"/>
          </w:tcPr>
          <w:p w14:paraId="6B599DAF">
            <w:pPr>
              <w:spacing w:line="300" w:lineRule="auto"/>
              <w:jc w:val="center"/>
              <w:rPr>
                <w:rFonts w:ascii="黑体" w:eastAsia="黑体"/>
                <w:b/>
                <w:color w:val="auto"/>
                <w:sz w:val="24"/>
                <w:highlight w:val="none"/>
              </w:rPr>
            </w:pPr>
          </w:p>
        </w:tc>
        <w:tc>
          <w:tcPr>
            <w:tcW w:w="1260" w:type="dxa"/>
            <w:noWrap/>
            <w:vAlign w:val="center"/>
          </w:tcPr>
          <w:p w14:paraId="394A510E">
            <w:pPr>
              <w:spacing w:line="300" w:lineRule="auto"/>
              <w:jc w:val="center"/>
              <w:rPr>
                <w:rFonts w:ascii="黑体" w:eastAsia="黑体"/>
                <w:b/>
                <w:color w:val="auto"/>
                <w:sz w:val="24"/>
                <w:highlight w:val="none"/>
              </w:rPr>
            </w:pPr>
          </w:p>
        </w:tc>
        <w:tc>
          <w:tcPr>
            <w:tcW w:w="1800" w:type="dxa"/>
            <w:noWrap/>
            <w:vAlign w:val="center"/>
          </w:tcPr>
          <w:p w14:paraId="37CE9F08">
            <w:pPr>
              <w:spacing w:line="300" w:lineRule="auto"/>
              <w:jc w:val="center"/>
              <w:rPr>
                <w:rFonts w:ascii="黑体" w:eastAsia="黑体"/>
                <w:b/>
                <w:color w:val="auto"/>
                <w:sz w:val="24"/>
                <w:highlight w:val="none"/>
              </w:rPr>
            </w:pPr>
          </w:p>
        </w:tc>
        <w:tc>
          <w:tcPr>
            <w:tcW w:w="720" w:type="dxa"/>
            <w:noWrap/>
            <w:vAlign w:val="center"/>
          </w:tcPr>
          <w:p w14:paraId="74AB0B97">
            <w:pPr>
              <w:spacing w:line="300" w:lineRule="auto"/>
              <w:jc w:val="center"/>
              <w:rPr>
                <w:rFonts w:ascii="黑体" w:eastAsia="黑体"/>
                <w:b/>
                <w:color w:val="auto"/>
                <w:sz w:val="24"/>
                <w:highlight w:val="none"/>
              </w:rPr>
            </w:pPr>
          </w:p>
        </w:tc>
        <w:tc>
          <w:tcPr>
            <w:tcW w:w="720" w:type="dxa"/>
            <w:noWrap/>
            <w:vAlign w:val="center"/>
          </w:tcPr>
          <w:p w14:paraId="6671F4F7">
            <w:pPr>
              <w:spacing w:line="300" w:lineRule="auto"/>
              <w:jc w:val="center"/>
              <w:rPr>
                <w:rFonts w:ascii="黑体" w:eastAsia="黑体"/>
                <w:b/>
                <w:color w:val="auto"/>
                <w:sz w:val="24"/>
                <w:highlight w:val="none"/>
              </w:rPr>
            </w:pPr>
          </w:p>
        </w:tc>
      </w:tr>
      <w:tr w14:paraId="15534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dxa"/>
            <w:noWrap/>
            <w:vAlign w:val="center"/>
          </w:tcPr>
          <w:p w14:paraId="128E1C0B">
            <w:pPr>
              <w:spacing w:line="300" w:lineRule="auto"/>
              <w:jc w:val="center"/>
              <w:rPr>
                <w:rFonts w:ascii="黑体" w:eastAsia="黑体"/>
                <w:b/>
                <w:color w:val="auto"/>
                <w:sz w:val="24"/>
                <w:highlight w:val="none"/>
              </w:rPr>
            </w:pPr>
          </w:p>
        </w:tc>
        <w:tc>
          <w:tcPr>
            <w:tcW w:w="1024" w:type="dxa"/>
            <w:noWrap/>
            <w:vAlign w:val="center"/>
          </w:tcPr>
          <w:p w14:paraId="4AAC29A6">
            <w:pPr>
              <w:spacing w:line="300" w:lineRule="auto"/>
              <w:jc w:val="center"/>
              <w:rPr>
                <w:rFonts w:ascii="黑体" w:eastAsia="黑体"/>
                <w:b/>
                <w:color w:val="auto"/>
                <w:sz w:val="24"/>
                <w:highlight w:val="none"/>
              </w:rPr>
            </w:pPr>
          </w:p>
        </w:tc>
        <w:tc>
          <w:tcPr>
            <w:tcW w:w="900" w:type="dxa"/>
            <w:noWrap/>
            <w:vAlign w:val="center"/>
          </w:tcPr>
          <w:p w14:paraId="115476DD">
            <w:pPr>
              <w:spacing w:line="300" w:lineRule="auto"/>
              <w:jc w:val="center"/>
              <w:rPr>
                <w:rFonts w:ascii="黑体" w:eastAsia="黑体"/>
                <w:b/>
                <w:color w:val="auto"/>
                <w:sz w:val="24"/>
                <w:highlight w:val="none"/>
              </w:rPr>
            </w:pPr>
          </w:p>
        </w:tc>
        <w:tc>
          <w:tcPr>
            <w:tcW w:w="540" w:type="dxa"/>
            <w:noWrap/>
            <w:vAlign w:val="center"/>
          </w:tcPr>
          <w:p w14:paraId="44ED90ED">
            <w:pPr>
              <w:spacing w:line="300" w:lineRule="auto"/>
              <w:jc w:val="center"/>
              <w:rPr>
                <w:rFonts w:ascii="黑体" w:eastAsia="黑体"/>
                <w:b/>
                <w:color w:val="auto"/>
                <w:sz w:val="24"/>
                <w:highlight w:val="none"/>
              </w:rPr>
            </w:pPr>
          </w:p>
        </w:tc>
        <w:tc>
          <w:tcPr>
            <w:tcW w:w="900" w:type="dxa"/>
            <w:noWrap/>
            <w:vAlign w:val="center"/>
          </w:tcPr>
          <w:p w14:paraId="59200AA7">
            <w:pPr>
              <w:spacing w:line="300" w:lineRule="auto"/>
              <w:jc w:val="center"/>
              <w:rPr>
                <w:rFonts w:ascii="黑体" w:eastAsia="黑体"/>
                <w:b/>
                <w:color w:val="auto"/>
                <w:sz w:val="24"/>
                <w:highlight w:val="none"/>
              </w:rPr>
            </w:pPr>
          </w:p>
        </w:tc>
        <w:tc>
          <w:tcPr>
            <w:tcW w:w="720" w:type="dxa"/>
            <w:noWrap/>
            <w:vAlign w:val="center"/>
          </w:tcPr>
          <w:p w14:paraId="6036B260">
            <w:pPr>
              <w:spacing w:line="300" w:lineRule="auto"/>
              <w:jc w:val="center"/>
              <w:rPr>
                <w:rFonts w:ascii="黑体" w:eastAsia="黑体"/>
                <w:b/>
                <w:color w:val="auto"/>
                <w:sz w:val="24"/>
                <w:highlight w:val="none"/>
              </w:rPr>
            </w:pPr>
          </w:p>
        </w:tc>
        <w:tc>
          <w:tcPr>
            <w:tcW w:w="900" w:type="dxa"/>
            <w:noWrap/>
            <w:vAlign w:val="center"/>
          </w:tcPr>
          <w:p w14:paraId="5F595C4B">
            <w:pPr>
              <w:spacing w:line="300" w:lineRule="auto"/>
              <w:jc w:val="center"/>
              <w:rPr>
                <w:rFonts w:ascii="黑体" w:eastAsia="黑体"/>
                <w:b/>
                <w:color w:val="auto"/>
                <w:sz w:val="24"/>
                <w:highlight w:val="none"/>
              </w:rPr>
            </w:pPr>
          </w:p>
        </w:tc>
        <w:tc>
          <w:tcPr>
            <w:tcW w:w="1260" w:type="dxa"/>
            <w:noWrap/>
            <w:vAlign w:val="center"/>
          </w:tcPr>
          <w:p w14:paraId="7643BC4B">
            <w:pPr>
              <w:spacing w:line="300" w:lineRule="auto"/>
              <w:jc w:val="center"/>
              <w:rPr>
                <w:rFonts w:ascii="黑体" w:eastAsia="黑体"/>
                <w:b/>
                <w:color w:val="auto"/>
                <w:sz w:val="24"/>
                <w:highlight w:val="none"/>
              </w:rPr>
            </w:pPr>
          </w:p>
        </w:tc>
        <w:tc>
          <w:tcPr>
            <w:tcW w:w="1800" w:type="dxa"/>
            <w:noWrap/>
            <w:vAlign w:val="center"/>
          </w:tcPr>
          <w:p w14:paraId="2F07A6E0">
            <w:pPr>
              <w:spacing w:line="300" w:lineRule="auto"/>
              <w:jc w:val="center"/>
              <w:rPr>
                <w:rFonts w:ascii="黑体" w:eastAsia="黑体"/>
                <w:b/>
                <w:color w:val="auto"/>
                <w:sz w:val="24"/>
                <w:highlight w:val="none"/>
              </w:rPr>
            </w:pPr>
          </w:p>
        </w:tc>
        <w:tc>
          <w:tcPr>
            <w:tcW w:w="720" w:type="dxa"/>
            <w:noWrap/>
            <w:vAlign w:val="center"/>
          </w:tcPr>
          <w:p w14:paraId="7EC0F56D">
            <w:pPr>
              <w:spacing w:line="300" w:lineRule="auto"/>
              <w:jc w:val="center"/>
              <w:rPr>
                <w:rFonts w:ascii="黑体" w:eastAsia="黑体"/>
                <w:b/>
                <w:color w:val="auto"/>
                <w:sz w:val="24"/>
                <w:highlight w:val="none"/>
              </w:rPr>
            </w:pPr>
          </w:p>
        </w:tc>
        <w:tc>
          <w:tcPr>
            <w:tcW w:w="720" w:type="dxa"/>
            <w:noWrap/>
            <w:vAlign w:val="center"/>
          </w:tcPr>
          <w:p w14:paraId="3051EA38">
            <w:pPr>
              <w:spacing w:line="300" w:lineRule="auto"/>
              <w:jc w:val="center"/>
              <w:rPr>
                <w:rFonts w:ascii="黑体" w:eastAsia="黑体"/>
                <w:b/>
                <w:color w:val="auto"/>
                <w:sz w:val="24"/>
                <w:highlight w:val="none"/>
              </w:rPr>
            </w:pPr>
          </w:p>
        </w:tc>
      </w:tr>
      <w:tr w14:paraId="3A796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dxa"/>
            <w:noWrap/>
            <w:vAlign w:val="center"/>
          </w:tcPr>
          <w:p w14:paraId="5105FD34">
            <w:pPr>
              <w:spacing w:line="300" w:lineRule="auto"/>
              <w:jc w:val="center"/>
              <w:rPr>
                <w:rFonts w:ascii="黑体" w:eastAsia="黑体"/>
                <w:b/>
                <w:color w:val="auto"/>
                <w:sz w:val="24"/>
                <w:highlight w:val="none"/>
              </w:rPr>
            </w:pPr>
          </w:p>
        </w:tc>
        <w:tc>
          <w:tcPr>
            <w:tcW w:w="1024" w:type="dxa"/>
            <w:noWrap/>
            <w:vAlign w:val="center"/>
          </w:tcPr>
          <w:p w14:paraId="55304B3B">
            <w:pPr>
              <w:spacing w:line="300" w:lineRule="auto"/>
              <w:jc w:val="center"/>
              <w:rPr>
                <w:rFonts w:ascii="黑体" w:eastAsia="黑体"/>
                <w:b/>
                <w:color w:val="auto"/>
                <w:sz w:val="24"/>
                <w:highlight w:val="none"/>
              </w:rPr>
            </w:pPr>
          </w:p>
        </w:tc>
        <w:tc>
          <w:tcPr>
            <w:tcW w:w="900" w:type="dxa"/>
            <w:noWrap/>
            <w:vAlign w:val="center"/>
          </w:tcPr>
          <w:p w14:paraId="7A9A5D76">
            <w:pPr>
              <w:spacing w:line="300" w:lineRule="auto"/>
              <w:jc w:val="center"/>
              <w:rPr>
                <w:rFonts w:ascii="黑体" w:eastAsia="黑体"/>
                <w:b/>
                <w:color w:val="auto"/>
                <w:sz w:val="24"/>
                <w:highlight w:val="none"/>
              </w:rPr>
            </w:pPr>
          </w:p>
        </w:tc>
        <w:tc>
          <w:tcPr>
            <w:tcW w:w="540" w:type="dxa"/>
            <w:noWrap/>
            <w:vAlign w:val="center"/>
          </w:tcPr>
          <w:p w14:paraId="116465A6">
            <w:pPr>
              <w:spacing w:line="300" w:lineRule="auto"/>
              <w:jc w:val="center"/>
              <w:rPr>
                <w:rFonts w:ascii="黑体" w:eastAsia="黑体"/>
                <w:b/>
                <w:color w:val="auto"/>
                <w:sz w:val="24"/>
                <w:highlight w:val="none"/>
              </w:rPr>
            </w:pPr>
          </w:p>
        </w:tc>
        <w:tc>
          <w:tcPr>
            <w:tcW w:w="900" w:type="dxa"/>
            <w:noWrap/>
            <w:vAlign w:val="center"/>
          </w:tcPr>
          <w:p w14:paraId="0FCE6D7C">
            <w:pPr>
              <w:spacing w:line="300" w:lineRule="auto"/>
              <w:jc w:val="center"/>
              <w:rPr>
                <w:rFonts w:ascii="黑体" w:eastAsia="黑体"/>
                <w:b/>
                <w:color w:val="auto"/>
                <w:sz w:val="24"/>
                <w:highlight w:val="none"/>
              </w:rPr>
            </w:pPr>
          </w:p>
        </w:tc>
        <w:tc>
          <w:tcPr>
            <w:tcW w:w="720" w:type="dxa"/>
            <w:noWrap/>
            <w:vAlign w:val="center"/>
          </w:tcPr>
          <w:p w14:paraId="627CE2DF">
            <w:pPr>
              <w:spacing w:line="300" w:lineRule="auto"/>
              <w:jc w:val="center"/>
              <w:rPr>
                <w:rFonts w:ascii="黑体" w:eastAsia="黑体"/>
                <w:b/>
                <w:color w:val="auto"/>
                <w:sz w:val="24"/>
                <w:highlight w:val="none"/>
              </w:rPr>
            </w:pPr>
          </w:p>
        </w:tc>
        <w:tc>
          <w:tcPr>
            <w:tcW w:w="900" w:type="dxa"/>
            <w:noWrap/>
            <w:vAlign w:val="center"/>
          </w:tcPr>
          <w:p w14:paraId="7880E356">
            <w:pPr>
              <w:spacing w:line="300" w:lineRule="auto"/>
              <w:jc w:val="center"/>
              <w:rPr>
                <w:rFonts w:ascii="黑体" w:eastAsia="黑体"/>
                <w:b/>
                <w:color w:val="auto"/>
                <w:sz w:val="24"/>
                <w:highlight w:val="none"/>
              </w:rPr>
            </w:pPr>
          </w:p>
        </w:tc>
        <w:tc>
          <w:tcPr>
            <w:tcW w:w="1260" w:type="dxa"/>
            <w:noWrap/>
            <w:vAlign w:val="center"/>
          </w:tcPr>
          <w:p w14:paraId="2BACBD9B">
            <w:pPr>
              <w:spacing w:line="300" w:lineRule="auto"/>
              <w:jc w:val="center"/>
              <w:rPr>
                <w:rFonts w:ascii="黑体" w:eastAsia="黑体"/>
                <w:b/>
                <w:color w:val="auto"/>
                <w:sz w:val="24"/>
                <w:highlight w:val="none"/>
              </w:rPr>
            </w:pPr>
          </w:p>
        </w:tc>
        <w:tc>
          <w:tcPr>
            <w:tcW w:w="1800" w:type="dxa"/>
            <w:noWrap/>
            <w:vAlign w:val="center"/>
          </w:tcPr>
          <w:p w14:paraId="67BF78A2">
            <w:pPr>
              <w:spacing w:line="300" w:lineRule="auto"/>
              <w:jc w:val="center"/>
              <w:rPr>
                <w:rFonts w:ascii="黑体" w:eastAsia="黑体"/>
                <w:b/>
                <w:color w:val="auto"/>
                <w:sz w:val="24"/>
                <w:highlight w:val="none"/>
              </w:rPr>
            </w:pPr>
          </w:p>
        </w:tc>
        <w:tc>
          <w:tcPr>
            <w:tcW w:w="720" w:type="dxa"/>
            <w:noWrap/>
            <w:vAlign w:val="center"/>
          </w:tcPr>
          <w:p w14:paraId="10C9824E">
            <w:pPr>
              <w:spacing w:line="300" w:lineRule="auto"/>
              <w:jc w:val="center"/>
              <w:rPr>
                <w:rFonts w:ascii="黑体" w:eastAsia="黑体"/>
                <w:b/>
                <w:color w:val="auto"/>
                <w:sz w:val="24"/>
                <w:highlight w:val="none"/>
              </w:rPr>
            </w:pPr>
          </w:p>
        </w:tc>
        <w:tc>
          <w:tcPr>
            <w:tcW w:w="720" w:type="dxa"/>
            <w:noWrap/>
            <w:vAlign w:val="center"/>
          </w:tcPr>
          <w:p w14:paraId="55530F11">
            <w:pPr>
              <w:spacing w:line="300" w:lineRule="auto"/>
              <w:jc w:val="center"/>
              <w:rPr>
                <w:rFonts w:ascii="黑体" w:eastAsia="黑体"/>
                <w:b/>
                <w:color w:val="auto"/>
                <w:sz w:val="24"/>
                <w:highlight w:val="none"/>
              </w:rPr>
            </w:pPr>
          </w:p>
        </w:tc>
      </w:tr>
    </w:tbl>
    <w:p w14:paraId="7954CEA1">
      <w:pP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br w:type="page"/>
      </w:r>
    </w:p>
    <w:p w14:paraId="7D6D0BA2">
      <w:pPr>
        <w:spacing w:line="360" w:lineRule="auto"/>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附</w:t>
      </w:r>
      <w:r>
        <w:rPr>
          <w:rFonts w:hint="eastAsia" w:ascii="宋体" w:hAnsi="宋体" w:eastAsia="宋体" w:cs="宋体"/>
          <w:b/>
          <w:color w:val="auto"/>
          <w:sz w:val="24"/>
          <w:szCs w:val="20"/>
          <w:highlight w:val="none"/>
          <w:lang w:val="en-US" w:eastAsia="zh-CN"/>
        </w:rPr>
        <w:t>件</w:t>
      </w:r>
      <w:r>
        <w:rPr>
          <w:rFonts w:hint="eastAsia" w:ascii="宋体" w:hAnsi="宋体" w:eastAsia="宋体" w:cs="宋体"/>
          <w:b/>
          <w:color w:val="auto"/>
          <w:sz w:val="24"/>
          <w:szCs w:val="20"/>
          <w:highlight w:val="none"/>
        </w:rPr>
        <w:t>2</w:t>
      </w:r>
    </w:p>
    <w:p w14:paraId="02BE795C">
      <w:pPr>
        <w:tabs>
          <w:tab w:val="left" w:pos="7155"/>
        </w:tabs>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供应商二次报价单</w:t>
      </w:r>
    </w:p>
    <w:p w14:paraId="0F322B42">
      <w:pPr>
        <w:jc w:val="left"/>
        <w:rPr>
          <w:rFonts w:ascii="宋体" w:hAnsi="宋体" w:cs="宋体"/>
          <w:b/>
          <w:color w:val="auto"/>
          <w:sz w:val="24"/>
          <w:highlight w:val="none"/>
        </w:rPr>
      </w:pPr>
      <w:r>
        <w:rPr>
          <w:rFonts w:hint="eastAsia" w:ascii="宋体" w:hAnsi="宋体" w:cs="宋体"/>
          <w:b/>
          <w:color w:val="auto"/>
          <w:sz w:val="24"/>
          <w:highlight w:val="none"/>
        </w:rPr>
        <w:br w:type="page"/>
      </w:r>
    </w:p>
    <w:p w14:paraId="4060D7C1">
      <w:pPr>
        <w:spacing w:line="360" w:lineRule="auto"/>
        <w:rPr>
          <w:rFonts w:hint="eastAsia" w:ascii="宋体" w:hAnsi="宋体" w:eastAsia="宋体" w:cs="宋体"/>
          <w:b/>
          <w:color w:val="auto"/>
          <w:sz w:val="24"/>
          <w:szCs w:val="20"/>
          <w:highlight w:val="none"/>
          <w:lang w:val="en-US" w:eastAsia="zh-CN"/>
        </w:rPr>
      </w:pPr>
      <w:r>
        <w:rPr>
          <w:rFonts w:hint="eastAsia" w:ascii="宋体" w:hAnsi="宋体" w:eastAsia="宋体" w:cs="宋体"/>
          <w:b/>
          <w:color w:val="auto"/>
          <w:sz w:val="24"/>
          <w:szCs w:val="20"/>
          <w:highlight w:val="none"/>
          <w:lang w:val="en-US" w:eastAsia="zh-CN"/>
        </w:rPr>
        <w:t>附件3</w:t>
      </w:r>
    </w:p>
    <w:p w14:paraId="6613F3BA">
      <w:pPr>
        <w:tabs>
          <w:tab w:val="left" w:pos="7155"/>
        </w:tabs>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供应商分项报价明细表</w:t>
      </w:r>
    </w:p>
    <w:p w14:paraId="5007E3A6">
      <w:pPr>
        <w:widowControl/>
        <w:jc w:val="left"/>
        <w:rPr>
          <w:rFonts w:cs="宋体" w:asciiTheme="minorEastAsia" w:hAnsiTheme="minorEastAsia" w:eastAsiaTheme="minorEastAsia"/>
          <w:b/>
          <w:color w:val="auto"/>
          <w:sz w:val="36"/>
          <w:szCs w:val="36"/>
          <w:highlight w:val="none"/>
        </w:rPr>
      </w:pPr>
      <w:r>
        <w:rPr>
          <w:rFonts w:hint="eastAsia" w:ascii="宋体" w:hAnsi="宋体" w:cs="宋体"/>
          <w:color w:val="auto"/>
          <w:sz w:val="24"/>
          <w:highlight w:val="none"/>
        </w:rPr>
        <w:br w:type="page"/>
      </w:r>
    </w:p>
    <w:p w14:paraId="2F15CBF5">
      <w:pPr>
        <w:spacing w:line="360" w:lineRule="auto"/>
        <w:rPr>
          <w:rFonts w:ascii="宋体" w:hAnsi="宋体" w:cs="宋体"/>
          <w:b/>
          <w:color w:val="auto"/>
          <w:sz w:val="24"/>
          <w:highlight w:val="none"/>
        </w:rPr>
      </w:pPr>
    </w:p>
    <w:p w14:paraId="59FE9D67">
      <w:pPr>
        <w:spacing w:line="360" w:lineRule="auto"/>
        <w:jc w:val="center"/>
        <w:rPr>
          <w:rFonts w:hint="eastAsia" w:ascii="宋体" w:hAnsi="宋体" w:eastAsia="宋体" w:cs="宋体"/>
          <w:b/>
          <w:color w:val="auto"/>
          <w:sz w:val="32"/>
          <w:szCs w:val="32"/>
          <w:highlight w:val="none"/>
        </w:rPr>
      </w:pPr>
      <w:r>
        <w:rPr>
          <w:rFonts w:hint="eastAsia" w:ascii="宋体" w:hAnsi="宋体" w:cs="宋体"/>
          <w:b/>
          <w:color w:val="auto"/>
          <w:sz w:val="32"/>
          <w:szCs w:val="32"/>
          <w:highlight w:val="none"/>
          <w:lang w:eastAsia="zh-CN"/>
        </w:rPr>
        <w:t>2025年南通市农村公路涉水桥梁下部结构风险隐患排查市级抽查项目</w:t>
      </w:r>
      <w:r>
        <w:rPr>
          <w:rFonts w:hint="eastAsia" w:ascii="宋体" w:hAnsi="宋体" w:eastAsia="宋体" w:cs="宋体"/>
          <w:b/>
          <w:color w:val="auto"/>
          <w:sz w:val="32"/>
          <w:szCs w:val="32"/>
          <w:highlight w:val="none"/>
        </w:rPr>
        <w:t>廉政合同</w:t>
      </w:r>
    </w:p>
    <w:p w14:paraId="5364E080">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根据交通</w:t>
      </w:r>
      <w:r>
        <w:rPr>
          <w:rFonts w:hint="eastAsia" w:ascii="宋体" w:hAnsi="宋体" w:cs="宋体"/>
          <w:color w:val="auto"/>
          <w:sz w:val="24"/>
          <w:highlight w:val="none"/>
          <w:lang w:val="en-US" w:eastAsia="zh-CN"/>
        </w:rPr>
        <w:t>运输</w:t>
      </w:r>
      <w:r>
        <w:rPr>
          <w:rFonts w:hint="eastAsia" w:ascii="宋体" w:hAnsi="宋体" w:cs="宋体"/>
          <w:color w:val="auto"/>
          <w:sz w:val="24"/>
          <w:highlight w:val="none"/>
        </w:rPr>
        <w:t>部《关于在交通基础设施建设中加强廉政建设的若干意见》以及有关工程建设、廉政建设的规定，为做好工程建设中的党风廉政建设，保证工程建设高效优质，保证建设资金的安全和有效使用以及投资效益，甲方</w:t>
      </w:r>
      <w:r>
        <w:rPr>
          <w:rFonts w:hint="eastAsia" w:ascii="宋体" w:hAnsi="宋体" w:cs="宋体"/>
          <w:color w:val="auto"/>
          <w:sz w:val="24"/>
          <w:highlight w:val="none"/>
          <w:u w:val="single"/>
        </w:rPr>
        <w:t xml:space="preserve">     （全称）      </w:t>
      </w:r>
      <w:r>
        <w:rPr>
          <w:rFonts w:hint="eastAsia" w:ascii="宋体" w:hAnsi="宋体" w:cs="宋体"/>
          <w:color w:val="auto"/>
          <w:sz w:val="24"/>
          <w:highlight w:val="none"/>
        </w:rPr>
        <w:t>与乙方</w:t>
      </w:r>
      <w:r>
        <w:rPr>
          <w:rFonts w:hint="eastAsia" w:ascii="宋体" w:hAnsi="宋体" w:cs="宋体"/>
          <w:color w:val="auto"/>
          <w:sz w:val="24"/>
          <w:highlight w:val="none"/>
          <w:u w:val="single"/>
        </w:rPr>
        <w:t xml:space="preserve"> （全称）   </w:t>
      </w:r>
      <w:r>
        <w:rPr>
          <w:rFonts w:hint="eastAsia" w:ascii="宋体" w:hAnsi="宋体" w:cs="宋体"/>
          <w:color w:val="auto"/>
          <w:sz w:val="24"/>
          <w:highlight w:val="none"/>
        </w:rPr>
        <w:t>特订立如下合同。</w:t>
      </w:r>
    </w:p>
    <w:p w14:paraId="27BD64B5">
      <w:pPr>
        <w:spacing w:line="360" w:lineRule="auto"/>
        <w:ind w:firstLine="480"/>
        <w:rPr>
          <w:rFonts w:ascii="宋体" w:hAnsi="宋体" w:cs="宋体"/>
          <w:color w:val="auto"/>
          <w:sz w:val="24"/>
          <w:highlight w:val="none"/>
        </w:rPr>
      </w:pPr>
      <w:r>
        <w:rPr>
          <w:rFonts w:hint="eastAsia" w:ascii="宋体" w:hAnsi="宋体" w:cs="宋体"/>
          <w:bCs/>
          <w:color w:val="auto"/>
          <w:sz w:val="24"/>
          <w:highlight w:val="none"/>
        </w:rPr>
        <w:t>第一条</w:t>
      </w:r>
      <w:r>
        <w:rPr>
          <w:rFonts w:hint="eastAsia" w:ascii="宋体" w:hAnsi="宋体" w:cs="宋体"/>
          <w:color w:val="auto"/>
          <w:sz w:val="24"/>
          <w:highlight w:val="none"/>
        </w:rPr>
        <w:t>甲乙双方的权利和义务</w:t>
      </w:r>
    </w:p>
    <w:p w14:paraId="258E03A6">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（一）严格遵守国家有关法律法规及交通运输部的有关规定。</w:t>
      </w:r>
    </w:p>
    <w:p w14:paraId="750C92AE">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（二）严格执行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的合同文件，自觉按合同办事。</w:t>
      </w:r>
    </w:p>
    <w:p w14:paraId="317FB98D">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（三）双方的业务活动坚持公开、公正、诚信、透明的原则（除法律认定的商业秘密和合同文件另有规定之外），不得损害国家和集体利益，违反工程建设管理规章制度。</w:t>
      </w:r>
    </w:p>
    <w:p w14:paraId="13AE04C1">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（四）建立健全廉政制度，开展廉政教育，设立廉政告示牌，公布举报电话，监督并认真查处违法违纪行为。</w:t>
      </w:r>
    </w:p>
    <w:p w14:paraId="2D2F0DB4">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（五）发现对方在业务活动中有违反廉政规定的行为，有及时提醒对方纠正的权利和义务。</w:t>
      </w:r>
    </w:p>
    <w:p w14:paraId="60D893DF">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（六）发现对方严重违反本合同义务条款的行为，有向其上级有关部门举报、建议给予处理并要求告知处理结果的权利。影响合同履行的，可按照合同中关于合同解除的约定处理。</w:t>
      </w:r>
    </w:p>
    <w:p w14:paraId="12FC3764">
      <w:pPr>
        <w:spacing w:line="360" w:lineRule="auto"/>
        <w:ind w:firstLine="480"/>
        <w:rPr>
          <w:rFonts w:ascii="宋体" w:hAnsi="宋体" w:cs="宋体"/>
          <w:color w:val="auto"/>
          <w:sz w:val="24"/>
          <w:highlight w:val="none"/>
        </w:rPr>
      </w:pPr>
      <w:r>
        <w:rPr>
          <w:rFonts w:hint="eastAsia" w:ascii="宋体" w:hAnsi="宋体" w:cs="宋体"/>
          <w:bCs/>
          <w:color w:val="auto"/>
          <w:sz w:val="24"/>
          <w:highlight w:val="none"/>
        </w:rPr>
        <w:t>第二条</w:t>
      </w:r>
      <w:r>
        <w:rPr>
          <w:rFonts w:hint="eastAsia" w:ascii="宋体" w:hAnsi="宋体" w:cs="宋体"/>
          <w:color w:val="auto"/>
          <w:sz w:val="24"/>
          <w:highlight w:val="none"/>
        </w:rPr>
        <w:t>甲方的义务</w:t>
      </w:r>
    </w:p>
    <w:p w14:paraId="1506385E">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（一）甲方作为工程项目的建设单位，认真履行合同规定的甲方责任。</w:t>
      </w:r>
    </w:p>
    <w:p w14:paraId="5AABD858">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（二）甲方及其工作人员不得索要或接受乙方的礼金、有价证券和贵重物品，不得在乙方报销任何应由甲方或个人支付的费用等。</w:t>
      </w:r>
    </w:p>
    <w:p w14:paraId="13145063">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（三）甲方工作人员不得参加乙方安排的超标准宴请和娱乐活动；不得接受乙方提供的通讯工具、交通工具和高档办公用品等。</w:t>
      </w:r>
    </w:p>
    <w:p w14:paraId="037521AA">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（四）甲方及其工作人员不得要求或者接受乙方为其住房装修、婚丧嫁娶活动、配偶子女的工作安排以及出国出境、旅游等提供方便等。</w:t>
      </w:r>
    </w:p>
    <w:p w14:paraId="0E32AABF">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（五）甲方工作人员的配偶、子女不得从事与甲方工程有关的项目。</w:t>
      </w:r>
    </w:p>
    <w:p w14:paraId="2511D61E">
      <w:pPr>
        <w:spacing w:line="360" w:lineRule="auto"/>
        <w:ind w:firstLine="480"/>
        <w:rPr>
          <w:rFonts w:ascii="宋体" w:hAnsi="宋体" w:cs="宋体"/>
          <w:color w:val="auto"/>
          <w:sz w:val="24"/>
          <w:highlight w:val="none"/>
        </w:rPr>
      </w:pPr>
      <w:r>
        <w:rPr>
          <w:rFonts w:hint="eastAsia" w:ascii="宋体" w:hAnsi="宋体" w:cs="宋体"/>
          <w:bCs/>
          <w:color w:val="auto"/>
          <w:sz w:val="24"/>
          <w:highlight w:val="none"/>
        </w:rPr>
        <w:t>第三条</w:t>
      </w:r>
      <w:r>
        <w:rPr>
          <w:rFonts w:hint="eastAsia" w:ascii="宋体" w:hAnsi="宋体" w:cs="宋体"/>
          <w:color w:val="auto"/>
          <w:sz w:val="24"/>
          <w:highlight w:val="none"/>
        </w:rPr>
        <w:t>乙方的义务</w:t>
      </w:r>
    </w:p>
    <w:p w14:paraId="1BF00A22">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（一）乙方不得以任何理由向甲方及其工作人员行贿或馈赠礼金、有价证券、贵重礼品。</w:t>
      </w:r>
    </w:p>
    <w:p w14:paraId="71C70965">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（二）乙方不得以任何名义为甲方及其工作人员报销应由甲方单位或个人支付的任何费用。</w:t>
      </w:r>
    </w:p>
    <w:p w14:paraId="33F8A5A1">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（三）乙方不得以任何理由安排甲方工作人员参加超标准宴请及娱乐活动。</w:t>
      </w:r>
    </w:p>
    <w:p w14:paraId="615FC768">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（四）乙方不得为甲方单位和个人购置或提供通讯工具、交通工具和高档办公用品等。</w:t>
      </w:r>
    </w:p>
    <w:p w14:paraId="34614718">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（五）乙方及其工作人员不得索取或接受工作关系单位的礼金、有价证券和贵重物品，不得在工作关系报销任何应由乙方或个人支付的费用。</w:t>
      </w:r>
    </w:p>
    <w:p w14:paraId="1CB22BB5">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（六）乙方及其工作人员必须严格按照规程办事，不得损害甲方利益。</w:t>
      </w:r>
    </w:p>
    <w:p w14:paraId="7B0E2E76">
      <w:pPr>
        <w:spacing w:line="360" w:lineRule="auto"/>
        <w:ind w:firstLine="480"/>
        <w:rPr>
          <w:rFonts w:ascii="宋体" w:hAnsi="宋体" w:cs="宋体"/>
          <w:color w:val="auto"/>
          <w:sz w:val="24"/>
          <w:highlight w:val="none"/>
        </w:rPr>
      </w:pPr>
      <w:r>
        <w:rPr>
          <w:rFonts w:hint="eastAsia" w:ascii="宋体" w:hAnsi="宋体" w:cs="宋体"/>
          <w:bCs/>
          <w:color w:val="auto"/>
          <w:sz w:val="24"/>
          <w:highlight w:val="none"/>
        </w:rPr>
        <w:t>第四条</w:t>
      </w:r>
      <w:r>
        <w:rPr>
          <w:rFonts w:hint="eastAsia" w:ascii="宋体" w:hAnsi="宋体" w:cs="宋体"/>
          <w:color w:val="auto"/>
          <w:sz w:val="24"/>
          <w:highlight w:val="none"/>
        </w:rPr>
        <w:t>违约责任</w:t>
      </w:r>
    </w:p>
    <w:p w14:paraId="3413F0C3">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（一）甲方及其工作人员违反本合同第一、二条；按管理权限，依据有关规定给予党纪、政纪或组织处理；涉嫌犯罪的，移交司法机关追究刑事责任；给乙方单位造成经济损失的，应予以赔偿。</w:t>
      </w:r>
    </w:p>
    <w:p w14:paraId="274C7C38">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二）乙方及其工作人员违反本合同第一、三条，按管理权限依据有关规定，给予党纪、政纪或组织处理；给甲方单位造成经济损失的，应予以赔偿；情节严重的，甲方建议交通工程建设主管部门给予乙方一至三年内不得进入其主管的交通工程建设市场的处罚。</w:t>
      </w:r>
    </w:p>
    <w:p w14:paraId="0E7A5556">
      <w:pPr>
        <w:spacing w:line="360" w:lineRule="auto"/>
        <w:ind w:firstLine="480"/>
        <w:rPr>
          <w:rFonts w:ascii="宋体" w:hAnsi="宋体" w:cs="宋体"/>
          <w:color w:val="auto"/>
          <w:sz w:val="24"/>
          <w:highlight w:val="none"/>
        </w:rPr>
      </w:pPr>
      <w:r>
        <w:rPr>
          <w:rFonts w:hint="eastAsia" w:ascii="宋体" w:hAnsi="宋体" w:cs="宋体"/>
          <w:bCs/>
          <w:color w:val="auto"/>
          <w:sz w:val="24"/>
          <w:highlight w:val="none"/>
        </w:rPr>
        <w:t>第五条</w:t>
      </w:r>
      <w:r>
        <w:rPr>
          <w:rFonts w:hint="eastAsia" w:ascii="宋体" w:hAnsi="宋体" w:cs="宋体"/>
          <w:color w:val="auto"/>
          <w:sz w:val="24"/>
          <w:highlight w:val="none"/>
        </w:rPr>
        <w:t>双方约定：本合同由双方或双方上级单位的纪检监察机关负责监督执行。由甲方或甲方上级单位的纪检监察机关约请乙方或乙方上级单位纪检监察机关对本合同执行情况进行检查；提出在本合同规定范围内的裁定意见。</w:t>
      </w:r>
    </w:p>
    <w:p w14:paraId="2A8182F3">
      <w:pPr>
        <w:spacing w:line="360" w:lineRule="auto"/>
        <w:ind w:firstLine="480"/>
        <w:rPr>
          <w:rFonts w:ascii="宋体" w:hAnsi="宋体" w:cs="宋体"/>
          <w:color w:val="auto"/>
          <w:sz w:val="24"/>
          <w:highlight w:val="none"/>
        </w:rPr>
      </w:pPr>
      <w:r>
        <w:rPr>
          <w:rFonts w:hint="eastAsia" w:ascii="宋体" w:hAnsi="宋体" w:cs="宋体"/>
          <w:bCs/>
          <w:color w:val="auto"/>
          <w:sz w:val="24"/>
          <w:highlight w:val="none"/>
        </w:rPr>
        <w:t>第六条</w:t>
      </w:r>
      <w:r>
        <w:rPr>
          <w:rFonts w:hint="eastAsia" w:ascii="宋体" w:hAnsi="宋体" w:cs="宋体"/>
          <w:color w:val="auto"/>
          <w:sz w:val="24"/>
          <w:highlight w:val="none"/>
        </w:rPr>
        <w:t>本合同有效期为甲乙双方签署之日起至该工程项目所有工作内容完成并经甲方验收合格后止。</w:t>
      </w:r>
    </w:p>
    <w:p w14:paraId="4C658806">
      <w:pPr>
        <w:spacing w:line="360" w:lineRule="auto"/>
        <w:ind w:firstLine="480"/>
        <w:rPr>
          <w:rFonts w:ascii="宋体" w:hAnsi="宋体" w:cs="宋体"/>
          <w:color w:val="auto"/>
          <w:sz w:val="24"/>
          <w:highlight w:val="none"/>
        </w:rPr>
      </w:pPr>
      <w:r>
        <w:rPr>
          <w:rFonts w:hint="eastAsia" w:ascii="宋体" w:hAnsi="宋体" w:cs="宋体"/>
          <w:bCs/>
          <w:color w:val="auto"/>
          <w:sz w:val="24"/>
          <w:highlight w:val="none"/>
        </w:rPr>
        <w:t>第七条</w:t>
      </w:r>
      <w:r>
        <w:rPr>
          <w:rFonts w:hint="eastAsia" w:ascii="宋体" w:hAnsi="宋体" w:cs="宋体"/>
          <w:color w:val="auto"/>
          <w:sz w:val="24"/>
          <w:highlight w:val="none"/>
        </w:rPr>
        <w:t>本合同作为</w:t>
      </w:r>
      <w:r>
        <w:rPr>
          <w:rFonts w:hint="eastAsia" w:ascii="宋体" w:hAnsi="宋体" w:cs="宋体"/>
          <w:color w:val="auto"/>
          <w:sz w:val="24"/>
          <w:highlight w:val="none"/>
          <w:lang w:eastAsia="zh-CN"/>
        </w:rPr>
        <w:t>2025年南通市农村公路涉水桥梁下部结构风险隐患排查市级抽查项目</w:t>
      </w:r>
      <w:r>
        <w:rPr>
          <w:rFonts w:hint="eastAsia" w:ascii="宋体" w:hAnsi="宋体" w:cs="宋体"/>
          <w:color w:val="auto"/>
          <w:sz w:val="24"/>
          <w:highlight w:val="none"/>
        </w:rPr>
        <w:t>合同的附件，与</w:t>
      </w:r>
      <w:r>
        <w:rPr>
          <w:rFonts w:hint="eastAsia" w:ascii="宋体" w:hAnsi="宋体" w:cs="宋体"/>
          <w:color w:val="auto"/>
          <w:sz w:val="24"/>
          <w:highlight w:val="none"/>
          <w:lang w:eastAsia="zh-CN"/>
        </w:rPr>
        <w:t>2025年南通市农村公路涉水桥梁下部结构风险隐患排查市级抽查项目</w:t>
      </w:r>
      <w:r>
        <w:rPr>
          <w:rFonts w:hint="eastAsia" w:ascii="宋体" w:hAnsi="宋体" w:cs="宋体"/>
          <w:color w:val="auto"/>
          <w:sz w:val="24"/>
          <w:highlight w:val="none"/>
        </w:rPr>
        <w:t>合同具有同等的法律效力，经合同双方签署立即生效。</w:t>
      </w:r>
    </w:p>
    <w:p w14:paraId="3D6701A9">
      <w:pPr>
        <w:spacing w:line="360" w:lineRule="auto"/>
        <w:ind w:firstLine="480"/>
        <w:rPr>
          <w:rFonts w:ascii="宋体" w:hAnsi="宋体" w:cs="宋体"/>
          <w:color w:val="auto"/>
          <w:sz w:val="24"/>
          <w:highlight w:val="none"/>
        </w:rPr>
      </w:pPr>
      <w:r>
        <w:rPr>
          <w:rFonts w:hint="eastAsia" w:ascii="宋体" w:hAnsi="宋体" w:cs="宋体"/>
          <w:bCs/>
          <w:color w:val="auto"/>
          <w:sz w:val="24"/>
          <w:highlight w:val="none"/>
        </w:rPr>
        <w:t>第八条</w:t>
      </w:r>
      <w:r>
        <w:rPr>
          <w:rFonts w:hint="eastAsia" w:ascii="宋体" w:hAnsi="宋体" w:cs="宋体"/>
          <w:color w:val="auto"/>
          <w:sz w:val="24"/>
          <w:highlight w:val="none"/>
        </w:rPr>
        <w:t>本合同一式六份，双方各执三份。</w:t>
      </w:r>
    </w:p>
    <w:p w14:paraId="4BB20B68">
      <w:pPr>
        <w:spacing w:line="360" w:lineRule="auto"/>
        <w:rPr>
          <w:rFonts w:ascii="宋体" w:hAnsi="宋体" w:cs="宋体"/>
          <w:color w:val="auto"/>
          <w:sz w:val="24"/>
          <w:highlight w:val="none"/>
        </w:rPr>
      </w:pPr>
    </w:p>
    <w:p w14:paraId="720B6A1B">
      <w:pPr>
        <w:spacing w:line="360" w:lineRule="auto"/>
        <w:rPr>
          <w:rFonts w:ascii="宋体" w:hAnsi="宋体" w:cs="宋体"/>
          <w:color w:val="auto"/>
          <w:sz w:val="24"/>
          <w:highlight w:val="none"/>
        </w:rPr>
      </w:pPr>
    </w:p>
    <w:p w14:paraId="6ADD94F7">
      <w:pPr>
        <w:spacing w:line="360" w:lineRule="auto"/>
        <w:jc w:val="left"/>
        <w:rPr>
          <w:rFonts w:ascii="宋体" w:hAnsi="宋体" w:cs="宋体"/>
          <w:color w:val="auto"/>
          <w:sz w:val="24"/>
          <w:highlight w:val="none"/>
        </w:rPr>
      </w:pPr>
      <w:r>
        <w:rPr>
          <w:rFonts w:hint="eastAsia" w:ascii="宋体" w:hAnsi="宋体" w:cs="宋体"/>
          <w:color w:val="auto"/>
          <w:sz w:val="24"/>
          <w:highlight w:val="none"/>
        </w:rPr>
        <w:t>甲方：</w:t>
      </w:r>
      <w:r>
        <w:rPr>
          <w:rFonts w:hint="eastAsia" w:ascii="宋体" w:hAnsi="宋体" w:cs="宋体"/>
          <w:color w:val="auto"/>
          <w:sz w:val="24"/>
          <w:highlight w:val="none"/>
        </w:rPr>
        <w:tab/>
      </w:r>
      <w:r>
        <w:rPr>
          <w:rFonts w:hint="eastAsia" w:ascii="宋体" w:hAnsi="宋体" w:cs="宋体"/>
          <w:color w:val="auto"/>
          <w:sz w:val="24"/>
          <w:highlight w:val="none"/>
        </w:rPr>
        <w:t>（盖单位章）                     乙方：（盖单位章）</w:t>
      </w:r>
    </w:p>
    <w:p w14:paraId="6E46EDBF">
      <w:pPr>
        <w:spacing w:line="360" w:lineRule="auto"/>
        <w:jc w:val="left"/>
        <w:rPr>
          <w:rFonts w:ascii="宋体" w:hAnsi="宋体" w:cs="宋体"/>
          <w:color w:val="auto"/>
          <w:sz w:val="24"/>
          <w:highlight w:val="none"/>
        </w:rPr>
      </w:pPr>
      <w:r>
        <w:rPr>
          <w:rFonts w:hint="eastAsia" w:ascii="宋体" w:hAnsi="宋体" w:cs="宋体"/>
          <w:color w:val="auto"/>
          <w:sz w:val="24"/>
          <w:highlight w:val="none"/>
        </w:rPr>
        <w:t>法定代表人                              法定代表人</w:t>
      </w:r>
    </w:p>
    <w:p w14:paraId="632BF0CE">
      <w:pPr>
        <w:spacing w:line="360" w:lineRule="auto"/>
        <w:jc w:val="left"/>
        <w:rPr>
          <w:rFonts w:ascii="宋体" w:hAnsi="宋体" w:cs="宋体"/>
          <w:color w:val="auto"/>
          <w:sz w:val="24"/>
          <w:highlight w:val="none"/>
        </w:rPr>
      </w:pPr>
      <w:r>
        <w:rPr>
          <w:rFonts w:hint="eastAsia" w:ascii="宋体" w:hAnsi="宋体" w:cs="宋体"/>
          <w:color w:val="auto"/>
          <w:sz w:val="24"/>
          <w:highlight w:val="none"/>
        </w:rPr>
        <w:t>或其委托代理人：（签字或盖章）          或其委托代理人：（签字或盖章）</w:t>
      </w:r>
    </w:p>
    <w:p w14:paraId="7610B367">
      <w:pPr>
        <w:spacing w:line="360" w:lineRule="auto"/>
        <w:jc w:val="left"/>
        <w:rPr>
          <w:rFonts w:ascii="宋体" w:hAnsi="宋体" w:cs="宋体"/>
          <w:color w:val="auto"/>
          <w:sz w:val="24"/>
          <w:highlight w:val="none"/>
        </w:rPr>
      </w:pPr>
    </w:p>
    <w:p w14:paraId="42199C57">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ab/>
      </w:r>
      <w:r>
        <w:rPr>
          <w:rFonts w:hint="eastAsia" w:ascii="宋体" w:hAnsi="宋体" w:cs="宋体"/>
          <w:color w:val="auto"/>
          <w:sz w:val="24"/>
          <w:highlight w:val="none"/>
        </w:rPr>
        <w:t xml:space="preserve">年  </w:t>
      </w:r>
      <w:r>
        <w:rPr>
          <w:rFonts w:hint="eastAsia" w:ascii="宋体" w:hAnsi="宋体" w:cs="宋体"/>
          <w:color w:val="auto"/>
          <w:sz w:val="24"/>
          <w:highlight w:val="none"/>
        </w:rPr>
        <w:tab/>
      </w:r>
      <w:r>
        <w:rPr>
          <w:rFonts w:hint="eastAsia" w:ascii="宋体" w:hAnsi="宋体" w:cs="宋体"/>
          <w:color w:val="auto"/>
          <w:sz w:val="24"/>
          <w:highlight w:val="none"/>
        </w:rPr>
        <w:t>月</w:t>
      </w:r>
      <w:r>
        <w:rPr>
          <w:rFonts w:hint="eastAsia" w:ascii="宋体" w:hAnsi="宋体" w:cs="宋体"/>
          <w:color w:val="auto"/>
          <w:sz w:val="24"/>
          <w:highlight w:val="none"/>
        </w:rPr>
        <w:tab/>
      </w:r>
      <w:r>
        <w:rPr>
          <w:rFonts w:hint="eastAsia" w:ascii="宋体" w:hAnsi="宋体" w:cs="宋体"/>
          <w:color w:val="auto"/>
          <w:sz w:val="24"/>
          <w:highlight w:val="none"/>
        </w:rPr>
        <w:t>日</w:t>
      </w:r>
      <w:r>
        <w:rPr>
          <w:rFonts w:hint="eastAsia" w:ascii="宋体" w:hAnsi="宋体" w:cs="宋体"/>
          <w:color w:val="auto"/>
          <w:sz w:val="24"/>
          <w:highlight w:val="none"/>
        </w:rPr>
        <w:tab/>
      </w:r>
      <w:r>
        <w:rPr>
          <w:rFonts w:hint="eastAsia" w:ascii="宋体" w:hAnsi="宋体" w:cs="宋体"/>
          <w:color w:val="auto"/>
          <w:sz w:val="24"/>
          <w:highlight w:val="none"/>
        </w:rPr>
        <w:tab/>
      </w:r>
      <w:r>
        <w:rPr>
          <w:rFonts w:hint="eastAsia" w:ascii="宋体" w:hAnsi="宋体" w:cs="宋体"/>
          <w:color w:val="auto"/>
          <w:sz w:val="24"/>
          <w:highlight w:val="none"/>
        </w:rPr>
        <w:t xml:space="preserve">                      年 </w:t>
      </w:r>
      <w:r>
        <w:rPr>
          <w:rFonts w:hint="eastAsia" w:ascii="宋体" w:hAnsi="宋体" w:cs="宋体"/>
          <w:color w:val="auto"/>
          <w:sz w:val="24"/>
          <w:highlight w:val="none"/>
        </w:rPr>
        <w:tab/>
      </w:r>
      <w:r>
        <w:rPr>
          <w:rFonts w:hint="eastAsia" w:ascii="宋体" w:hAnsi="宋体" w:cs="宋体"/>
          <w:color w:val="auto"/>
          <w:sz w:val="24"/>
          <w:highlight w:val="none"/>
        </w:rPr>
        <w:t xml:space="preserve">  月 </w:t>
      </w:r>
      <w:r>
        <w:rPr>
          <w:rFonts w:hint="eastAsia" w:ascii="宋体" w:hAnsi="宋体" w:cs="宋体"/>
          <w:color w:val="auto"/>
          <w:sz w:val="24"/>
          <w:highlight w:val="none"/>
        </w:rPr>
        <w:tab/>
      </w:r>
      <w:r>
        <w:rPr>
          <w:rFonts w:hint="eastAsia" w:ascii="宋体" w:hAnsi="宋体" w:cs="宋体"/>
          <w:color w:val="auto"/>
          <w:sz w:val="24"/>
          <w:highlight w:val="none"/>
        </w:rPr>
        <w:t xml:space="preserve">  日</w:t>
      </w:r>
    </w:p>
    <w:p w14:paraId="0B3C7C43">
      <w:pPr>
        <w:rPr>
          <w:rFonts w:ascii="宋体" w:hAnsi="宋体" w:cs="宋体"/>
          <w:color w:val="auto"/>
          <w:sz w:val="36"/>
          <w:szCs w:val="36"/>
          <w:highlight w:val="none"/>
        </w:rPr>
        <w:sectPr>
          <w:footerReference r:id="rId4" w:type="default"/>
          <w:pgSz w:w="11905" w:h="16838"/>
          <w:pgMar w:top="1429" w:right="1429" w:bottom="1429" w:left="1429" w:header="850" w:footer="992" w:gutter="0"/>
          <w:cols w:space="0" w:num="1"/>
          <w:rtlGutter w:val="0"/>
          <w:docGrid w:linePitch="360" w:charSpace="0"/>
        </w:sectPr>
      </w:pPr>
    </w:p>
    <w:p w14:paraId="62296353">
      <w:pPr>
        <w:spacing w:line="360" w:lineRule="auto"/>
        <w:jc w:val="center"/>
        <w:rPr>
          <w:rFonts w:hint="eastAsia" w:ascii="宋体" w:hAnsi="宋体" w:cs="宋体"/>
          <w:b/>
          <w:color w:val="auto"/>
          <w:sz w:val="32"/>
          <w:szCs w:val="32"/>
          <w:highlight w:val="none"/>
          <w:lang w:eastAsia="zh-CN"/>
        </w:rPr>
      </w:pPr>
      <w:r>
        <w:rPr>
          <w:rFonts w:hint="eastAsia" w:ascii="宋体" w:hAnsi="宋体" w:cs="宋体"/>
          <w:b/>
          <w:color w:val="auto"/>
          <w:sz w:val="32"/>
          <w:szCs w:val="32"/>
          <w:highlight w:val="none"/>
          <w:lang w:eastAsia="zh-CN"/>
        </w:rPr>
        <w:t>2025年南通市农村公路涉水桥梁下部结构风险隐患排查市级抽查项目安全生产合同</w:t>
      </w:r>
    </w:p>
    <w:p w14:paraId="4DA0046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为在</w:t>
      </w:r>
      <w:r>
        <w:rPr>
          <w:rFonts w:hint="eastAsia" w:ascii="宋体" w:hAnsi="宋体" w:cs="宋体"/>
          <w:color w:val="auto"/>
          <w:sz w:val="24"/>
          <w:szCs w:val="24"/>
          <w:highlight w:val="none"/>
          <w:lang w:eastAsia="zh-CN"/>
        </w:rPr>
        <w:t>2025年南通市农村公路涉水桥梁下部结构风险隐患排查市级抽查项目</w:t>
      </w:r>
      <w:r>
        <w:rPr>
          <w:rFonts w:hint="eastAsia" w:ascii="宋体" w:hAnsi="宋体" w:cs="宋体"/>
          <w:color w:val="auto"/>
          <w:sz w:val="24"/>
          <w:szCs w:val="24"/>
          <w:highlight w:val="none"/>
        </w:rPr>
        <w:t>合同的实施过程中创造安全、高效的检测环境，切实搞好本项目的安全管理工作，本项目委托人</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pacing w:val="18"/>
          <w:sz w:val="24"/>
          <w:szCs w:val="24"/>
          <w:highlight w:val="none"/>
          <w:u w:val="single"/>
        </w:rPr>
        <w:t>（委托人全称）</w:t>
      </w:r>
      <w:r>
        <w:rPr>
          <w:rFonts w:hint="eastAsia" w:ascii="宋体" w:hAnsi="宋体" w:cs="宋体"/>
          <w:color w:val="auto"/>
          <w:spacing w:val="18"/>
          <w:sz w:val="24"/>
          <w:szCs w:val="24"/>
          <w:highlight w:val="none"/>
        </w:rPr>
        <w:t>(以下简称“委托人”)</w:t>
      </w:r>
      <w:r>
        <w:rPr>
          <w:rFonts w:hint="eastAsia" w:ascii="宋体" w:hAnsi="宋体" w:cs="宋体"/>
          <w:color w:val="auto"/>
          <w:sz w:val="24"/>
          <w:szCs w:val="24"/>
          <w:highlight w:val="none"/>
        </w:rPr>
        <w:t>与受托人</w:t>
      </w:r>
    </w:p>
    <w:p w14:paraId="4DCDAAC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cs="宋体"/>
          <w:color w:val="auto"/>
          <w:sz w:val="24"/>
          <w:szCs w:val="24"/>
          <w:highlight w:val="none"/>
        </w:rPr>
      </w:pP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（受托人名称，以下简称“受托人”）特此签订安全生产合同：</w:t>
      </w:r>
    </w:p>
    <w:p w14:paraId="4ACAA1E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lang w:eastAsia="zh-CN"/>
        </w:rPr>
        <w:t>1.</w:t>
      </w:r>
      <w:r>
        <w:rPr>
          <w:rFonts w:hint="eastAsia" w:ascii="宋体" w:hAnsi="宋体" w:cs="宋体"/>
          <w:color w:val="auto"/>
          <w:sz w:val="24"/>
          <w:szCs w:val="24"/>
          <w:highlight w:val="none"/>
        </w:rPr>
        <w:t>委托人职责</w:t>
      </w:r>
    </w:p>
    <w:p w14:paraId="268D233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（1）严格遵守国家有关安全生产的法律法规，认真执行工程承包合同中的有关安全要求。</w:t>
      </w:r>
    </w:p>
    <w:p w14:paraId="38B11BB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（2）按照“安全第一、预防为主”和坚持“管生产必须管安全”的原则进行安全生产管理，做到生产与安全工作同时计划、布置、检查、总结和评比。</w:t>
      </w:r>
    </w:p>
    <w:p w14:paraId="6B65895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（3）重要的安全设施必须坚持与主体工程“三同时”的原则，即：同时设计、审批，同时施工，同时验收，投入使用。</w:t>
      </w:r>
    </w:p>
    <w:p w14:paraId="3C2F812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（4）定期召开安全生产调度会，及时传达</w:t>
      </w:r>
      <w:r>
        <w:rPr>
          <w:rFonts w:hint="eastAsia" w:ascii="宋体" w:hAnsi="宋体" w:cs="宋体"/>
          <w:color w:val="auto"/>
          <w:sz w:val="24"/>
          <w:szCs w:val="24"/>
          <w:highlight w:val="none"/>
          <w:lang w:eastAsia="zh-CN"/>
        </w:rPr>
        <w:t>中央和地方</w:t>
      </w:r>
      <w:r>
        <w:rPr>
          <w:rFonts w:hint="eastAsia" w:ascii="宋体" w:hAnsi="宋体" w:cs="宋体"/>
          <w:color w:val="auto"/>
          <w:sz w:val="24"/>
          <w:szCs w:val="24"/>
          <w:highlight w:val="none"/>
        </w:rPr>
        <w:t>有关安全生产的精神。</w:t>
      </w:r>
    </w:p>
    <w:p w14:paraId="56B1EF0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（5）组织对受托人施工现场进行安全生产检查，监督受托人及时处理发现的各种安全隐患。</w:t>
      </w:r>
    </w:p>
    <w:p w14:paraId="1E7F499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lang w:eastAsia="zh-CN"/>
        </w:rPr>
        <w:t>2.</w:t>
      </w:r>
      <w:r>
        <w:rPr>
          <w:rFonts w:hint="eastAsia" w:ascii="宋体" w:hAnsi="宋体" w:cs="宋体"/>
          <w:color w:val="auto"/>
          <w:sz w:val="24"/>
          <w:szCs w:val="24"/>
          <w:highlight w:val="none"/>
        </w:rPr>
        <w:t>受托人职责</w:t>
      </w:r>
    </w:p>
    <w:p w14:paraId="67B2B21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严格遵守《中华人民共和国安全生产法》、《建设工程安全生产管理条例》等国家有关安全生产的法律法规、《公路水运工程安全生产监督管理办法》等有关安全生产的规定。认真执行工程承包合同中的有关安全要求。</w:t>
      </w:r>
    </w:p>
    <w:p w14:paraId="166CB2B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2B554FB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公路水运工程安全生产监督管理办法》规定的最低数量和资质条件配备专职安全生产管理人员，专职负责所有员工的安全和治安保卫工作及预防事故的发生。安全机构人员有权按有关规定发布指令，并采取保护性措施防止事故发生。</w:t>
      </w:r>
    </w:p>
    <w:p w14:paraId="2800565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（4）受托人在任何时候都应采取各种合理的预防措施，防止其员工发生任何违法、违禁、暴力或妨碍治安的行为。</w:t>
      </w:r>
    </w:p>
    <w:p w14:paraId="3835DF4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5）受托人必须具有劳动安全管理部门颁发的安全生产考核合格证书，参加检测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检测现场如出现特种作业无证操作现象时，项目经理必须承担管理责任。</w:t>
      </w:r>
    </w:p>
    <w:p w14:paraId="66F8F4B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6）对于易燃易爆的材料除应专门妥善保管之外，还应配备有足够的消防设施，所有检测人员都应熟悉消防设备的性能和使用方法；受托人不得将任何种类的爆炸物给予、易货或以其他方式转让给任何其他人，或允许、容忍上述同样行为。</w:t>
      </w:r>
    </w:p>
    <w:p w14:paraId="159F814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（7）操作人员上岗，必须按规定穿戴防护用品。施工负责人和安全检查员应随时检查劳动防护用品的穿戴情况，不按规定穿戴防护用品的人员不得上岗。</w:t>
      </w:r>
    </w:p>
    <w:p w14:paraId="6A88865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（8）所有检测机具设备和高空作业的设备均应定期检查，并有安全员的签字记录，保证其经常处于完好状态；不合格的机具、设备和劳动保护用品严禁使用。</w:t>
      </w:r>
    </w:p>
    <w:p w14:paraId="76BDA04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（9）检测中采用新技术、新工艺、新设备、新材料时，必须制定相应的安全技术措施，检测现场必须具有相关的安全标志牌。</w:t>
      </w:r>
    </w:p>
    <w:p w14:paraId="6AFDB9A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10）受托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52A389A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（11）安全生产费用按照《公路水运工程安全生产监督管理办法》的相关规定使用和管理。</w:t>
      </w:r>
    </w:p>
    <w:p w14:paraId="4643397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lang w:eastAsia="zh-CN"/>
        </w:rPr>
        <w:t>3.</w:t>
      </w:r>
      <w:r>
        <w:rPr>
          <w:rFonts w:hint="eastAsia" w:ascii="宋体" w:hAnsi="宋体" w:cs="宋体"/>
          <w:color w:val="auto"/>
          <w:sz w:val="24"/>
          <w:szCs w:val="24"/>
          <w:highlight w:val="none"/>
        </w:rPr>
        <w:t>违约责任</w:t>
      </w:r>
    </w:p>
    <w:p w14:paraId="4B7D54E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如因委托人或受托人违约造成安全事故，将依法追究责任。</w:t>
      </w:r>
    </w:p>
    <w:p w14:paraId="2850E05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lang w:eastAsia="zh-CN"/>
        </w:rPr>
        <w:t>4.</w:t>
      </w:r>
      <w:r>
        <w:rPr>
          <w:rFonts w:hint="eastAsia" w:ascii="宋体" w:hAnsi="宋体" w:cs="宋体"/>
          <w:color w:val="auto"/>
          <w:sz w:val="24"/>
          <w:szCs w:val="24"/>
          <w:highlight w:val="none"/>
        </w:rPr>
        <w:t>本合同由双方法定代表人或其授权的代理人签署并加盖单位章后生效，全部工程验收后</w:t>
      </w:r>
      <w:r>
        <w:rPr>
          <w:rFonts w:hint="eastAsia" w:ascii="宋体" w:hAnsi="宋体" w:cs="宋体"/>
          <w:color w:val="auto"/>
          <w:sz w:val="24"/>
          <w:szCs w:val="24"/>
          <w:highlight w:val="none"/>
          <w:lang w:val="en-US" w:eastAsia="zh-CN"/>
        </w:rPr>
        <w:t>终止</w:t>
      </w:r>
      <w:r>
        <w:rPr>
          <w:rFonts w:hint="eastAsia" w:ascii="宋体" w:hAnsi="宋体" w:cs="宋体"/>
          <w:color w:val="auto"/>
          <w:sz w:val="24"/>
          <w:szCs w:val="24"/>
          <w:highlight w:val="none"/>
        </w:rPr>
        <w:t>。</w:t>
      </w:r>
    </w:p>
    <w:p w14:paraId="7C174ABE">
      <w:pPr>
        <w:spacing w:line="360" w:lineRule="auto"/>
        <w:ind w:firstLine="480"/>
        <w:rPr>
          <w:rFonts w:ascii="宋体" w:hAnsi="宋体" w:cs="宋体"/>
          <w:color w:val="auto"/>
          <w:sz w:val="24"/>
          <w:highlight w:val="none"/>
        </w:rPr>
      </w:pPr>
      <w:r>
        <w:rPr>
          <w:rFonts w:hint="eastAsia" w:ascii="宋体" w:hAnsi="宋体" w:cs="宋体"/>
          <w:color w:val="auto"/>
          <w:sz w:val="24"/>
          <w:szCs w:val="24"/>
          <w:highlight w:val="none"/>
          <w:lang w:eastAsia="zh-CN"/>
        </w:rPr>
        <w:t>5.</w:t>
      </w:r>
      <w:r>
        <w:rPr>
          <w:rFonts w:hint="eastAsia" w:ascii="宋体" w:hAnsi="宋体" w:cs="宋体"/>
          <w:color w:val="auto"/>
          <w:sz w:val="24"/>
          <w:highlight w:val="none"/>
        </w:rPr>
        <w:t>本合同一式六份，双方各执三份。</w:t>
      </w:r>
    </w:p>
    <w:p w14:paraId="31186B8E">
      <w:pPr>
        <w:spacing w:line="360" w:lineRule="auto"/>
        <w:rPr>
          <w:rFonts w:ascii="宋体" w:hAnsi="宋体" w:cs="宋体"/>
          <w:color w:val="auto"/>
          <w:sz w:val="24"/>
          <w:highlight w:val="none"/>
        </w:rPr>
      </w:pPr>
    </w:p>
    <w:p w14:paraId="34D71B12">
      <w:pPr>
        <w:spacing w:line="360" w:lineRule="auto"/>
        <w:rPr>
          <w:rFonts w:ascii="宋体" w:hAnsi="宋体" w:cs="宋体"/>
          <w:color w:val="auto"/>
          <w:sz w:val="24"/>
          <w:highlight w:val="none"/>
        </w:rPr>
      </w:pPr>
    </w:p>
    <w:p w14:paraId="261E22CC">
      <w:pPr>
        <w:spacing w:line="360" w:lineRule="auto"/>
        <w:jc w:val="left"/>
        <w:rPr>
          <w:rFonts w:ascii="宋体" w:hAnsi="宋体" w:cs="宋体"/>
          <w:color w:val="auto"/>
          <w:sz w:val="24"/>
          <w:highlight w:val="none"/>
        </w:rPr>
      </w:pPr>
      <w:r>
        <w:rPr>
          <w:rFonts w:hint="eastAsia" w:ascii="宋体" w:hAnsi="宋体" w:cs="宋体"/>
          <w:color w:val="auto"/>
          <w:sz w:val="24"/>
          <w:highlight w:val="none"/>
        </w:rPr>
        <w:t>甲方：</w:t>
      </w:r>
      <w:r>
        <w:rPr>
          <w:rFonts w:hint="eastAsia" w:ascii="宋体" w:hAnsi="宋体" w:cs="宋体"/>
          <w:color w:val="auto"/>
          <w:sz w:val="24"/>
          <w:highlight w:val="none"/>
        </w:rPr>
        <w:tab/>
      </w:r>
      <w:r>
        <w:rPr>
          <w:rFonts w:hint="eastAsia" w:ascii="宋体" w:hAnsi="宋体" w:cs="宋体"/>
          <w:color w:val="auto"/>
          <w:sz w:val="24"/>
          <w:highlight w:val="none"/>
        </w:rPr>
        <w:t>（盖单位章）                     乙方：（盖单位章）</w:t>
      </w:r>
    </w:p>
    <w:p w14:paraId="5D23F1FF">
      <w:pPr>
        <w:spacing w:line="360" w:lineRule="auto"/>
        <w:jc w:val="left"/>
        <w:rPr>
          <w:rFonts w:ascii="宋体" w:hAnsi="宋体" w:cs="宋体"/>
          <w:color w:val="auto"/>
          <w:sz w:val="24"/>
          <w:highlight w:val="none"/>
        </w:rPr>
      </w:pPr>
      <w:r>
        <w:rPr>
          <w:rFonts w:hint="eastAsia" w:ascii="宋体" w:hAnsi="宋体" w:cs="宋体"/>
          <w:color w:val="auto"/>
          <w:sz w:val="24"/>
          <w:highlight w:val="none"/>
        </w:rPr>
        <w:t>法定代表人                              法定代表人</w:t>
      </w:r>
    </w:p>
    <w:p w14:paraId="609B6826">
      <w:pPr>
        <w:spacing w:line="360" w:lineRule="auto"/>
        <w:jc w:val="left"/>
        <w:rPr>
          <w:rFonts w:ascii="宋体" w:hAnsi="宋体" w:cs="宋体"/>
          <w:color w:val="auto"/>
          <w:sz w:val="24"/>
          <w:highlight w:val="none"/>
        </w:rPr>
      </w:pPr>
      <w:r>
        <w:rPr>
          <w:rFonts w:hint="eastAsia" w:ascii="宋体" w:hAnsi="宋体" w:cs="宋体"/>
          <w:color w:val="auto"/>
          <w:sz w:val="24"/>
          <w:highlight w:val="none"/>
        </w:rPr>
        <w:t>或其委托代理人：（签字或盖章）          或其委托代理人：（签字或盖章）</w:t>
      </w:r>
    </w:p>
    <w:p w14:paraId="15A19C8A">
      <w:pPr>
        <w:spacing w:line="360" w:lineRule="auto"/>
        <w:jc w:val="left"/>
        <w:rPr>
          <w:rFonts w:ascii="宋体" w:hAnsi="宋体" w:cs="宋体"/>
          <w:color w:val="auto"/>
          <w:sz w:val="24"/>
          <w:highlight w:val="none"/>
        </w:rPr>
      </w:pPr>
    </w:p>
    <w:p w14:paraId="2F84DFAD">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ab/>
      </w:r>
      <w:r>
        <w:rPr>
          <w:rFonts w:hint="eastAsia" w:ascii="宋体" w:hAnsi="宋体" w:cs="宋体"/>
          <w:color w:val="auto"/>
          <w:sz w:val="24"/>
          <w:highlight w:val="none"/>
        </w:rPr>
        <w:t xml:space="preserve">年  </w:t>
      </w:r>
      <w:r>
        <w:rPr>
          <w:rFonts w:hint="eastAsia" w:ascii="宋体" w:hAnsi="宋体" w:cs="宋体"/>
          <w:color w:val="auto"/>
          <w:sz w:val="24"/>
          <w:highlight w:val="none"/>
        </w:rPr>
        <w:tab/>
      </w:r>
      <w:r>
        <w:rPr>
          <w:rFonts w:hint="eastAsia" w:ascii="宋体" w:hAnsi="宋体" w:cs="宋体"/>
          <w:color w:val="auto"/>
          <w:sz w:val="24"/>
          <w:highlight w:val="none"/>
        </w:rPr>
        <w:t>月</w:t>
      </w:r>
      <w:r>
        <w:rPr>
          <w:rFonts w:hint="eastAsia" w:ascii="宋体" w:hAnsi="宋体" w:cs="宋体"/>
          <w:color w:val="auto"/>
          <w:sz w:val="24"/>
          <w:highlight w:val="none"/>
        </w:rPr>
        <w:tab/>
      </w:r>
      <w:r>
        <w:rPr>
          <w:rFonts w:hint="eastAsia" w:ascii="宋体" w:hAnsi="宋体" w:cs="宋体"/>
          <w:color w:val="auto"/>
          <w:sz w:val="24"/>
          <w:highlight w:val="none"/>
        </w:rPr>
        <w:t>日</w:t>
      </w:r>
      <w:r>
        <w:rPr>
          <w:rFonts w:hint="eastAsia" w:ascii="宋体" w:hAnsi="宋体" w:cs="宋体"/>
          <w:color w:val="auto"/>
          <w:sz w:val="24"/>
          <w:highlight w:val="none"/>
        </w:rPr>
        <w:tab/>
      </w:r>
      <w:r>
        <w:rPr>
          <w:rFonts w:hint="eastAsia" w:ascii="宋体" w:hAnsi="宋体" w:cs="宋体"/>
          <w:color w:val="auto"/>
          <w:sz w:val="24"/>
          <w:highlight w:val="none"/>
        </w:rPr>
        <w:tab/>
      </w:r>
      <w:r>
        <w:rPr>
          <w:rFonts w:hint="eastAsia" w:ascii="宋体" w:hAnsi="宋体" w:cs="宋体"/>
          <w:color w:val="auto"/>
          <w:sz w:val="24"/>
          <w:highlight w:val="none"/>
        </w:rPr>
        <w:t xml:space="preserve">                      年 </w:t>
      </w:r>
      <w:r>
        <w:rPr>
          <w:rFonts w:hint="eastAsia" w:ascii="宋体" w:hAnsi="宋体" w:cs="宋体"/>
          <w:color w:val="auto"/>
          <w:sz w:val="24"/>
          <w:highlight w:val="none"/>
        </w:rPr>
        <w:tab/>
      </w:r>
      <w:r>
        <w:rPr>
          <w:rFonts w:hint="eastAsia" w:ascii="宋体" w:hAnsi="宋体" w:cs="宋体"/>
          <w:color w:val="auto"/>
          <w:sz w:val="24"/>
          <w:highlight w:val="none"/>
        </w:rPr>
        <w:t xml:space="preserve">  月 </w:t>
      </w:r>
      <w:r>
        <w:rPr>
          <w:rFonts w:hint="eastAsia" w:ascii="宋体" w:hAnsi="宋体" w:cs="宋体"/>
          <w:color w:val="auto"/>
          <w:sz w:val="24"/>
          <w:highlight w:val="none"/>
        </w:rPr>
        <w:tab/>
      </w:r>
      <w:r>
        <w:rPr>
          <w:rFonts w:hint="eastAsia" w:ascii="宋体" w:hAnsi="宋体" w:cs="宋体"/>
          <w:color w:val="auto"/>
          <w:sz w:val="24"/>
          <w:highlight w:val="none"/>
        </w:rPr>
        <w:t xml:space="preserve">  日</w:t>
      </w:r>
    </w:p>
    <w:p w14:paraId="05AAABED">
      <w:pPr>
        <w:rPr>
          <w:rFonts w:ascii="宋体" w:hAnsi="宋体" w:cs="宋体"/>
          <w:color w:val="auto"/>
          <w:sz w:val="36"/>
          <w:szCs w:val="36"/>
          <w:highlight w:val="none"/>
        </w:rPr>
        <w:sectPr>
          <w:pgSz w:w="11905" w:h="16838"/>
          <w:pgMar w:top="1429" w:right="1429" w:bottom="1429" w:left="1429" w:header="850" w:footer="992" w:gutter="0"/>
          <w:cols w:space="0" w:num="1"/>
          <w:rtlGutter w:val="0"/>
          <w:docGrid w:linePitch="360" w:charSpace="0"/>
        </w:sectPr>
      </w:pPr>
    </w:p>
    <w:p w14:paraId="4673903E">
      <w:pPr>
        <w:adjustRightInd w:val="0"/>
        <w:snapToGrid w:val="0"/>
        <w:spacing w:line="360" w:lineRule="auto"/>
        <w:ind w:firstLine="723" w:firstLineChars="200"/>
        <w:jc w:val="center"/>
        <w:rPr>
          <w:rFonts w:ascii="宋体" w:hAnsi="宋体" w:cs="宋体"/>
          <w:color w:val="auto"/>
          <w:sz w:val="28"/>
          <w:szCs w:val="28"/>
          <w:highlight w:val="none"/>
        </w:rPr>
      </w:pPr>
      <w:r>
        <w:rPr>
          <w:rFonts w:hint="eastAsia" w:ascii="宋体" w:hAnsi="宋体" w:cs="宋体"/>
          <w:b/>
          <w:color w:val="auto"/>
          <w:sz w:val="36"/>
          <w:szCs w:val="36"/>
          <w:highlight w:val="none"/>
        </w:rPr>
        <w:t>第六部分  质疑提出和处理</w:t>
      </w:r>
    </w:p>
    <w:p w14:paraId="6B2A19E2">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一、质疑的提出</w:t>
      </w:r>
    </w:p>
    <w:p w14:paraId="2D1DB9CF">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（一）质疑人的身份要求      </w:t>
      </w:r>
    </w:p>
    <w:p w14:paraId="5BD31359">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1.提出质疑的供应商应当是参与所质疑项目采购活动的供应商。</w:t>
      </w:r>
    </w:p>
    <w:p w14:paraId="4085FF5D">
      <w:pPr>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2.潜在供应商已依法获取其可质疑的采购文件的，可以对该文件提出质疑。对采购文件提出质疑的，应当在获取采购文件或者采购文件公告期限届满之日起7个工作日内提出。</w:t>
      </w:r>
    </w:p>
    <w:p w14:paraId="4B31452F">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（二）质疑提出的格式要求   </w:t>
      </w:r>
    </w:p>
    <w:p w14:paraId="5BA596E3">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1.质疑</w:t>
      </w:r>
      <w:r>
        <w:rPr>
          <w:rFonts w:hint="eastAsia" w:ascii="宋体" w:hAnsi="宋体" w:cs="宋体"/>
          <w:color w:val="auto"/>
          <w:kern w:val="0"/>
          <w:sz w:val="24"/>
          <w:highlight w:val="none"/>
        </w:rPr>
        <w:t>应</w:t>
      </w:r>
      <w:r>
        <w:rPr>
          <w:rFonts w:hint="eastAsia" w:ascii="宋体" w:hAnsi="宋体" w:cs="宋体"/>
          <w:color w:val="auto"/>
          <w:kern w:val="0"/>
          <w:sz w:val="24"/>
          <w:highlight w:val="none"/>
          <w:lang w:val="zh-CN"/>
        </w:rPr>
        <w:t>参照《中华人民共和国政府采购法》、《中华人民共和国政府采购法实施条例》及《江苏省政府采购供应商监督管理暂行办法》的相关规定提交，质疑实行实名制，不得进行虚假、恶意质疑，未按上述要求提交的质疑函，采购人有权不予受理。</w:t>
      </w:r>
    </w:p>
    <w:p w14:paraId="4C4C318A">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2.质疑函应包括：    </w:t>
      </w:r>
    </w:p>
    <w:p w14:paraId="35FF914E">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（1）质疑供应商的名称、地址、邮编、联系人及联系电话；</w:t>
      </w:r>
    </w:p>
    <w:p w14:paraId="7E9FB8F5">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（2）具体、明确的质疑事项及明确的请求；</w:t>
      </w:r>
    </w:p>
    <w:p w14:paraId="147EBFBE">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（3）质疑的事实依据和必要的法律依据；</w:t>
      </w:r>
    </w:p>
    <w:p w14:paraId="2A3F41F6">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（4）提起质疑的日期；</w:t>
      </w:r>
    </w:p>
    <w:p w14:paraId="2A8E3379">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（5）认为自己合法权益受到损害或可能受到损害的相关证据材料；                            </w:t>
      </w:r>
    </w:p>
    <w:p w14:paraId="2D43CE99">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（6）质疑函应当署名：质疑人为自然人的，应当由本人签字并附有效身份证明；质疑人为法人或其他组织的，应当由法定代表人签字并加盖单位公章，未按要求签字和盖章的为无效质疑，</w:t>
      </w:r>
      <w:r>
        <w:rPr>
          <w:rFonts w:hint="eastAsia" w:ascii="宋体" w:hAnsi="宋体" w:cs="宋体"/>
          <w:color w:val="auto"/>
          <w:kern w:val="0"/>
          <w:sz w:val="24"/>
          <w:highlight w:val="none"/>
        </w:rPr>
        <w:t>采购人</w:t>
      </w:r>
      <w:r>
        <w:rPr>
          <w:rFonts w:hint="eastAsia" w:ascii="宋体" w:hAnsi="宋体" w:cs="宋体"/>
          <w:color w:val="auto"/>
          <w:kern w:val="0"/>
          <w:sz w:val="24"/>
          <w:highlight w:val="none"/>
          <w:lang w:val="zh-CN"/>
        </w:rPr>
        <w:t>将不予受理。质疑人委托代理质疑的，应当向采购人提交授权委托书，并载明委托代理的具体权限和事项。</w:t>
      </w:r>
    </w:p>
    <w:p w14:paraId="69FD880E">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3.质疑函需遵循的原则：</w:t>
      </w:r>
    </w:p>
    <w:p w14:paraId="2A95D437">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提出质疑时，必须坚持“谁主张，谁举证”、“实事求是”的原则，不能臆测。属于须由法定部门调查、侦查或先行作出相关认定的事项，质疑人应当依法申请具有法定职权的部门查清、认定，并将相关结果提供给</w:t>
      </w:r>
      <w:r>
        <w:rPr>
          <w:rFonts w:hint="eastAsia" w:ascii="宋体" w:hAnsi="宋体" w:cs="宋体"/>
          <w:color w:val="auto"/>
          <w:kern w:val="0"/>
          <w:sz w:val="24"/>
          <w:highlight w:val="none"/>
        </w:rPr>
        <w:t>采购</w:t>
      </w:r>
      <w:r>
        <w:rPr>
          <w:rFonts w:hint="eastAsia" w:ascii="宋体" w:hAnsi="宋体" w:cs="宋体"/>
          <w:color w:val="auto"/>
          <w:kern w:val="0"/>
          <w:sz w:val="24"/>
          <w:highlight w:val="none"/>
          <w:lang w:val="zh-CN"/>
        </w:rPr>
        <w:t>人。</w:t>
      </w:r>
      <w:r>
        <w:rPr>
          <w:rFonts w:hint="eastAsia" w:ascii="宋体" w:hAnsi="宋体" w:cs="宋体"/>
          <w:color w:val="auto"/>
          <w:kern w:val="0"/>
          <w:sz w:val="24"/>
          <w:highlight w:val="none"/>
        </w:rPr>
        <w:t>采购</w:t>
      </w:r>
      <w:r>
        <w:rPr>
          <w:rFonts w:hint="eastAsia" w:ascii="宋体" w:hAnsi="宋体" w:cs="宋体"/>
          <w:color w:val="auto"/>
          <w:kern w:val="0"/>
          <w:sz w:val="24"/>
          <w:highlight w:val="none"/>
          <w:lang w:val="zh-CN"/>
        </w:rPr>
        <w:t>人不具有法定调查、认定权限。</w:t>
      </w:r>
    </w:p>
    <w:p w14:paraId="68D26BBB">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（三）质疑提出的时效要求</w:t>
      </w:r>
    </w:p>
    <w:p w14:paraId="5405C969">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1.供应商认为采购文件、采购过程和采购结果使自己的权益受到损害的，可以在知道或应知其权益受到损害之日起七个工作日内，以书面形式向采购人或采购人提出质疑。上述应知其权益受到损害之日，是指：                       </w:t>
      </w:r>
    </w:p>
    <w:p w14:paraId="39464067">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（1）对可以质疑的采购文件提出质疑的，为收到采购文件之日或者采购文件公告期限届满之日；</w:t>
      </w:r>
    </w:p>
    <w:p w14:paraId="75672A27">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（2）对采购过程提出质疑的，为各采购程序环节结束之日；</w:t>
      </w:r>
    </w:p>
    <w:p w14:paraId="4BB85339">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（3）对成交或者成交结果提出质疑的，为成交或者成交结果公告期限届满之日。                 </w:t>
      </w:r>
    </w:p>
    <w:p w14:paraId="0E64F7EF">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供应商认为采购文件使自己的权益受到损害的，可以按照</w:t>
      </w:r>
      <w:r>
        <w:rPr>
          <w:rFonts w:hint="eastAsia" w:ascii="宋体" w:hAnsi="宋体" w:cs="宋体"/>
          <w:color w:val="auto"/>
          <w:kern w:val="0"/>
          <w:sz w:val="24"/>
          <w:highlight w:val="none"/>
        </w:rPr>
        <w:t>采购</w:t>
      </w:r>
      <w:r>
        <w:rPr>
          <w:rFonts w:hint="eastAsia" w:ascii="宋体" w:hAnsi="宋体" w:cs="宋体"/>
          <w:color w:val="auto"/>
          <w:kern w:val="0"/>
          <w:sz w:val="24"/>
          <w:highlight w:val="none"/>
          <w:lang w:val="zh-CN"/>
        </w:rPr>
        <w:t>公告第八项要求向采购人提出质疑；供应商认为采购过程和采购结果使自己的权益受到损害的，可以以书面形式向采购人或采购人提出质疑。</w:t>
      </w:r>
    </w:p>
    <w:p w14:paraId="0F5C4017">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2.供应商应在法定质疑期一次性提出针对同一采购程序环节的质疑。                         </w:t>
      </w:r>
    </w:p>
    <w:p w14:paraId="6995FEC0">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二、《质疑函》的受理和答复</w:t>
      </w:r>
    </w:p>
    <w:p w14:paraId="46E4E4D0">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 采购人收到质疑函后，将对质疑的形式和内容进行审查，如质疑函内容、格式不符合规定，采购人将告知质疑人进行补正。</w:t>
      </w:r>
    </w:p>
    <w:p w14:paraId="729BE344">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 质疑人应当在法定质疑期限内进行补正并重新提交质疑函，拒不补正或者在法定期限内未重新提交质疑函的，为无效质疑，采购人将不予受理。</w:t>
      </w:r>
    </w:p>
    <w:p w14:paraId="4219EB97">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3.采购人或采购代理机构答复供应商质疑应当采用书面方式并依法送达，质疑供应商或其委托代理人拒绝签收的视为已经送达。</w:t>
      </w:r>
    </w:p>
    <w:p w14:paraId="5CEB9FEC">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三、质疑处理</w:t>
      </w:r>
    </w:p>
    <w:p w14:paraId="4AD88EA4">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 质疑成立的处理</w:t>
      </w:r>
    </w:p>
    <w:p w14:paraId="370B2629">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（1）对于内容、格式符合规定的质疑函，采购人在收到磋商供应商的书面质疑后七个工作日内作出书面答复，但答复的内容不得涉及商业秘密。                       </w:t>
      </w:r>
    </w:p>
    <w:p w14:paraId="5B281983">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（2）对采购文件提出的质疑，依法通过澄清或者修改可以继续开展采购活动的，澄清或者修改采购文件后继续开展采购活动；否则应当修改采购文件后重新开展采购活动。</w:t>
      </w:r>
    </w:p>
    <w:p w14:paraId="1F1D2882">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（3）对采购过程、成交或者成交结果提出的质疑，合格供应商符合法定数量时，可以从合格的成交候选人中另行确定成交、成交供应商的，应当依法另行确定成交供应商；否则应当重新开展采购活动。</w:t>
      </w:r>
    </w:p>
    <w:p w14:paraId="2082224C">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质疑答复导致成交、成交结果改变的，采购人或者采购代理机构应当将有关情况书面报告本级财政部门。</w:t>
      </w:r>
    </w:p>
    <w:p w14:paraId="36E49C0E">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2.质疑不成立的处理</w:t>
      </w:r>
    </w:p>
    <w:p w14:paraId="22CE6F54">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若质疑不成立，或者成立未对成交、成交结果构成影响的，继续开展采购活动。                  </w:t>
      </w:r>
    </w:p>
    <w:p w14:paraId="65C188B3">
      <w:pPr>
        <w:adjustRightInd w:val="0"/>
        <w:snapToGrid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3.虚假质疑的处理          </w:t>
      </w:r>
    </w:p>
    <w:p w14:paraId="16770E63">
      <w:pPr>
        <w:pStyle w:val="7"/>
        <w:adjustRightInd w:val="0"/>
        <w:snapToGrid w:val="0"/>
        <w:spacing w:after="0" w:line="360" w:lineRule="auto"/>
        <w:ind w:left="0" w:leftChars="0"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 xml:space="preserve">供应商提出书面质疑必须有理、有据，不得恶意质疑或提交虚假质疑。否则，一经查实，采购人有权依据相关规定，报请主管部门对该供应商进行相应的处罚。                      </w:t>
      </w:r>
    </w:p>
    <w:p w14:paraId="1ED3AA60">
      <w:pPr>
        <w:autoSpaceDE w:val="0"/>
        <w:autoSpaceDN w:val="0"/>
        <w:adjustRightInd w:val="0"/>
        <w:snapToGrid w:val="0"/>
        <w:spacing w:line="300" w:lineRule="auto"/>
        <w:contextualSpacing/>
        <w:rPr>
          <w:rFonts w:ascii="宋体" w:hAnsi="宋体" w:cs="宋体"/>
          <w:color w:val="auto"/>
          <w:sz w:val="28"/>
          <w:szCs w:val="28"/>
          <w:highlight w:val="none"/>
          <w:lang w:val="zh-CN"/>
        </w:rPr>
      </w:pPr>
    </w:p>
    <w:p w14:paraId="7C2133C9">
      <w:pPr>
        <w:autoSpaceDE w:val="0"/>
        <w:autoSpaceDN w:val="0"/>
        <w:adjustRightInd w:val="0"/>
        <w:snapToGrid w:val="0"/>
        <w:spacing w:line="300" w:lineRule="auto"/>
        <w:ind w:left="3630" w:right="210" w:hanging="3092"/>
        <w:outlineLvl w:val="0"/>
        <w:rPr>
          <w:rFonts w:ascii="宋体" w:hAnsi="宋体" w:cs="宋体"/>
          <w:color w:val="auto"/>
          <w:sz w:val="28"/>
          <w:szCs w:val="28"/>
          <w:highlight w:val="none"/>
          <w:lang w:val="zh-CN"/>
        </w:rPr>
      </w:pPr>
    </w:p>
    <w:p w14:paraId="63D28D1E">
      <w:pPr>
        <w:autoSpaceDE w:val="0"/>
        <w:autoSpaceDN w:val="0"/>
        <w:adjustRightInd w:val="0"/>
        <w:snapToGrid w:val="0"/>
        <w:spacing w:line="300" w:lineRule="auto"/>
        <w:ind w:left="4513" w:right="210" w:hanging="4513"/>
        <w:jc w:val="center"/>
        <w:rPr>
          <w:rFonts w:ascii="宋体" w:hAnsi="宋体" w:cs="宋体"/>
          <w:b/>
          <w:bCs/>
          <w:color w:val="auto"/>
          <w:sz w:val="36"/>
          <w:szCs w:val="36"/>
          <w:highlight w:val="none"/>
          <w:lang w:val="zh-CN"/>
        </w:rPr>
      </w:pPr>
    </w:p>
    <w:p w14:paraId="5C4A7867">
      <w:pPr>
        <w:autoSpaceDE w:val="0"/>
        <w:autoSpaceDN w:val="0"/>
        <w:adjustRightInd w:val="0"/>
        <w:snapToGrid w:val="0"/>
        <w:spacing w:line="300" w:lineRule="auto"/>
        <w:ind w:left="4513" w:right="210" w:hanging="4513"/>
        <w:jc w:val="center"/>
        <w:rPr>
          <w:rFonts w:ascii="宋体" w:hAnsi="宋体" w:cs="宋体"/>
          <w:b/>
          <w:bCs/>
          <w:color w:val="auto"/>
          <w:sz w:val="36"/>
          <w:szCs w:val="36"/>
          <w:highlight w:val="none"/>
          <w:lang w:val="zh-CN"/>
        </w:rPr>
      </w:pPr>
    </w:p>
    <w:p w14:paraId="14E2EFA8">
      <w:pPr>
        <w:autoSpaceDE w:val="0"/>
        <w:autoSpaceDN w:val="0"/>
        <w:adjustRightInd w:val="0"/>
        <w:snapToGrid w:val="0"/>
        <w:spacing w:line="300" w:lineRule="auto"/>
        <w:ind w:left="4513" w:right="210" w:hanging="4513"/>
        <w:jc w:val="center"/>
        <w:rPr>
          <w:rFonts w:ascii="宋体" w:hAnsi="宋体" w:cs="宋体"/>
          <w:b/>
          <w:bCs/>
          <w:color w:val="auto"/>
          <w:sz w:val="36"/>
          <w:szCs w:val="36"/>
          <w:highlight w:val="none"/>
          <w:lang w:val="zh-CN"/>
        </w:rPr>
      </w:pPr>
    </w:p>
    <w:p w14:paraId="04D3A248">
      <w:pPr>
        <w:autoSpaceDE w:val="0"/>
        <w:autoSpaceDN w:val="0"/>
        <w:adjustRightInd w:val="0"/>
        <w:snapToGrid w:val="0"/>
        <w:spacing w:line="300" w:lineRule="auto"/>
        <w:ind w:left="4513" w:right="210" w:hanging="4513"/>
        <w:jc w:val="center"/>
        <w:rPr>
          <w:rFonts w:ascii="宋体" w:hAnsi="宋体" w:cs="宋体"/>
          <w:b/>
          <w:bCs/>
          <w:color w:val="auto"/>
          <w:sz w:val="36"/>
          <w:szCs w:val="36"/>
          <w:highlight w:val="none"/>
          <w:lang w:val="zh-CN"/>
        </w:rPr>
      </w:pPr>
    </w:p>
    <w:p w14:paraId="03DE0747">
      <w:pPr>
        <w:autoSpaceDE w:val="0"/>
        <w:autoSpaceDN w:val="0"/>
        <w:adjustRightInd w:val="0"/>
        <w:snapToGrid w:val="0"/>
        <w:spacing w:line="300" w:lineRule="auto"/>
        <w:ind w:left="4513" w:right="210" w:hanging="4513"/>
        <w:jc w:val="center"/>
        <w:rPr>
          <w:rFonts w:ascii="宋体" w:hAnsi="宋体" w:cs="宋体"/>
          <w:b/>
          <w:bCs/>
          <w:color w:val="auto"/>
          <w:sz w:val="36"/>
          <w:szCs w:val="36"/>
          <w:highlight w:val="none"/>
          <w:lang w:val="zh-CN"/>
        </w:rPr>
      </w:pPr>
    </w:p>
    <w:p w14:paraId="4572317B">
      <w:pPr>
        <w:autoSpaceDE w:val="0"/>
        <w:autoSpaceDN w:val="0"/>
        <w:adjustRightInd w:val="0"/>
        <w:snapToGrid w:val="0"/>
        <w:spacing w:line="300" w:lineRule="auto"/>
        <w:ind w:left="4513" w:right="210" w:hanging="4513"/>
        <w:jc w:val="center"/>
        <w:rPr>
          <w:rFonts w:ascii="宋体" w:hAnsi="宋体" w:cs="宋体"/>
          <w:b/>
          <w:bCs/>
          <w:color w:val="auto"/>
          <w:sz w:val="36"/>
          <w:szCs w:val="36"/>
          <w:highlight w:val="none"/>
          <w:lang w:val="zh-CN"/>
        </w:rPr>
      </w:pPr>
    </w:p>
    <w:p w14:paraId="15ADA923">
      <w:pPr>
        <w:autoSpaceDE w:val="0"/>
        <w:autoSpaceDN w:val="0"/>
        <w:adjustRightInd w:val="0"/>
        <w:snapToGrid w:val="0"/>
        <w:spacing w:line="300" w:lineRule="auto"/>
        <w:ind w:left="4513" w:right="210" w:hanging="4513"/>
        <w:jc w:val="center"/>
        <w:rPr>
          <w:rFonts w:ascii="宋体" w:hAnsi="宋体" w:cs="宋体"/>
          <w:b/>
          <w:bCs/>
          <w:color w:val="auto"/>
          <w:sz w:val="36"/>
          <w:szCs w:val="36"/>
          <w:highlight w:val="none"/>
          <w:lang w:val="zh-CN"/>
        </w:rPr>
      </w:pPr>
    </w:p>
    <w:p w14:paraId="59F497E7">
      <w:pPr>
        <w:autoSpaceDE w:val="0"/>
        <w:autoSpaceDN w:val="0"/>
        <w:adjustRightInd w:val="0"/>
        <w:snapToGrid w:val="0"/>
        <w:spacing w:line="300" w:lineRule="auto"/>
        <w:ind w:left="4513" w:right="210" w:hanging="4513"/>
        <w:jc w:val="center"/>
        <w:rPr>
          <w:rFonts w:ascii="宋体" w:hAnsi="宋体" w:cs="宋体"/>
          <w:b/>
          <w:bCs/>
          <w:color w:val="auto"/>
          <w:sz w:val="36"/>
          <w:szCs w:val="36"/>
          <w:highlight w:val="none"/>
          <w:lang w:val="zh-CN"/>
        </w:rPr>
      </w:pPr>
    </w:p>
    <w:p w14:paraId="4282A7C1">
      <w:pPr>
        <w:autoSpaceDE w:val="0"/>
        <w:autoSpaceDN w:val="0"/>
        <w:adjustRightInd w:val="0"/>
        <w:snapToGrid w:val="0"/>
        <w:spacing w:line="300" w:lineRule="auto"/>
        <w:ind w:left="4513" w:right="210" w:hanging="4513"/>
        <w:jc w:val="center"/>
        <w:rPr>
          <w:rFonts w:ascii="宋体" w:hAnsi="宋体" w:cs="宋体"/>
          <w:b/>
          <w:bCs/>
          <w:color w:val="auto"/>
          <w:sz w:val="36"/>
          <w:szCs w:val="36"/>
          <w:highlight w:val="none"/>
          <w:lang w:val="zh-CN"/>
        </w:rPr>
      </w:pPr>
    </w:p>
    <w:p w14:paraId="1BA2BA35">
      <w:pPr>
        <w:autoSpaceDE w:val="0"/>
        <w:autoSpaceDN w:val="0"/>
        <w:adjustRightInd w:val="0"/>
        <w:snapToGrid w:val="0"/>
        <w:spacing w:line="300" w:lineRule="auto"/>
        <w:ind w:left="4513" w:right="210" w:hanging="4513"/>
        <w:jc w:val="center"/>
        <w:rPr>
          <w:rFonts w:ascii="宋体" w:hAnsi="宋体" w:cs="宋体"/>
          <w:b/>
          <w:bCs/>
          <w:color w:val="auto"/>
          <w:sz w:val="36"/>
          <w:szCs w:val="36"/>
          <w:highlight w:val="none"/>
          <w:lang w:val="zh-CN"/>
        </w:rPr>
      </w:pPr>
    </w:p>
    <w:p w14:paraId="3E1C0DA8">
      <w:pPr>
        <w:autoSpaceDE w:val="0"/>
        <w:autoSpaceDN w:val="0"/>
        <w:adjustRightInd w:val="0"/>
        <w:snapToGrid w:val="0"/>
        <w:spacing w:line="300" w:lineRule="auto"/>
        <w:ind w:left="4513" w:right="210" w:hanging="4513"/>
        <w:jc w:val="center"/>
        <w:rPr>
          <w:rFonts w:ascii="宋体" w:hAnsi="宋体" w:cs="宋体"/>
          <w:b/>
          <w:bCs/>
          <w:color w:val="auto"/>
          <w:sz w:val="36"/>
          <w:szCs w:val="36"/>
          <w:highlight w:val="none"/>
          <w:lang w:val="zh-CN"/>
        </w:rPr>
      </w:pPr>
    </w:p>
    <w:p w14:paraId="13241A3F">
      <w:pPr>
        <w:autoSpaceDE w:val="0"/>
        <w:autoSpaceDN w:val="0"/>
        <w:adjustRightInd w:val="0"/>
        <w:snapToGrid w:val="0"/>
        <w:spacing w:line="300" w:lineRule="auto"/>
        <w:ind w:left="4513" w:right="210" w:hanging="4513"/>
        <w:jc w:val="center"/>
        <w:rPr>
          <w:rFonts w:ascii="宋体" w:hAnsi="宋体" w:cs="宋体"/>
          <w:b/>
          <w:bCs/>
          <w:color w:val="auto"/>
          <w:sz w:val="36"/>
          <w:szCs w:val="36"/>
          <w:highlight w:val="none"/>
          <w:lang w:val="zh-CN"/>
        </w:rPr>
      </w:pPr>
    </w:p>
    <w:p w14:paraId="0B157812">
      <w:pPr>
        <w:widowControl/>
        <w:jc w:val="center"/>
        <w:rPr>
          <w:rFonts w:ascii="宋体" w:hAnsi="宋体" w:cs="宋体"/>
          <w:bCs/>
          <w:color w:val="auto"/>
          <w:sz w:val="44"/>
          <w:szCs w:val="44"/>
          <w:highlight w:val="none"/>
        </w:rPr>
      </w:pPr>
      <w:r>
        <w:rPr>
          <w:rFonts w:hint="eastAsia" w:ascii="宋体" w:hAnsi="宋体" w:cs="宋体"/>
          <w:b/>
          <w:bCs/>
          <w:color w:val="auto"/>
          <w:sz w:val="36"/>
          <w:szCs w:val="36"/>
          <w:highlight w:val="none"/>
          <w:lang w:val="zh-CN"/>
        </w:rPr>
        <w:br w:type="page"/>
      </w:r>
      <w:r>
        <w:rPr>
          <w:rFonts w:hint="eastAsia" w:ascii="宋体" w:hAnsi="宋体" w:cs="宋体"/>
          <w:bCs/>
          <w:color w:val="auto"/>
          <w:sz w:val="44"/>
          <w:szCs w:val="44"/>
          <w:highlight w:val="none"/>
        </w:rPr>
        <w:t>质疑函范本</w:t>
      </w:r>
    </w:p>
    <w:p w14:paraId="5856EB40">
      <w:pPr>
        <w:adjustRightInd w:val="0"/>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6F75B50B">
      <w:pPr>
        <w:adjustRightInd w:val="0"/>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p>
    <w:p w14:paraId="275C5A5D">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               邮编：</w:t>
      </w:r>
    </w:p>
    <w:p w14:paraId="0F0A136C">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             联系电话：</w:t>
      </w:r>
    </w:p>
    <w:p w14:paraId="6CD365B1">
      <w:pPr>
        <w:adjustRightInd w:val="0"/>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p>
    <w:p w14:paraId="6F58E7CA">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p>
    <w:p w14:paraId="52A559C0">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               邮编：</w:t>
      </w:r>
    </w:p>
    <w:p w14:paraId="04B04EBC">
      <w:pPr>
        <w:adjustRightInd w:val="0"/>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067E2F57">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p>
    <w:p w14:paraId="567CFE2B">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     包号：</w:t>
      </w:r>
    </w:p>
    <w:p w14:paraId="26B13684">
      <w:pPr>
        <w:adjustRightInd w:val="0"/>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p>
    <w:p w14:paraId="2A585F6C">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采购文件获取日期：</w:t>
      </w:r>
    </w:p>
    <w:p w14:paraId="0E6ABE56">
      <w:pPr>
        <w:adjustRightInd w:val="0"/>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342E9FAC">
      <w:pPr>
        <w:adjustRightInd w:val="0"/>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p>
    <w:p w14:paraId="6A5ACCAA">
      <w:pPr>
        <w:adjustRightInd w:val="0"/>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p>
    <w:p w14:paraId="38029908">
      <w:pPr>
        <w:adjustRightInd w:val="0"/>
        <w:snapToGrid w:val="0"/>
        <w:spacing w:line="360" w:lineRule="auto"/>
        <w:rPr>
          <w:rFonts w:ascii="宋体" w:hAnsi="宋体" w:cs="宋体"/>
          <w:color w:val="auto"/>
          <w:sz w:val="24"/>
          <w:highlight w:val="none"/>
        </w:rPr>
      </w:pPr>
    </w:p>
    <w:p w14:paraId="622A4385">
      <w:pPr>
        <w:adjustRightInd w:val="0"/>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p>
    <w:p w14:paraId="52981C5D">
      <w:pPr>
        <w:adjustRightInd w:val="0"/>
        <w:snapToGrid w:val="0"/>
        <w:spacing w:line="360" w:lineRule="auto"/>
        <w:rPr>
          <w:rFonts w:ascii="宋体" w:hAnsi="宋体" w:cs="宋体"/>
          <w:color w:val="auto"/>
          <w:sz w:val="24"/>
          <w:highlight w:val="none"/>
          <w:u w:val="dotted"/>
        </w:rPr>
      </w:pPr>
    </w:p>
    <w:p w14:paraId="09A6C7C2">
      <w:pPr>
        <w:adjustRightInd w:val="0"/>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2709400D">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6409DA41">
      <w:pPr>
        <w:adjustRightInd w:val="0"/>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01C0E4A8">
      <w:pPr>
        <w:adjustRightInd w:val="0"/>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p>
    <w:p w14:paraId="1FB956D0">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52367640">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3506F85F">
      <w:pPr>
        <w:adjustRightInd w:val="0"/>
        <w:snapToGrid w:val="0"/>
        <w:spacing w:line="360" w:lineRule="auto"/>
        <w:rPr>
          <w:rFonts w:ascii="宋体" w:hAnsi="宋体" w:cs="宋体"/>
          <w:color w:val="auto"/>
          <w:sz w:val="32"/>
          <w:szCs w:val="32"/>
          <w:highlight w:val="none"/>
        </w:rPr>
      </w:pPr>
    </w:p>
    <w:p w14:paraId="717AD1B5">
      <w:pPr>
        <w:adjustRightInd w:val="0"/>
        <w:snapToGrid w:val="0"/>
        <w:spacing w:line="360" w:lineRule="auto"/>
        <w:rPr>
          <w:rFonts w:ascii="宋体" w:hAnsi="宋体" w:cs="宋体"/>
          <w:b/>
          <w:color w:val="auto"/>
          <w:sz w:val="32"/>
          <w:szCs w:val="32"/>
          <w:highlight w:val="none"/>
        </w:rPr>
      </w:pPr>
    </w:p>
    <w:p w14:paraId="50C8805D">
      <w:pPr>
        <w:adjustRightInd w:val="0"/>
        <w:snapToGrid w:val="0"/>
        <w:spacing w:line="360" w:lineRule="auto"/>
        <w:rPr>
          <w:rFonts w:ascii="宋体" w:hAnsi="宋体" w:cs="宋体"/>
          <w:b/>
          <w:color w:val="auto"/>
          <w:sz w:val="32"/>
          <w:szCs w:val="32"/>
          <w:highlight w:val="none"/>
        </w:rPr>
      </w:pPr>
      <w:r>
        <w:rPr>
          <w:rFonts w:hint="eastAsia" w:ascii="宋体" w:hAnsi="宋体" w:cs="宋体"/>
          <w:b/>
          <w:color w:val="auto"/>
          <w:sz w:val="32"/>
          <w:szCs w:val="32"/>
          <w:highlight w:val="none"/>
        </w:rPr>
        <w:br w:type="page"/>
      </w:r>
    </w:p>
    <w:p w14:paraId="7AC5A27B">
      <w:pPr>
        <w:adjustRightInd w:val="0"/>
        <w:snapToGrid w:val="0"/>
        <w:spacing w:line="360" w:lineRule="auto"/>
        <w:rPr>
          <w:rFonts w:ascii="宋体" w:hAnsi="宋体" w:cs="宋体"/>
          <w:b/>
          <w:color w:val="auto"/>
          <w:sz w:val="32"/>
          <w:szCs w:val="32"/>
          <w:highlight w:val="none"/>
        </w:rPr>
      </w:pPr>
      <w:r>
        <w:rPr>
          <w:rFonts w:hint="eastAsia" w:ascii="宋体" w:hAnsi="宋体" w:cs="宋体"/>
          <w:b/>
          <w:color w:val="auto"/>
          <w:sz w:val="32"/>
          <w:szCs w:val="32"/>
          <w:highlight w:val="none"/>
        </w:rPr>
        <w:t>质疑函制作说明：</w:t>
      </w:r>
    </w:p>
    <w:p w14:paraId="0458EA00">
      <w:pPr>
        <w:widowControl/>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05548B68">
      <w:pPr>
        <w:widowControl/>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60EED58B">
      <w:pPr>
        <w:widowControl/>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3.质疑供应商若对项目的某一分包进行质疑，质疑函中应列明具体分包号。</w:t>
      </w:r>
    </w:p>
    <w:p w14:paraId="00C66E87">
      <w:pPr>
        <w:widowControl/>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4.质疑函的质疑事项应具体、明确，并有必要的事实依据和法律依据。</w:t>
      </w:r>
    </w:p>
    <w:p w14:paraId="440B876C">
      <w:pPr>
        <w:widowControl/>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5.质疑函的质疑请求应与质疑事项相关。</w:t>
      </w:r>
    </w:p>
    <w:p w14:paraId="09AB7C5B">
      <w:pPr>
        <w:widowControl/>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3EC569D3">
      <w:pPr>
        <w:widowControl/>
        <w:jc w:val="left"/>
        <w:rPr>
          <w:rFonts w:ascii="宋体" w:hAnsi="宋体" w:cs="宋体"/>
          <w:b/>
          <w:bCs/>
          <w:color w:val="auto"/>
          <w:sz w:val="36"/>
          <w:szCs w:val="36"/>
          <w:highlight w:val="none"/>
        </w:rPr>
      </w:pPr>
      <w:r>
        <w:rPr>
          <w:rFonts w:hint="eastAsia" w:ascii="宋体" w:hAnsi="宋体" w:cs="宋体"/>
          <w:b/>
          <w:bCs/>
          <w:color w:val="auto"/>
          <w:sz w:val="36"/>
          <w:szCs w:val="36"/>
          <w:highlight w:val="none"/>
        </w:rPr>
        <w:br w:type="page"/>
      </w:r>
    </w:p>
    <w:p w14:paraId="5DDE8299">
      <w:pPr>
        <w:autoSpaceDE w:val="0"/>
        <w:autoSpaceDN w:val="0"/>
        <w:adjustRightInd w:val="0"/>
        <w:snapToGrid w:val="0"/>
        <w:ind w:left="4513" w:right="210" w:hanging="4513"/>
        <w:jc w:val="center"/>
        <w:rPr>
          <w:rFonts w:ascii="宋体" w:hAnsi="宋体" w:cs="宋体"/>
          <w:b/>
          <w:bCs/>
          <w:color w:val="auto"/>
          <w:sz w:val="36"/>
          <w:szCs w:val="36"/>
          <w:highlight w:val="none"/>
          <w:lang w:val="zh-CN"/>
        </w:rPr>
      </w:pPr>
      <w:r>
        <w:rPr>
          <w:rFonts w:hint="eastAsia" w:ascii="宋体" w:hAnsi="宋体" w:cs="宋体"/>
          <w:b/>
          <w:bCs/>
          <w:color w:val="auto"/>
          <w:sz w:val="36"/>
          <w:szCs w:val="36"/>
          <w:highlight w:val="none"/>
          <w:lang w:val="zh-CN"/>
        </w:rPr>
        <w:t>第七部分  响应文件组成</w:t>
      </w:r>
    </w:p>
    <w:p w14:paraId="63DDACC4">
      <w:pPr>
        <w:snapToGrid w:val="0"/>
        <w:spacing w:line="440" w:lineRule="exact"/>
        <w:ind w:firstLine="458" w:firstLineChars="200"/>
        <w:jc w:val="left"/>
        <w:rPr>
          <w:rFonts w:ascii="宋体" w:hAnsi="宋体" w:cs="宋体"/>
          <w:b/>
          <w:color w:val="auto"/>
          <w:spacing w:val="-6"/>
          <w:sz w:val="24"/>
          <w:highlight w:val="none"/>
        </w:rPr>
      </w:pPr>
      <w:r>
        <w:rPr>
          <w:rFonts w:hint="eastAsia" w:ascii="宋体" w:hAnsi="宋体" w:cs="宋体"/>
          <w:b/>
          <w:color w:val="auto"/>
          <w:spacing w:val="-6"/>
          <w:sz w:val="24"/>
          <w:highlight w:val="none"/>
        </w:rPr>
        <w:t>响应文件由资格审查、商务技术文件、价格响应文件、电子版响应文件四</w:t>
      </w:r>
      <w:r>
        <w:rPr>
          <w:rFonts w:hint="eastAsia" w:ascii="宋体" w:hAnsi="宋体" w:cs="宋体"/>
          <w:b/>
          <w:color w:val="auto"/>
          <w:sz w:val="24"/>
          <w:highlight w:val="none"/>
        </w:rPr>
        <w:t>部分组成</w:t>
      </w:r>
      <w:r>
        <w:rPr>
          <w:rFonts w:hint="eastAsia" w:ascii="宋体" w:hAnsi="宋体" w:cs="宋体"/>
          <w:b/>
          <w:color w:val="auto"/>
          <w:spacing w:val="-6"/>
          <w:sz w:val="24"/>
          <w:highlight w:val="none"/>
        </w:rPr>
        <w:t>。</w:t>
      </w:r>
    </w:p>
    <w:p w14:paraId="3F704D21">
      <w:pPr>
        <w:snapToGrid w:val="0"/>
        <w:spacing w:line="440" w:lineRule="exact"/>
        <w:ind w:firstLine="482" w:firstLineChars="200"/>
        <w:contextualSpacing/>
        <w:rPr>
          <w:rFonts w:ascii="宋体" w:hAnsi="宋体" w:cs="宋体"/>
          <w:b/>
          <w:color w:val="auto"/>
          <w:sz w:val="24"/>
          <w:highlight w:val="none"/>
        </w:rPr>
      </w:pPr>
      <w:r>
        <w:rPr>
          <w:rFonts w:hint="eastAsia" w:ascii="宋体" w:hAnsi="宋体" w:cs="宋体"/>
          <w:b/>
          <w:color w:val="auto"/>
          <w:sz w:val="24"/>
          <w:highlight w:val="none"/>
        </w:rPr>
        <w:t>一、资格审查</w:t>
      </w:r>
    </w:p>
    <w:p w14:paraId="6C67BE40">
      <w:pPr>
        <w:tabs>
          <w:tab w:val="left" w:pos="3375"/>
        </w:tabs>
        <w:autoSpaceDE w:val="0"/>
        <w:autoSpaceDN w:val="0"/>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1.资格声明函原件；</w:t>
      </w:r>
    </w:p>
    <w:p w14:paraId="3BE23780">
      <w:pPr>
        <w:tabs>
          <w:tab w:val="left" w:pos="3375"/>
        </w:tabs>
        <w:autoSpaceDE w:val="0"/>
        <w:autoSpaceDN w:val="0"/>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2.授权委托书或法定代表人身份证明原件；</w:t>
      </w:r>
    </w:p>
    <w:p w14:paraId="0448E01F">
      <w:pPr>
        <w:tabs>
          <w:tab w:val="left" w:pos="3375"/>
        </w:tabs>
        <w:autoSpaceDE w:val="0"/>
        <w:autoSpaceDN w:val="0"/>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3.供应商信用承诺书原件；</w:t>
      </w:r>
    </w:p>
    <w:p w14:paraId="5995E321">
      <w:pPr>
        <w:tabs>
          <w:tab w:val="left" w:pos="3375"/>
        </w:tabs>
        <w:autoSpaceDE w:val="0"/>
        <w:autoSpaceDN w:val="0"/>
        <w:adjustRightInd w:val="0"/>
        <w:snapToGrid w:val="0"/>
        <w:spacing w:line="440" w:lineRule="exact"/>
        <w:ind w:firstLine="480" w:firstLineChars="2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lang w:val="en-US" w:eastAsia="zh-CN"/>
        </w:rPr>
        <w:t>4</w:t>
      </w:r>
      <w:r>
        <w:rPr>
          <w:rFonts w:hint="eastAsia" w:cs="宋体" w:asciiTheme="minorEastAsia" w:hAnsiTheme="minorEastAsia" w:eastAsiaTheme="minorEastAsia"/>
          <w:color w:val="auto"/>
          <w:sz w:val="24"/>
          <w:highlight w:val="none"/>
        </w:rPr>
        <w:t>.供应商基本情况表及按竞争性磋商公告资格要求提供相应的佐证材料（以下材料均须提供复印件（或扫描件）并加盖公章）；</w:t>
      </w:r>
    </w:p>
    <w:p w14:paraId="0558DF19">
      <w:pPr>
        <w:tabs>
          <w:tab w:val="left" w:pos="3375"/>
        </w:tabs>
        <w:autoSpaceDE w:val="0"/>
        <w:autoSpaceDN w:val="0"/>
        <w:adjustRightInd w:val="0"/>
        <w:snapToGrid w:val="0"/>
        <w:spacing w:line="440" w:lineRule="exact"/>
        <w:ind w:firstLine="480" w:firstLineChars="2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lang w:val="en-US" w:eastAsia="zh-CN"/>
        </w:rPr>
        <w:t>1</w:t>
      </w: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rPr>
        <w:t>企业法人营业执照或事业单位法人登记证明或社会组织或其他组织或自然人证明材料；</w:t>
      </w:r>
    </w:p>
    <w:p w14:paraId="3D9C237D">
      <w:pPr>
        <w:tabs>
          <w:tab w:val="left" w:pos="3375"/>
        </w:tabs>
        <w:autoSpaceDE w:val="0"/>
        <w:autoSpaceDN w:val="0"/>
        <w:adjustRightInd w:val="0"/>
        <w:snapToGrid w:val="0"/>
        <w:spacing w:line="440" w:lineRule="exact"/>
        <w:ind w:firstLine="480" w:firstLineChars="2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lang w:val="en-US" w:eastAsia="zh-CN"/>
        </w:rPr>
        <w:t>2</w:t>
      </w: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lang w:val="en-US" w:eastAsia="zh-CN"/>
        </w:rPr>
        <w:t>提供</w:t>
      </w:r>
      <w:r>
        <w:rPr>
          <w:rFonts w:hint="eastAsia" w:ascii="宋体" w:hAnsi="宋体" w:cs="宋体"/>
          <w:color w:val="auto"/>
          <w:sz w:val="24"/>
          <w:highlight w:val="none"/>
        </w:rPr>
        <w:t>供应商有效的交通运输部门颁发的公路工程试验检测综合甲级资质</w:t>
      </w:r>
      <w:r>
        <w:rPr>
          <w:rFonts w:hint="eastAsia" w:ascii="宋体" w:hAnsi="宋体" w:cs="宋体"/>
          <w:color w:val="auto"/>
          <w:sz w:val="24"/>
          <w:highlight w:val="none"/>
          <w:lang w:val="en-US" w:eastAsia="zh-CN"/>
        </w:rPr>
        <w:t>证书</w:t>
      </w:r>
      <w:r>
        <w:rPr>
          <w:rFonts w:hint="eastAsia" w:ascii="宋体" w:hAnsi="宋体" w:cs="宋体"/>
          <w:color w:val="auto"/>
          <w:sz w:val="24"/>
          <w:highlight w:val="none"/>
        </w:rPr>
        <w:t>或公路工程试验检测-甲级资质</w:t>
      </w:r>
      <w:r>
        <w:rPr>
          <w:rFonts w:hint="eastAsia" w:ascii="宋体" w:hAnsi="宋体" w:cs="宋体"/>
          <w:color w:val="auto"/>
          <w:sz w:val="24"/>
          <w:highlight w:val="none"/>
          <w:lang w:val="en-US" w:eastAsia="zh-CN"/>
        </w:rPr>
        <w:t>证书</w:t>
      </w:r>
      <w:r>
        <w:rPr>
          <w:rFonts w:hint="eastAsia" w:ascii="宋体" w:hAnsi="宋体" w:cs="宋体"/>
          <w:color w:val="auto"/>
          <w:sz w:val="24"/>
          <w:highlight w:val="none"/>
        </w:rPr>
        <w:t>或公路工程桥梁隧道工程专项检测资质</w:t>
      </w:r>
      <w:r>
        <w:rPr>
          <w:rFonts w:hint="eastAsia" w:ascii="宋体" w:hAnsi="宋体" w:cs="宋体"/>
          <w:color w:val="auto"/>
          <w:sz w:val="24"/>
          <w:highlight w:val="none"/>
          <w:lang w:val="en-US" w:eastAsia="zh-CN"/>
        </w:rPr>
        <w:t>证书</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并提供</w:t>
      </w:r>
      <w:r>
        <w:rPr>
          <w:rFonts w:hint="eastAsia" w:ascii="宋体" w:hAnsi="宋体" w:cs="宋体"/>
          <w:color w:val="auto"/>
          <w:sz w:val="24"/>
          <w:highlight w:val="none"/>
        </w:rPr>
        <w:t>有效的省级或以上主管部门颁发的计量认证证书（或资质认定证书）</w:t>
      </w:r>
      <w:r>
        <w:rPr>
          <w:rFonts w:hint="eastAsia" w:cs="宋体" w:asciiTheme="minorEastAsia" w:hAnsiTheme="minorEastAsia" w:eastAsiaTheme="minorEastAsia"/>
          <w:color w:val="auto"/>
          <w:sz w:val="24"/>
          <w:highlight w:val="none"/>
        </w:rPr>
        <w:t>；</w:t>
      </w:r>
    </w:p>
    <w:p w14:paraId="3E74E751">
      <w:pPr>
        <w:tabs>
          <w:tab w:val="left" w:pos="3375"/>
        </w:tabs>
        <w:autoSpaceDE w:val="0"/>
        <w:autoSpaceDN w:val="0"/>
        <w:adjustRightInd w:val="0"/>
        <w:snapToGrid w:val="0"/>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提供项目负责人</w:t>
      </w:r>
      <w:r>
        <w:rPr>
          <w:rFonts w:hint="eastAsia" w:ascii="宋体" w:hAnsi="宋体" w:cs="宋体"/>
          <w:color w:val="auto"/>
          <w:sz w:val="24"/>
          <w:highlight w:val="none"/>
        </w:rPr>
        <w:t>交通运输部公路工程试验检测师（或试验检测工程师）资格</w:t>
      </w:r>
      <w:r>
        <w:rPr>
          <w:rFonts w:hint="eastAsia" w:ascii="宋体" w:hAnsi="宋体" w:cs="宋体"/>
          <w:color w:val="auto"/>
          <w:sz w:val="24"/>
          <w:highlight w:val="none"/>
          <w:lang w:val="en-US" w:eastAsia="zh-CN"/>
        </w:rPr>
        <w:t>证书</w:t>
      </w:r>
      <w:r>
        <w:rPr>
          <w:rFonts w:hint="eastAsia" w:ascii="宋体" w:hAnsi="宋体" w:cs="宋体"/>
          <w:color w:val="auto"/>
          <w:sz w:val="24"/>
          <w:highlight w:val="none"/>
        </w:rPr>
        <w:t>（桥梁或桥梁隧道工程专业）；</w:t>
      </w:r>
    </w:p>
    <w:p w14:paraId="3AEBB3BD">
      <w:pPr>
        <w:tabs>
          <w:tab w:val="left" w:pos="3375"/>
        </w:tabs>
        <w:autoSpaceDE w:val="0"/>
        <w:autoSpaceDN w:val="0"/>
        <w:adjustRightInd w:val="0"/>
        <w:snapToGrid w:val="0"/>
        <w:spacing w:line="44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4）提供拟投入本项目的其他人员（除项目负责人外）不少于3名（拟投入本项目主要人员情况汇总表），并提供上述人员的交通运输部公路工程试验检测师（或试验检测工程师）资格证书（桥梁或桥梁隧道工程专业）；</w:t>
      </w:r>
    </w:p>
    <w:p w14:paraId="67242AA1">
      <w:pPr>
        <w:tabs>
          <w:tab w:val="left" w:pos="3375"/>
        </w:tabs>
        <w:autoSpaceDE w:val="0"/>
        <w:autoSpaceDN w:val="0"/>
        <w:adjustRightInd w:val="0"/>
        <w:snapToGrid w:val="0"/>
        <w:spacing w:line="44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（5）提供项目负责人及其他人员社保缴费证明；</w:t>
      </w:r>
    </w:p>
    <w:p w14:paraId="57B6D236">
      <w:pPr>
        <w:tabs>
          <w:tab w:val="left" w:pos="3375"/>
        </w:tabs>
        <w:autoSpaceDE w:val="0"/>
        <w:autoSpaceDN w:val="0"/>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.其它需要提交的资格审查材料。</w:t>
      </w:r>
    </w:p>
    <w:p w14:paraId="0244F575">
      <w:pPr>
        <w:snapToGrid w:val="0"/>
        <w:spacing w:line="440" w:lineRule="exact"/>
        <w:ind w:firstLine="482" w:firstLineChars="200"/>
        <w:contextualSpacing/>
        <w:rPr>
          <w:rFonts w:ascii="宋体" w:hAnsi="宋体" w:cs="宋体"/>
          <w:b/>
          <w:color w:val="auto"/>
          <w:sz w:val="24"/>
          <w:highlight w:val="none"/>
        </w:rPr>
      </w:pPr>
      <w:r>
        <w:rPr>
          <w:rFonts w:hint="eastAsia" w:ascii="宋体" w:hAnsi="宋体" w:cs="宋体"/>
          <w:b/>
          <w:color w:val="auto"/>
          <w:sz w:val="24"/>
          <w:highlight w:val="none"/>
        </w:rPr>
        <w:t>二、商务技术文件</w:t>
      </w:r>
    </w:p>
    <w:p w14:paraId="635B1FB7">
      <w:pPr>
        <w:pStyle w:val="30"/>
        <w:spacing w:line="440" w:lineRule="exact"/>
        <w:ind w:firstLine="494"/>
        <w:rPr>
          <w:rFonts w:ascii="宋体" w:eastAsia="宋体" w:cs="宋体"/>
          <w:color w:val="auto"/>
          <w:sz w:val="24"/>
          <w:szCs w:val="24"/>
          <w:highlight w:val="none"/>
        </w:rPr>
      </w:pPr>
      <w:r>
        <w:rPr>
          <w:rFonts w:hint="eastAsia" w:ascii="宋体" w:eastAsia="宋体" w:cs="宋体"/>
          <w:color w:val="auto"/>
          <w:sz w:val="24"/>
          <w:szCs w:val="24"/>
          <w:highlight w:val="none"/>
        </w:rPr>
        <w:t>为方便评委评审，请供应商按评审办法中所涉及的事项顺序进行编制，可以补充相关材料。（以下均须提供扫描件（或复印件）并加盖公章。）</w:t>
      </w:r>
    </w:p>
    <w:p w14:paraId="741C990B">
      <w:pPr>
        <w:pStyle w:val="30"/>
        <w:spacing w:line="440" w:lineRule="exact"/>
        <w:ind w:firstLine="494"/>
        <w:rPr>
          <w:rFonts w:ascii="宋体" w:eastAsia="宋体" w:cs="宋体"/>
          <w:color w:val="auto"/>
          <w:sz w:val="24"/>
          <w:szCs w:val="24"/>
          <w:highlight w:val="none"/>
        </w:rPr>
      </w:pPr>
      <w:r>
        <w:rPr>
          <w:rFonts w:hint="eastAsia" w:ascii="宋体" w:eastAsia="宋体" w:cs="宋体"/>
          <w:color w:val="auto"/>
          <w:sz w:val="24"/>
          <w:szCs w:val="24"/>
          <w:highlight w:val="none"/>
        </w:rPr>
        <w:t>1.竞争性磋商响应函；</w:t>
      </w:r>
    </w:p>
    <w:p w14:paraId="2990DDFE">
      <w:pPr>
        <w:pStyle w:val="30"/>
        <w:spacing w:line="440" w:lineRule="exact"/>
        <w:ind w:firstLine="494"/>
        <w:rPr>
          <w:rFonts w:ascii="宋体" w:eastAsia="宋体" w:cs="宋体"/>
          <w:color w:val="auto"/>
          <w:sz w:val="24"/>
          <w:szCs w:val="24"/>
          <w:highlight w:val="none"/>
        </w:rPr>
      </w:pPr>
      <w:r>
        <w:rPr>
          <w:rFonts w:hint="eastAsia" w:ascii="宋体" w:eastAsia="宋体" w:cs="宋体"/>
          <w:color w:val="auto"/>
          <w:sz w:val="24"/>
          <w:szCs w:val="24"/>
          <w:highlight w:val="none"/>
        </w:rPr>
        <w:t>2.评标办法中所涉及的事项需提供的所有资料；</w:t>
      </w:r>
    </w:p>
    <w:p w14:paraId="77378D4A">
      <w:pPr>
        <w:pStyle w:val="30"/>
        <w:spacing w:line="440" w:lineRule="exact"/>
        <w:ind w:firstLine="494"/>
        <w:rPr>
          <w:rFonts w:ascii="宋体" w:eastAsia="宋体" w:cs="宋体"/>
          <w:color w:val="auto"/>
          <w:sz w:val="24"/>
          <w:szCs w:val="24"/>
          <w:highlight w:val="none"/>
        </w:rPr>
      </w:pPr>
      <w:r>
        <w:rPr>
          <w:rFonts w:hint="eastAsia" w:ascii="宋体" w:eastAsia="宋体" w:cs="宋体"/>
          <w:color w:val="auto"/>
          <w:sz w:val="24"/>
          <w:szCs w:val="24"/>
          <w:highlight w:val="none"/>
        </w:rPr>
        <w:t>3.评标办法中未涉及的事项，供应商认为需要提交的其他资料；</w:t>
      </w:r>
    </w:p>
    <w:p w14:paraId="5F6435C7">
      <w:pPr>
        <w:pStyle w:val="30"/>
        <w:spacing w:line="440" w:lineRule="exact"/>
        <w:ind w:firstLine="494"/>
        <w:rPr>
          <w:rFonts w:ascii="宋体" w:eastAsia="宋体" w:cs="宋体"/>
          <w:color w:val="auto"/>
          <w:sz w:val="24"/>
          <w:szCs w:val="24"/>
          <w:highlight w:val="none"/>
        </w:rPr>
      </w:pPr>
      <w:r>
        <w:rPr>
          <w:rFonts w:hint="eastAsia" w:ascii="宋体" w:eastAsia="宋体" w:cs="宋体"/>
          <w:color w:val="auto"/>
          <w:sz w:val="24"/>
          <w:szCs w:val="24"/>
          <w:highlight w:val="none"/>
        </w:rPr>
        <w:t>4.竞争性磋商文件中要求提供的其他材料。</w:t>
      </w:r>
    </w:p>
    <w:p w14:paraId="7424CC77">
      <w:pPr>
        <w:snapToGrid w:val="0"/>
        <w:spacing w:line="440" w:lineRule="exact"/>
        <w:ind w:firstLine="482" w:firstLineChars="200"/>
        <w:contextualSpacing/>
        <w:rPr>
          <w:rFonts w:ascii="宋体" w:hAnsi="宋体" w:cs="宋体"/>
          <w:b/>
          <w:color w:val="auto"/>
          <w:sz w:val="24"/>
          <w:highlight w:val="none"/>
        </w:rPr>
      </w:pPr>
      <w:r>
        <w:rPr>
          <w:rFonts w:hint="eastAsia" w:ascii="宋体" w:hAnsi="宋体" w:cs="宋体"/>
          <w:b/>
          <w:color w:val="auto"/>
          <w:sz w:val="24"/>
          <w:highlight w:val="none"/>
        </w:rPr>
        <w:t>三、价格响应文件</w:t>
      </w:r>
    </w:p>
    <w:p w14:paraId="06BDD6CF">
      <w:pPr>
        <w:pStyle w:val="30"/>
        <w:spacing w:line="440" w:lineRule="exact"/>
        <w:ind w:firstLine="494"/>
        <w:rPr>
          <w:rFonts w:hint="eastAsia" w:ascii="宋体" w:eastAsia="宋体" w:cs="宋体"/>
          <w:color w:val="auto"/>
          <w:sz w:val="24"/>
          <w:szCs w:val="24"/>
          <w:highlight w:val="none"/>
        </w:rPr>
      </w:pPr>
      <w:r>
        <w:rPr>
          <w:rFonts w:hint="eastAsia" w:ascii="宋体" w:eastAsia="宋体" w:cs="宋体"/>
          <w:color w:val="auto"/>
          <w:sz w:val="24"/>
          <w:szCs w:val="24"/>
          <w:highlight w:val="none"/>
        </w:rPr>
        <w:t>1.磋商报价总表；</w:t>
      </w:r>
    </w:p>
    <w:p w14:paraId="4796CD0D">
      <w:pPr>
        <w:pStyle w:val="30"/>
        <w:spacing w:line="440" w:lineRule="exact"/>
        <w:ind w:firstLine="494"/>
        <w:rPr>
          <w:rFonts w:hint="eastAsia" w:ascii="宋体" w:eastAsia="宋体" w:cs="宋体"/>
          <w:color w:val="auto"/>
          <w:sz w:val="24"/>
          <w:szCs w:val="24"/>
          <w:highlight w:val="none"/>
          <w:lang w:eastAsia="zh-CN"/>
        </w:rPr>
      </w:pPr>
      <w:r>
        <w:rPr>
          <w:rFonts w:hint="eastAsia" w:ascii="宋体" w:eastAsia="宋体" w:cs="宋体"/>
          <w:color w:val="auto"/>
          <w:sz w:val="24"/>
          <w:szCs w:val="24"/>
          <w:highlight w:val="none"/>
        </w:rPr>
        <w:t>2.分项报价明细表</w:t>
      </w:r>
      <w:r>
        <w:rPr>
          <w:rFonts w:hint="eastAsia" w:ascii="宋体" w:eastAsia="宋体" w:cs="宋体"/>
          <w:color w:val="auto"/>
          <w:sz w:val="24"/>
          <w:szCs w:val="24"/>
          <w:highlight w:val="none"/>
          <w:lang w:eastAsia="zh-CN"/>
        </w:rPr>
        <w:t>；</w:t>
      </w:r>
    </w:p>
    <w:p w14:paraId="30489A31">
      <w:pPr>
        <w:pStyle w:val="30"/>
        <w:spacing w:line="440" w:lineRule="exact"/>
        <w:ind w:firstLine="494"/>
        <w:rPr>
          <w:rFonts w:hint="eastAsia" w:ascii="宋体" w:eastAsia="宋体" w:cs="宋体"/>
          <w:color w:val="auto"/>
          <w:sz w:val="24"/>
          <w:szCs w:val="24"/>
          <w:highlight w:val="none"/>
          <w:lang w:eastAsia="zh-CN"/>
        </w:rPr>
      </w:pPr>
      <w:r>
        <w:rPr>
          <w:rFonts w:hint="eastAsia" w:ascii="宋体" w:eastAsia="宋体" w:cs="宋体"/>
          <w:color w:val="auto"/>
          <w:sz w:val="24"/>
          <w:szCs w:val="24"/>
          <w:highlight w:val="none"/>
          <w:lang w:val="en-US" w:eastAsia="zh-CN"/>
        </w:rPr>
        <w:t>3</w:t>
      </w:r>
      <w:r>
        <w:rPr>
          <w:rFonts w:hint="eastAsia" w:ascii="宋体" w:eastAsia="宋体" w:cs="宋体"/>
          <w:color w:val="auto"/>
          <w:sz w:val="24"/>
          <w:szCs w:val="24"/>
          <w:highlight w:val="none"/>
        </w:rPr>
        <w:t>.《中小企业声明函》等原件（如有）</w:t>
      </w:r>
      <w:r>
        <w:rPr>
          <w:rFonts w:hint="eastAsia" w:ascii="宋体" w:eastAsia="宋体" w:cs="宋体"/>
          <w:color w:val="auto"/>
          <w:sz w:val="24"/>
          <w:szCs w:val="24"/>
          <w:highlight w:val="none"/>
          <w:lang w:eastAsia="zh-CN"/>
        </w:rPr>
        <w:t>。</w:t>
      </w:r>
    </w:p>
    <w:p w14:paraId="27FC1E89">
      <w:pPr>
        <w:pStyle w:val="30"/>
        <w:adjustRightInd w:val="0"/>
        <w:snapToGrid w:val="0"/>
        <w:spacing w:line="360" w:lineRule="auto"/>
        <w:ind w:firstLine="480" w:firstLineChars="200"/>
        <w:rPr>
          <w:rFonts w:hint="eastAsia" w:ascii="宋体" w:eastAsia="宋体" w:cs="宋体"/>
          <w:color w:val="auto"/>
          <w:sz w:val="24"/>
          <w:szCs w:val="24"/>
          <w:highlight w:val="none"/>
          <w:lang w:eastAsia="zh-CN"/>
        </w:rPr>
      </w:pPr>
    </w:p>
    <w:p w14:paraId="571EBF24">
      <w:pPr>
        <w:adjustRightInd w:val="0"/>
        <w:snapToGrid w:val="0"/>
        <w:spacing w:line="360" w:lineRule="auto"/>
        <w:ind w:firstLine="482" w:firstLineChars="200"/>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注：本表各分项报价合计应当与磋商报价总表报价合计相等。请各供应商务必按照以上要求填报，否则作为无效投标处理。</w:t>
      </w:r>
    </w:p>
    <w:p w14:paraId="45E5AB7D">
      <w:pPr>
        <w:tabs>
          <w:tab w:val="left" w:pos="3375"/>
        </w:tabs>
        <w:adjustRightInd w:val="0"/>
        <w:snapToGrid w:val="0"/>
        <w:spacing w:line="360" w:lineRule="auto"/>
        <w:ind w:firstLine="482" w:firstLineChars="200"/>
        <w:rPr>
          <w:rFonts w:ascii="宋体" w:hAnsi="宋体" w:cs="宋体"/>
          <w:color w:val="auto"/>
          <w:sz w:val="24"/>
          <w:highlight w:val="none"/>
        </w:rPr>
      </w:pPr>
      <w:r>
        <w:rPr>
          <w:rFonts w:hint="eastAsia" w:ascii="宋体" w:hAnsi="宋体" w:cs="宋体"/>
          <w:b/>
          <w:color w:val="auto"/>
          <w:kern w:val="0"/>
          <w:sz w:val="24"/>
          <w:highlight w:val="none"/>
          <w:lang w:val="zh-CN"/>
        </w:rPr>
        <w:t>供应商应依照规定提交各类声明函、承诺函，不再同时提供原件备查或提供有关部门出具的相关证明文件。但中标或成交供应商，应做好提交声明函、承诺函相应原件的核查准备；核查后发现虚假或违背承诺的，依照相关法律法规规定处理。</w:t>
      </w:r>
    </w:p>
    <w:p w14:paraId="7D790D8A">
      <w:pPr>
        <w:tabs>
          <w:tab w:val="left" w:pos="3375"/>
        </w:tabs>
        <w:autoSpaceDE w:val="0"/>
        <w:autoSpaceDN w:val="0"/>
        <w:adjustRightInd w:val="0"/>
        <w:snapToGrid w:val="0"/>
        <w:spacing w:line="44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四、电子版响应文件</w:t>
      </w:r>
    </w:p>
    <w:p w14:paraId="2F050600">
      <w:pPr>
        <w:tabs>
          <w:tab w:val="left" w:pos="3375"/>
        </w:tabs>
        <w:autoSpaceDE w:val="0"/>
        <w:autoSpaceDN w:val="0"/>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电子版响应文件（</w:t>
      </w:r>
      <w:r>
        <w:rPr>
          <w:rFonts w:hint="eastAsia" w:ascii="宋体" w:hAnsi="宋体" w:cs="宋体"/>
          <w:b/>
          <w:bCs/>
          <w:color w:val="auto"/>
          <w:sz w:val="24"/>
          <w:highlight w:val="none"/>
        </w:rPr>
        <w:t>按“第二部分 磋商须知”中电子版响应文件要求</w:t>
      </w:r>
      <w:r>
        <w:rPr>
          <w:rFonts w:hint="eastAsia" w:ascii="宋体" w:hAnsi="宋体" w:cs="宋体"/>
          <w:b/>
          <w:bCs/>
          <w:color w:val="auto"/>
          <w:sz w:val="24"/>
          <w:highlight w:val="none"/>
          <w:lang w:val="zh-CN"/>
        </w:rPr>
        <w:t>提供</w:t>
      </w:r>
      <w:r>
        <w:rPr>
          <w:rFonts w:hint="eastAsia" w:ascii="宋体" w:hAnsi="宋体" w:cs="宋体"/>
          <w:b/>
          <w:color w:val="auto"/>
          <w:sz w:val="24"/>
          <w:highlight w:val="none"/>
        </w:rPr>
        <w:t>）</w:t>
      </w:r>
      <w:r>
        <w:rPr>
          <w:rFonts w:hint="eastAsia" w:ascii="宋体" w:hAnsi="宋体" w:cs="宋体"/>
          <w:color w:val="auto"/>
          <w:sz w:val="24"/>
          <w:highlight w:val="none"/>
        </w:rPr>
        <w:t>。</w:t>
      </w:r>
    </w:p>
    <w:p w14:paraId="4CEFA744">
      <w:pPr>
        <w:tabs>
          <w:tab w:val="left" w:pos="3375"/>
        </w:tabs>
        <w:autoSpaceDE w:val="0"/>
        <w:autoSpaceDN w:val="0"/>
        <w:adjustRightInd w:val="0"/>
        <w:snapToGrid w:val="0"/>
        <w:spacing w:line="44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电子版响应文件不得设置密码并保证无病毒。</w:t>
      </w:r>
    </w:p>
    <w:p w14:paraId="7419E6B7">
      <w:pPr>
        <w:tabs>
          <w:tab w:val="left" w:pos="3375"/>
        </w:tabs>
        <w:autoSpaceDE w:val="0"/>
        <w:autoSpaceDN w:val="0"/>
        <w:adjustRightInd w:val="0"/>
        <w:snapToGrid w:val="0"/>
        <w:spacing w:line="440" w:lineRule="exact"/>
        <w:contextualSpacing/>
        <w:rPr>
          <w:rFonts w:ascii="宋体" w:hAnsi="宋体" w:cs="宋体"/>
          <w:color w:val="auto"/>
          <w:sz w:val="28"/>
          <w:szCs w:val="28"/>
          <w:highlight w:val="none"/>
        </w:rPr>
      </w:pPr>
      <w:r>
        <w:rPr>
          <w:rFonts w:hint="eastAsia" w:ascii="宋体" w:hAnsi="宋体" w:cs="宋体"/>
          <w:color w:val="auto"/>
          <w:sz w:val="24"/>
          <w:highlight w:val="none"/>
        </w:rPr>
        <w:br w:type="page"/>
      </w:r>
      <w:r>
        <w:rPr>
          <w:rFonts w:hint="eastAsia" w:ascii="宋体" w:hAnsi="宋体" w:cs="宋体"/>
          <w:color w:val="auto"/>
          <w:sz w:val="28"/>
          <w:szCs w:val="28"/>
          <w:highlight w:val="none"/>
        </w:rPr>
        <w:t>第一部分格式：</w:t>
      </w:r>
    </w:p>
    <w:p w14:paraId="65F9C77C">
      <w:pPr>
        <w:tabs>
          <w:tab w:val="left" w:pos="159"/>
        </w:tabs>
        <w:rPr>
          <w:rFonts w:ascii="宋体" w:hAnsi="宋体" w:cs="宋体"/>
          <w:color w:val="auto"/>
          <w:sz w:val="28"/>
          <w:szCs w:val="28"/>
          <w:highlight w:val="none"/>
        </w:rPr>
      </w:pPr>
    </w:p>
    <w:p w14:paraId="08C8551D">
      <w:pPr>
        <w:snapToGrid w:val="0"/>
        <w:spacing w:line="300" w:lineRule="auto"/>
        <w:ind w:firstLine="906" w:firstLineChars="206"/>
        <w:contextualSpacing/>
        <w:rPr>
          <w:rFonts w:ascii="宋体" w:hAnsi="宋体" w:cs="宋体"/>
          <w:color w:val="auto"/>
          <w:sz w:val="44"/>
          <w:szCs w:val="44"/>
          <w:highlight w:val="none"/>
        </w:rPr>
      </w:pPr>
    </w:p>
    <w:p w14:paraId="44DB7AAB">
      <w:pPr>
        <w:autoSpaceDE w:val="0"/>
        <w:autoSpaceDN w:val="0"/>
        <w:adjustRightInd w:val="0"/>
        <w:jc w:val="center"/>
        <w:rPr>
          <w:rFonts w:hint="eastAsia" w:ascii="宋体" w:hAnsi="宋体" w:eastAsia="宋体" w:cs="宋体"/>
          <w:b/>
          <w:color w:val="auto"/>
          <w:sz w:val="44"/>
          <w:szCs w:val="44"/>
          <w:highlight w:val="none"/>
          <w:lang w:eastAsia="zh-CN"/>
        </w:rPr>
      </w:pPr>
      <w:r>
        <w:rPr>
          <w:rFonts w:hint="eastAsia" w:ascii="宋体" w:hAnsi="宋体" w:cs="宋体"/>
          <w:b/>
          <w:color w:val="auto"/>
          <w:sz w:val="44"/>
          <w:szCs w:val="44"/>
          <w:highlight w:val="none"/>
          <w:lang w:eastAsia="zh-CN"/>
        </w:rPr>
        <w:t>2025年南通市农村公路涉水桥梁下部结构风险隐患排查市级抽查项目</w:t>
      </w:r>
    </w:p>
    <w:p w14:paraId="6345EF61">
      <w:pPr>
        <w:tabs>
          <w:tab w:val="left" w:pos="6300"/>
        </w:tabs>
        <w:snapToGrid w:val="0"/>
        <w:spacing w:line="300" w:lineRule="auto"/>
        <w:jc w:val="center"/>
        <w:rPr>
          <w:rFonts w:hint="eastAsia" w:ascii="宋体" w:hAnsi="宋体" w:cs="宋体"/>
          <w:b/>
          <w:color w:val="auto"/>
          <w:w w:val="80"/>
          <w:sz w:val="32"/>
          <w:szCs w:val="32"/>
          <w:highlight w:val="none"/>
        </w:rPr>
      </w:pPr>
    </w:p>
    <w:p w14:paraId="726CC66B">
      <w:pPr>
        <w:tabs>
          <w:tab w:val="left" w:pos="6300"/>
        </w:tabs>
        <w:snapToGrid w:val="0"/>
        <w:spacing w:line="300" w:lineRule="auto"/>
        <w:ind w:firstLine="3087" w:firstLineChars="1200"/>
        <w:jc w:val="both"/>
        <w:rPr>
          <w:rFonts w:hint="eastAsia" w:ascii="宋体" w:hAnsi="宋体" w:cs="宋体"/>
          <w:b/>
          <w:color w:val="auto"/>
          <w:w w:val="80"/>
          <w:sz w:val="32"/>
          <w:szCs w:val="32"/>
          <w:highlight w:val="none"/>
          <w:lang w:val="en-US" w:eastAsia="zh-CN"/>
        </w:rPr>
      </w:pPr>
      <w:r>
        <w:rPr>
          <w:rFonts w:hint="eastAsia" w:ascii="宋体" w:hAnsi="宋体" w:cs="宋体"/>
          <w:b/>
          <w:color w:val="auto"/>
          <w:w w:val="80"/>
          <w:sz w:val="32"/>
          <w:szCs w:val="32"/>
          <w:highlight w:val="none"/>
        </w:rPr>
        <w:t>项目编号：</w:t>
      </w:r>
      <w:r>
        <w:rPr>
          <w:rFonts w:hint="eastAsia" w:ascii="宋体" w:hAnsi="宋体" w:cs="宋体"/>
          <w:b/>
          <w:color w:val="auto"/>
          <w:w w:val="80"/>
          <w:sz w:val="32"/>
          <w:szCs w:val="32"/>
          <w:highlight w:val="none"/>
          <w:lang w:val="en-US" w:eastAsia="zh-CN"/>
        </w:rPr>
        <w:t>2025NLSXZ</w:t>
      </w:r>
    </w:p>
    <w:p w14:paraId="6F0A63C8">
      <w:pPr>
        <w:tabs>
          <w:tab w:val="left" w:pos="6300"/>
        </w:tabs>
        <w:snapToGrid w:val="0"/>
        <w:spacing w:line="300" w:lineRule="auto"/>
        <w:ind w:firstLine="3087" w:firstLineChars="1200"/>
        <w:jc w:val="both"/>
        <w:rPr>
          <w:rFonts w:hint="default" w:ascii="宋体" w:hAnsi="宋体" w:cs="宋体"/>
          <w:b/>
          <w:color w:val="auto"/>
          <w:w w:val="80"/>
          <w:sz w:val="32"/>
          <w:szCs w:val="32"/>
          <w:highlight w:val="none"/>
          <w:lang w:val="en-US" w:eastAsia="zh-CN"/>
        </w:rPr>
      </w:pPr>
      <w:r>
        <w:rPr>
          <w:rFonts w:hint="eastAsia" w:ascii="宋体" w:hAnsi="宋体" w:cs="宋体"/>
          <w:b/>
          <w:color w:val="auto"/>
          <w:w w:val="80"/>
          <w:sz w:val="32"/>
          <w:szCs w:val="32"/>
          <w:highlight w:val="none"/>
        </w:rPr>
        <w:t>档案编号：</w:t>
      </w:r>
      <w:r>
        <w:rPr>
          <w:rFonts w:hint="eastAsia" w:ascii="宋体" w:hAnsi="宋体" w:cs="宋体"/>
          <w:b/>
          <w:color w:val="auto"/>
          <w:w w:val="80"/>
          <w:sz w:val="32"/>
          <w:szCs w:val="32"/>
          <w:highlight w:val="none"/>
          <w:lang w:val="en-US" w:eastAsia="zh-CN"/>
        </w:rPr>
        <w:t>20251116</w:t>
      </w:r>
    </w:p>
    <w:p w14:paraId="426730EF">
      <w:pPr>
        <w:tabs>
          <w:tab w:val="left" w:pos="6300"/>
        </w:tabs>
        <w:snapToGrid w:val="0"/>
        <w:spacing w:line="300" w:lineRule="auto"/>
        <w:jc w:val="center"/>
        <w:rPr>
          <w:rFonts w:ascii="宋体" w:hAnsi="宋体" w:cs="宋体"/>
          <w:b/>
          <w:color w:val="auto"/>
          <w:w w:val="80"/>
          <w:sz w:val="32"/>
          <w:szCs w:val="32"/>
          <w:highlight w:val="none"/>
        </w:rPr>
      </w:pPr>
    </w:p>
    <w:p w14:paraId="58D714E8">
      <w:pPr>
        <w:spacing w:after="60" w:line="360" w:lineRule="auto"/>
        <w:ind w:firstLine="3373" w:firstLineChars="1050"/>
        <w:rPr>
          <w:rFonts w:ascii="宋体" w:hAnsi="宋体" w:cs="宋体"/>
          <w:b/>
          <w:bCs/>
          <w:color w:val="auto"/>
          <w:sz w:val="32"/>
          <w:szCs w:val="32"/>
          <w:highlight w:val="none"/>
        </w:rPr>
      </w:pPr>
      <w:r>
        <w:rPr>
          <w:rFonts w:hint="eastAsia" w:ascii="宋体" w:hAnsi="宋体" w:cs="宋体"/>
          <w:b/>
          <w:bCs/>
          <w:color w:val="auto"/>
          <w:sz w:val="32"/>
          <w:szCs w:val="32"/>
          <w:highlight w:val="none"/>
        </w:rPr>
        <w:t>响应文件</w:t>
      </w:r>
    </w:p>
    <w:p w14:paraId="424EBD9B">
      <w:pPr>
        <w:spacing w:after="60"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（资格审查文件）</w:t>
      </w:r>
    </w:p>
    <w:p w14:paraId="73DB14C4">
      <w:pPr>
        <w:spacing w:after="60"/>
        <w:jc w:val="center"/>
        <w:rPr>
          <w:rFonts w:ascii="宋体" w:hAnsi="宋体" w:cs="宋体"/>
          <w:b/>
          <w:bCs/>
          <w:color w:val="auto"/>
          <w:sz w:val="72"/>
          <w:szCs w:val="72"/>
          <w:highlight w:val="none"/>
        </w:rPr>
      </w:pPr>
    </w:p>
    <w:p w14:paraId="20D79FC4">
      <w:pPr>
        <w:spacing w:after="60"/>
        <w:jc w:val="center"/>
        <w:rPr>
          <w:rFonts w:ascii="宋体" w:hAnsi="宋体" w:cs="宋体"/>
          <w:b/>
          <w:bCs/>
          <w:color w:val="auto"/>
          <w:sz w:val="72"/>
          <w:szCs w:val="72"/>
          <w:highlight w:val="none"/>
        </w:rPr>
      </w:pPr>
    </w:p>
    <w:p w14:paraId="6A3CB1C7">
      <w:pPr>
        <w:spacing w:after="60"/>
        <w:jc w:val="center"/>
        <w:rPr>
          <w:rFonts w:ascii="宋体" w:hAnsi="宋体" w:cs="宋体"/>
          <w:b/>
          <w:bCs/>
          <w:color w:val="auto"/>
          <w:sz w:val="72"/>
          <w:szCs w:val="72"/>
          <w:highlight w:val="none"/>
        </w:rPr>
      </w:pPr>
    </w:p>
    <w:p w14:paraId="2DF8F8DD">
      <w:pPr>
        <w:spacing w:after="60"/>
        <w:jc w:val="center"/>
        <w:rPr>
          <w:rFonts w:ascii="宋体" w:hAnsi="宋体" w:cs="宋体"/>
          <w:b/>
          <w:bCs/>
          <w:color w:val="auto"/>
          <w:sz w:val="72"/>
          <w:szCs w:val="72"/>
          <w:highlight w:val="none"/>
        </w:rPr>
      </w:pPr>
    </w:p>
    <w:p w14:paraId="0E91FAFD">
      <w:pPr>
        <w:pStyle w:val="17"/>
        <w:ind w:left="0" w:leftChars="0" w:firstLine="0" w:firstLineChars="0"/>
        <w:rPr>
          <w:rFonts w:ascii="宋体" w:hAnsi="宋体" w:cs="宋体"/>
          <w:b/>
          <w:bCs/>
          <w:color w:val="auto"/>
          <w:sz w:val="72"/>
          <w:szCs w:val="72"/>
          <w:highlight w:val="none"/>
        </w:rPr>
      </w:pPr>
    </w:p>
    <w:p w14:paraId="01CFA4BE">
      <w:pPr>
        <w:spacing w:after="60"/>
        <w:jc w:val="center"/>
        <w:rPr>
          <w:rFonts w:ascii="宋体" w:hAnsi="宋体" w:cs="宋体"/>
          <w:b/>
          <w:bCs/>
          <w:color w:val="auto"/>
          <w:sz w:val="72"/>
          <w:szCs w:val="72"/>
          <w:highlight w:val="none"/>
        </w:rPr>
      </w:pPr>
    </w:p>
    <w:p w14:paraId="7093FD5A">
      <w:pPr>
        <w:spacing w:line="48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供应商（盖公章）：</w:t>
      </w:r>
      <w:r>
        <w:rPr>
          <w:rFonts w:hint="eastAsia" w:ascii="宋体" w:hAnsi="宋体" w:cs="宋体"/>
          <w:b/>
          <w:color w:val="auto"/>
          <w:sz w:val="24"/>
          <w:highlight w:val="none"/>
          <w:u w:val="single"/>
        </w:rPr>
        <w:t xml:space="preserve">                            </w:t>
      </w:r>
    </w:p>
    <w:p w14:paraId="622156F9">
      <w:pPr>
        <w:spacing w:line="480" w:lineRule="auto"/>
        <w:ind w:firstLine="482" w:firstLineChars="200"/>
        <w:rPr>
          <w:rFonts w:ascii="宋体" w:hAnsi="宋体" w:cs="宋体"/>
          <w:b/>
          <w:color w:val="auto"/>
          <w:sz w:val="24"/>
          <w:highlight w:val="none"/>
          <w:u w:val="single"/>
        </w:rPr>
      </w:pPr>
      <w:r>
        <w:rPr>
          <w:rFonts w:hint="eastAsia" w:ascii="宋体" w:hAnsi="宋体" w:cs="宋体"/>
          <w:b/>
          <w:color w:val="auto"/>
          <w:sz w:val="24"/>
          <w:highlight w:val="none"/>
        </w:rPr>
        <w:t>法定代表人（或其委托代理人）（签字或盖章）：</w:t>
      </w:r>
      <w:r>
        <w:rPr>
          <w:rFonts w:hint="eastAsia" w:ascii="宋体" w:hAnsi="宋体" w:cs="宋体"/>
          <w:b/>
          <w:color w:val="auto"/>
          <w:sz w:val="24"/>
          <w:highlight w:val="none"/>
          <w:u w:val="single"/>
        </w:rPr>
        <w:t xml:space="preserve">                  </w:t>
      </w:r>
    </w:p>
    <w:p w14:paraId="02847B11">
      <w:pPr>
        <w:spacing w:line="48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日    期：</w:t>
      </w:r>
      <w:r>
        <w:rPr>
          <w:rFonts w:hint="eastAsia" w:ascii="宋体" w:hAnsi="宋体" w:cs="宋体"/>
          <w:b/>
          <w:color w:val="auto"/>
          <w:sz w:val="24"/>
          <w:highlight w:val="none"/>
          <w:u w:val="single"/>
        </w:rPr>
        <w:t xml:space="preserve">                                                  </w:t>
      </w:r>
    </w:p>
    <w:p w14:paraId="1768455F">
      <w:pPr>
        <w:snapToGrid w:val="0"/>
        <w:spacing w:line="360" w:lineRule="auto"/>
        <w:contextualSpacing/>
        <w:jc w:val="left"/>
        <w:rPr>
          <w:rFonts w:ascii="宋体" w:hAnsi="宋体" w:cs="宋体"/>
          <w:color w:val="auto"/>
          <w:sz w:val="24"/>
          <w:highlight w:val="none"/>
        </w:rPr>
      </w:pPr>
      <w:r>
        <w:rPr>
          <w:rFonts w:hint="eastAsia" w:ascii="宋体" w:hAnsi="宋体" w:cs="宋体"/>
          <w:color w:val="auto"/>
          <w:sz w:val="28"/>
          <w:szCs w:val="28"/>
          <w:highlight w:val="none"/>
        </w:rPr>
        <w:t>（一）资格审查文件</w:t>
      </w:r>
    </w:p>
    <w:p w14:paraId="540C570A">
      <w:pPr>
        <w:snapToGrid w:val="0"/>
        <w:spacing w:line="360" w:lineRule="auto"/>
        <w:contextualSpacing/>
        <w:jc w:val="left"/>
        <w:rPr>
          <w:rFonts w:ascii="宋体" w:hAnsi="宋体" w:cs="宋体"/>
          <w:color w:val="auto"/>
          <w:sz w:val="28"/>
          <w:szCs w:val="28"/>
          <w:highlight w:val="none"/>
        </w:rPr>
      </w:pPr>
      <w:r>
        <w:rPr>
          <w:rFonts w:hint="eastAsia" w:ascii="宋体" w:hAnsi="宋体" w:cs="宋体"/>
          <w:color w:val="auto"/>
          <w:sz w:val="28"/>
          <w:szCs w:val="28"/>
          <w:highlight w:val="none"/>
        </w:rPr>
        <w:t>附件1：</w:t>
      </w:r>
    </w:p>
    <w:p w14:paraId="51498120">
      <w:pPr>
        <w:snapToGrid w:val="0"/>
        <w:spacing w:line="300" w:lineRule="auto"/>
        <w:contextualSpacing/>
        <w:jc w:val="center"/>
        <w:rPr>
          <w:rFonts w:ascii="宋体" w:hAnsi="宋体" w:cs="宋体"/>
          <w:b/>
          <w:color w:val="auto"/>
          <w:sz w:val="32"/>
          <w:szCs w:val="32"/>
          <w:highlight w:val="none"/>
        </w:rPr>
      </w:pPr>
      <w:r>
        <w:rPr>
          <w:rFonts w:hint="eastAsia" w:ascii="宋体" w:hAnsi="宋体" w:cs="宋体"/>
          <w:b/>
          <w:color w:val="auto"/>
          <w:sz w:val="32"/>
          <w:szCs w:val="32"/>
          <w:highlight w:val="none"/>
        </w:rPr>
        <w:t>资格声明函</w:t>
      </w:r>
    </w:p>
    <w:p w14:paraId="4EAB5712">
      <w:pPr>
        <w:spacing w:line="360" w:lineRule="auto"/>
        <w:jc w:val="center"/>
        <w:rPr>
          <w:rFonts w:ascii="宋体" w:hAnsi="宋体" w:cs="宋体"/>
          <w:b/>
          <w:color w:val="auto"/>
          <w:sz w:val="24"/>
          <w:highlight w:val="none"/>
        </w:rPr>
      </w:pPr>
    </w:p>
    <w:p w14:paraId="7EF2F00A">
      <w:pPr>
        <w:snapToGrid w:val="0"/>
        <w:spacing w:line="300" w:lineRule="auto"/>
        <w:contextualSpacing/>
        <w:rPr>
          <w:rFonts w:ascii="宋体" w:hAnsi="宋体" w:cs="宋体"/>
          <w:b/>
          <w:color w:val="auto"/>
          <w:sz w:val="24"/>
          <w:highlight w:val="none"/>
        </w:rPr>
      </w:pPr>
      <w:r>
        <w:rPr>
          <w:rFonts w:hint="eastAsia" w:ascii="宋体" w:hAnsi="宋体" w:cs="宋体"/>
          <w:b/>
          <w:color w:val="auto"/>
          <w:sz w:val="24"/>
          <w:highlight w:val="none"/>
          <w:u w:val="single"/>
        </w:rPr>
        <w:t>南通市公路事业发展中心</w:t>
      </w:r>
      <w:r>
        <w:rPr>
          <w:rFonts w:hint="eastAsia" w:ascii="宋体" w:hAnsi="宋体" w:cs="宋体"/>
          <w:b/>
          <w:color w:val="auto"/>
          <w:sz w:val="24"/>
          <w:highlight w:val="none"/>
        </w:rPr>
        <w:t>：</w:t>
      </w:r>
    </w:p>
    <w:p w14:paraId="29F6B4DA">
      <w:pPr>
        <w:snapToGrid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我单位</w:t>
      </w:r>
      <w:r>
        <w:rPr>
          <w:rFonts w:hint="eastAsia" w:ascii="宋体" w:hAnsi="宋体" w:cs="宋体"/>
          <w:color w:val="auto"/>
          <w:sz w:val="24"/>
          <w:highlight w:val="none"/>
          <w:u w:val="single"/>
        </w:rPr>
        <w:t xml:space="preserve">                              </w:t>
      </w:r>
      <w:r>
        <w:rPr>
          <w:rFonts w:hint="eastAsia" w:ascii="宋体" w:hAnsi="宋体" w:cs="宋体"/>
          <w:color w:val="auto"/>
          <w:spacing w:val="-5"/>
          <w:sz w:val="24"/>
          <w:highlight w:val="none"/>
        </w:rPr>
        <w:t>（单位名称）</w:t>
      </w:r>
      <w:r>
        <w:rPr>
          <w:rFonts w:hint="eastAsia" w:ascii="宋体" w:hAnsi="宋体" w:cs="宋体"/>
          <w:color w:val="auto"/>
          <w:sz w:val="24"/>
          <w:highlight w:val="none"/>
        </w:rPr>
        <w:t>认真对照</w:t>
      </w:r>
      <w:r>
        <w:rPr>
          <w:rFonts w:hint="eastAsia" w:ascii="宋体" w:hAnsi="宋体" w:cs="宋体"/>
          <w:color w:val="auto"/>
          <w:sz w:val="24"/>
          <w:highlight w:val="none"/>
          <w:u w:val="single"/>
        </w:rPr>
        <w:t xml:space="preserve">     （项目名称）                   项目</w:t>
      </w:r>
      <w:r>
        <w:rPr>
          <w:rFonts w:hint="eastAsia" w:ascii="宋体" w:hAnsi="宋体" w:cs="宋体"/>
          <w:color w:val="auto"/>
          <w:sz w:val="24"/>
          <w:highlight w:val="none"/>
        </w:rPr>
        <w:t>磋商文件（含所有澄清、修改文件），符合贵方提出的资格要求，自愿报名参加响应，并郑重声明：</w:t>
      </w:r>
    </w:p>
    <w:p w14:paraId="436B1E97">
      <w:pPr>
        <w:snapToGrid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lang w:eastAsia="zh-CN"/>
        </w:rPr>
        <w:t>1.</w:t>
      </w:r>
      <w:r>
        <w:rPr>
          <w:rFonts w:hint="eastAsia" w:ascii="宋体" w:hAnsi="宋体" w:cs="宋体"/>
          <w:color w:val="auto"/>
          <w:sz w:val="24"/>
          <w:highlight w:val="none"/>
        </w:rPr>
        <w:t>我单位具有独立承担民事责任的能力；</w:t>
      </w:r>
    </w:p>
    <w:p w14:paraId="3BB65C71">
      <w:pPr>
        <w:snapToGrid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我单位具有良好的商业信誉和健全的财务会计制度；</w:t>
      </w:r>
    </w:p>
    <w:p w14:paraId="32E774FE">
      <w:pPr>
        <w:snapToGrid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我单位具有履行合同所必需的设备和专业技术能力；</w:t>
      </w:r>
    </w:p>
    <w:p w14:paraId="306A5A60">
      <w:pPr>
        <w:snapToGrid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我单位有依法缴纳税收和社会保障资金的良好记录；</w:t>
      </w:r>
    </w:p>
    <w:p w14:paraId="2BFF232C">
      <w:pPr>
        <w:snapToGrid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lang w:eastAsia="zh-CN"/>
        </w:rPr>
        <w:t>2.</w:t>
      </w:r>
      <w:r>
        <w:rPr>
          <w:rFonts w:hint="eastAsia" w:ascii="宋体" w:hAnsi="宋体" w:cs="宋体"/>
          <w:color w:val="auto"/>
          <w:sz w:val="24"/>
          <w:highlight w:val="none"/>
        </w:rPr>
        <w:t>我单位参加政府采购活动前3年内在经营活动中</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在下划线上如实填写：有或没有）重大违法记录（说明：政府采购法第二十二条第一款第五项所称重大违法记录，是指供应商因违法经营受到刑事处罚或者责令停产停业、吊销许可证或者执照、较大数额罚款等行政处罚。）</w:t>
      </w:r>
    </w:p>
    <w:p w14:paraId="1FA9E7B5">
      <w:pPr>
        <w:snapToGrid w:val="0"/>
        <w:spacing w:line="300" w:lineRule="auto"/>
        <w:ind w:firstLine="420"/>
        <w:contextualSpacing/>
        <w:rPr>
          <w:rFonts w:ascii="宋体" w:hAnsi="宋体" w:cs="宋体"/>
          <w:color w:val="auto"/>
          <w:sz w:val="28"/>
          <w:szCs w:val="28"/>
          <w:highlight w:val="none"/>
        </w:rPr>
      </w:pPr>
    </w:p>
    <w:p w14:paraId="062FFC60">
      <w:pPr>
        <w:snapToGrid w:val="0"/>
        <w:spacing w:line="360" w:lineRule="auto"/>
        <w:ind w:firstLine="4440" w:firstLineChars="1850"/>
        <w:contextualSpacing/>
        <w:rPr>
          <w:rFonts w:ascii="宋体" w:hAnsi="宋体" w:cs="宋体"/>
          <w:color w:val="auto"/>
          <w:sz w:val="24"/>
          <w:highlight w:val="none"/>
        </w:rPr>
      </w:pPr>
    </w:p>
    <w:p w14:paraId="3BA0D7D5">
      <w:pPr>
        <w:snapToGrid w:val="0"/>
        <w:spacing w:line="360" w:lineRule="auto"/>
        <w:ind w:firstLine="4440" w:firstLineChars="1850"/>
        <w:contextualSpacing/>
        <w:rPr>
          <w:rFonts w:ascii="宋体" w:hAnsi="宋体" w:cs="宋体"/>
          <w:color w:val="auto"/>
          <w:sz w:val="24"/>
          <w:highlight w:val="none"/>
        </w:rPr>
      </w:pPr>
    </w:p>
    <w:p w14:paraId="70CFEBA5">
      <w:pPr>
        <w:snapToGrid w:val="0"/>
        <w:spacing w:line="360" w:lineRule="auto"/>
        <w:ind w:firstLine="4440" w:firstLineChars="1850"/>
        <w:contextualSpacing/>
        <w:rPr>
          <w:rFonts w:ascii="宋体" w:hAnsi="宋体" w:cs="宋体"/>
          <w:color w:val="auto"/>
          <w:sz w:val="24"/>
          <w:highlight w:val="none"/>
        </w:rPr>
      </w:pPr>
      <w:r>
        <w:rPr>
          <w:rFonts w:hint="eastAsia" w:ascii="宋体" w:hAnsi="宋体" w:cs="宋体"/>
          <w:color w:val="auto"/>
          <w:sz w:val="24"/>
          <w:highlight w:val="none"/>
        </w:rPr>
        <w:t>响应供应商（盖单位公章）</w:t>
      </w:r>
    </w:p>
    <w:p w14:paraId="70D23496">
      <w:pPr>
        <w:snapToGrid w:val="0"/>
        <w:spacing w:line="360" w:lineRule="auto"/>
        <w:contextualSpacing/>
        <w:rPr>
          <w:rFonts w:ascii="宋体" w:hAnsi="宋体" w:cs="宋体"/>
          <w:color w:val="auto"/>
          <w:sz w:val="24"/>
          <w:highlight w:val="none"/>
        </w:rPr>
      </w:pPr>
    </w:p>
    <w:p w14:paraId="5A117E3C">
      <w:pPr>
        <w:snapToGrid w:val="0"/>
        <w:spacing w:line="360" w:lineRule="auto"/>
        <w:ind w:firstLine="4440" w:firstLineChars="1850"/>
        <w:contextualSpacing/>
        <w:rPr>
          <w:rFonts w:ascii="宋体" w:hAnsi="宋体" w:cs="宋体"/>
          <w:bCs/>
          <w:color w:val="auto"/>
          <w:sz w:val="24"/>
          <w:highlight w:val="none"/>
        </w:rPr>
      </w:pPr>
      <w:r>
        <w:rPr>
          <w:rFonts w:hint="eastAsia" w:ascii="宋体" w:hAnsi="宋体" w:cs="宋体"/>
          <w:bCs/>
          <w:color w:val="auto"/>
          <w:sz w:val="24"/>
          <w:highlight w:val="none"/>
        </w:rPr>
        <w:t>年    月    日</w:t>
      </w:r>
    </w:p>
    <w:p w14:paraId="0DE399C1">
      <w:pPr>
        <w:spacing w:line="600" w:lineRule="exact"/>
        <w:ind w:firstLine="576" w:firstLineChars="206"/>
        <w:rPr>
          <w:rFonts w:ascii="宋体" w:hAnsi="宋体" w:cs="宋体"/>
          <w:color w:val="auto"/>
          <w:sz w:val="28"/>
          <w:szCs w:val="28"/>
          <w:highlight w:val="none"/>
        </w:rPr>
      </w:pPr>
    </w:p>
    <w:p w14:paraId="7F266861">
      <w:pPr>
        <w:spacing w:line="600" w:lineRule="exact"/>
        <w:ind w:firstLine="576" w:firstLineChars="206"/>
        <w:rPr>
          <w:rFonts w:ascii="宋体" w:hAnsi="宋体" w:cs="宋体"/>
          <w:color w:val="auto"/>
          <w:sz w:val="28"/>
          <w:szCs w:val="28"/>
          <w:highlight w:val="none"/>
        </w:rPr>
      </w:pPr>
    </w:p>
    <w:p w14:paraId="558B3F4A">
      <w:pPr>
        <w:spacing w:line="600" w:lineRule="exact"/>
        <w:ind w:firstLine="576" w:firstLineChars="206"/>
        <w:rPr>
          <w:rFonts w:ascii="宋体" w:hAnsi="宋体" w:cs="宋体"/>
          <w:color w:val="auto"/>
          <w:sz w:val="28"/>
          <w:szCs w:val="28"/>
          <w:highlight w:val="none"/>
        </w:rPr>
      </w:pPr>
    </w:p>
    <w:p w14:paraId="126B5AAF">
      <w:pPr>
        <w:spacing w:line="600" w:lineRule="exact"/>
        <w:ind w:firstLine="576" w:firstLineChars="206"/>
        <w:rPr>
          <w:rFonts w:ascii="宋体" w:hAnsi="宋体" w:cs="宋体"/>
          <w:color w:val="auto"/>
          <w:sz w:val="28"/>
          <w:szCs w:val="28"/>
          <w:highlight w:val="none"/>
        </w:rPr>
      </w:pPr>
    </w:p>
    <w:p w14:paraId="5C4927C7">
      <w:pPr>
        <w:snapToGrid w:val="0"/>
        <w:spacing w:line="300" w:lineRule="auto"/>
        <w:contextualSpacing/>
        <w:rPr>
          <w:rFonts w:ascii="宋体" w:hAnsi="宋体" w:cs="宋体"/>
          <w:color w:val="auto"/>
          <w:sz w:val="28"/>
          <w:szCs w:val="28"/>
          <w:highlight w:val="none"/>
        </w:rPr>
      </w:pPr>
      <w:r>
        <w:rPr>
          <w:rFonts w:hint="eastAsia" w:ascii="宋体" w:hAnsi="宋体" w:cs="宋体"/>
          <w:b/>
          <w:bCs/>
          <w:color w:val="auto"/>
          <w:sz w:val="72"/>
          <w:szCs w:val="72"/>
          <w:highlight w:val="none"/>
        </w:rPr>
        <w:br w:type="page"/>
      </w:r>
      <w:r>
        <w:rPr>
          <w:rFonts w:hint="eastAsia" w:ascii="宋体" w:hAnsi="宋体" w:cs="宋体"/>
          <w:color w:val="auto"/>
          <w:sz w:val="28"/>
          <w:szCs w:val="28"/>
          <w:highlight w:val="none"/>
        </w:rPr>
        <w:t>附件2：</w:t>
      </w:r>
    </w:p>
    <w:p w14:paraId="73465D66">
      <w:pPr>
        <w:spacing w:before="120" w:beforeLines="50" w:after="120" w:afterLines="50"/>
        <w:jc w:val="center"/>
        <w:rPr>
          <w:rFonts w:ascii="宋体" w:hAnsi="宋体" w:cs="宋体"/>
          <w:color w:val="auto"/>
          <w:sz w:val="28"/>
          <w:szCs w:val="28"/>
          <w:highlight w:val="none"/>
        </w:rPr>
      </w:pPr>
      <w:r>
        <w:rPr>
          <w:rFonts w:hint="eastAsia" w:ascii="宋体" w:hAnsi="宋体" w:cs="宋体"/>
          <w:color w:val="auto"/>
          <w:sz w:val="28"/>
          <w:szCs w:val="28"/>
          <w:highlight w:val="none"/>
        </w:rPr>
        <w:t>授权委托书或法定代表人身份证明</w:t>
      </w:r>
    </w:p>
    <w:p w14:paraId="500C9ADB">
      <w:pPr>
        <w:topLinePunct/>
        <w:spacing w:before="120" w:beforeLines="50" w:after="120" w:afterLines="50"/>
        <w:jc w:val="center"/>
        <w:rPr>
          <w:rFonts w:ascii="宋体" w:hAnsi="宋体" w:cs="宋体"/>
          <w:b/>
          <w:color w:val="auto"/>
          <w:sz w:val="28"/>
          <w:szCs w:val="28"/>
          <w:highlight w:val="none"/>
        </w:rPr>
      </w:pPr>
      <w:r>
        <w:rPr>
          <w:rFonts w:hint="eastAsia" w:ascii="宋体" w:hAnsi="宋体" w:cs="宋体"/>
          <w:b/>
          <w:color w:val="auto"/>
          <w:sz w:val="28"/>
          <w:szCs w:val="28"/>
          <w:highlight w:val="none"/>
        </w:rPr>
        <w:t>（一）授权委托书</w:t>
      </w:r>
    </w:p>
    <w:p w14:paraId="2051E2BD">
      <w:pPr>
        <w:topLinePunct/>
        <w:spacing w:before="120" w:beforeLines="50" w:line="400" w:lineRule="exact"/>
        <w:ind w:firstLine="561"/>
        <w:rPr>
          <w:rFonts w:ascii="宋体" w:hAnsi="宋体" w:cs="宋体"/>
          <w:color w:val="auto"/>
          <w:sz w:val="24"/>
          <w:highlight w:val="none"/>
          <w:u w:val="single"/>
        </w:rPr>
      </w:pPr>
      <w:r>
        <w:rPr>
          <w:rFonts w:hint="eastAsia" w:ascii="宋体" w:hAnsi="宋体" w:cs="宋体"/>
          <w:color w:val="auto"/>
          <w:sz w:val="24"/>
          <w:highlight w:val="none"/>
        </w:rPr>
        <w:t>本人</w:t>
      </w:r>
      <w:r>
        <w:rPr>
          <w:rFonts w:hint="eastAsia" w:ascii="宋体" w:hAnsi="宋体" w:cs="宋体"/>
          <w:color w:val="auto"/>
          <w:sz w:val="24"/>
          <w:highlight w:val="none"/>
          <w:u w:val="single"/>
        </w:rPr>
        <w:t xml:space="preserve">     (姓名)</w:t>
      </w:r>
      <w:r>
        <w:rPr>
          <w:rFonts w:hint="eastAsia" w:ascii="宋体" w:hAnsi="宋体" w:cs="宋体"/>
          <w:color w:val="auto"/>
          <w:sz w:val="24"/>
          <w:highlight w:val="none"/>
        </w:rPr>
        <w:t>系</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的法定代表人，现委托</w:t>
      </w:r>
      <w:r>
        <w:rPr>
          <w:rFonts w:hint="eastAsia" w:ascii="宋体" w:hAnsi="宋体" w:cs="宋体"/>
          <w:color w:val="auto"/>
          <w:sz w:val="24"/>
          <w:highlight w:val="none"/>
          <w:u w:val="single"/>
        </w:rPr>
        <w:t xml:space="preserve">    (姓名)</w:t>
      </w:r>
      <w:r>
        <w:rPr>
          <w:rFonts w:hint="eastAsia" w:ascii="宋体" w:hAnsi="宋体" w:cs="宋体"/>
          <w:color w:val="auto"/>
          <w:sz w:val="24"/>
          <w:highlight w:val="none"/>
        </w:rPr>
        <w:t>为我方代理人。代理人根据授权，以我方名义签署、澄清、说明、补正、递交、撤回、修改</w:t>
      </w:r>
      <w:r>
        <w:rPr>
          <w:rFonts w:hint="eastAsia" w:ascii="宋体" w:hAnsi="宋体" w:cs="宋体"/>
          <w:color w:val="auto"/>
          <w:sz w:val="24"/>
          <w:highlight w:val="none"/>
          <w:u w:val="single"/>
        </w:rPr>
        <w:t xml:space="preserve">                   项目</w:t>
      </w:r>
      <w:r>
        <w:rPr>
          <w:rFonts w:hint="eastAsia" w:ascii="宋体" w:hAnsi="宋体" w:cs="宋体"/>
          <w:color w:val="auto"/>
          <w:sz w:val="24"/>
          <w:highlight w:val="none"/>
        </w:rPr>
        <w:t>响应文件、签订合同和处理有关事宜，其法律后果由我方承担。</w:t>
      </w:r>
    </w:p>
    <w:p w14:paraId="3FE83F64">
      <w:pPr>
        <w:topLinePunct/>
        <w:spacing w:line="400" w:lineRule="exact"/>
        <w:rPr>
          <w:rFonts w:ascii="宋体" w:hAnsi="宋体" w:cs="宋体"/>
          <w:color w:val="auto"/>
          <w:sz w:val="24"/>
          <w:highlight w:val="none"/>
        </w:rPr>
      </w:pPr>
    </w:p>
    <w:p w14:paraId="6AF11E1E">
      <w:pPr>
        <w:topLinePunct/>
        <w:spacing w:line="40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委托期限：自本委托书签署之日起至投标有效期期满。</w:t>
      </w:r>
    </w:p>
    <w:p w14:paraId="0AAB4B21">
      <w:pPr>
        <w:topLinePunct/>
        <w:spacing w:line="400" w:lineRule="exact"/>
        <w:rPr>
          <w:rFonts w:ascii="宋体" w:hAnsi="宋体" w:cs="宋体"/>
          <w:color w:val="auto"/>
          <w:sz w:val="24"/>
          <w:highlight w:val="none"/>
        </w:rPr>
      </w:pPr>
    </w:p>
    <w:p w14:paraId="55E27778">
      <w:pPr>
        <w:topLinePunct/>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代理人无转委托权。</w:t>
      </w:r>
    </w:p>
    <w:p w14:paraId="2977EC87">
      <w:pPr>
        <w:topLinePunct/>
        <w:spacing w:line="400" w:lineRule="exact"/>
        <w:rPr>
          <w:rFonts w:ascii="宋体" w:hAnsi="宋体" w:cs="宋体"/>
          <w:color w:val="auto"/>
          <w:sz w:val="24"/>
          <w:highlight w:val="none"/>
        </w:rPr>
      </w:pPr>
    </w:p>
    <w:p w14:paraId="3F1614A4">
      <w:pPr>
        <w:topLinePunct/>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附：法定代表人身份证明及委托代理人身份证复印件。</w:t>
      </w:r>
    </w:p>
    <w:p w14:paraId="53C88416">
      <w:pPr>
        <w:topLinePunct/>
        <w:ind w:firstLine="480" w:firstLineChars="200"/>
        <w:rPr>
          <w:rFonts w:ascii="宋体" w:hAnsi="宋体" w:cs="宋体"/>
          <w:color w:val="auto"/>
          <w:sz w:val="24"/>
          <w:highlight w:val="none"/>
        </w:rPr>
      </w:pPr>
    </w:p>
    <w:p w14:paraId="15D954D9">
      <w:pPr>
        <w:topLinePunct/>
        <w:rPr>
          <w:rFonts w:ascii="宋体" w:hAnsi="宋体" w:cs="宋体"/>
          <w:color w:val="auto"/>
          <w:sz w:val="24"/>
          <w:highlight w:val="none"/>
        </w:rPr>
      </w:pPr>
    </w:p>
    <w:p w14:paraId="4403F0DD">
      <w:pPr>
        <w:snapToGrid w:val="0"/>
        <w:spacing w:line="360" w:lineRule="auto"/>
        <w:contextualSpacing/>
        <w:rPr>
          <w:rFonts w:ascii="宋体" w:hAnsi="宋体" w:cs="宋体"/>
          <w:color w:val="auto"/>
          <w:sz w:val="24"/>
          <w:highlight w:val="none"/>
        </w:rPr>
      </w:pPr>
      <w:r>
        <w:rPr>
          <w:rFonts w:hint="eastAsia" w:ascii="宋体" w:hAnsi="宋体" w:cs="宋体"/>
          <w:color w:val="auto"/>
          <w:sz w:val="24"/>
          <w:highlight w:val="none"/>
        </w:rPr>
        <w:t>响应供应商（盖单位公章）：</w:t>
      </w:r>
    </w:p>
    <w:p w14:paraId="69686AF9">
      <w:pPr>
        <w:topLinePunct/>
        <w:rPr>
          <w:rFonts w:ascii="宋体" w:hAnsi="宋体" w:cs="宋体"/>
          <w:color w:val="auto"/>
          <w:sz w:val="24"/>
          <w:highlight w:val="none"/>
        </w:rPr>
      </w:pPr>
    </w:p>
    <w:p w14:paraId="62D9AF9B">
      <w:pPr>
        <w:wordWrap w:val="0"/>
        <w:topLinePunct/>
        <w:rPr>
          <w:rFonts w:ascii="宋体" w:hAnsi="宋体" w:cs="宋体"/>
          <w:color w:val="auto"/>
          <w:sz w:val="24"/>
          <w:highlight w:val="none"/>
          <w:u w:val="single"/>
        </w:rPr>
      </w:pPr>
      <w:r>
        <w:rPr>
          <w:rFonts w:hint="eastAsia" w:ascii="宋体" w:hAnsi="宋体" w:cs="宋体"/>
          <w:color w:val="auto"/>
          <w:sz w:val="24"/>
          <w:highlight w:val="none"/>
        </w:rPr>
        <w:t>法定代表人</w:t>
      </w:r>
      <w:r>
        <w:rPr>
          <w:rFonts w:hint="eastAsia" w:ascii="宋体" w:hAnsi="宋体" w:cs="宋体"/>
          <w:color w:val="auto"/>
          <w:sz w:val="24"/>
          <w:highlight w:val="none"/>
          <w:u w:val="single"/>
        </w:rPr>
        <w:t>(签字或盖章)</w:t>
      </w:r>
      <w:r>
        <w:rPr>
          <w:rFonts w:hint="eastAsia" w:ascii="宋体" w:hAnsi="宋体" w:cs="宋体"/>
          <w:color w:val="auto"/>
          <w:sz w:val="24"/>
          <w:highlight w:val="none"/>
        </w:rPr>
        <w:t>：</w:t>
      </w:r>
    </w:p>
    <w:p w14:paraId="13F9E344">
      <w:pPr>
        <w:topLinePunct/>
        <w:rPr>
          <w:rFonts w:ascii="宋体" w:hAnsi="宋体" w:cs="宋体"/>
          <w:color w:val="auto"/>
          <w:sz w:val="24"/>
          <w:highlight w:val="none"/>
        </w:rPr>
      </w:pPr>
    </w:p>
    <w:p w14:paraId="29B71D83">
      <w:pPr>
        <w:wordWrap w:val="0"/>
        <w:topLinePunct/>
        <w:rPr>
          <w:rFonts w:ascii="宋体" w:hAnsi="宋体" w:cs="宋体"/>
          <w:color w:val="auto"/>
          <w:sz w:val="24"/>
          <w:highlight w:val="none"/>
          <w:u w:val="single"/>
        </w:rPr>
      </w:pPr>
      <w:r>
        <w:rPr>
          <w:rFonts w:hint="eastAsia" w:ascii="宋体" w:hAnsi="宋体" w:cs="宋体"/>
          <w:color w:val="auto"/>
          <w:sz w:val="24"/>
          <w:highlight w:val="none"/>
        </w:rPr>
        <w:t>身份证号码：</w:t>
      </w:r>
    </w:p>
    <w:p w14:paraId="283FC2D2">
      <w:pPr>
        <w:topLinePunct/>
        <w:rPr>
          <w:rFonts w:ascii="宋体" w:hAnsi="宋体" w:cs="宋体"/>
          <w:color w:val="auto"/>
          <w:sz w:val="24"/>
          <w:highlight w:val="none"/>
        </w:rPr>
      </w:pPr>
    </w:p>
    <w:p w14:paraId="44B77A7D">
      <w:pPr>
        <w:topLinePunct/>
        <w:jc w:val="left"/>
        <w:rPr>
          <w:rFonts w:ascii="宋体" w:hAnsi="宋体" w:cs="宋体"/>
          <w:color w:val="auto"/>
          <w:sz w:val="24"/>
          <w:highlight w:val="none"/>
        </w:rPr>
      </w:pPr>
      <w:r>
        <w:rPr>
          <w:rFonts w:hint="eastAsia" w:ascii="宋体" w:hAnsi="宋体" w:cs="宋体"/>
          <w:color w:val="auto"/>
          <w:sz w:val="24"/>
          <w:highlight w:val="none"/>
        </w:rPr>
        <w:t>委托代理人</w:t>
      </w:r>
      <w:r>
        <w:rPr>
          <w:rFonts w:hint="eastAsia" w:ascii="宋体" w:hAnsi="宋体" w:cs="宋体"/>
          <w:color w:val="auto"/>
          <w:sz w:val="24"/>
          <w:highlight w:val="none"/>
          <w:u w:val="single"/>
        </w:rPr>
        <w:t>(签字或盖章)</w:t>
      </w:r>
      <w:r>
        <w:rPr>
          <w:rFonts w:hint="eastAsia" w:ascii="宋体" w:hAnsi="宋体" w:cs="宋体"/>
          <w:color w:val="auto"/>
          <w:sz w:val="24"/>
          <w:highlight w:val="none"/>
        </w:rPr>
        <w:t>：</w:t>
      </w:r>
    </w:p>
    <w:p w14:paraId="69F7789A">
      <w:pPr>
        <w:topLinePunct/>
        <w:rPr>
          <w:rFonts w:ascii="宋体" w:hAnsi="宋体" w:cs="宋体"/>
          <w:color w:val="auto"/>
          <w:sz w:val="24"/>
          <w:highlight w:val="none"/>
        </w:rPr>
      </w:pPr>
    </w:p>
    <w:p w14:paraId="17A99D31">
      <w:pPr>
        <w:wordWrap w:val="0"/>
        <w:topLinePunct/>
        <w:rPr>
          <w:rFonts w:ascii="宋体" w:hAnsi="宋体" w:cs="宋体"/>
          <w:color w:val="auto"/>
          <w:sz w:val="24"/>
          <w:highlight w:val="none"/>
        </w:rPr>
      </w:pPr>
      <w:r>
        <w:rPr>
          <w:rFonts w:hint="eastAsia" w:ascii="宋体" w:hAnsi="宋体" w:cs="宋体"/>
          <w:color w:val="auto"/>
          <w:sz w:val="24"/>
          <w:highlight w:val="none"/>
        </w:rPr>
        <w:t>身份证号码：</w:t>
      </w:r>
    </w:p>
    <w:p w14:paraId="200E2EA4">
      <w:pPr>
        <w:topLinePunct/>
        <w:spacing w:before="120" w:beforeLines="50" w:after="120" w:afterLines="50"/>
        <w:jc w:val="center"/>
        <w:rPr>
          <w:rFonts w:ascii="宋体" w:hAnsi="宋体" w:cs="宋体"/>
          <w:color w:val="auto"/>
          <w:sz w:val="24"/>
          <w:highlight w:val="none"/>
        </w:rPr>
      </w:pPr>
      <w:r>
        <w:rPr>
          <w:rFonts w:hint="eastAsia" w:ascii="宋体" w:hAnsi="宋体" w:cs="宋体"/>
          <w:color w:val="auto"/>
          <w:sz w:val="24"/>
          <w:highlight w:val="none"/>
        </w:rPr>
        <w:t xml:space="preserve">                       年    月     日</w:t>
      </w:r>
    </w:p>
    <w:p w14:paraId="4E4400ED">
      <w:pPr>
        <w:topLinePunct/>
        <w:spacing w:before="120" w:beforeLines="50" w:after="120" w:afterLines="50"/>
        <w:jc w:val="center"/>
        <w:rPr>
          <w:rFonts w:ascii="宋体" w:hAnsi="宋体" w:cs="宋体"/>
          <w:color w:val="auto"/>
          <w:sz w:val="36"/>
          <w:szCs w:val="36"/>
          <w:highlight w:val="none"/>
        </w:rPr>
      </w:pPr>
    </w:p>
    <w:p w14:paraId="69119EE6">
      <w:pPr>
        <w:topLinePunct/>
        <w:spacing w:line="400" w:lineRule="exact"/>
        <w:ind w:firstLine="560" w:firstLineChars="200"/>
        <w:rPr>
          <w:rFonts w:ascii="宋体" w:hAnsi="宋体" w:cs="宋体"/>
          <w:color w:val="auto"/>
          <w:sz w:val="28"/>
          <w:szCs w:val="28"/>
          <w:highlight w:val="none"/>
        </w:rPr>
      </w:pPr>
    </w:p>
    <w:p w14:paraId="0FC872FB">
      <w:pPr>
        <w:topLinePunct/>
        <w:spacing w:line="400" w:lineRule="exact"/>
        <w:ind w:firstLine="560" w:firstLineChars="200"/>
        <w:rPr>
          <w:rFonts w:ascii="宋体" w:hAnsi="宋体" w:cs="宋体"/>
          <w:color w:val="auto"/>
          <w:sz w:val="28"/>
          <w:szCs w:val="28"/>
          <w:highlight w:val="none"/>
        </w:rPr>
      </w:pPr>
    </w:p>
    <w:p w14:paraId="730E6B39">
      <w:pPr>
        <w:topLinePunct/>
        <w:spacing w:line="400" w:lineRule="exact"/>
        <w:ind w:firstLine="560" w:firstLineChars="200"/>
        <w:rPr>
          <w:rFonts w:ascii="宋体" w:hAnsi="宋体" w:cs="宋体"/>
          <w:color w:val="auto"/>
          <w:sz w:val="28"/>
          <w:szCs w:val="28"/>
          <w:highlight w:val="none"/>
        </w:rPr>
      </w:pPr>
    </w:p>
    <w:p w14:paraId="4AF4C5D8">
      <w:pPr>
        <w:topLinePunct/>
        <w:spacing w:line="400" w:lineRule="exact"/>
        <w:ind w:firstLine="560" w:firstLineChars="200"/>
        <w:rPr>
          <w:rFonts w:ascii="宋体" w:hAnsi="宋体" w:cs="宋体"/>
          <w:color w:val="auto"/>
          <w:sz w:val="28"/>
          <w:szCs w:val="28"/>
          <w:highlight w:val="none"/>
        </w:rPr>
      </w:pPr>
    </w:p>
    <w:p w14:paraId="4445ED3C">
      <w:pPr>
        <w:topLinePunct/>
        <w:spacing w:line="400" w:lineRule="exact"/>
        <w:ind w:firstLine="560" w:firstLineChars="200"/>
        <w:rPr>
          <w:rFonts w:ascii="宋体" w:hAnsi="宋体" w:cs="宋体"/>
          <w:color w:val="auto"/>
          <w:sz w:val="28"/>
          <w:szCs w:val="28"/>
          <w:highlight w:val="none"/>
        </w:rPr>
      </w:pPr>
    </w:p>
    <w:p w14:paraId="39DD2CEB">
      <w:pPr>
        <w:spacing w:before="120" w:beforeLines="50" w:after="120" w:afterLines="50"/>
        <w:jc w:val="left"/>
        <w:rPr>
          <w:rFonts w:ascii="宋体" w:hAnsi="宋体" w:cs="宋体"/>
          <w:b/>
          <w:bCs/>
          <w:color w:val="auto"/>
          <w:highlight w:val="none"/>
        </w:rPr>
      </w:pPr>
      <w:r>
        <w:rPr>
          <w:rFonts w:hint="eastAsia" w:ascii="宋体" w:hAnsi="宋体" w:cs="宋体"/>
          <w:b/>
          <w:bCs/>
          <w:color w:val="auto"/>
          <w:highlight w:val="none"/>
        </w:rPr>
        <w:t>注：如果由供应商的法定代表人签署投标响应文件，则无须提交授权委托书。</w:t>
      </w:r>
    </w:p>
    <w:p w14:paraId="732CE1E2">
      <w:pPr>
        <w:pStyle w:val="34"/>
        <w:topLinePunct/>
        <w:spacing w:line="400" w:lineRule="exact"/>
        <w:ind w:left="560" w:firstLine="0" w:firstLineChars="0"/>
        <w:rPr>
          <w:rFonts w:ascii="宋体" w:hAnsi="宋体" w:cs="宋体"/>
          <w:color w:val="auto"/>
          <w:sz w:val="28"/>
          <w:szCs w:val="28"/>
          <w:highlight w:val="none"/>
        </w:rPr>
      </w:pPr>
      <w:r>
        <w:rPr>
          <w:rFonts w:hint="eastAsia" w:ascii="宋体" w:hAnsi="宋体" w:cs="宋体"/>
          <w:color w:val="auto"/>
          <w:sz w:val="27"/>
          <w:szCs w:val="27"/>
          <w:highlight w:val="none"/>
        </w:rPr>
        <w:br w:type="page"/>
      </w:r>
    </w:p>
    <w:p w14:paraId="74D15E5E">
      <w:pPr>
        <w:topLinePunct/>
        <w:spacing w:before="120" w:beforeLines="50" w:after="120" w:afterLines="50"/>
        <w:jc w:val="center"/>
        <w:rPr>
          <w:rFonts w:ascii="宋体" w:hAnsi="宋体" w:cs="宋体"/>
          <w:b/>
          <w:color w:val="auto"/>
          <w:sz w:val="28"/>
          <w:szCs w:val="28"/>
          <w:highlight w:val="none"/>
        </w:rPr>
      </w:pPr>
      <w:r>
        <w:rPr>
          <w:rFonts w:hint="eastAsia" w:ascii="宋体" w:hAnsi="宋体" w:cs="宋体"/>
          <w:b/>
          <w:color w:val="auto"/>
          <w:sz w:val="28"/>
          <w:szCs w:val="28"/>
          <w:highlight w:val="none"/>
        </w:rPr>
        <w:t xml:space="preserve"> </w:t>
      </w:r>
      <w:r>
        <w:rPr>
          <w:rFonts w:hint="eastAsia" w:ascii="宋体" w:hAnsi="宋体" w:cs="宋体"/>
          <w:b/>
          <w:color w:val="auto"/>
          <w:sz w:val="28"/>
          <w:szCs w:val="28"/>
          <w:highlight w:val="none"/>
          <w:lang w:eastAsia="zh-CN"/>
        </w:rPr>
        <w:t>（二）</w:t>
      </w:r>
      <w:r>
        <w:rPr>
          <w:rFonts w:hint="eastAsia" w:ascii="宋体" w:hAnsi="宋体" w:cs="宋体"/>
          <w:b/>
          <w:color w:val="auto"/>
          <w:sz w:val="28"/>
          <w:szCs w:val="28"/>
          <w:highlight w:val="none"/>
        </w:rPr>
        <w:t>法定代表人身份证明</w:t>
      </w:r>
    </w:p>
    <w:p w14:paraId="349AAEAA">
      <w:pPr>
        <w:topLinePunct/>
        <w:rPr>
          <w:rFonts w:ascii="宋体" w:hAnsi="宋体" w:cs="宋体"/>
          <w:color w:val="auto"/>
          <w:sz w:val="28"/>
          <w:szCs w:val="28"/>
          <w:highlight w:val="none"/>
        </w:rPr>
      </w:pPr>
    </w:p>
    <w:p w14:paraId="78B9AFB4">
      <w:pPr>
        <w:topLinePunct/>
        <w:rPr>
          <w:rFonts w:ascii="宋体" w:hAnsi="宋体" w:cs="宋体"/>
          <w:color w:val="auto"/>
          <w:sz w:val="28"/>
          <w:szCs w:val="28"/>
          <w:highlight w:val="none"/>
        </w:rPr>
      </w:pPr>
    </w:p>
    <w:p w14:paraId="463CF6E4">
      <w:pPr>
        <w:topLinePunct/>
        <w:rPr>
          <w:rFonts w:ascii="宋体" w:hAnsi="宋体" w:cs="宋体"/>
          <w:color w:val="auto"/>
          <w:sz w:val="24"/>
          <w:highlight w:val="none"/>
          <w:u w:val="singl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w:t>
      </w:r>
    </w:p>
    <w:p w14:paraId="565F71BA">
      <w:pPr>
        <w:topLinePunct/>
        <w:rPr>
          <w:rFonts w:ascii="宋体" w:hAnsi="宋体" w:cs="宋体"/>
          <w:color w:val="auto"/>
          <w:sz w:val="24"/>
          <w:highlight w:val="none"/>
        </w:rPr>
      </w:pPr>
    </w:p>
    <w:p w14:paraId="751029A7">
      <w:pPr>
        <w:topLinePunct/>
        <w:rPr>
          <w:rFonts w:ascii="宋体" w:hAnsi="宋体" w:cs="宋体"/>
          <w:color w:val="auto"/>
          <w:sz w:val="24"/>
          <w:highlight w:val="none"/>
          <w:u w:val="single"/>
        </w:rPr>
      </w:pPr>
      <w:r>
        <w:rPr>
          <w:rFonts w:hint="eastAsia" w:ascii="宋体" w:hAnsi="宋体" w:cs="宋体"/>
          <w:color w:val="auto"/>
          <w:sz w:val="24"/>
          <w:highlight w:val="none"/>
        </w:rPr>
        <w:t>姓名：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性别：</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职务：</w:t>
      </w:r>
      <w:r>
        <w:rPr>
          <w:rFonts w:hint="eastAsia" w:ascii="宋体" w:hAnsi="宋体" w:cs="宋体"/>
          <w:color w:val="auto"/>
          <w:sz w:val="24"/>
          <w:highlight w:val="none"/>
          <w:u w:val="single"/>
        </w:rPr>
        <w:t xml:space="preserve">            </w:t>
      </w:r>
    </w:p>
    <w:p w14:paraId="2FFE5FAC">
      <w:pPr>
        <w:topLinePunct/>
        <w:rPr>
          <w:rFonts w:ascii="宋体" w:hAnsi="宋体" w:cs="宋体"/>
          <w:color w:val="auto"/>
          <w:sz w:val="24"/>
          <w:highlight w:val="none"/>
        </w:rPr>
      </w:pPr>
    </w:p>
    <w:p w14:paraId="63C4CE57">
      <w:pPr>
        <w:topLinePunct/>
        <w:rPr>
          <w:rFonts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(供应商名称)           </w:t>
      </w:r>
      <w:r>
        <w:rPr>
          <w:rFonts w:hint="eastAsia" w:ascii="宋体" w:hAnsi="宋体" w:cs="宋体"/>
          <w:color w:val="auto"/>
          <w:sz w:val="24"/>
          <w:highlight w:val="none"/>
        </w:rPr>
        <w:t>的法定代表人。</w:t>
      </w:r>
    </w:p>
    <w:p w14:paraId="6C61C0B9">
      <w:pPr>
        <w:topLinePunct/>
        <w:rPr>
          <w:rFonts w:ascii="宋体" w:hAnsi="宋体" w:cs="宋体"/>
          <w:color w:val="auto"/>
          <w:sz w:val="24"/>
          <w:highlight w:val="none"/>
        </w:rPr>
      </w:pPr>
    </w:p>
    <w:p w14:paraId="47FEB164">
      <w:pPr>
        <w:topLinePunct/>
        <w:rPr>
          <w:rFonts w:ascii="宋体" w:hAnsi="宋体" w:cs="宋体"/>
          <w:color w:val="auto"/>
          <w:sz w:val="24"/>
          <w:highlight w:val="none"/>
        </w:rPr>
      </w:pPr>
      <w:r>
        <w:rPr>
          <w:rFonts w:hint="eastAsia" w:ascii="宋体" w:hAnsi="宋体" w:cs="宋体"/>
          <w:color w:val="auto"/>
          <w:sz w:val="24"/>
          <w:highlight w:val="none"/>
        </w:rPr>
        <w:t>特此证明。</w:t>
      </w:r>
    </w:p>
    <w:p w14:paraId="44CEFAD1">
      <w:pPr>
        <w:topLinePunct/>
        <w:rPr>
          <w:rFonts w:ascii="宋体" w:hAnsi="宋体" w:cs="宋体"/>
          <w:color w:val="auto"/>
          <w:sz w:val="24"/>
          <w:highlight w:val="none"/>
        </w:rPr>
      </w:pPr>
    </w:p>
    <w:p w14:paraId="71192E46">
      <w:pPr>
        <w:topLinePunct/>
        <w:rPr>
          <w:rFonts w:ascii="宋体" w:hAnsi="宋体" w:cs="宋体"/>
          <w:color w:val="auto"/>
          <w:sz w:val="24"/>
          <w:highlight w:val="none"/>
        </w:rPr>
      </w:pPr>
      <w:r>
        <w:rPr>
          <w:rFonts w:hint="eastAsia" w:ascii="宋体" w:hAnsi="宋体" w:cs="宋体"/>
          <w:color w:val="auto"/>
          <w:sz w:val="24"/>
          <w:highlight w:val="none"/>
        </w:rPr>
        <w:t>附：法定代表人身份证复印件。</w:t>
      </w:r>
    </w:p>
    <w:p w14:paraId="3DF098D4">
      <w:pPr>
        <w:topLinePunct/>
        <w:rPr>
          <w:rFonts w:ascii="宋体" w:hAnsi="宋体" w:cs="宋体"/>
          <w:color w:val="auto"/>
          <w:sz w:val="24"/>
          <w:highlight w:val="none"/>
        </w:rPr>
      </w:pPr>
    </w:p>
    <w:p w14:paraId="69A88E8F">
      <w:pPr>
        <w:topLinePunct/>
        <w:rPr>
          <w:rFonts w:ascii="宋体" w:hAnsi="宋体" w:cs="宋体"/>
          <w:color w:val="auto"/>
          <w:sz w:val="24"/>
          <w:highlight w:val="none"/>
        </w:rPr>
      </w:pPr>
    </w:p>
    <w:p w14:paraId="1728441B">
      <w:pPr>
        <w:snapToGrid w:val="0"/>
        <w:spacing w:line="360" w:lineRule="auto"/>
        <w:contextualSpacing/>
        <w:rPr>
          <w:rFonts w:ascii="宋体" w:hAnsi="宋体" w:cs="宋体"/>
          <w:color w:val="auto"/>
          <w:sz w:val="24"/>
          <w:highlight w:val="none"/>
        </w:rPr>
      </w:pPr>
      <w:r>
        <w:rPr>
          <w:rFonts w:hint="eastAsia" w:ascii="宋体" w:hAnsi="宋体" w:cs="宋体"/>
          <w:color w:val="auto"/>
          <w:sz w:val="24"/>
          <w:highlight w:val="none"/>
        </w:rPr>
        <w:t>响应供应商（盖单位公章）</w:t>
      </w:r>
    </w:p>
    <w:p w14:paraId="46898CF1">
      <w:pPr>
        <w:spacing w:line="360" w:lineRule="auto"/>
        <w:rPr>
          <w:rFonts w:ascii="宋体" w:hAnsi="宋体" w:cs="宋体"/>
          <w:color w:val="auto"/>
          <w:sz w:val="24"/>
          <w:highlight w:val="none"/>
        </w:rPr>
      </w:pPr>
      <w:r>
        <w:rPr>
          <w:rFonts w:hint="eastAsia" w:ascii="宋体" w:hAnsi="宋体" w:cs="宋体"/>
          <w:color w:val="auto"/>
          <w:sz w:val="24"/>
          <w:highlight w:val="none"/>
        </w:rPr>
        <w:t>日期：   年   月   日</w:t>
      </w:r>
    </w:p>
    <w:p w14:paraId="4B6851AB">
      <w:pPr>
        <w:topLinePunct/>
        <w:rPr>
          <w:rFonts w:ascii="宋体" w:hAnsi="宋体" w:cs="宋体"/>
          <w:color w:val="auto"/>
          <w:sz w:val="28"/>
          <w:szCs w:val="28"/>
          <w:highlight w:val="none"/>
        </w:rPr>
      </w:pPr>
    </w:p>
    <w:p w14:paraId="0FC59CFC">
      <w:pPr>
        <w:topLinePunct/>
        <w:rPr>
          <w:rFonts w:ascii="宋体" w:hAnsi="宋体" w:cs="宋体"/>
          <w:color w:val="auto"/>
          <w:sz w:val="28"/>
          <w:szCs w:val="28"/>
          <w:highlight w:val="none"/>
        </w:rPr>
      </w:pPr>
    </w:p>
    <w:p w14:paraId="74EBD28A">
      <w:pPr>
        <w:topLinePunct/>
        <w:rPr>
          <w:rFonts w:ascii="宋体" w:hAnsi="宋体" w:cs="宋体"/>
          <w:color w:val="auto"/>
          <w:sz w:val="28"/>
          <w:szCs w:val="28"/>
          <w:highlight w:val="none"/>
        </w:rPr>
      </w:pPr>
    </w:p>
    <w:p w14:paraId="20BC9C1C">
      <w:pPr>
        <w:rPr>
          <w:rFonts w:ascii="宋体" w:hAnsi="宋体" w:cs="宋体"/>
          <w:b/>
          <w:bCs/>
          <w:color w:val="auto"/>
          <w:highlight w:val="none"/>
        </w:rPr>
      </w:pPr>
    </w:p>
    <w:p w14:paraId="3BE799B5">
      <w:pPr>
        <w:spacing w:before="120" w:beforeLines="50" w:after="120" w:afterLines="50"/>
        <w:jc w:val="center"/>
        <w:rPr>
          <w:rFonts w:ascii="宋体" w:hAnsi="宋体" w:cs="宋体"/>
          <w:b/>
          <w:bCs/>
          <w:color w:val="auto"/>
          <w:highlight w:val="none"/>
        </w:rPr>
      </w:pPr>
    </w:p>
    <w:p w14:paraId="14D3EFCB">
      <w:pPr>
        <w:spacing w:before="120" w:beforeLines="50" w:after="120" w:afterLines="50"/>
        <w:jc w:val="center"/>
        <w:rPr>
          <w:rFonts w:ascii="宋体" w:hAnsi="宋体" w:cs="宋体"/>
          <w:b/>
          <w:bCs/>
          <w:color w:val="auto"/>
          <w:highlight w:val="none"/>
        </w:rPr>
      </w:pPr>
    </w:p>
    <w:p w14:paraId="15BA7C91">
      <w:pPr>
        <w:spacing w:before="120" w:beforeLines="50" w:after="120" w:afterLines="50"/>
        <w:jc w:val="center"/>
        <w:rPr>
          <w:rFonts w:ascii="宋体" w:hAnsi="宋体" w:cs="宋体"/>
          <w:b/>
          <w:bCs/>
          <w:color w:val="auto"/>
          <w:highlight w:val="none"/>
        </w:rPr>
      </w:pPr>
    </w:p>
    <w:p w14:paraId="2C487367">
      <w:pPr>
        <w:spacing w:before="120" w:beforeLines="50" w:after="120" w:afterLines="50"/>
        <w:jc w:val="center"/>
        <w:rPr>
          <w:rFonts w:ascii="宋体" w:hAnsi="宋体" w:cs="宋体"/>
          <w:b/>
          <w:bCs/>
          <w:color w:val="auto"/>
          <w:highlight w:val="none"/>
        </w:rPr>
      </w:pPr>
    </w:p>
    <w:p w14:paraId="73F3B0EE">
      <w:pPr>
        <w:spacing w:before="120" w:beforeLines="50" w:after="120" w:afterLines="50"/>
        <w:jc w:val="center"/>
        <w:rPr>
          <w:rFonts w:ascii="宋体" w:hAnsi="宋体" w:cs="宋体"/>
          <w:b/>
          <w:bCs/>
          <w:color w:val="auto"/>
          <w:highlight w:val="none"/>
        </w:rPr>
      </w:pPr>
    </w:p>
    <w:p w14:paraId="6653063B">
      <w:pPr>
        <w:snapToGrid w:val="0"/>
        <w:spacing w:line="300" w:lineRule="auto"/>
        <w:ind w:firstLine="420"/>
        <w:contextualSpacing/>
        <w:rPr>
          <w:rFonts w:ascii="宋体" w:hAnsi="宋体" w:cs="宋体"/>
          <w:b/>
          <w:color w:val="auto"/>
          <w:sz w:val="28"/>
          <w:szCs w:val="28"/>
          <w:highlight w:val="none"/>
        </w:rPr>
      </w:pPr>
    </w:p>
    <w:p w14:paraId="5EAE621D">
      <w:pPr>
        <w:spacing w:before="120" w:beforeLines="50" w:after="120" w:afterLines="50"/>
        <w:rPr>
          <w:rFonts w:ascii="宋体" w:hAnsi="宋体" w:cs="宋体"/>
          <w:b/>
          <w:color w:val="auto"/>
          <w:sz w:val="28"/>
          <w:szCs w:val="28"/>
          <w:highlight w:val="none"/>
        </w:rPr>
      </w:pPr>
      <w:r>
        <w:rPr>
          <w:rFonts w:hint="eastAsia" w:ascii="宋体" w:hAnsi="宋体" w:cs="宋体"/>
          <w:b/>
          <w:color w:val="auto"/>
          <w:sz w:val="28"/>
          <w:szCs w:val="28"/>
          <w:highlight w:val="none"/>
        </w:rPr>
        <w:t xml:space="preserve"> </w:t>
      </w:r>
    </w:p>
    <w:p w14:paraId="21DA273C">
      <w:pPr>
        <w:pStyle w:val="17"/>
        <w:rPr>
          <w:rFonts w:ascii="宋体" w:hAnsi="宋体" w:cs="宋体"/>
          <w:color w:val="auto"/>
          <w:highlight w:val="none"/>
        </w:rPr>
      </w:pPr>
    </w:p>
    <w:p w14:paraId="20777AA5">
      <w:pPr>
        <w:pStyle w:val="17"/>
        <w:rPr>
          <w:rFonts w:ascii="宋体" w:hAnsi="宋体" w:cs="宋体"/>
          <w:color w:val="auto"/>
          <w:highlight w:val="none"/>
        </w:rPr>
      </w:pPr>
    </w:p>
    <w:p w14:paraId="2573E62B">
      <w:pPr>
        <w:pStyle w:val="17"/>
        <w:rPr>
          <w:rFonts w:ascii="宋体" w:hAnsi="宋体" w:cs="宋体"/>
          <w:color w:val="auto"/>
          <w:highlight w:val="none"/>
        </w:rPr>
      </w:pPr>
    </w:p>
    <w:p w14:paraId="3ACCFFDA">
      <w:pPr>
        <w:pStyle w:val="17"/>
        <w:rPr>
          <w:rFonts w:ascii="宋体" w:hAnsi="宋体" w:cs="宋体"/>
          <w:color w:val="auto"/>
          <w:highlight w:val="none"/>
        </w:rPr>
      </w:pPr>
    </w:p>
    <w:p w14:paraId="515F1EB4">
      <w:pPr>
        <w:pStyle w:val="17"/>
        <w:rPr>
          <w:rFonts w:ascii="宋体" w:hAnsi="宋体" w:cs="宋体"/>
          <w:color w:val="auto"/>
          <w:highlight w:val="none"/>
        </w:rPr>
      </w:pPr>
    </w:p>
    <w:p w14:paraId="26F6ED67">
      <w:pPr>
        <w:pStyle w:val="17"/>
        <w:rPr>
          <w:rFonts w:ascii="宋体" w:hAnsi="宋体" w:cs="宋体"/>
          <w:color w:val="auto"/>
          <w:highlight w:val="none"/>
        </w:rPr>
      </w:pPr>
    </w:p>
    <w:p w14:paraId="35E233A1">
      <w:pPr>
        <w:pStyle w:val="17"/>
        <w:rPr>
          <w:rFonts w:ascii="宋体" w:hAnsi="宋体" w:cs="宋体"/>
          <w:color w:val="auto"/>
          <w:highlight w:val="none"/>
        </w:rPr>
      </w:pPr>
    </w:p>
    <w:p w14:paraId="3200E786">
      <w:pPr>
        <w:pStyle w:val="17"/>
        <w:rPr>
          <w:rFonts w:ascii="宋体" w:hAnsi="宋体" w:cs="宋体"/>
          <w:color w:val="auto"/>
          <w:highlight w:val="none"/>
        </w:rPr>
      </w:pPr>
    </w:p>
    <w:p w14:paraId="3ABCC569">
      <w:pPr>
        <w:pStyle w:val="31"/>
        <w:spacing w:before="120" w:beforeLines="50" w:after="120" w:afterLines="50" w:line="360" w:lineRule="auto"/>
        <w:jc w:val="left"/>
        <w:rPr>
          <w:rFonts w:ascii="宋体" w:hAnsi="宋体" w:eastAsia="宋体" w:cs="宋体"/>
          <w:b w:val="0"/>
          <w:color w:val="auto"/>
          <w:sz w:val="28"/>
          <w:szCs w:val="28"/>
          <w:highlight w:val="none"/>
        </w:rPr>
      </w:pPr>
      <w:r>
        <w:rPr>
          <w:rFonts w:hint="eastAsia" w:ascii="宋体" w:hAnsi="宋体" w:eastAsia="宋体" w:cs="宋体"/>
          <w:b w:val="0"/>
          <w:color w:val="auto"/>
          <w:sz w:val="28"/>
          <w:szCs w:val="28"/>
          <w:highlight w:val="none"/>
        </w:rPr>
        <w:t xml:space="preserve">附件3：                </w:t>
      </w:r>
    </w:p>
    <w:p w14:paraId="39870565">
      <w:pPr>
        <w:pStyle w:val="31"/>
        <w:spacing w:before="120" w:beforeLines="50" w:after="120" w:afterLines="50" w:line="360" w:lineRule="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供应商信用承诺书</w:t>
      </w:r>
    </w:p>
    <w:p w14:paraId="522BB162">
      <w:pPr>
        <w:spacing w:line="560" w:lineRule="exact"/>
        <w:rPr>
          <w:rFonts w:ascii="宋体" w:hAnsi="宋体" w:cs="宋体"/>
          <w:color w:val="auto"/>
          <w:spacing w:val="-5"/>
          <w:sz w:val="24"/>
          <w:highlight w:val="none"/>
        </w:rPr>
      </w:pPr>
      <w:r>
        <w:rPr>
          <w:rFonts w:hint="eastAsia" w:ascii="宋体" w:hAnsi="宋体" w:cs="宋体"/>
          <w:color w:val="auto"/>
          <w:spacing w:val="-5"/>
          <w:sz w:val="24"/>
          <w:highlight w:val="none"/>
        </w:rPr>
        <w:t>致：</w:t>
      </w:r>
      <w:r>
        <w:rPr>
          <w:rFonts w:hint="eastAsia" w:ascii="宋体" w:hAnsi="宋体" w:cs="宋体"/>
          <w:color w:val="auto"/>
          <w:sz w:val="24"/>
          <w:highlight w:val="none"/>
          <w:u w:val="single"/>
        </w:rPr>
        <w:t>南通市公路事业发展中心</w:t>
      </w:r>
    </w:p>
    <w:p w14:paraId="3A0CC22C">
      <w:pPr>
        <w:spacing w:line="560" w:lineRule="exact"/>
        <w:ind w:firstLine="460" w:firstLineChars="200"/>
        <w:rPr>
          <w:rFonts w:ascii="宋体" w:hAnsi="宋体" w:cs="宋体"/>
          <w:color w:val="auto"/>
          <w:spacing w:val="-5"/>
          <w:sz w:val="24"/>
          <w:highlight w:val="none"/>
        </w:rPr>
      </w:pPr>
      <w:r>
        <w:rPr>
          <w:rFonts w:hint="eastAsia" w:ascii="宋体" w:hAnsi="宋体" w:cs="宋体"/>
          <w:color w:val="auto"/>
          <w:spacing w:val="-5"/>
          <w:sz w:val="24"/>
          <w:highlight w:val="none"/>
        </w:rPr>
        <w:t xml:space="preserve">我单位 </w:t>
      </w:r>
      <w:r>
        <w:rPr>
          <w:rFonts w:hint="eastAsia" w:ascii="宋体" w:hAnsi="宋体" w:cs="宋体"/>
          <w:color w:val="auto"/>
          <w:spacing w:val="-5"/>
          <w:sz w:val="24"/>
          <w:highlight w:val="none"/>
          <w:u w:val="single"/>
        </w:rPr>
        <w:t xml:space="preserve">                      </w:t>
      </w:r>
      <w:r>
        <w:rPr>
          <w:rFonts w:hint="eastAsia" w:ascii="宋体" w:hAnsi="宋体" w:cs="宋体"/>
          <w:color w:val="auto"/>
          <w:spacing w:val="-5"/>
          <w:sz w:val="24"/>
          <w:highlight w:val="none"/>
        </w:rPr>
        <w:t>（单位名称）自愿参加</w:t>
      </w:r>
      <w:r>
        <w:rPr>
          <w:rFonts w:hint="eastAsia" w:ascii="宋体" w:hAnsi="宋体" w:cs="宋体"/>
          <w:color w:val="auto"/>
          <w:spacing w:val="-5"/>
          <w:sz w:val="24"/>
          <w:highlight w:val="none"/>
          <w:u w:val="single"/>
        </w:rPr>
        <w:t xml:space="preserve">             </w:t>
      </w:r>
      <w:r>
        <w:rPr>
          <w:rFonts w:hint="eastAsia" w:ascii="宋体" w:hAnsi="宋体" w:cs="宋体"/>
          <w:color w:val="auto"/>
          <w:spacing w:val="-5"/>
          <w:sz w:val="24"/>
          <w:highlight w:val="none"/>
        </w:rPr>
        <w:t xml:space="preserve"> </w:t>
      </w:r>
    </w:p>
    <w:p w14:paraId="1EFF762C">
      <w:pPr>
        <w:spacing w:line="560" w:lineRule="exact"/>
        <w:rPr>
          <w:rFonts w:ascii="宋体" w:hAnsi="宋体" w:cs="宋体"/>
          <w:color w:val="auto"/>
          <w:spacing w:val="-5"/>
          <w:sz w:val="24"/>
          <w:highlight w:val="none"/>
        </w:rPr>
      </w:pPr>
      <w:r>
        <w:rPr>
          <w:rFonts w:hint="eastAsia" w:ascii="宋体" w:hAnsi="宋体" w:cs="宋体"/>
          <w:color w:val="auto"/>
          <w:spacing w:val="-5"/>
          <w:sz w:val="24"/>
          <w:highlight w:val="none"/>
          <w:u w:val="single"/>
        </w:rPr>
        <w:t xml:space="preserve">                          </w:t>
      </w:r>
      <w:r>
        <w:rPr>
          <w:rFonts w:hint="eastAsia" w:ascii="宋体" w:hAnsi="宋体" w:cs="宋体"/>
          <w:color w:val="auto"/>
          <w:spacing w:val="-5"/>
          <w:sz w:val="24"/>
          <w:highlight w:val="none"/>
        </w:rPr>
        <w:t>项目投标活动，并郑重承诺：</w:t>
      </w:r>
    </w:p>
    <w:p w14:paraId="28D1D983">
      <w:pPr>
        <w:numPr>
          <w:ilvl w:val="0"/>
          <w:numId w:val="3"/>
        </w:numPr>
        <w:spacing w:line="560" w:lineRule="exact"/>
        <w:ind w:left="0" w:firstLine="460" w:firstLineChars="200"/>
        <w:rPr>
          <w:rFonts w:ascii="宋体" w:hAnsi="宋体" w:cs="宋体"/>
          <w:color w:val="auto"/>
          <w:spacing w:val="-5"/>
          <w:sz w:val="24"/>
          <w:highlight w:val="none"/>
        </w:rPr>
      </w:pPr>
      <w:r>
        <w:rPr>
          <w:rFonts w:hint="eastAsia" w:ascii="宋体" w:hAnsi="宋体" w:cs="宋体"/>
          <w:color w:val="auto"/>
          <w:spacing w:val="-5"/>
          <w:sz w:val="24"/>
          <w:highlight w:val="none"/>
        </w:rPr>
        <w:t>在本项目的投标活动中遵守国家法律法规和有关规定，遵循公开、公平、公正和诚信原则。</w:t>
      </w:r>
    </w:p>
    <w:p w14:paraId="495A5362">
      <w:pPr>
        <w:numPr>
          <w:ilvl w:val="0"/>
          <w:numId w:val="3"/>
        </w:numPr>
        <w:spacing w:line="560" w:lineRule="exact"/>
        <w:ind w:left="0" w:firstLine="460" w:firstLineChars="200"/>
        <w:rPr>
          <w:rFonts w:ascii="宋体" w:hAnsi="宋体" w:cs="宋体"/>
          <w:color w:val="auto"/>
          <w:spacing w:val="-5"/>
          <w:sz w:val="24"/>
          <w:highlight w:val="none"/>
        </w:rPr>
      </w:pPr>
      <w:r>
        <w:rPr>
          <w:rFonts w:hint="eastAsia" w:ascii="宋体" w:hAnsi="宋体" w:cs="宋体"/>
          <w:color w:val="auto"/>
          <w:spacing w:val="-5"/>
          <w:sz w:val="24"/>
          <w:highlight w:val="none"/>
        </w:rPr>
        <w:t>响应文件中所有内容均为我单位真实意愿表达，相关信息真实有效。</w:t>
      </w:r>
    </w:p>
    <w:p w14:paraId="4487092C">
      <w:pPr>
        <w:numPr>
          <w:ilvl w:val="0"/>
          <w:numId w:val="3"/>
        </w:numPr>
        <w:spacing w:line="560" w:lineRule="exact"/>
        <w:ind w:left="0" w:firstLine="460" w:firstLineChars="200"/>
        <w:rPr>
          <w:rFonts w:ascii="宋体" w:hAnsi="宋体" w:cs="宋体"/>
          <w:color w:val="auto"/>
          <w:spacing w:val="-5"/>
          <w:sz w:val="24"/>
          <w:highlight w:val="none"/>
        </w:rPr>
      </w:pPr>
      <w:r>
        <w:rPr>
          <w:rFonts w:hint="eastAsia" w:ascii="宋体" w:hAnsi="宋体" w:cs="宋体"/>
          <w:color w:val="auto"/>
          <w:spacing w:val="-5"/>
          <w:sz w:val="24"/>
          <w:highlight w:val="none"/>
        </w:rPr>
        <w:t>无弄虚作假，无围标串标行为。</w:t>
      </w:r>
    </w:p>
    <w:p w14:paraId="315FCF4B">
      <w:pPr>
        <w:numPr>
          <w:ilvl w:val="0"/>
          <w:numId w:val="3"/>
        </w:numPr>
        <w:spacing w:line="560" w:lineRule="exact"/>
        <w:ind w:left="0" w:firstLine="460" w:firstLineChars="200"/>
        <w:rPr>
          <w:rFonts w:ascii="宋体" w:hAnsi="宋体" w:cs="宋体"/>
          <w:color w:val="auto"/>
          <w:spacing w:val="-5"/>
          <w:sz w:val="24"/>
          <w:highlight w:val="none"/>
        </w:rPr>
      </w:pPr>
      <w:r>
        <w:rPr>
          <w:rFonts w:hint="eastAsia" w:ascii="宋体" w:hAnsi="宋体" w:cs="宋体"/>
          <w:color w:val="auto"/>
          <w:spacing w:val="-5"/>
          <w:sz w:val="24"/>
          <w:highlight w:val="none"/>
        </w:rPr>
        <w:t>若我方成交，在合同履行过程中严格执行有关</w:t>
      </w:r>
      <w:r>
        <w:rPr>
          <w:rFonts w:hint="eastAsia" w:ascii="宋体" w:hAnsi="宋体" w:cs="宋体"/>
          <w:color w:val="auto"/>
          <w:spacing w:val="-5"/>
          <w:sz w:val="24"/>
          <w:highlight w:val="none"/>
          <w:lang w:eastAsia="zh-CN"/>
        </w:rPr>
        <w:t>法律法规</w:t>
      </w:r>
      <w:r>
        <w:rPr>
          <w:rFonts w:hint="eastAsia" w:ascii="宋体" w:hAnsi="宋体" w:cs="宋体"/>
          <w:color w:val="auto"/>
          <w:spacing w:val="-5"/>
          <w:sz w:val="24"/>
          <w:highlight w:val="none"/>
        </w:rPr>
        <w:t>、规章和规范性文件的规定，不转包和违法分包。</w:t>
      </w:r>
    </w:p>
    <w:p w14:paraId="5273F39D">
      <w:pPr>
        <w:numPr>
          <w:ilvl w:val="0"/>
          <w:numId w:val="3"/>
        </w:numPr>
        <w:spacing w:line="560" w:lineRule="exact"/>
        <w:ind w:left="0" w:firstLine="460" w:firstLineChars="200"/>
        <w:rPr>
          <w:rFonts w:ascii="宋体" w:hAnsi="宋体" w:cs="宋体"/>
          <w:color w:val="auto"/>
          <w:spacing w:val="-5"/>
          <w:sz w:val="24"/>
          <w:highlight w:val="none"/>
        </w:rPr>
      </w:pPr>
      <w:r>
        <w:rPr>
          <w:rFonts w:hint="eastAsia" w:ascii="宋体" w:hAnsi="宋体" w:cs="宋体"/>
          <w:color w:val="auto"/>
          <w:spacing w:val="-5"/>
          <w:sz w:val="24"/>
          <w:highlight w:val="none"/>
        </w:rPr>
        <w:t>我方如有违背承诺，愿意接受国家和相关主管部门依法进行的处罚，并记入相关责任主体和责任人信用档案，同时在相关网站上公开。</w:t>
      </w:r>
    </w:p>
    <w:p w14:paraId="7B19E490">
      <w:pPr>
        <w:spacing w:line="560" w:lineRule="exact"/>
        <w:ind w:firstLine="4370" w:firstLineChars="1900"/>
        <w:rPr>
          <w:rFonts w:ascii="宋体" w:hAnsi="宋体" w:cs="宋体"/>
          <w:color w:val="auto"/>
          <w:spacing w:val="-5"/>
          <w:sz w:val="24"/>
          <w:highlight w:val="none"/>
        </w:rPr>
      </w:pPr>
    </w:p>
    <w:p w14:paraId="1D5178FE">
      <w:pPr>
        <w:spacing w:line="360" w:lineRule="auto"/>
        <w:rPr>
          <w:rFonts w:ascii="宋体" w:hAnsi="宋体" w:cs="宋体"/>
          <w:color w:val="auto"/>
          <w:sz w:val="24"/>
          <w:highlight w:val="none"/>
        </w:rPr>
      </w:pPr>
      <w:r>
        <w:rPr>
          <w:rFonts w:hint="eastAsia" w:ascii="宋体" w:hAnsi="宋体" w:cs="宋体"/>
          <w:color w:val="auto"/>
          <w:sz w:val="24"/>
          <w:highlight w:val="none"/>
        </w:rPr>
        <w:t>响应供应商：</w:t>
      </w:r>
      <w:r>
        <w:rPr>
          <w:rFonts w:hint="eastAsia" w:ascii="宋体" w:hAnsi="宋体" w:cs="宋体"/>
          <w:b/>
          <w:color w:val="auto"/>
          <w:spacing w:val="-2"/>
          <w:sz w:val="24"/>
          <w:highlight w:val="none"/>
          <w:u w:val="single"/>
        </w:rPr>
        <w:t>（盖单位章）</w:t>
      </w:r>
    </w:p>
    <w:p w14:paraId="218A6E04">
      <w:pPr>
        <w:kinsoku w:val="0"/>
        <w:topLinePunct/>
        <w:snapToGrid w:val="0"/>
        <w:spacing w:line="360" w:lineRule="auto"/>
        <w:rPr>
          <w:rFonts w:ascii="宋体" w:hAnsi="宋体" w:cs="宋体"/>
          <w:color w:val="auto"/>
          <w:sz w:val="24"/>
          <w:highlight w:val="none"/>
        </w:rPr>
      </w:pPr>
      <w:r>
        <w:rPr>
          <w:rFonts w:hint="eastAsia" w:ascii="宋体" w:hAnsi="宋体" w:cs="宋体"/>
          <w:color w:val="auto"/>
          <w:sz w:val="24"/>
          <w:highlight w:val="none"/>
        </w:rPr>
        <w:t>法定代表人或委托代理人（签字或盖章）：</w:t>
      </w:r>
    </w:p>
    <w:p w14:paraId="5DDD23D5">
      <w:pPr>
        <w:spacing w:line="360" w:lineRule="auto"/>
        <w:ind w:firstLine="3675"/>
        <w:rPr>
          <w:rFonts w:ascii="宋体" w:hAnsi="宋体" w:cs="宋体"/>
          <w:color w:val="auto"/>
          <w:sz w:val="24"/>
          <w:highlight w:val="none"/>
        </w:rPr>
      </w:pPr>
      <w:r>
        <w:rPr>
          <w:rFonts w:hint="eastAsia" w:ascii="宋体" w:hAnsi="宋体" w:cs="宋体"/>
          <w:color w:val="auto"/>
          <w:sz w:val="24"/>
          <w:highlight w:val="none"/>
        </w:rPr>
        <w:t>日期：   年   月   日</w:t>
      </w:r>
    </w:p>
    <w:p w14:paraId="3F3C5ED1">
      <w:pPr>
        <w:rPr>
          <w:rFonts w:ascii="宋体" w:hAnsi="宋体" w:cs="宋体"/>
          <w:color w:val="auto"/>
          <w:sz w:val="28"/>
          <w:szCs w:val="28"/>
          <w:highlight w:val="none"/>
        </w:rPr>
      </w:pPr>
      <w:r>
        <w:rPr>
          <w:rFonts w:hint="eastAsia" w:ascii="宋体" w:hAnsi="宋体" w:cs="宋体"/>
          <w:color w:val="auto"/>
          <w:sz w:val="24"/>
          <w:highlight w:val="none"/>
        </w:rPr>
        <w:br w:type="page"/>
      </w:r>
    </w:p>
    <w:p w14:paraId="1735AFA5">
      <w:pPr>
        <w:rPr>
          <w:rFonts w:ascii="宋体" w:hAnsi="宋体" w:cs="宋体"/>
          <w:color w:val="auto"/>
          <w:sz w:val="28"/>
          <w:szCs w:val="28"/>
          <w:highlight w:val="none"/>
        </w:rPr>
      </w:pPr>
      <w:r>
        <w:rPr>
          <w:rFonts w:hint="eastAsia" w:ascii="宋体" w:hAnsi="宋体" w:cs="宋体"/>
          <w:color w:val="auto"/>
          <w:sz w:val="28"/>
          <w:szCs w:val="28"/>
          <w:highlight w:val="none"/>
        </w:rPr>
        <w:t>附件</w:t>
      </w:r>
      <w:r>
        <w:rPr>
          <w:rFonts w:hint="eastAsia" w:ascii="宋体" w:hAnsi="宋体" w:cs="宋体"/>
          <w:color w:val="auto"/>
          <w:sz w:val="28"/>
          <w:szCs w:val="28"/>
          <w:highlight w:val="none"/>
          <w:lang w:val="en-US" w:eastAsia="zh-CN"/>
        </w:rPr>
        <w:t>4</w:t>
      </w:r>
      <w:r>
        <w:rPr>
          <w:rFonts w:hint="eastAsia" w:ascii="宋体" w:hAnsi="宋体" w:cs="宋体"/>
          <w:color w:val="auto"/>
          <w:sz w:val="28"/>
          <w:szCs w:val="28"/>
          <w:highlight w:val="none"/>
        </w:rPr>
        <w:t>：</w:t>
      </w:r>
    </w:p>
    <w:p w14:paraId="63B21D57">
      <w:pPr>
        <w:snapToGrid w:val="0"/>
        <w:spacing w:line="520" w:lineRule="exact"/>
        <w:jc w:val="center"/>
        <w:outlineLvl w:val="2"/>
        <w:rPr>
          <w:rFonts w:ascii="宋体" w:hAnsi="宋体" w:cs="宋体"/>
          <w:color w:val="auto"/>
          <w:highlight w:val="none"/>
        </w:rPr>
      </w:pPr>
      <w:r>
        <w:rPr>
          <w:rFonts w:hint="eastAsia" w:ascii="宋体" w:hAnsi="宋体" w:cs="宋体"/>
          <w:b/>
          <w:bCs/>
          <w:color w:val="auto"/>
          <w:sz w:val="28"/>
          <w:szCs w:val="28"/>
          <w:highlight w:val="none"/>
        </w:rPr>
        <w:t>供应商基本情况表</w:t>
      </w:r>
    </w:p>
    <w:tbl>
      <w:tblPr>
        <w:tblStyle w:val="18"/>
        <w:tblW w:w="9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8"/>
        <w:gridCol w:w="3036"/>
        <w:gridCol w:w="1536"/>
        <w:gridCol w:w="2287"/>
      </w:tblGrid>
      <w:tr w14:paraId="0F075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2708" w:type="dxa"/>
            <w:vAlign w:val="center"/>
          </w:tcPr>
          <w:p w14:paraId="727113C1">
            <w:pPr>
              <w:jc w:val="center"/>
              <w:rPr>
                <w:rFonts w:ascii="宋体" w:hAnsi="宋体" w:cs="宋体"/>
                <w:color w:val="auto"/>
                <w:sz w:val="24"/>
                <w:highlight w:val="none"/>
              </w:rPr>
            </w:pPr>
            <w:r>
              <w:rPr>
                <w:rFonts w:hint="eastAsia" w:ascii="宋体" w:hAnsi="宋体" w:cs="宋体"/>
                <w:color w:val="auto"/>
                <w:sz w:val="24"/>
                <w:highlight w:val="none"/>
              </w:rPr>
              <w:t>供应商全称</w:t>
            </w:r>
          </w:p>
        </w:tc>
        <w:tc>
          <w:tcPr>
            <w:tcW w:w="6859" w:type="dxa"/>
            <w:gridSpan w:val="3"/>
            <w:vAlign w:val="center"/>
          </w:tcPr>
          <w:p w14:paraId="692AEDC9">
            <w:pPr>
              <w:jc w:val="center"/>
              <w:rPr>
                <w:rFonts w:ascii="宋体" w:hAnsi="宋体" w:cs="宋体"/>
                <w:b/>
                <w:color w:val="auto"/>
                <w:sz w:val="24"/>
                <w:highlight w:val="none"/>
              </w:rPr>
            </w:pPr>
          </w:p>
        </w:tc>
      </w:tr>
      <w:tr w14:paraId="63264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2708" w:type="dxa"/>
            <w:vAlign w:val="center"/>
          </w:tcPr>
          <w:p w14:paraId="1FBF690E">
            <w:pPr>
              <w:jc w:val="center"/>
              <w:rPr>
                <w:rFonts w:ascii="宋体" w:hAnsi="宋体" w:cs="宋体"/>
                <w:color w:val="auto"/>
                <w:sz w:val="24"/>
                <w:highlight w:val="none"/>
              </w:rPr>
            </w:pPr>
            <w:r>
              <w:rPr>
                <w:rFonts w:hint="eastAsia" w:ascii="宋体" w:hAnsi="宋体" w:cs="宋体"/>
                <w:color w:val="auto"/>
                <w:sz w:val="24"/>
                <w:highlight w:val="none"/>
              </w:rPr>
              <w:t>主要业务范围</w:t>
            </w:r>
          </w:p>
        </w:tc>
        <w:tc>
          <w:tcPr>
            <w:tcW w:w="6859" w:type="dxa"/>
            <w:gridSpan w:val="3"/>
            <w:vAlign w:val="center"/>
          </w:tcPr>
          <w:p w14:paraId="6AD96CE9">
            <w:pPr>
              <w:jc w:val="center"/>
              <w:rPr>
                <w:rFonts w:ascii="宋体" w:hAnsi="宋体" w:cs="宋体"/>
                <w:b/>
                <w:color w:val="auto"/>
                <w:sz w:val="24"/>
                <w:highlight w:val="none"/>
              </w:rPr>
            </w:pPr>
          </w:p>
        </w:tc>
      </w:tr>
      <w:tr w14:paraId="46C8D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2708" w:type="dxa"/>
            <w:vAlign w:val="center"/>
          </w:tcPr>
          <w:p w14:paraId="49AC1775">
            <w:pPr>
              <w:jc w:val="center"/>
              <w:rPr>
                <w:rFonts w:ascii="宋体" w:hAnsi="宋体" w:cs="宋体"/>
                <w:color w:val="auto"/>
                <w:sz w:val="24"/>
                <w:highlight w:val="none"/>
              </w:rPr>
            </w:pPr>
            <w:r>
              <w:rPr>
                <w:rFonts w:hint="eastAsia" w:ascii="宋体" w:hAnsi="宋体" w:cs="宋体"/>
                <w:color w:val="auto"/>
                <w:sz w:val="24"/>
                <w:highlight w:val="none"/>
              </w:rPr>
              <w:t>法定代表人姓名</w:t>
            </w:r>
          </w:p>
        </w:tc>
        <w:tc>
          <w:tcPr>
            <w:tcW w:w="3036" w:type="dxa"/>
            <w:vAlign w:val="center"/>
          </w:tcPr>
          <w:p w14:paraId="6561FAF6">
            <w:pPr>
              <w:jc w:val="center"/>
              <w:rPr>
                <w:rFonts w:ascii="宋体" w:hAnsi="宋体" w:cs="宋体"/>
                <w:b/>
                <w:color w:val="auto"/>
                <w:sz w:val="24"/>
                <w:highlight w:val="none"/>
              </w:rPr>
            </w:pPr>
          </w:p>
        </w:tc>
        <w:tc>
          <w:tcPr>
            <w:tcW w:w="1536" w:type="dxa"/>
            <w:vAlign w:val="center"/>
          </w:tcPr>
          <w:p w14:paraId="43DBDDE1">
            <w:pPr>
              <w:jc w:val="center"/>
              <w:rPr>
                <w:rFonts w:ascii="宋体" w:hAnsi="宋体" w:cs="宋体"/>
                <w:color w:val="auto"/>
                <w:sz w:val="24"/>
                <w:highlight w:val="none"/>
              </w:rPr>
            </w:pPr>
            <w:r>
              <w:rPr>
                <w:rFonts w:hint="eastAsia" w:ascii="宋体" w:hAnsi="宋体" w:cs="宋体"/>
                <w:color w:val="auto"/>
                <w:sz w:val="24"/>
                <w:highlight w:val="none"/>
              </w:rPr>
              <w:t>职    务</w:t>
            </w:r>
          </w:p>
        </w:tc>
        <w:tc>
          <w:tcPr>
            <w:tcW w:w="2287" w:type="dxa"/>
          </w:tcPr>
          <w:p w14:paraId="3A9BBA5F">
            <w:pPr>
              <w:rPr>
                <w:rFonts w:ascii="宋体" w:hAnsi="宋体" w:cs="宋体"/>
                <w:b/>
                <w:color w:val="auto"/>
                <w:sz w:val="24"/>
                <w:highlight w:val="none"/>
              </w:rPr>
            </w:pPr>
          </w:p>
        </w:tc>
      </w:tr>
      <w:tr w14:paraId="5E252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2708" w:type="dxa"/>
            <w:vAlign w:val="center"/>
          </w:tcPr>
          <w:p w14:paraId="4483C4B3">
            <w:pPr>
              <w:jc w:val="center"/>
              <w:rPr>
                <w:rFonts w:ascii="宋体" w:hAnsi="宋体" w:cs="宋体"/>
                <w:color w:val="auto"/>
                <w:sz w:val="24"/>
                <w:highlight w:val="none"/>
              </w:rPr>
            </w:pPr>
            <w:r>
              <w:rPr>
                <w:rFonts w:hint="eastAsia" w:ascii="宋体" w:hAnsi="宋体" w:cs="宋体"/>
                <w:color w:val="auto"/>
                <w:sz w:val="24"/>
                <w:highlight w:val="none"/>
              </w:rPr>
              <w:t>供应商地址</w:t>
            </w:r>
          </w:p>
        </w:tc>
        <w:tc>
          <w:tcPr>
            <w:tcW w:w="3036" w:type="dxa"/>
            <w:vAlign w:val="center"/>
          </w:tcPr>
          <w:p w14:paraId="1C173A93">
            <w:pPr>
              <w:jc w:val="center"/>
              <w:rPr>
                <w:rFonts w:ascii="宋体" w:hAnsi="宋体" w:cs="宋体"/>
                <w:b/>
                <w:color w:val="auto"/>
                <w:sz w:val="24"/>
                <w:highlight w:val="none"/>
              </w:rPr>
            </w:pPr>
          </w:p>
        </w:tc>
        <w:tc>
          <w:tcPr>
            <w:tcW w:w="1536" w:type="dxa"/>
            <w:vAlign w:val="center"/>
          </w:tcPr>
          <w:p w14:paraId="18665DEB">
            <w:pPr>
              <w:jc w:val="center"/>
              <w:rPr>
                <w:rFonts w:ascii="宋体" w:hAnsi="宋体" w:cs="宋体"/>
                <w:color w:val="auto"/>
                <w:sz w:val="24"/>
                <w:highlight w:val="none"/>
              </w:rPr>
            </w:pPr>
            <w:r>
              <w:rPr>
                <w:rFonts w:hint="eastAsia" w:ascii="宋体" w:hAnsi="宋体" w:cs="宋体"/>
                <w:color w:val="auto"/>
                <w:sz w:val="24"/>
                <w:highlight w:val="none"/>
              </w:rPr>
              <w:t>邮政编码</w:t>
            </w:r>
          </w:p>
        </w:tc>
        <w:tc>
          <w:tcPr>
            <w:tcW w:w="2287" w:type="dxa"/>
          </w:tcPr>
          <w:p w14:paraId="68FF2FB4">
            <w:pPr>
              <w:rPr>
                <w:rFonts w:ascii="宋体" w:hAnsi="宋体" w:cs="宋体"/>
                <w:b/>
                <w:color w:val="auto"/>
                <w:sz w:val="24"/>
                <w:highlight w:val="none"/>
              </w:rPr>
            </w:pPr>
          </w:p>
        </w:tc>
      </w:tr>
      <w:tr w14:paraId="3FF13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2708" w:type="dxa"/>
            <w:vAlign w:val="center"/>
          </w:tcPr>
          <w:p w14:paraId="18E07BAB">
            <w:pPr>
              <w:jc w:val="center"/>
              <w:rPr>
                <w:rFonts w:ascii="宋体" w:hAnsi="宋体" w:cs="宋体"/>
                <w:color w:val="auto"/>
                <w:sz w:val="24"/>
                <w:highlight w:val="none"/>
              </w:rPr>
            </w:pPr>
            <w:r>
              <w:rPr>
                <w:rFonts w:hint="eastAsia" w:ascii="宋体" w:hAnsi="宋体" w:cs="宋体"/>
                <w:color w:val="auto"/>
                <w:sz w:val="24"/>
                <w:highlight w:val="none"/>
              </w:rPr>
              <w:t>电       话</w:t>
            </w:r>
          </w:p>
        </w:tc>
        <w:tc>
          <w:tcPr>
            <w:tcW w:w="3036" w:type="dxa"/>
            <w:vAlign w:val="center"/>
          </w:tcPr>
          <w:p w14:paraId="389EC93A">
            <w:pPr>
              <w:jc w:val="center"/>
              <w:rPr>
                <w:rFonts w:ascii="宋体" w:hAnsi="宋体" w:cs="宋体"/>
                <w:b/>
                <w:color w:val="auto"/>
                <w:sz w:val="24"/>
                <w:highlight w:val="none"/>
              </w:rPr>
            </w:pPr>
          </w:p>
        </w:tc>
        <w:tc>
          <w:tcPr>
            <w:tcW w:w="1536" w:type="dxa"/>
            <w:vAlign w:val="center"/>
          </w:tcPr>
          <w:p w14:paraId="7D3DC02B">
            <w:pPr>
              <w:jc w:val="center"/>
              <w:rPr>
                <w:rFonts w:ascii="宋体" w:hAnsi="宋体" w:cs="宋体"/>
                <w:color w:val="auto"/>
                <w:sz w:val="24"/>
                <w:highlight w:val="none"/>
              </w:rPr>
            </w:pPr>
            <w:r>
              <w:rPr>
                <w:rFonts w:hint="eastAsia" w:ascii="宋体" w:hAnsi="宋体" w:cs="宋体"/>
                <w:color w:val="auto"/>
                <w:sz w:val="24"/>
                <w:highlight w:val="none"/>
              </w:rPr>
              <w:t>传   真</w:t>
            </w:r>
          </w:p>
        </w:tc>
        <w:tc>
          <w:tcPr>
            <w:tcW w:w="2287" w:type="dxa"/>
          </w:tcPr>
          <w:p w14:paraId="4FBAC2F5">
            <w:pPr>
              <w:rPr>
                <w:rFonts w:ascii="宋体" w:hAnsi="宋体" w:cs="宋体"/>
                <w:b/>
                <w:color w:val="auto"/>
                <w:sz w:val="24"/>
                <w:highlight w:val="none"/>
              </w:rPr>
            </w:pPr>
          </w:p>
        </w:tc>
      </w:tr>
      <w:tr w14:paraId="7AE04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2708" w:type="dxa"/>
            <w:vAlign w:val="center"/>
          </w:tcPr>
          <w:p w14:paraId="40A84DCA">
            <w:pPr>
              <w:jc w:val="center"/>
              <w:rPr>
                <w:rFonts w:ascii="宋体" w:hAnsi="宋体" w:cs="宋体"/>
                <w:color w:val="auto"/>
                <w:sz w:val="24"/>
                <w:highlight w:val="none"/>
              </w:rPr>
            </w:pPr>
            <w:r>
              <w:rPr>
                <w:rFonts w:hint="eastAsia" w:ascii="宋体" w:hAnsi="宋体" w:cs="宋体"/>
                <w:color w:val="auto"/>
                <w:sz w:val="24"/>
                <w:highlight w:val="none"/>
              </w:rPr>
              <w:t>成立日期</w:t>
            </w:r>
          </w:p>
        </w:tc>
        <w:tc>
          <w:tcPr>
            <w:tcW w:w="3036" w:type="dxa"/>
            <w:vAlign w:val="center"/>
          </w:tcPr>
          <w:p w14:paraId="06ECFDFF">
            <w:pPr>
              <w:jc w:val="center"/>
              <w:rPr>
                <w:rFonts w:ascii="宋体" w:hAnsi="宋体" w:cs="宋体"/>
                <w:b/>
                <w:color w:val="auto"/>
                <w:sz w:val="24"/>
                <w:highlight w:val="none"/>
              </w:rPr>
            </w:pPr>
          </w:p>
        </w:tc>
        <w:tc>
          <w:tcPr>
            <w:tcW w:w="1536" w:type="dxa"/>
            <w:vAlign w:val="center"/>
          </w:tcPr>
          <w:p w14:paraId="387EE434">
            <w:pPr>
              <w:jc w:val="center"/>
              <w:rPr>
                <w:rFonts w:ascii="宋体" w:hAnsi="宋体" w:cs="宋体"/>
                <w:color w:val="auto"/>
                <w:sz w:val="24"/>
                <w:highlight w:val="none"/>
              </w:rPr>
            </w:pPr>
            <w:r>
              <w:rPr>
                <w:rFonts w:hint="eastAsia" w:ascii="宋体" w:hAnsi="宋体" w:cs="宋体"/>
                <w:color w:val="auto"/>
                <w:sz w:val="24"/>
                <w:highlight w:val="none"/>
              </w:rPr>
              <w:t>现 有 职</w:t>
            </w:r>
          </w:p>
          <w:p w14:paraId="1887DD88">
            <w:pPr>
              <w:jc w:val="center"/>
              <w:rPr>
                <w:rFonts w:ascii="宋体" w:hAnsi="宋体" w:cs="宋体"/>
                <w:color w:val="auto"/>
                <w:sz w:val="24"/>
                <w:highlight w:val="none"/>
              </w:rPr>
            </w:pPr>
            <w:r>
              <w:rPr>
                <w:rFonts w:hint="eastAsia" w:ascii="宋体" w:hAnsi="宋体" w:cs="宋体"/>
                <w:color w:val="auto"/>
                <w:sz w:val="24"/>
                <w:highlight w:val="none"/>
              </w:rPr>
              <w:t>工 人 数</w:t>
            </w:r>
          </w:p>
        </w:tc>
        <w:tc>
          <w:tcPr>
            <w:tcW w:w="2287" w:type="dxa"/>
          </w:tcPr>
          <w:p w14:paraId="0377C597">
            <w:pPr>
              <w:rPr>
                <w:rFonts w:ascii="宋体" w:hAnsi="宋体" w:cs="宋体"/>
                <w:b/>
                <w:color w:val="auto"/>
                <w:sz w:val="24"/>
                <w:highlight w:val="none"/>
              </w:rPr>
            </w:pPr>
          </w:p>
        </w:tc>
      </w:tr>
      <w:tr w14:paraId="429BE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2708" w:type="dxa"/>
            <w:vAlign w:val="center"/>
          </w:tcPr>
          <w:p w14:paraId="50B7EE21">
            <w:pPr>
              <w:pStyle w:val="12"/>
              <w:jc w:val="center"/>
              <w:rPr>
                <w:rFonts w:ascii="宋体" w:hAnsi="宋体" w:cs="宋体"/>
                <w:color w:val="auto"/>
                <w:sz w:val="24"/>
                <w:szCs w:val="24"/>
                <w:highlight w:val="none"/>
              </w:rPr>
            </w:pPr>
            <w:r>
              <w:rPr>
                <w:rFonts w:hint="eastAsia" w:ascii="宋体" w:hAnsi="宋体" w:cs="宋体"/>
                <w:color w:val="auto"/>
                <w:sz w:val="24"/>
                <w:szCs w:val="24"/>
                <w:highlight w:val="none"/>
              </w:rPr>
              <w:t>资质等级证书（如有）</w:t>
            </w:r>
          </w:p>
        </w:tc>
        <w:tc>
          <w:tcPr>
            <w:tcW w:w="6859" w:type="dxa"/>
            <w:gridSpan w:val="3"/>
          </w:tcPr>
          <w:p w14:paraId="3ED1FACF">
            <w:pPr>
              <w:rPr>
                <w:rFonts w:ascii="宋体" w:hAnsi="宋体" w:cs="宋体"/>
                <w:b/>
                <w:color w:val="auto"/>
                <w:sz w:val="24"/>
                <w:highlight w:val="none"/>
              </w:rPr>
            </w:pPr>
          </w:p>
          <w:p w14:paraId="79B95B26">
            <w:pPr>
              <w:rPr>
                <w:rFonts w:ascii="宋体" w:hAnsi="宋体" w:cs="宋体"/>
                <w:color w:val="auto"/>
                <w:sz w:val="24"/>
                <w:highlight w:val="none"/>
              </w:rPr>
            </w:pPr>
            <w:r>
              <w:rPr>
                <w:rFonts w:hint="eastAsia" w:ascii="宋体" w:hAnsi="宋体" w:cs="宋体"/>
                <w:color w:val="auto"/>
                <w:sz w:val="24"/>
                <w:highlight w:val="none"/>
              </w:rPr>
              <w:t>等 级：                   证书号：</w:t>
            </w:r>
          </w:p>
        </w:tc>
      </w:tr>
      <w:tr w14:paraId="0E970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9567" w:type="dxa"/>
            <w:gridSpan w:val="4"/>
            <w:tcBorders>
              <w:bottom w:val="single" w:color="auto" w:sz="4" w:space="0"/>
            </w:tcBorders>
          </w:tcPr>
          <w:p w14:paraId="6BCE8B8E">
            <w:pPr>
              <w:rPr>
                <w:rFonts w:ascii="宋体" w:hAnsi="宋体" w:cs="宋体"/>
                <w:color w:val="auto"/>
                <w:sz w:val="24"/>
                <w:highlight w:val="none"/>
              </w:rPr>
            </w:pPr>
            <w:r>
              <w:rPr>
                <w:rFonts w:hint="eastAsia" w:ascii="宋体" w:hAnsi="宋体" w:cs="宋体"/>
                <w:color w:val="auto"/>
                <w:sz w:val="24"/>
                <w:highlight w:val="none"/>
              </w:rPr>
              <w:t>单位简介：</w:t>
            </w:r>
          </w:p>
          <w:p w14:paraId="0F101F82">
            <w:pPr>
              <w:rPr>
                <w:rFonts w:ascii="宋体" w:hAnsi="宋体" w:cs="宋体"/>
                <w:color w:val="auto"/>
                <w:sz w:val="24"/>
                <w:highlight w:val="none"/>
              </w:rPr>
            </w:pPr>
            <w:r>
              <w:rPr>
                <w:rFonts w:hint="eastAsia" w:ascii="宋体" w:hAnsi="宋体" w:cs="宋体"/>
                <w:color w:val="auto"/>
                <w:sz w:val="24"/>
                <w:highlight w:val="none"/>
              </w:rPr>
              <w:t xml:space="preserve">技术人员总数：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w:t>
            </w:r>
          </w:p>
        </w:tc>
      </w:tr>
    </w:tbl>
    <w:p w14:paraId="061BF2AA">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供应商（盖单位公章）：</w:t>
      </w:r>
      <w:r>
        <w:rPr>
          <w:rFonts w:hint="eastAsia" w:ascii="宋体" w:hAnsi="宋体" w:cs="宋体"/>
          <w:color w:val="auto"/>
          <w:sz w:val="24"/>
          <w:highlight w:val="none"/>
          <w:u w:val="single"/>
        </w:rPr>
        <w:t xml:space="preserve">                    </w:t>
      </w:r>
    </w:p>
    <w:p w14:paraId="1F642AA6">
      <w:pPr>
        <w:kinsoku w:val="0"/>
        <w:topLinePunct/>
        <w:snapToGrid w:val="0"/>
        <w:spacing w:line="360" w:lineRule="auto"/>
        <w:rPr>
          <w:rFonts w:ascii="宋体" w:hAnsi="宋体" w:cs="宋体"/>
          <w:color w:val="auto"/>
          <w:sz w:val="24"/>
          <w:highlight w:val="none"/>
        </w:rPr>
      </w:pPr>
      <w:r>
        <w:rPr>
          <w:rFonts w:hint="eastAsia" w:ascii="宋体" w:hAnsi="宋体" w:cs="宋体"/>
          <w:color w:val="auto"/>
          <w:sz w:val="24"/>
          <w:highlight w:val="none"/>
        </w:rPr>
        <w:t>法定代表人或委托代理人（签字或盖章）：</w:t>
      </w:r>
    </w:p>
    <w:p w14:paraId="208F9A7B">
      <w:pPr>
        <w:snapToGrid w:val="0"/>
        <w:spacing w:line="360" w:lineRule="auto"/>
        <w:ind w:firstLine="1200" w:firstLineChars="500"/>
        <w:rPr>
          <w:rFonts w:ascii="宋体" w:hAnsi="宋体" w:cs="宋体"/>
          <w:color w:val="auto"/>
          <w:sz w:val="24"/>
          <w:highlight w:val="none"/>
        </w:rPr>
      </w:pPr>
      <w:r>
        <w:rPr>
          <w:rFonts w:hint="eastAsia" w:ascii="宋体" w:hAnsi="宋体" w:cs="宋体"/>
          <w:color w:val="auto"/>
          <w:sz w:val="24"/>
          <w:highlight w:val="none"/>
        </w:rPr>
        <w:t>年    月    日</w:t>
      </w:r>
    </w:p>
    <w:p w14:paraId="48677746">
      <w:pPr>
        <w:widowControl/>
        <w:jc w:val="left"/>
        <w:rPr>
          <w:rFonts w:ascii="宋体" w:hAnsi="宋体" w:cs="宋体"/>
          <w:color w:val="auto"/>
          <w:sz w:val="24"/>
          <w:highlight w:val="none"/>
        </w:rPr>
      </w:pPr>
      <w:r>
        <w:rPr>
          <w:rFonts w:hint="eastAsia" w:ascii="宋体" w:hAnsi="宋体" w:cs="宋体"/>
          <w:color w:val="auto"/>
          <w:sz w:val="24"/>
          <w:highlight w:val="none"/>
        </w:rPr>
        <w:br w:type="page"/>
      </w:r>
    </w:p>
    <w:p w14:paraId="5D5EDDB5">
      <w:pPr>
        <w:tabs>
          <w:tab w:val="left" w:pos="3375"/>
        </w:tabs>
        <w:autoSpaceDE w:val="0"/>
        <w:autoSpaceDN w:val="0"/>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注：本表后附竞争性磋商公告资格要求提供相应的佐证材料（以下材料均须提供复印件（或扫描件）并加盖公章）；</w:t>
      </w:r>
    </w:p>
    <w:p w14:paraId="6F2D2A3C">
      <w:pPr>
        <w:tabs>
          <w:tab w:val="left" w:pos="3375"/>
        </w:tabs>
        <w:autoSpaceDE w:val="0"/>
        <w:autoSpaceDN w:val="0"/>
        <w:adjustRightInd w:val="0"/>
        <w:snapToGrid w:val="0"/>
        <w:spacing w:line="440" w:lineRule="exact"/>
        <w:ind w:firstLine="480" w:firstLineChars="2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lang w:val="en-US" w:eastAsia="zh-CN"/>
        </w:rPr>
        <w:t>1</w:t>
      </w: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rPr>
        <w:t>企业法人营业执照或事业单位法人登记证明或社会组织或其他组织或自然人证明材料；</w:t>
      </w:r>
    </w:p>
    <w:p w14:paraId="4ADA6CC0">
      <w:pPr>
        <w:tabs>
          <w:tab w:val="left" w:pos="3375"/>
        </w:tabs>
        <w:autoSpaceDE w:val="0"/>
        <w:autoSpaceDN w:val="0"/>
        <w:adjustRightInd w:val="0"/>
        <w:snapToGrid w:val="0"/>
        <w:spacing w:line="440" w:lineRule="exact"/>
        <w:ind w:firstLine="480" w:firstLineChars="2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lang w:val="en-US" w:eastAsia="zh-CN"/>
        </w:rPr>
        <w:t>2</w:t>
      </w: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lang w:val="en-US" w:eastAsia="zh-CN"/>
        </w:rPr>
        <w:t>提供</w:t>
      </w:r>
      <w:r>
        <w:rPr>
          <w:rFonts w:hint="eastAsia" w:ascii="宋体" w:hAnsi="宋体" w:cs="宋体"/>
          <w:color w:val="auto"/>
          <w:sz w:val="24"/>
          <w:highlight w:val="none"/>
        </w:rPr>
        <w:t>供应商有效的交通运输部门颁发的公路工程试验检测综合甲级资质</w:t>
      </w:r>
      <w:r>
        <w:rPr>
          <w:rFonts w:hint="eastAsia" w:ascii="宋体" w:hAnsi="宋体" w:cs="宋体"/>
          <w:color w:val="auto"/>
          <w:sz w:val="24"/>
          <w:highlight w:val="none"/>
          <w:lang w:val="en-US" w:eastAsia="zh-CN"/>
        </w:rPr>
        <w:t>证书</w:t>
      </w:r>
      <w:r>
        <w:rPr>
          <w:rFonts w:hint="eastAsia" w:ascii="宋体" w:hAnsi="宋体" w:cs="宋体"/>
          <w:color w:val="auto"/>
          <w:sz w:val="24"/>
          <w:highlight w:val="none"/>
        </w:rPr>
        <w:t>或公路工程试验检测-甲级资质</w:t>
      </w:r>
      <w:r>
        <w:rPr>
          <w:rFonts w:hint="eastAsia" w:ascii="宋体" w:hAnsi="宋体" w:cs="宋体"/>
          <w:color w:val="auto"/>
          <w:sz w:val="24"/>
          <w:highlight w:val="none"/>
          <w:lang w:val="en-US" w:eastAsia="zh-CN"/>
        </w:rPr>
        <w:t>证书</w:t>
      </w:r>
      <w:r>
        <w:rPr>
          <w:rFonts w:hint="eastAsia" w:ascii="宋体" w:hAnsi="宋体" w:cs="宋体"/>
          <w:color w:val="auto"/>
          <w:sz w:val="24"/>
          <w:highlight w:val="none"/>
        </w:rPr>
        <w:t>或公路工程桥梁隧道工程专项检测资质</w:t>
      </w:r>
      <w:r>
        <w:rPr>
          <w:rFonts w:hint="eastAsia" w:ascii="宋体" w:hAnsi="宋体" w:cs="宋体"/>
          <w:color w:val="auto"/>
          <w:sz w:val="24"/>
          <w:highlight w:val="none"/>
          <w:lang w:val="en-US" w:eastAsia="zh-CN"/>
        </w:rPr>
        <w:t>证书</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并提供</w:t>
      </w:r>
      <w:r>
        <w:rPr>
          <w:rFonts w:hint="eastAsia" w:ascii="宋体" w:hAnsi="宋体" w:cs="宋体"/>
          <w:color w:val="auto"/>
          <w:sz w:val="24"/>
          <w:highlight w:val="none"/>
        </w:rPr>
        <w:t>有效的省级或以上主管部门颁发的计量认证证书（或资质认定证书）</w:t>
      </w:r>
      <w:r>
        <w:rPr>
          <w:rFonts w:hint="eastAsia" w:cs="宋体" w:asciiTheme="minorEastAsia" w:hAnsiTheme="minorEastAsia" w:eastAsiaTheme="minorEastAsia"/>
          <w:color w:val="auto"/>
          <w:sz w:val="24"/>
          <w:highlight w:val="none"/>
        </w:rPr>
        <w:t>；</w:t>
      </w:r>
    </w:p>
    <w:p w14:paraId="3E03B484">
      <w:pPr>
        <w:tabs>
          <w:tab w:val="left" w:pos="3375"/>
        </w:tabs>
        <w:autoSpaceDE w:val="0"/>
        <w:autoSpaceDN w:val="0"/>
        <w:adjustRightInd w:val="0"/>
        <w:snapToGrid w:val="0"/>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提供项目负责人</w:t>
      </w:r>
      <w:r>
        <w:rPr>
          <w:rFonts w:hint="eastAsia" w:ascii="宋体" w:hAnsi="宋体" w:cs="宋体"/>
          <w:color w:val="auto"/>
          <w:sz w:val="24"/>
          <w:highlight w:val="none"/>
        </w:rPr>
        <w:t>交通运输部公路工程试验检测师（或试验检测工程师）资格</w:t>
      </w:r>
      <w:r>
        <w:rPr>
          <w:rFonts w:hint="eastAsia" w:ascii="宋体" w:hAnsi="宋体" w:cs="宋体"/>
          <w:color w:val="auto"/>
          <w:sz w:val="24"/>
          <w:highlight w:val="none"/>
          <w:lang w:val="en-US" w:eastAsia="zh-CN"/>
        </w:rPr>
        <w:t>证书</w:t>
      </w:r>
      <w:r>
        <w:rPr>
          <w:rFonts w:hint="eastAsia" w:ascii="宋体" w:hAnsi="宋体" w:cs="宋体"/>
          <w:color w:val="auto"/>
          <w:sz w:val="24"/>
          <w:highlight w:val="none"/>
        </w:rPr>
        <w:t>（桥梁或桥梁隧道工程专业）；</w:t>
      </w:r>
    </w:p>
    <w:p w14:paraId="5E91D207">
      <w:pPr>
        <w:tabs>
          <w:tab w:val="left" w:pos="3375"/>
        </w:tabs>
        <w:autoSpaceDE w:val="0"/>
        <w:autoSpaceDN w:val="0"/>
        <w:adjustRightInd w:val="0"/>
        <w:snapToGrid w:val="0"/>
        <w:spacing w:line="44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4）提供拟投入本项目的其他人员（除项目负责人外）不少于3名（拟投入本项目主要人员情况汇总表），并提供上述人员的交通运输部公路工程试验检测师（或试验检测工程师）资格证书（桥梁或桥梁隧道工程专业）；</w:t>
      </w:r>
    </w:p>
    <w:p w14:paraId="58A909E6">
      <w:pPr>
        <w:tabs>
          <w:tab w:val="left" w:pos="3375"/>
        </w:tabs>
        <w:autoSpaceDE w:val="0"/>
        <w:autoSpaceDN w:val="0"/>
        <w:adjustRightInd w:val="0"/>
        <w:snapToGrid w:val="0"/>
        <w:spacing w:line="44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（5）提供项目负责人及其他人员社保缴费证明；</w:t>
      </w:r>
    </w:p>
    <w:p w14:paraId="7300E628">
      <w:pPr>
        <w:tabs>
          <w:tab w:val="left" w:pos="3375"/>
        </w:tabs>
        <w:autoSpaceDE w:val="0"/>
        <w:autoSpaceDN w:val="0"/>
        <w:adjustRightInd w:val="0"/>
        <w:snapToGrid w:val="0"/>
        <w:spacing w:line="440" w:lineRule="exact"/>
        <w:ind w:firstLine="480" w:firstLineChars="200"/>
        <w:rPr>
          <w:rFonts w:cs="宋体" w:asciiTheme="minorEastAsia" w:hAnsiTheme="minorEastAsia" w:eastAsiaTheme="minorEastAsia"/>
          <w:color w:val="auto"/>
          <w:sz w:val="24"/>
          <w:highlight w:val="none"/>
        </w:rPr>
      </w:pPr>
    </w:p>
    <w:p w14:paraId="53B027D9">
      <w:pPr>
        <w:tabs>
          <w:tab w:val="left" w:pos="3375"/>
        </w:tabs>
        <w:autoSpaceDE w:val="0"/>
        <w:autoSpaceDN w:val="0"/>
        <w:adjustRightInd w:val="0"/>
        <w:snapToGrid w:val="0"/>
        <w:spacing w:line="440" w:lineRule="exact"/>
        <w:ind w:firstLine="480" w:firstLineChars="200"/>
        <w:rPr>
          <w:rFonts w:hint="default" w:ascii="宋体" w:hAnsi="宋体" w:cs="宋体"/>
          <w:color w:val="auto"/>
          <w:sz w:val="24"/>
          <w:highlight w:val="none"/>
          <w:lang w:val="en-US" w:eastAsia="zh-CN"/>
        </w:rPr>
      </w:pPr>
    </w:p>
    <w:p w14:paraId="56B7F498">
      <w:pPr>
        <w:spacing w:line="300" w:lineRule="auto"/>
        <w:jc w:val="center"/>
        <w:rPr>
          <w:rFonts w:hint="eastAsia" w:ascii="宋体" w:hAnsi="宋体"/>
          <w:bCs/>
          <w:color w:val="auto"/>
          <w:sz w:val="32"/>
          <w:szCs w:val="32"/>
          <w:highlight w:val="none"/>
        </w:rPr>
      </w:pPr>
    </w:p>
    <w:p w14:paraId="23781883">
      <w:pPr>
        <w:spacing w:line="300" w:lineRule="auto"/>
        <w:jc w:val="center"/>
        <w:rPr>
          <w:rFonts w:hint="eastAsia" w:ascii="宋体" w:hAnsi="宋体"/>
          <w:bCs/>
          <w:color w:val="auto"/>
          <w:sz w:val="32"/>
          <w:szCs w:val="32"/>
          <w:highlight w:val="none"/>
        </w:rPr>
      </w:pPr>
    </w:p>
    <w:p w14:paraId="0E8DE7AA">
      <w:pPr>
        <w:spacing w:line="300" w:lineRule="auto"/>
        <w:jc w:val="center"/>
        <w:rPr>
          <w:rFonts w:hint="eastAsia" w:ascii="宋体" w:hAnsi="宋体"/>
          <w:bCs/>
          <w:color w:val="auto"/>
          <w:sz w:val="32"/>
          <w:szCs w:val="32"/>
          <w:highlight w:val="none"/>
        </w:rPr>
      </w:pPr>
    </w:p>
    <w:p w14:paraId="77D0F714">
      <w:pPr>
        <w:spacing w:line="300" w:lineRule="auto"/>
        <w:jc w:val="center"/>
        <w:rPr>
          <w:rFonts w:hint="eastAsia" w:ascii="宋体" w:hAnsi="宋体"/>
          <w:bCs/>
          <w:color w:val="auto"/>
          <w:sz w:val="32"/>
          <w:szCs w:val="32"/>
          <w:highlight w:val="none"/>
        </w:rPr>
      </w:pPr>
    </w:p>
    <w:p w14:paraId="6BF69A5A">
      <w:pPr>
        <w:spacing w:line="300" w:lineRule="auto"/>
        <w:jc w:val="center"/>
        <w:rPr>
          <w:rFonts w:hint="eastAsia" w:ascii="宋体" w:hAnsi="宋体"/>
          <w:bCs/>
          <w:color w:val="auto"/>
          <w:sz w:val="32"/>
          <w:szCs w:val="32"/>
          <w:highlight w:val="none"/>
        </w:rPr>
      </w:pPr>
    </w:p>
    <w:p w14:paraId="04B2930E">
      <w:pPr>
        <w:rPr>
          <w:rFonts w:hint="eastAsia" w:ascii="宋体" w:hAnsi="宋体"/>
          <w:bCs/>
          <w:color w:val="auto"/>
          <w:sz w:val="32"/>
          <w:szCs w:val="32"/>
          <w:highlight w:val="none"/>
        </w:rPr>
      </w:pPr>
      <w:r>
        <w:rPr>
          <w:rFonts w:hint="eastAsia" w:ascii="宋体" w:hAnsi="宋体"/>
          <w:bCs/>
          <w:color w:val="auto"/>
          <w:sz w:val="32"/>
          <w:szCs w:val="32"/>
          <w:highlight w:val="none"/>
        </w:rPr>
        <w:br w:type="page"/>
      </w:r>
    </w:p>
    <w:p w14:paraId="5C1413AC">
      <w:pPr>
        <w:spacing w:line="300" w:lineRule="auto"/>
        <w:jc w:val="both"/>
        <w:rPr>
          <w:rFonts w:hint="eastAsia" w:ascii="宋体" w:hAnsi="宋体"/>
          <w:bCs/>
          <w:color w:val="auto"/>
          <w:sz w:val="32"/>
          <w:szCs w:val="32"/>
          <w:highlight w:val="none"/>
          <w:lang w:val="en-US" w:eastAsia="zh-CN"/>
        </w:rPr>
      </w:pPr>
      <w:r>
        <w:rPr>
          <w:rFonts w:hint="eastAsia" w:ascii="宋体" w:hAnsi="宋体" w:cs="宋体"/>
          <w:color w:val="auto"/>
          <w:sz w:val="28"/>
          <w:szCs w:val="28"/>
          <w:highlight w:val="none"/>
        </w:rPr>
        <w:t>附件</w:t>
      </w:r>
      <w:r>
        <w:rPr>
          <w:rFonts w:hint="eastAsia" w:ascii="宋体" w:hAnsi="宋体" w:cs="宋体"/>
          <w:color w:val="auto"/>
          <w:sz w:val="28"/>
          <w:szCs w:val="28"/>
          <w:highlight w:val="none"/>
          <w:lang w:val="en-US" w:eastAsia="zh-CN"/>
        </w:rPr>
        <w:t>5</w:t>
      </w:r>
      <w:r>
        <w:rPr>
          <w:rFonts w:hint="eastAsia" w:ascii="宋体" w:hAnsi="宋体" w:cs="宋体"/>
          <w:color w:val="auto"/>
          <w:sz w:val="28"/>
          <w:szCs w:val="28"/>
          <w:highlight w:val="none"/>
        </w:rPr>
        <w:t>：</w:t>
      </w:r>
    </w:p>
    <w:p w14:paraId="5B10E6AC">
      <w:pPr>
        <w:spacing w:line="300" w:lineRule="auto"/>
        <w:jc w:val="center"/>
        <w:rPr>
          <w:rFonts w:ascii="宋体" w:hAnsi="宋体"/>
          <w:bCs/>
          <w:color w:val="auto"/>
          <w:sz w:val="32"/>
          <w:szCs w:val="32"/>
          <w:highlight w:val="none"/>
        </w:rPr>
      </w:pPr>
      <w:r>
        <w:rPr>
          <w:rFonts w:hint="eastAsia" w:ascii="宋体" w:hAnsi="宋体"/>
          <w:bCs/>
          <w:color w:val="auto"/>
          <w:sz w:val="32"/>
          <w:szCs w:val="32"/>
          <w:highlight w:val="none"/>
          <w:lang w:val="en-US" w:eastAsia="zh-CN"/>
        </w:rPr>
        <w:t>拟</w:t>
      </w:r>
      <w:r>
        <w:rPr>
          <w:rFonts w:hint="eastAsia" w:ascii="宋体" w:hAnsi="宋体"/>
          <w:bCs/>
          <w:color w:val="auto"/>
          <w:sz w:val="32"/>
          <w:szCs w:val="32"/>
          <w:highlight w:val="none"/>
        </w:rPr>
        <w:t>投入本项目主要人员情况汇总表</w:t>
      </w:r>
    </w:p>
    <w:tbl>
      <w:tblPr>
        <w:tblStyle w:val="18"/>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6"/>
        <w:gridCol w:w="1024"/>
        <w:gridCol w:w="900"/>
        <w:gridCol w:w="540"/>
        <w:gridCol w:w="900"/>
        <w:gridCol w:w="720"/>
        <w:gridCol w:w="900"/>
        <w:gridCol w:w="1260"/>
        <w:gridCol w:w="1800"/>
        <w:gridCol w:w="720"/>
        <w:gridCol w:w="720"/>
      </w:tblGrid>
      <w:tr w14:paraId="6B036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416" w:type="dxa"/>
            <w:vMerge w:val="restart"/>
            <w:noWrap/>
            <w:vAlign w:val="center"/>
          </w:tcPr>
          <w:p w14:paraId="500D8CFB">
            <w:pPr>
              <w:widowControl/>
              <w:jc w:val="center"/>
              <w:textAlignment w:val="bottom"/>
              <w:rPr>
                <w:rFonts w:ascii="Arial" w:hAnsi="Arial" w:cs="Arial"/>
                <w:color w:val="auto"/>
                <w:sz w:val="20"/>
                <w:highlight w:val="none"/>
              </w:rPr>
            </w:pPr>
            <w:r>
              <w:rPr>
                <w:rFonts w:ascii="Arial" w:hAnsi="Arial" w:cs="Arial"/>
                <w:color w:val="auto"/>
                <w:kern w:val="0"/>
                <w:sz w:val="20"/>
                <w:highlight w:val="none"/>
              </w:rPr>
              <w:t>序号</w:t>
            </w:r>
          </w:p>
        </w:tc>
        <w:tc>
          <w:tcPr>
            <w:tcW w:w="1024" w:type="dxa"/>
            <w:vMerge w:val="restart"/>
            <w:noWrap/>
            <w:vAlign w:val="center"/>
          </w:tcPr>
          <w:p w14:paraId="4265BD3B">
            <w:pPr>
              <w:widowControl/>
              <w:jc w:val="center"/>
              <w:textAlignment w:val="bottom"/>
              <w:rPr>
                <w:rFonts w:ascii="Arial" w:hAnsi="Arial" w:cs="Arial"/>
                <w:color w:val="auto"/>
                <w:sz w:val="20"/>
                <w:highlight w:val="none"/>
              </w:rPr>
            </w:pPr>
            <w:r>
              <w:rPr>
                <w:rFonts w:ascii="Arial" w:hAnsi="Arial" w:cs="Arial"/>
                <w:color w:val="auto"/>
                <w:kern w:val="0"/>
                <w:sz w:val="20"/>
                <w:highlight w:val="none"/>
              </w:rPr>
              <w:t>在本</w:t>
            </w:r>
            <w:r>
              <w:rPr>
                <w:rFonts w:hint="eastAsia" w:ascii="Arial" w:hAnsi="Arial" w:cs="Arial"/>
                <w:color w:val="auto"/>
                <w:kern w:val="0"/>
                <w:sz w:val="20"/>
                <w:highlight w:val="none"/>
              </w:rPr>
              <w:t>项目</w:t>
            </w:r>
            <w:r>
              <w:rPr>
                <w:rFonts w:ascii="Arial" w:hAnsi="Arial" w:cs="Arial"/>
                <w:color w:val="auto"/>
                <w:kern w:val="0"/>
                <w:sz w:val="20"/>
                <w:highlight w:val="none"/>
              </w:rPr>
              <w:t>任职</w:t>
            </w:r>
          </w:p>
        </w:tc>
        <w:tc>
          <w:tcPr>
            <w:tcW w:w="900" w:type="dxa"/>
            <w:vMerge w:val="restart"/>
            <w:noWrap/>
            <w:vAlign w:val="center"/>
          </w:tcPr>
          <w:p w14:paraId="0B63C599">
            <w:pPr>
              <w:widowControl/>
              <w:jc w:val="center"/>
              <w:textAlignment w:val="bottom"/>
              <w:rPr>
                <w:rFonts w:ascii="Arial" w:hAnsi="Arial" w:cs="Arial"/>
                <w:color w:val="auto"/>
                <w:sz w:val="20"/>
                <w:highlight w:val="none"/>
              </w:rPr>
            </w:pPr>
            <w:r>
              <w:rPr>
                <w:rFonts w:ascii="Arial" w:hAnsi="Arial" w:cs="Arial"/>
                <w:color w:val="auto"/>
                <w:kern w:val="0"/>
                <w:sz w:val="20"/>
                <w:highlight w:val="none"/>
              </w:rPr>
              <w:t>姓名</w:t>
            </w:r>
          </w:p>
        </w:tc>
        <w:tc>
          <w:tcPr>
            <w:tcW w:w="540" w:type="dxa"/>
            <w:vMerge w:val="restart"/>
            <w:noWrap/>
            <w:vAlign w:val="center"/>
          </w:tcPr>
          <w:p w14:paraId="54DA3CBB">
            <w:pPr>
              <w:widowControl/>
              <w:jc w:val="center"/>
              <w:textAlignment w:val="bottom"/>
              <w:rPr>
                <w:rFonts w:ascii="Arial" w:hAnsi="Arial" w:cs="Arial"/>
                <w:color w:val="auto"/>
                <w:sz w:val="20"/>
                <w:highlight w:val="none"/>
              </w:rPr>
            </w:pPr>
            <w:r>
              <w:rPr>
                <w:rFonts w:ascii="Arial" w:hAnsi="Arial" w:cs="Arial"/>
                <w:color w:val="auto"/>
                <w:kern w:val="0"/>
                <w:sz w:val="20"/>
                <w:highlight w:val="none"/>
              </w:rPr>
              <w:t>学历</w:t>
            </w:r>
          </w:p>
        </w:tc>
        <w:tc>
          <w:tcPr>
            <w:tcW w:w="900" w:type="dxa"/>
            <w:vMerge w:val="restart"/>
            <w:noWrap/>
            <w:vAlign w:val="center"/>
          </w:tcPr>
          <w:p w14:paraId="65A3A4C8">
            <w:pPr>
              <w:widowControl/>
              <w:jc w:val="center"/>
              <w:textAlignment w:val="bottom"/>
              <w:rPr>
                <w:rFonts w:ascii="Arial" w:hAnsi="Arial" w:cs="Arial"/>
                <w:color w:val="auto"/>
                <w:kern w:val="0"/>
                <w:sz w:val="20"/>
                <w:highlight w:val="none"/>
              </w:rPr>
            </w:pPr>
            <w:r>
              <w:rPr>
                <w:rFonts w:ascii="Arial" w:hAnsi="Arial" w:cs="Arial"/>
                <w:color w:val="auto"/>
                <w:kern w:val="0"/>
                <w:sz w:val="20"/>
                <w:highlight w:val="none"/>
              </w:rPr>
              <w:t>技术</w:t>
            </w:r>
          </w:p>
          <w:p w14:paraId="0079ABCC">
            <w:pPr>
              <w:widowControl/>
              <w:jc w:val="center"/>
              <w:textAlignment w:val="bottom"/>
              <w:rPr>
                <w:rFonts w:ascii="Arial" w:hAnsi="Arial" w:cs="Arial"/>
                <w:color w:val="auto"/>
                <w:sz w:val="20"/>
                <w:highlight w:val="none"/>
              </w:rPr>
            </w:pPr>
            <w:r>
              <w:rPr>
                <w:rFonts w:ascii="Arial" w:hAnsi="Arial" w:cs="Arial"/>
                <w:color w:val="auto"/>
                <w:kern w:val="0"/>
                <w:sz w:val="20"/>
                <w:highlight w:val="none"/>
              </w:rPr>
              <w:t>职称</w:t>
            </w:r>
          </w:p>
        </w:tc>
        <w:tc>
          <w:tcPr>
            <w:tcW w:w="720" w:type="dxa"/>
            <w:vMerge w:val="restart"/>
            <w:noWrap/>
            <w:vAlign w:val="center"/>
          </w:tcPr>
          <w:p w14:paraId="42EA20BC">
            <w:pPr>
              <w:widowControl/>
              <w:jc w:val="center"/>
              <w:textAlignment w:val="bottom"/>
              <w:rPr>
                <w:rFonts w:ascii="Arial" w:hAnsi="Arial" w:cs="Arial"/>
                <w:color w:val="auto"/>
                <w:sz w:val="20"/>
                <w:highlight w:val="none"/>
              </w:rPr>
            </w:pPr>
            <w:r>
              <w:rPr>
                <w:rFonts w:ascii="Arial" w:hAnsi="Arial" w:cs="Arial"/>
                <w:color w:val="auto"/>
                <w:kern w:val="0"/>
                <w:sz w:val="20"/>
                <w:highlight w:val="none"/>
              </w:rPr>
              <w:t>专业</w:t>
            </w:r>
          </w:p>
        </w:tc>
        <w:tc>
          <w:tcPr>
            <w:tcW w:w="2160" w:type="dxa"/>
            <w:gridSpan w:val="2"/>
            <w:noWrap/>
            <w:vAlign w:val="center"/>
          </w:tcPr>
          <w:p w14:paraId="3135305E">
            <w:pPr>
              <w:widowControl/>
              <w:jc w:val="center"/>
              <w:textAlignment w:val="bottom"/>
              <w:rPr>
                <w:rFonts w:ascii="Arial" w:hAnsi="Arial" w:cs="Arial"/>
                <w:color w:val="auto"/>
                <w:kern w:val="0"/>
                <w:sz w:val="20"/>
                <w:highlight w:val="none"/>
              </w:rPr>
            </w:pPr>
            <w:r>
              <w:rPr>
                <w:rFonts w:hint="eastAsia" w:ascii="Arial" w:hAnsi="Arial" w:cs="Arial"/>
                <w:color w:val="auto"/>
                <w:kern w:val="0"/>
                <w:sz w:val="20"/>
                <w:highlight w:val="none"/>
              </w:rPr>
              <w:t>执业或职业资格证明</w:t>
            </w:r>
          </w:p>
        </w:tc>
        <w:tc>
          <w:tcPr>
            <w:tcW w:w="1800" w:type="dxa"/>
            <w:vMerge w:val="restart"/>
            <w:noWrap/>
            <w:vAlign w:val="center"/>
          </w:tcPr>
          <w:p w14:paraId="3DF7C9C4">
            <w:pPr>
              <w:widowControl/>
              <w:jc w:val="center"/>
              <w:textAlignment w:val="bottom"/>
              <w:rPr>
                <w:rFonts w:ascii="Arial" w:hAnsi="Arial" w:cs="Arial"/>
                <w:color w:val="auto"/>
                <w:sz w:val="20"/>
                <w:highlight w:val="none"/>
              </w:rPr>
            </w:pPr>
            <w:r>
              <w:rPr>
                <w:rFonts w:hint="eastAsia" w:ascii="Arial" w:hAnsi="Arial" w:cs="Arial"/>
                <w:color w:val="auto"/>
                <w:kern w:val="0"/>
                <w:sz w:val="20"/>
                <w:highlight w:val="none"/>
              </w:rPr>
              <w:t>身份证号</w:t>
            </w:r>
          </w:p>
        </w:tc>
        <w:tc>
          <w:tcPr>
            <w:tcW w:w="720" w:type="dxa"/>
            <w:vMerge w:val="restart"/>
            <w:noWrap/>
            <w:vAlign w:val="center"/>
          </w:tcPr>
          <w:p w14:paraId="291A8C94">
            <w:pPr>
              <w:widowControl/>
              <w:jc w:val="center"/>
              <w:textAlignment w:val="bottom"/>
              <w:rPr>
                <w:rFonts w:ascii="Arial" w:hAnsi="Arial" w:cs="Arial"/>
                <w:color w:val="auto"/>
                <w:sz w:val="20"/>
                <w:highlight w:val="none"/>
              </w:rPr>
            </w:pPr>
            <w:r>
              <w:rPr>
                <w:rFonts w:hint="eastAsia" w:ascii="Arial" w:hAnsi="Arial" w:cs="Arial"/>
                <w:color w:val="auto"/>
                <w:sz w:val="20"/>
                <w:highlight w:val="none"/>
              </w:rPr>
              <w:t>社保</w:t>
            </w:r>
          </w:p>
          <w:p w14:paraId="03BEBD65">
            <w:pPr>
              <w:widowControl/>
              <w:jc w:val="center"/>
              <w:textAlignment w:val="bottom"/>
              <w:rPr>
                <w:rFonts w:ascii="Arial" w:hAnsi="Arial" w:cs="Arial"/>
                <w:color w:val="auto"/>
                <w:sz w:val="20"/>
                <w:highlight w:val="none"/>
              </w:rPr>
            </w:pPr>
            <w:r>
              <w:rPr>
                <w:rFonts w:hint="eastAsia" w:ascii="Arial" w:hAnsi="Arial" w:cs="Arial"/>
                <w:color w:val="auto"/>
                <w:sz w:val="20"/>
                <w:highlight w:val="none"/>
              </w:rPr>
              <w:t>缴费单位</w:t>
            </w:r>
          </w:p>
        </w:tc>
        <w:tc>
          <w:tcPr>
            <w:tcW w:w="720" w:type="dxa"/>
            <w:vMerge w:val="restart"/>
            <w:noWrap/>
            <w:vAlign w:val="center"/>
          </w:tcPr>
          <w:p w14:paraId="774E25A2">
            <w:pPr>
              <w:widowControl/>
              <w:jc w:val="center"/>
              <w:textAlignment w:val="bottom"/>
              <w:rPr>
                <w:rFonts w:ascii="Arial" w:hAnsi="Arial" w:cs="Arial"/>
                <w:color w:val="auto"/>
                <w:sz w:val="20"/>
                <w:highlight w:val="none"/>
              </w:rPr>
            </w:pPr>
            <w:r>
              <w:rPr>
                <w:rFonts w:hint="eastAsia" w:ascii="Arial" w:hAnsi="Arial" w:cs="Arial"/>
                <w:color w:val="auto"/>
                <w:sz w:val="20"/>
                <w:highlight w:val="none"/>
              </w:rPr>
              <w:t>备注</w:t>
            </w:r>
          </w:p>
        </w:tc>
      </w:tr>
      <w:tr w14:paraId="26989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416" w:type="dxa"/>
            <w:vMerge w:val="continue"/>
            <w:noWrap/>
            <w:vAlign w:val="center"/>
          </w:tcPr>
          <w:p w14:paraId="3238135E">
            <w:pPr>
              <w:spacing w:line="300" w:lineRule="auto"/>
              <w:jc w:val="center"/>
              <w:rPr>
                <w:rFonts w:ascii="黑体" w:eastAsia="黑体"/>
                <w:b/>
                <w:color w:val="auto"/>
                <w:sz w:val="24"/>
                <w:highlight w:val="none"/>
              </w:rPr>
            </w:pPr>
          </w:p>
        </w:tc>
        <w:tc>
          <w:tcPr>
            <w:tcW w:w="1024" w:type="dxa"/>
            <w:vMerge w:val="continue"/>
            <w:noWrap/>
            <w:vAlign w:val="center"/>
          </w:tcPr>
          <w:p w14:paraId="3321AF20">
            <w:pPr>
              <w:spacing w:line="300" w:lineRule="auto"/>
              <w:jc w:val="center"/>
              <w:rPr>
                <w:rFonts w:ascii="黑体" w:eastAsia="黑体"/>
                <w:b/>
                <w:color w:val="auto"/>
                <w:sz w:val="24"/>
                <w:highlight w:val="none"/>
              </w:rPr>
            </w:pPr>
          </w:p>
        </w:tc>
        <w:tc>
          <w:tcPr>
            <w:tcW w:w="900" w:type="dxa"/>
            <w:vMerge w:val="continue"/>
            <w:noWrap/>
            <w:vAlign w:val="center"/>
          </w:tcPr>
          <w:p w14:paraId="53E7D86D">
            <w:pPr>
              <w:spacing w:line="300" w:lineRule="auto"/>
              <w:jc w:val="center"/>
              <w:rPr>
                <w:rFonts w:ascii="黑体" w:eastAsia="黑体"/>
                <w:b/>
                <w:color w:val="auto"/>
                <w:sz w:val="24"/>
                <w:highlight w:val="none"/>
              </w:rPr>
            </w:pPr>
          </w:p>
        </w:tc>
        <w:tc>
          <w:tcPr>
            <w:tcW w:w="540" w:type="dxa"/>
            <w:vMerge w:val="continue"/>
            <w:noWrap/>
            <w:vAlign w:val="center"/>
          </w:tcPr>
          <w:p w14:paraId="7BBD5326">
            <w:pPr>
              <w:spacing w:line="300" w:lineRule="auto"/>
              <w:jc w:val="center"/>
              <w:rPr>
                <w:rFonts w:ascii="黑体" w:eastAsia="黑体"/>
                <w:b/>
                <w:color w:val="auto"/>
                <w:sz w:val="24"/>
                <w:highlight w:val="none"/>
              </w:rPr>
            </w:pPr>
          </w:p>
        </w:tc>
        <w:tc>
          <w:tcPr>
            <w:tcW w:w="900" w:type="dxa"/>
            <w:vMerge w:val="continue"/>
            <w:noWrap/>
            <w:vAlign w:val="center"/>
          </w:tcPr>
          <w:p w14:paraId="117100F2">
            <w:pPr>
              <w:spacing w:line="300" w:lineRule="auto"/>
              <w:jc w:val="center"/>
              <w:rPr>
                <w:rFonts w:ascii="黑体" w:eastAsia="黑体"/>
                <w:b/>
                <w:color w:val="auto"/>
                <w:sz w:val="24"/>
                <w:highlight w:val="none"/>
              </w:rPr>
            </w:pPr>
          </w:p>
        </w:tc>
        <w:tc>
          <w:tcPr>
            <w:tcW w:w="720" w:type="dxa"/>
            <w:vMerge w:val="continue"/>
            <w:noWrap/>
            <w:vAlign w:val="center"/>
          </w:tcPr>
          <w:p w14:paraId="75B5C4B5">
            <w:pPr>
              <w:spacing w:line="300" w:lineRule="auto"/>
              <w:jc w:val="center"/>
              <w:rPr>
                <w:rFonts w:ascii="黑体" w:eastAsia="黑体"/>
                <w:b/>
                <w:color w:val="auto"/>
                <w:sz w:val="24"/>
                <w:highlight w:val="none"/>
              </w:rPr>
            </w:pPr>
          </w:p>
        </w:tc>
        <w:tc>
          <w:tcPr>
            <w:tcW w:w="900" w:type="dxa"/>
            <w:noWrap/>
            <w:vAlign w:val="center"/>
          </w:tcPr>
          <w:p w14:paraId="3DF7815D">
            <w:pPr>
              <w:jc w:val="center"/>
              <w:rPr>
                <w:rFonts w:ascii="Arial" w:hAnsi="Arial" w:cs="Arial"/>
                <w:color w:val="auto"/>
                <w:kern w:val="0"/>
                <w:sz w:val="20"/>
                <w:highlight w:val="none"/>
              </w:rPr>
            </w:pPr>
            <w:r>
              <w:rPr>
                <w:rFonts w:hint="eastAsia" w:ascii="Arial" w:hAnsi="Arial" w:cs="Arial"/>
                <w:color w:val="auto"/>
                <w:kern w:val="0"/>
                <w:sz w:val="20"/>
                <w:highlight w:val="none"/>
              </w:rPr>
              <w:t>证书</w:t>
            </w:r>
          </w:p>
          <w:p w14:paraId="5F89F83A">
            <w:pPr>
              <w:jc w:val="center"/>
              <w:rPr>
                <w:rFonts w:ascii="Arial" w:hAnsi="Arial" w:cs="Arial"/>
                <w:color w:val="auto"/>
                <w:kern w:val="0"/>
                <w:sz w:val="20"/>
                <w:highlight w:val="none"/>
              </w:rPr>
            </w:pPr>
            <w:r>
              <w:rPr>
                <w:rFonts w:hint="eastAsia" w:ascii="Arial" w:hAnsi="Arial" w:cs="Arial"/>
                <w:color w:val="auto"/>
                <w:kern w:val="0"/>
                <w:sz w:val="20"/>
                <w:highlight w:val="none"/>
              </w:rPr>
              <w:t>名称</w:t>
            </w:r>
          </w:p>
        </w:tc>
        <w:tc>
          <w:tcPr>
            <w:tcW w:w="1260" w:type="dxa"/>
            <w:noWrap/>
            <w:vAlign w:val="center"/>
          </w:tcPr>
          <w:p w14:paraId="62123698">
            <w:pPr>
              <w:spacing w:line="300" w:lineRule="auto"/>
              <w:jc w:val="center"/>
              <w:rPr>
                <w:rFonts w:ascii="Arial" w:hAnsi="Arial" w:cs="Arial"/>
                <w:color w:val="auto"/>
                <w:kern w:val="0"/>
                <w:sz w:val="20"/>
                <w:highlight w:val="none"/>
              </w:rPr>
            </w:pPr>
            <w:r>
              <w:rPr>
                <w:rFonts w:hint="eastAsia" w:ascii="Arial" w:hAnsi="Arial" w:cs="Arial"/>
                <w:color w:val="auto"/>
                <w:kern w:val="0"/>
                <w:sz w:val="20"/>
                <w:highlight w:val="none"/>
              </w:rPr>
              <w:t>证 号</w:t>
            </w:r>
          </w:p>
        </w:tc>
        <w:tc>
          <w:tcPr>
            <w:tcW w:w="1800" w:type="dxa"/>
            <w:vMerge w:val="continue"/>
            <w:noWrap/>
            <w:vAlign w:val="center"/>
          </w:tcPr>
          <w:p w14:paraId="35FCD164">
            <w:pPr>
              <w:spacing w:line="300" w:lineRule="auto"/>
              <w:jc w:val="center"/>
              <w:rPr>
                <w:rFonts w:ascii="黑体" w:eastAsia="黑体"/>
                <w:b/>
                <w:color w:val="auto"/>
                <w:sz w:val="24"/>
                <w:highlight w:val="none"/>
              </w:rPr>
            </w:pPr>
          </w:p>
        </w:tc>
        <w:tc>
          <w:tcPr>
            <w:tcW w:w="720" w:type="dxa"/>
            <w:vMerge w:val="continue"/>
            <w:noWrap/>
            <w:vAlign w:val="center"/>
          </w:tcPr>
          <w:p w14:paraId="2CA8626F">
            <w:pPr>
              <w:widowControl/>
              <w:jc w:val="center"/>
              <w:textAlignment w:val="bottom"/>
              <w:rPr>
                <w:rFonts w:ascii="黑体" w:eastAsia="黑体"/>
                <w:b/>
                <w:color w:val="auto"/>
                <w:sz w:val="24"/>
                <w:highlight w:val="none"/>
              </w:rPr>
            </w:pPr>
          </w:p>
        </w:tc>
        <w:tc>
          <w:tcPr>
            <w:tcW w:w="720" w:type="dxa"/>
            <w:vMerge w:val="continue"/>
            <w:noWrap/>
            <w:vAlign w:val="center"/>
          </w:tcPr>
          <w:p w14:paraId="7B23E9D9">
            <w:pPr>
              <w:spacing w:line="300" w:lineRule="auto"/>
              <w:jc w:val="center"/>
              <w:rPr>
                <w:rFonts w:ascii="黑体" w:eastAsia="黑体"/>
                <w:b/>
                <w:color w:val="auto"/>
                <w:sz w:val="24"/>
                <w:highlight w:val="none"/>
              </w:rPr>
            </w:pPr>
          </w:p>
        </w:tc>
      </w:tr>
      <w:tr w14:paraId="1E168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dxa"/>
            <w:noWrap/>
            <w:vAlign w:val="center"/>
          </w:tcPr>
          <w:p w14:paraId="7093FAA3">
            <w:pPr>
              <w:spacing w:line="300" w:lineRule="auto"/>
              <w:jc w:val="center"/>
              <w:rPr>
                <w:rFonts w:ascii="黑体" w:eastAsia="黑体"/>
                <w:b/>
                <w:color w:val="auto"/>
                <w:sz w:val="24"/>
                <w:highlight w:val="none"/>
              </w:rPr>
            </w:pPr>
          </w:p>
        </w:tc>
        <w:tc>
          <w:tcPr>
            <w:tcW w:w="1024" w:type="dxa"/>
            <w:noWrap/>
            <w:vAlign w:val="center"/>
          </w:tcPr>
          <w:p w14:paraId="4FAC3844">
            <w:pPr>
              <w:spacing w:line="300" w:lineRule="auto"/>
              <w:jc w:val="center"/>
              <w:rPr>
                <w:rFonts w:ascii="黑体" w:eastAsia="黑体"/>
                <w:b/>
                <w:color w:val="auto"/>
                <w:sz w:val="24"/>
                <w:highlight w:val="none"/>
              </w:rPr>
            </w:pPr>
          </w:p>
        </w:tc>
        <w:tc>
          <w:tcPr>
            <w:tcW w:w="900" w:type="dxa"/>
            <w:noWrap/>
            <w:vAlign w:val="center"/>
          </w:tcPr>
          <w:p w14:paraId="2BBC85BC">
            <w:pPr>
              <w:spacing w:line="300" w:lineRule="auto"/>
              <w:jc w:val="center"/>
              <w:rPr>
                <w:rFonts w:ascii="黑体" w:eastAsia="黑体"/>
                <w:b/>
                <w:color w:val="auto"/>
                <w:sz w:val="24"/>
                <w:highlight w:val="none"/>
              </w:rPr>
            </w:pPr>
          </w:p>
        </w:tc>
        <w:tc>
          <w:tcPr>
            <w:tcW w:w="540" w:type="dxa"/>
            <w:noWrap/>
            <w:vAlign w:val="center"/>
          </w:tcPr>
          <w:p w14:paraId="478CF7F1">
            <w:pPr>
              <w:spacing w:line="300" w:lineRule="auto"/>
              <w:jc w:val="center"/>
              <w:rPr>
                <w:rFonts w:ascii="黑体" w:eastAsia="黑体"/>
                <w:b/>
                <w:color w:val="auto"/>
                <w:sz w:val="24"/>
                <w:highlight w:val="none"/>
              </w:rPr>
            </w:pPr>
          </w:p>
        </w:tc>
        <w:tc>
          <w:tcPr>
            <w:tcW w:w="900" w:type="dxa"/>
            <w:noWrap/>
            <w:vAlign w:val="center"/>
          </w:tcPr>
          <w:p w14:paraId="66ECFBDC">
            <w:pPr>
              <w:spacing w:line="300" w:lineRule="auto"/>
              <w:jc w:val="center"/>
              <w:rPr>
                <w:rFonts w:ascii="黑体" w:eastAsia="黑体"/>
                <w:b/>
                <w:color w:val="auto"/>
                <w:sz w:val="24"/>
                <w:highlight w:val="none"/>
              </w:rPr>
            </w:pPr>
          </w:p>
        </w:tc>
        <w:tc>
          <w:tcPr>
            <w:tcW w:w="720" w:type="dxa"/>
            <w:noWrap/>
            <w:vAlign w:val="center"/>
          </w:tcPr>
          <w:p w14:paraId="21A713A3">
            <w:pPr>
              <w:spacing w:line="300" w:lineRule="auto"/>
              <w:jc w:val="center"/>
              <w:rPr>
                <w:rFonts w:ascii="黑体" w:eastAsia="黑体"/>
                <w:b/>
                <w:color w:val="auto"/>
                <w:sz w:val="24"/>
                <w:highlight w:val="none"/>
              </w:rPr>
            </w:pPr>
          </w:p>
        </w:tc>
        <w:tc>
          <w:tcPr>
            <w:tcW w:w="900" w:type="dxa"/>
            <w:noWrap/>
            <w:vAlign w:val="center"/>
          </w:tcPr>
          <w:p w14:paraId="4FCB6EBD">
            <w:pPr>
              <w:spacing w:line="300" w:lineRule="auto"/>
              <w:jc w:val="center"/>
              <w:rPr>
                <w:rFonts w:ascii="黑体" w:eastAsia="黑体"/>
                <w:b/>
                <w:color w:val="auto"/>
                <w:sz w:val="24"/>
                <w:highlight w:val="none"/>
              </w:rPr>
            </w:pPr>
          </w:p>
        </w:tc>
        <w:tc>
          <w:tcPr>
            <w:tcW w:w="1260" w:type="dxa"/>
            <w:noWrap/>
            <w:vAlign w:val="center"/>
          </w:tcPr>
          <w:p w14:paraId="31F3B955">
            <w:pPr>
              <w:spacing w:line="300" w:lineRule="auto"/>
              <w:jc w:val="center"/>
              <w:rPr>
                <w:rFonts w:ascii="黑体" w:eastAsia="黑体"/>
                <w:b/>
                <w:color w:val="auto"/>
                <w:sz w:val="24"/>
                <w:highlight w:val="none"/>
              </w:rPr>
            </w:pPr>
          </w:p>
        </w:tc>
        <w:tc>
          <w:tcPr>
            <w:tcW w:w="1800" w:type="dxa"/>
            <w:noWrap/>
            <w:vAlign w:val="center"/>
          </w:tcPr>
          <w:p w14:paraId="0410F828">
            <w:pPr>
              <w:spacing w:line="300" w:lineRule="auto"/>
              <w:jc w:val="center"/>
              <w:rPr>
                <w:rFonts w:ascii="黑体" w:eastAsia="黑体"/>
                <w:b/>
                <w:color w:val="auto"/>
                <w:sz w:val="24"/>
                <w:highlight w:val="none"/>
              </w:rPr>
            </w:pPr>
          </w:p>
        </w:tc>
        <w:tc>
          <w:tcPr>
            <w:tcW w:w="720" w:type="dxa"/>
            <w:noWrap/>
            <w:vAlign w:val="center"/>
          </w:tcPr>
          <w:p w14:paraId="0CD2F3D9">
            <w:pPr>
              <w:spacing w:line="300" w:lineRule="auto"/>
              <w:jc w:val="center"/>
              <w:rPr>
                <w:rFonts w:ascii="黑体" w:eastAsia="黑体"/>
                <w:b/>
                <w:color w:val="auto"/>
                <w:sz w:val="24"/>
                <w:highlight w:val="none"/>
              </w:rPr>
            </w:pPr>
          </w:p>
        </w:tc>
        <w:tc>
          <w:tcPr>
            <w:tcW w:w="720" w:type="dxa"/>
            <w:noWrap/>
            <w:vAlign w:val="center"/>
          </w:tcPr>
          <w:p w14:paraId="3055DAF5">
            <w:pPr>
              <w:spacing w:line="300" w:lineRule="auto"/>
              <w:jc w:val="center"/>
              <w:rPr>
                <w:rFonts w:ascii="黑体" w:eastAsia="黑体"/>
                <w:b/>
                <w:color w:val="auto"/>
                <w:sz w:val="24"/>
                <w:highlight w:val="none"/>
              </w:rPr>
            </w:pPr>
          </w:p>
        </w:tc>
      </w:tr>
      <w:tr w14:paraId="69310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dxa"/>
            <w:noWrap/>
            <w:vAlign w:val="center"/>
          </w:tcPr>
          <w:p w14:paraId="74E07A8D">
            <w:pPr>
              <w:spacing w:line="300" w:lineRule="auto"/>
              <w:jc w:val="center"/>
              <w:rPr>
                <w:rFonts w:ascii="黑体" w:eastAsia="黑体"/>
                <w:b/>
                <w:color w:val="auto"/>
                <w:sz w:val="24"/>
                <w:highlight w:val="none"/>
              </w:rPr>
            </w:pPr>
          </w:p>
        </w:tc>
        <w:tc>
          <w:tcPr>
            <w:tcW w:w="1024" w:type="dxa"/>
            <w:noWrap/>
            <w:vAlign w:val="center"/>
          </w:tcPr>
          <w:p w14:paraId="1DF0086B">
            <w:pPr>
              <w:spacing w:line="300" w:lineRule="auto"/>
              <w:jc w:val="center"/>
              <w:rPr>
                <w:rFonts w:ascii="黑体" w:eastAsia="黑体"/>
                <w:b/>
                <w:color w:val="auto"/>
                <w:sz w:val="24"/>
                <w:highlight w:val="none"/>
              </w:rPr>
            </w:pPr>
          </w:p>
        </w:tc>
        <w:tc>
          <w:tcPr>
            <w:tcW w:w="900" w:type="dxa"/>
            <w:noWrap/>
            <w:vAlign w:val="center"/>
          </w:tcPr>
          <w:p w14:paraId="07EC2568">
            <w:pPr>
              <w:spacing w:line="300" w:lineRule="auto"/>
              <w:jc w:val="center"/>
              <w:rPr>
                <w:rFonts w:ascii="黑体" w:eastAsia="黑体"/>
                <w:b/>
                <w:color w:val="auto"/>
                <w:sz w:val="24"/>
                <w:highlight w:val="none"/>
              </w:rPr>
            </w:pPr>
          </w:p>
        </w:tc>
        <w:tc>
          <w:tcPr>
            <w:tcW w:w="540" w:type="dxa"/>
            <w:noWrap/>
            <w:vAlign w:val="center"/>
          </w:tcPr>
          <w:p w14:paraId="268D7C0A">
            <w:pPr>
              <w:spacing w:line="300" w:lineRule="auto"/>
              <w:jc w:val="center"/>
              <w:rPr>
                <w:rFonts w:ascii="黑体" w:eastAsia="黑体"/>
                <w:b/>
                <w:color w:val="auto"/>
                <w:sz w:val="24"/>
                <w:highlight w:val="none"/>
              </w:rPr>
            </w:pPr>
          </w:p>
        </w:tc>
        <w:tc>
          <w:tcPr>
            <w:tcW w:w="900" w:type="dxa"/>
            <w:noWrap/>
            <w:vAlign w:val="center"/>
          </w:tcPr>
          <w:p w14:paraId="3BF7549B">
            <w:pPr>
              <w:spacing w:line="300" w:lineRule="auto"/>
              <w:jc w:val="center"/>
              <w:rPr>
                <w:rFonts w:ascii="黑体" w:eastAsia="黑体"/>
                <w:b/>
                <w:color w:val="auto"/>
                <w:sz w:val="24"/>
                <w:highlight w:val="none"/>
              </w:rPr>
            </w:pPr>
          </w:p>
        </w:tc>
        <w:tc>
          <w:tcPr>
            <w:tcW w:w="720" w:type="dxa"/>
            <w:noWrap/>
            <w:vAlign w:val="center"/>
          </w:tcPr>
          <w:p w14:paraId="3A5F3921">
            <w:pPr>
              <w:spacing w:line="300" w:lineRule="auto"/>
              <w:jc w:val="center"/>
              <w:rPr>
                <w:rFonts w:ascii="黑体" w:eastAsia="黑体"/>
                <w:b/>
                <w:color w:val="auto"/>
                <w:sz w:val="24"/>
                <w:highlight w:val="none"/>
              </w:rPr>
            </w:pPr>
          </w:p>
        </w:tc>
        <w:tc>
          <w:tcPr>
            <w:tcW w:w="900" w:type="dxa"/>
            <w:noWrap/>
            <w:vAlign w:val="center"/>
          </w:tcPr>
          <w:p w14:paraId="399D9079">
            <w:pPr>
              <w:spacing w:line="300" w:lineRule="auto"/>
              <w:jc w:val="center"/>
              <w:rPr>
                <w:rFonts w:ascii="黑体" w:eastAsia="黑体"/>
                <w:b/>
                <w:color w:val="auto"/>
                <w:sz w:val="24"/>
                <w:highlight w:val="none"/>
              </w:rPr>
            </w:pPr>
          </w:p>
        </w:tc>
        <w:tc>
          <w:tcPr>
            <w:tcW w:w="1260" w:type="dxa"/>
            <w:noWrap/>
            <w:vAlign w:val="center"/>
          </w:tcPr>
          <w:p w14:paraId="06AB0FD4">
            <w:pPr>
              <w:spacing w:line="300" w:lineRule="auto"/>
              <w:jc w:val="center"/>
              <w:rPr>
                <w:rFonts w:ascii="黑体" w:eastAsia="黑体"/>
                <w:b/>
                <w:color w:val="auto"/>
                <w:sz w:val="24"/>
                <w:highlight w:val="none"/>
              </w:rPr>
            </w:pPr>
          </w:p>
        </w:tc>
        <w:tc>
          <w:tcPr>
            <w:tcW w:w="1800" w:type="dxa"/>
            <w:noWrap/>
            <w:vAlign w:val="center"/>
          </w:tcPr>
          <w:p w14:paraId="018AAD7D">
            <w:pPr>
              <w:spacing w:line="300" w:lineRule="auto"/>
              <w:jc w:val="center"/>
              <w:rPr>
                <w:rFonts w:ascii="黑体" w:eastAsia="黑体"/>
                <w:b/>
                <w:color w:val="auto"/>
                <w:sz w:val="24"/>
                <w:highlight w:val="none"/>
              </w:rPr>
            </w:pPr>
          </w:p>
        </w:tc>
        <w:tc>
          <w:tcPr>
            <w:tcW w:w="720" w:type="dxa"/>
            <w:noWrap/>
            <w:vAlign w:val="center"/>
          </w:tcPr>
          <w:p w14:paraId="006F11BC">
            <w:pPr>
              <w:spacing w:line="300" w:lineRule="auto"/>
              <w:jc w:val="center"/>
              <w:rPr>
                <w:rFonts w:ascii="黑体" w:eastAsia="黑体"/>
                <w:b/>
                <w:color w:val="auto"/>
                <w:sz w:val="24"/>
                <w:highlight w:val="none"/>
              </w:rPr>
            </w:pPr>
          </w:p>
        </w:tc>
        <w:tc>
          <w:tcPr>
            <w:tcW w:w="720" w:type="dxa"/>
            <w:noWrap/>
            <w:vAlign w:val="center"/>
          </w:tcPr>
          <w:p w14:paraId="062DACDB">
            <w:pPr>
              <w:spacing w:line="300" w:lineRule="auto"/>
              <w:jc w:val="center"/>
              <w:rPr>
                <w:rFonts w:ascii="黑体" w:eastAsia="黑体"/>
                <w:b/>
                <w:color w:val="auto"/>
                <w:sz w:val="24"/>
                <w:highlight w:val="none"/>
              </w:rPr>
            </w:pPr>
          </w:p>
        </w:tc>
      </w:tr>
      <w:tr w14:paraId="75DE1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dxa"/>
            <w:noWrap/>
            <w:vAlign w:val="center"/>
          </w:tcPr>
          <w:p w14:paraId="55961B7F">
            <w:pPr>
              <w:spacing w:line="300" w:lineRule="auto"/>
              <w:jc w:val="center"/>
              <w:rPr>
                <w:rFonts w:ascii="黑体" w:eastAsia="黑体"/>
                <w:b/>
                <w:color w:val="auto"/>
                <w:sz w:val="24"/>
                <w:highlight w:val="none"/>
              </w:rPr>
            </w:pPr>
          </w:p>
        </w:tc>
        <w:tc>
          <w:tcPr>
            <w:tcW w:w="1024" w:type="dxa"/>
            <w:noWrap/>
            <w:vAlign w:val="center"/>
          </w:tcPr>
          <w:p w14:paraId="7348E2C0">
            <w:pPr>
              <w:spacing w:line="300" w:lineRule="auto"/>
              <w:jc w:val="center"/>
              <w:rPr>
                <w:rFonts w:ascii="黑体" w:eastAsia="黑体"/>
                <w:b/>
                <w:color w:val="auto"/>
                <w:sz w:val="24"/>
                <w:highlight w:val="none"/>
              </w:rPr>
            </w:pPr>
          </w:p>
        </w:tc>
        <w:tc>
          <w:tcPr>
            <w:tcW w:w="900" w:type="dxa"/>
            <w:noWrap/>
            <w:vAlign w:val="center"/>
          </w:tcPr>
          <w:p w14:paraId="200F5493">
            <w:pPr>
              <w:spacing w:line="300" w:lineRule="auto"/>
              <w:jc w:val="center"/>
              <w:rPr>
                <w:rFonts w:ascii="黑体" w:eastAsia="黑体"/>
                <w:b/>
                <w:color w:val="auto"/>
                <w:sz w:val="24"/>
                <w:highlight w:val="none"/>
              </w:rPr>
            </w:pPr>
          </w:p>
        </w:tc>
        <w:tc>
          <w:tcPr>
            <w:tcW w:w="540" w:type="dxa"/>
            <w:noWrap/>
            <w:vAlign w:val="center"/>
          </w:tcPr>
          <w:p w14:paraId="784269D5">
            <w:pPr>
              <w:spacing w:line="300" w:lineRule="auto"/>
              <w:jc w:val="center"/>
              <w:rPr>
                <w:rFonts w:ascii="黑体" w:eastAsia="黑体"/>
                <w:b/>
                <w:color w:val="auto"/>
                <w:sz w:val="24"/>
                <w:highlight w:val="none"/>
              </w:rPr>
            </w:pPr>
          </w:p>
        </w:tc>
        <w:tc>
          <w:tcPr>
            <w:tcW w:w="900" w:type="dxa"/>
            <w:noWrap/>
            <w:vAlign w:val="center"/>
          </w:tcPr>
          <w:p w14:paraId="0609DF74">
            <w:pPr>
              <w:spacing w:line="300" w:lineRule="auto"/>
              <w:jc w:val="center"/>
              <w:rPr>
                <w:rFonts w:ascii="黑体" w:eastAsia="黑体"/>
                <w:b/>
                <w:color w:val="auto"/>
                <w:sz w:val="24"/>
                <w:highlight w:val="none"/>
              </w:rPr>
            </w:pPr>
          </w:p>
        </w:tc>
        <w:tc>
          <w:tcPr>
            <w:tcW w:w="720" w:type="dxa"/>
            <w:noWrap/>
            <w:vAlign w:val="center"/>
          </w:tcPr>
          <w:p w14:paraId="1F213D59">
            <w:pPr>
              <w:spacing w:line="300" w:lineRule="auto"/>
              <w:jc w:val="center"/>
              <w:rPr>
                <w:rFonts w:ascii="黑体" w:eastAsia="黑体"/>
                <w:b/>
                <w:color w:val="auto"/>
                <w:sz w:val="24"/>
                <w:highlight w:val="none"/>
              </w:rPr>
            </w:pPr>
          </w:p>
        </w:tc>
        <w:tc>
          <w:tcPr>
            <w:tcW w:w="900" w:type="dxa"/>
            <w:noWrap/>
            <w:vAlign w:val="center"/>
          </w:tcPr>
          <w:p w14:paraId="6EC56CEA">
            <w:pPr>
              <w:spacing w:line="300" w:lineRule="auto"/>
              <w:jc w:val="center"/>
              <w:rPr>
                <w:rFonts w:ascii="黑体" w:eastAsia="黑体"/>
                <w:b/>
                <w:color w:val="auto"/>
                <w:sz w:val="24"/>
                <w:highlight w:val="none"/>
              </w:rPr>
            </w:pPr>
          </w:p>
        </w:tc>
        <w:tc>
          <w:tcPr>
            <w:tcW w:w="1260" w:type="dxa"/>
            <w:noWrap/>
            <w:vAlign w:val="center"/>
          </w:tcPr>
          <w:p w14:paraId="67A5C36F">
            <w:pPr>
              <w:spacing w:line="300" w:lineRule="auto"/>
              <w:jc w:val="center"/>
              <w:rPr>
                <w:rFonts w:ascii="黑体" w:eastAsia="黑体"/>
                <w:b/>
                <w:color w:val="auto"/>
                <w:sz w:val="24"/>
                <w:highlight w:val="none"/>
              </w:rPr>
            </w:pPr>
          </w:p>
        </w:tc>
        <w:tc>
          <w:tcPr>
            <w:tcW w:w="1800" w:type="dxa"/>
            <w:noWrap/>
            <w:vAlign w:val="center"/>
          </w:tcPr>
          <w:p w14:paraId="074EB598">
            <w:pPr>
              <w:spacing w:line="300" w:lineRule="auto"/>
              <w:jc w:val="center"/>
              <w:rPr>
                <w:rFonts w:ascii="黑体" w:eastAsia="黑体"/>
                <w:b/>
                <w:color w:val="auto"/>
                <w:sz w:val="24"/>
                <w:highlight w:val="none"/>
              </w:rPr>
            </w:pPr>
          </w:p>
        </w:tc>
        <w:tc>
          <w:tcPr>
            <w:tcW w:w="720" w:type="dxa"/>
            <w:noWrap/>
            <w:vAlign w:val="center"/>
          </w:tcPr>
          <w:p w14:paraId="37E95D10">
            <w:pPr>
              <w:spacing w:line="300" w:lineRule="auto"/>
              <w:jc w:val="center"/>
              <w:rPr>
                <w:rFonts w:ascii="黑体" w:eastAsia="黑体"/>
                <w:b/>
                <w:color w:val="auto"/>
                <w:sz w:val="24"/>
                <w:highlight w:val="none"/>
              </w:rPr>
            </w:pPr>
          </w:p>
        </w:tc>
        <w:tc>
          <w:tcPr>
            <w:tcW w:w="720" w:type="dxa"/>
            <w:noWrap/>
            <w:vAlign w:val="center"/>
          </w:tcPr>
          <w:p w14:paraId="4A2B7580">
            <w:pPr>
              <w:spacing w:line="300" w:lineRule="auto"/>
              <w:jc w:val="center"/>
              <w:rPr>
                <w:rFonts w:ascii="黑体" w:eastAsia="黑体"/>
                <w:b/>
                <w:color w:val="auto"/>
                <w:sz w:val="24"/>
                <w:highlight w:val="none"/>
              </w:rPr>
            </w:pPr>
          </w:p>
        </w:tc>
      </w:tr>
      <w:tr w14:paraId="274A6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dxa"/>
            <w:noWrap/>
            <w:vAlign w:val="center"/>
          </w:tcPr>
          <w:p w14:paraId="10069C21">
            <w:pPr>
              <w:spacing w:line="300" w:lineRule="auto"/>
              <w:jc w:val="center"/>
              <w:rPr>
                <w:rFonts w:ascii="黑体" w:eastAsia="黑体"/>
                <w:b/>
                <w:color w:val="auto"/>
                <w:sz w:val="24"/>
                <w:highlight w:val="none"/>
              </w:rPr>
            </w:pPr>
          </w:p>
        </w:tc>
        <w:tc>
          <w:tcPr>
            <w:tcW w:w="1024" w:type="dxa"/>
            <w:noWrap/>
            <w:vAlign w:val="center"/>
          </w:tcPr>
          <w:p w14:paraId="3D0764D1">
            <w:pPr>
              <w:spacing w:line="300" w:lineRule="auto"/>
              <w:jc w:val="center"/>
              <w:rPr>
                <w:rFonts w:ascii="黑体" w:eastAsia="黑体"/>
                <w:b/>
                <w:color w:val="auto"/>
                <w:sz w:val="24"/>
                <w:highlight w:val="none"/>
              </w:rPr>
            </w:pPr>
          </w:p>
        </w:tc>
        <w:tc>
          <w:tcPr>
            <w:tcW w:w="900" w:type="dxa"/>
            <w:noWrap/>
            <w:vAlign w:val="center"/>
          </w:tcPr>
          <w:p w14:paraId="048EF2AB">
            <w:pPr>
              <w:spacing w:line="300" w:lineRule="auto"/>
              <w:jc w:val="center"/>
              <w:rPr>
                <w:rFonts w:ascii="黑体" w:eastAsia="黑体"/>
                <w:b/>
                <w:color w:val="auto"/>
                <w:sz w:val="24"/>
                <w:highlight w:val="none"/>
              </w:rPr>
            </w:pPr>
          </w:p>
        </w:tc>
        <w:tc>
          <w:tcPr>
            <w:tcW w:w="540" w:type="dxa"/>
            <w:noWrap/>
            <w:vAlign w:val="center"/>
          </w:tcPr>
          <w:p w14:paraId="0A22AFD5">
            <w:pPr>
              <w:spacing w:line="300" w:lineRule="auto"/>
              <w:jc w:val="center"/>
              <w:rPr>
                <w:rFonts w:ascii="黑体" w:eastAsia="黑体"/>
                <w:b/>
                <w:color w:val="auto"/>
                <w:sz w:val="24"/>
                <w:highlight w:val="none"/>
              </w:rPr>
            </w:pPr>
          </w:p>
        </w:tc>
        <w:tc>
          <w:tcPr>
            <w:tcW w:w="900" w:type="dxa"/>
            <w:noWrap/>
            <w:vAlign w:val="center"/>
          </w:tcPr>
          <w:p w14:paraId="238D1FFF">
            <w:pPr>
              <w:spacing w:line="300" w:lineRule="auto"/>
              <w:jc w:val="center"/>
              <w:rPr>
                <w:rFonts w:ascii="黑体" w:eastAsia="黑体"/>
                <w:b/>
                <w:color w:val="auto"/>
                <w:sz w:val="24"/>
                <w:highlight w:val="none"/>
              </w:rPr>
            </w:pPr>
          </w:p>
        </w:tc>
        <w:tc>
          <w:tcPr>
            <w:tcW w:w="720" w:type="dxa"/>
            <w:noWrap/>
            <w:vAlign w:val="center"/>
          </w:tcPr>
          <w:p w14:paraId="0EEA50A4">
            <w:pPr>
              <w:spacing w:line="300" w:lineRule="auto"/>
              <w:jc w:val="center"/>
              <w:rPr>
                <w:rFonts w:ascii="黑体" w:eastAsia="黑体"/>
                <w:b/>
                <w:color w:val="auto"/>
                <w:sz w:val="24"/>
                <w:highlight w:val="none"/>
              </w:rPr>
            </w:pPr>
          </w:p>
        </w:tc>
        <w:tc>
          <w:tcPr>
            <w:tcW w:w="900" w:type="dxa"/>
            <w:noWrap/>
            <w:vAlign w:val="center"/>
          </w:tcPr>
          <w:p w14:paraId="20719159">
            <w:pPr>
              <w:spacing w:line="300" w:lineRule="auto"/>
              <w:jc w:val="center"/>
              <w:rPr>
                <w:rFonts w:ascii="黑体" w:eastAsia="黑体"/>
                <w:b/>
                <w:color w:val="auto"/>
                <w:sz w:val="24"/>
                <w:highlight w:val="none"/>
              </w:rPr>
            </w:pPr>
          </w:p>
        </w:tc>
        <w:tc>
          <w:tcPr>
            <w:tcW w:w="1260" w:type="dxa"/>
            <w:noWrap/>
            <w:vAlign w:val="center"/>
          </w:tcPr>
          <w:p w14:paraId="63A9B23B">
            <w:pPr>
              <w:spacing w:line="300" w:lineRule="auto"/>
              <w:jc w:val="center"/>
              <w:rPr>
                <w:rFonts w:ascii="黑体" w:eastAsia="黑体"/>
                <w:b/>
                <w:color w:val="auto"/>
                <w:sz w:val="24"/>
                <w:highlight w:val="none"/>
              </w:rPr>
            </w:pPr>
          </w:p>
        </w:tc>
        <w:tc>
          <w:tcPr>
            <w:tcW w:w="1800" w:type="dxa"/>
            <w:noWrap/>
            <w:vAlign w:val="center"/>
          </w:tcPr>
          <w:p w14:paraId="1E32A850">
            <w:pPr>
              <w:spacing w:line="300" w:lineRule="auto"/>
              <w:jc w:val="center"/>
              <w:rPr>
                <w:rFonts w:ascii="黑体" w:eastAsia="黑体"/>
                <w:b/>
                <w:color w:val="auto"/>
                <w:sz w:val="24"/>
                <w:highlight w:val="none"/>
              </w:rPr>
            </w:pPr>
          </w:p>
        </w:tc>
        <w:tc>
          <w:tcPr>
            <w:tcW w:w="720" w:type="dxa"/>
            <w:noWrap/>
            <w:vAlign w:val="center"/>
          </w:tcPr>
          <w:p w14:paraId="1D88E26A">
            <w:pPr>
              <w:spacing w:line="300" w:lineRule="auto"/>
              <w:jc w:val="center"/>
              <w:rPr>
                <w:rFonts w:ascii="黑体" w:eastAsia="黑体"/>
                <w:b/>
                <w:color w:val="auto"/>
                <w:sz w:val="24"/>
                <w:highlight w:val="none"/>
              </w:rPr>
            </w:pPr>
          </w:p>
        </w:tc>
        <w:tc>
          <w:tcPr>
            <w:tcW w:w="720" w:type="dxa"/>
            <w:noWrap/>
            <w:vAlign w:val="center"/>
          </w:tcPr>
          <w:p w14:paraId="40B676C1">
            <w:pPr>
              <w:spacing w:line="300" w:lineRule="auto"/>
              <w:jc w:val="center"/>
              <w:rPr>
                <w:rFonts w:ascii="黑体" w:eastAsia="黑体"/>
                <w:b/>
                <w:color w:val="auto"/>
                <w:sz w:val="24"/>
                <w:highlight w:val="none"/>
              </w:rPr>
            </w:pPr>
          </w:p>
        </w:tc>
      </w:tr>
      <w:tr w14:paraId="28814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dxa"/>
            <w:noWrap/>
            <w:vAlign w:val="center"/>
          </w:tcPr>
          <w:p w14:paraId="5261C2BB">
            <w:pPr>
              <w:spacing w:line="300" w:lineRule="auto"/>
              <w:jc w:val="center"/>
              <w:rPr>
                <w:rFonts w:ascii="黑体" w:eastAsia="黑体"/>
                <w:b/>
                <w:color w:val="auto"/>
                <w:sz w:val="24"/>
                <w:highlight w:val="none"/>
              </w:rPr>
            </w:pPr>
          </w:p>
        </w:tc>
        <w:tc>
          <w:tcPr>
            <w:tcW w:w="1024" w:type="dxa"/>
            <w:noWrap/>
            <w:vAlign w:val="center"/>
          </w:tcPr>
          <w:p w14:paraId="23FCA464">
            <w:pPr>
              <w:spacing w:line="300" w:lineRule="auto"/>
              <w:jc w:val="center"/>
              <w:rPr>
                <w:rFonts w:ascii="黑体" w:eastAsia="黑体"/>
                <w:b/>
                <w:color w:val="auto"/>
                <w:sz w:val="24"/>
                <w:highlight w:val="none"/>
              </w:rPr>
            </w:pPr>
          </w:p>
        </w:tc>
        <w:tc>
          <w:tcPr>
            <w:tcW w:w="900" w:type="dxa"/>
            <w:noWrap/>
            <w:vAlign w:val="center"/>
          </w:tcPr>
          <w:p w14:paraId="76F6014F">
            <w:pPr>
              <w:spacing w:line="300" w:lineRule="auto"/>
              <w:jc w:val="center"/>
              <w:rPr>
                <w:rFonts w:ascii="黑体" w:eastAsia="黑体"/>
                <w:b/>
                <w:color w:val="auto"/>
                <w:sz w:val="24"/>
                <w:highlight w:val="none"/>
              </w:rPr>
            </w:pPr>
          </w:p>
        </w:tc>
        <w:tc>
          <w:tcPr>
            <w:tcW w:w="540" w:type="dxa"/>
            <w:noWrap/>
            <w:vAlign w:val="center"/>
          </w:tcPr>
          <w:p w14:paraId="44B46F24">
            <w:pPr>
              <w:spacing w:line="300" w:lineRule="auto"/>
              <w:jc w:val="center"/>
              <w:rPr>
                <w:rFonts w:ascii="黑体" w:eastAsia="黑体"/>
                <w:b/>
                <w:color w:val="auto"/>
                <w:sz w:val="24"/>
                <w:highlight w:val="none"/>
              </w:rPr>
            </w:pPr>
          </w:p>
        </w:tc>
        <w:tc>
          <w:tcPr>
            <w:tcW w:w="900" w:type="dxa"/>
            <w:noWrap/>
            <w:vAlign w:val="center"/>
          </w:tcPr>
          <w:p w14:paraId="241AF084">
            <w:pPr>
              <w:spacing w:line="300" w:lineRule="auto"/>
              <w:jc w:val="center"/>
              <w:rPr>
                <w:rFonts w:ascii="黑体" w:eastAsia="黑体"/>
                <w:b/>
                <w:color w:val="auto"/>
                <w:sz w:val="24"/>
                <w:highlight w:val="none"/>
              </w:rPr>
            </w:pPr>
          </w:p>
        </w:tc>
        <w:tc>
          <w:tcPr>
            <w:tcW w:w="720" w:type="dxa"/>
            <w:noWrap/>
            <w:vAlign w:val="center"/>
          </w:tcPr>
          <w:p w14:paraId="4DF83716">
            <w:pPr>
              <w:spacing w:line="300" w:lineRule="auto"/>
              <w:jc w:val="center"/>
              <w:rPr>
                <w:rFonts w:ascii="黑体" w:eastAsia="黑体"/>
                <w:b/>
                <w:color w:val="auto"/>
                <w:sz w:val="24"/>
                <w:highlight w:val="none"/>
              </w:rPr>
            </w:pPr>
          </w:p>
        </w:tc>
        <w:tc>
          <w:tcPr>
            <w:tcW w:w="900" w:type="dxa"/>
            <w:noWrap/>
            <w:vAlign w:val="center"/>
          </w:tcPr>
          <w:p w14:paraId="24B52243">
            <w:pPr>
              <w:spacing w:line="300" w:lineRule="auto"/>
              <w:jc w:val="center"/>
              <w:rPr>
                <w:rFonts w:ascii="黑体" w:eastAsia="黑体"/>
                <w:b/>
                <w:color w:val="auto"/>
                <w:sz w:val="24"/>
                <w:highlight w:val="none"/>
              </w:rPr>
            </w:pPr>
          </w:p>
        </w:tc>
        <w:tc>
          <w:tcPr>
            <w:tcW w:w="1260" w:type="dxa"/>
            <w:noWrap/>
            <w:vAlign w:val="center"/>
          </w:tcPr>
          <w:p w14:paraId="106C358F">
            <w:pPr>
              <w:spacing w:line="300" w:lineRule="auto"/>
              <w:jc w:val="center"/>
              <w:rPr>
                <w:rFonts w:ascii="黑体" w:eastAsia="黑体"/>
                <w:b/>
                <w:color w:val="auto"/>
                <w:sz w:val="24"/>
                <w:highlight w:val="none"/>
              </w:rPr>
            </w:pPr>
          </w:p>
        </w:tc>
        <w:tc>
          <w:tcPr>
            <w:tcW w:w="1800" w:type="dxa"/>
            <w:noWrap/>
            <w:vAlign w:val="center"/>
          </w:tcPr>
          <w:p w14:paraId="704CEB08">
            <w:pPr>
              <w:spacing w:line="300" w:lineRule="auto"/>
              <w:jc w:val="center"/>
              <w:rPr>
                <w:rFonts w:ascii="黑体" w:eastAsia="黑体"/>
                <w:b/>
                <w:color w:val="auto"/>
                <w:sz w:val="24"/>
                <w:highlight w:val="none"/>
              </w:rPr>
            </w:pPr>
          </w:p>
        </w:tc>
        <w:tc>
          <w:tcPr>
            <w:tcW w:w="720" w:type="dxa"/>
            <w:noWrap/>
            <w:vAlign w:val="center"/>
          </w:tcPr>
          <w:p w14:paraId="5016A9B5">
            <w:pPr>
              <w:spacing w:line="300" w:lineRule="auto"/>
              <w:jc w:val="center"/>
              <w:rPr>
                <w:rFonts w:ascii="黑体" w:eastAsia="黑体"/>
                <w:b/>
                <w:color w:val="auto"/>
                <w:sz w:val="24"/>
                <w:highlight w:val="none"/>
              </w:rPr>
            </w:pPr>
          </w:p>
        </w:tc>
        <w:tc>
          <w:tcPr>
            <w:tcW w:w="720" w:type="dxa"/>
            <w:noWrap/>
            <w:vAlign w:val="center"/>
          </w:tcPr>
          <w:p w14:paraId="15E069BF">
            <w:pPr>
              <w:spacing w:line="300" w:lineRule="auto"/>
              <w:jc w:val="center"/>
              <w:rPr>
                <w:rFonts w:ascii="黑体" w:eastAsia="黑体"/>
                <w:b/>
                <w:color w:val="auto"/>
                <w:sz w:val="24"/>
                <w:highlight w:val="none"/>
              </w:rPr>
            </w:pPr>
          </w:p>
        </w:tc>
      </w:tr>
      <w:tr w14:paraId="583D3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dxa"/>
            <w:noWrap/>
            <w:vAlign w:val="center"/>
          </w:tcPr>
          <w:p w14:paraId="2FAE2169">
            <w:pPr>
              <w:spacing w:line="300" w:lineRule="auto"/>
              <w:jc w:val="center"/>
              <w:rPr>
                <w:rFonts w:ascii="黑体" w:eastAsia="黑体"/>
                <w:b/>
                <w:color w:val="auto"/>
                <w:sz w:val="24"/>
                <w:highlight w:val="none"/>
              </w:rPr>
            </w:pPr>
          </w:p>
        </w:tc>
        <w:tc>
          <w:tcPr>
            <w:tcW w:w="1024" w:type="dxa"/>
            <w:noWrap/>
            <w:vAlign w:val="center"/>
          </w:tcPr>
          <w:p w14:paraId="088E02B2">
            <w:pPr>
              <w:spacing w:line="300" w:lineRule="auto"/>
              <w:jc w:val="center"/>
              <w:rPr>
                <w:rFonts w:ascii="黑体" w:eastAsia="黑体"/>
                <w:b/>
                <w:color w:val="auto"/>
                <w:sz w:val="24"/>
                <w:highlight w:val="none"/>
              </w:rPr>
            </w:pPr>
          </w:p>
        </w:tc>
        <w:tc>
          <w:tcPr>
            <w:tcW w:w="900" w:type="dxa"/>
            <w:noWrap/>
            <w:vAlign w:val="center"/>
          </w:tcPr>
          <w:p w14:paraId="7E124643">
            <w:pPr>
              <w:spacing w:line="300" w:lineRule="auto"/>
              <w:jc w:val="center"/>
              <w:rPr>
                <w:rFonts w:ascii="黑体" w:eastAsia="黑体"/>
                <w:b/>
                <w:color w:val="auto"/>
                <w:sz w:val="24"/>
                <w:highlight w:val="none"/>
              </w:rPr>
            </w:pPr>
          </w:p>
        </w:tc>
        <w:tc>
          <w:tcPr>
            <w:tcW w:w="540" w:type="dxa"/>
            <w:noWrap/>
            <w:vAlign w:val="center"/>
          </w:tcPr>
          <w:p w14:paraId="13D35721">
            <w:pPr>
              <w:spacing w:line="300" w:lineRule="auto"/>
              <w:jc w:val="center"/>
              <w:rPr>
                <w:rFonts w:ascii="黑体" w:eastAsia="黑体"/>
                <w:b/>
                <w:color w:val="auto"/>
                <w:sz w:val="24"/>
                <w:highlight w:val="none"/>
              </w:rPr>
            </w:pPr>
          </w:p>
        </w:tc>
        <w:tc>
          <w:tcPr>
            <w:tcW w:w="900" w:type="dxa"/>
            <w:noWrap/>
            <w:vAlign w:val="center"/>
          </w:tcPr>
          <w:p w14:paraId="061D41A7">
            <w:pPr>
              <w:spacing w:line="300" w:lineRule="auto"/>
              <w:jc w:val="center"/>
              <w:rPr>
                <w:rFonts w:ascii="黑体" w:eastAsia="黑体"/>
                <w:b/>
                <w:color w:val="auto"/>
                <w:sz w:val="24"/>
                <w:highlight w:val="none"/>
              </w:rPr>
            </w:pPr>
          </w:p>
        </w:tc>
        <w:tc>
          <w:tcPr>
            <w:tcW w:w="720" w:type="dxa"/>
            <w:noWrap/>
            <w:vAlign w:val="center"/>
          </w:tcPr>
          <w:p w14:paraId="47CF11FE">
            <w:pPr>
              <w:spacing w:line="300" w:lineRule="auto"/>
              <w:jc w:val="center"/>
              <w:rPr>
                <w:rFonts w:ascii="黑体" w:eastAsia="黑体"/>
                <w:b/>
                <w:color w:val="auto"/>
                <w:sz w:val="24"/>
                <w:highlight w:val="none"/>
              </w:rPr>
            </w:pPr>
          </w:p>
        </w:tc>
        <w:tc>
          <w:tcPr>
            <w:tcW w:w="900" w:type="dxa"/>
            <w:noWrap/>
            <w:vAlign w:val="center"/>
          </w:tcPr>
          <w:p w14:paraId="1D23030E">
            <w:pPr>
              <w:spacing w:line="300" w:lineRule="auto"/>
              <w:jc w:val="center"/>
              <w:rPr>
                <w:rFonts w:ascii="黑体" w:eastAsia="黑体"/>
                <w:b/>
                <w:color w:val="auto"/>
                <w:sz w:val="24"/>
                <w:highlight w:val="none"/>
              </w:rPr>
            </w:pPr>
          </w:p>
        </w:tc>
        <w:tc>
          <w:tcPr>
            <w:tcW w:w="1260" w:type="dxa"/>
            <w:noWrap/>
            <w:vAlign w:val="center"/>
          </w:tcPr>
          <w:p w14:paraId="5BCFEFB1">
            <w:pPr>
              <w:spacing w:line="300" w:lineRule="auto"/>
              <w:jc w:val="center"/>
              <w:rPr>
                <w:rFonts w:ascii="黑体" w:eastAsia="黑体"/>
                <w:b/>
                <w:color w:val="auto"/>
                <w:sz w:val="24"/>
                <w:highlight w:val="none"/>
              </w:rPr>
            </w:pPr>
          </w:p>
        </w:tc>
        <w:tc>
          <w:tcPr>
            <w:tcW w:w="1800" w:type="dxa"/>
            <w:noWrap/>
            <w:vAlign w:val="center"/>
          </w:tcPr>
          <w:p w14:paraId="2E34E610">
            <w:pPr>
              <w:spacing w:line="300" w:lineRule="auto"/>
              <w:jc w:val="center"/>
              <w:rPr>
                <w:rFonts w:ascii="黑体" w:eastAsia="黑体"/>
                <w:b/>
                <w:color w:val="auto"/>
                <w:sz w:val="24"/>
                <w:highlight w:val="none"/>
              </w:rPr>
            </w:pPr>
          </w:p>
        </w:tc>
        <w:tc>
          <w:tcPr>
            <w:tcW w:w="720" w:type="dxa"/>
            <w:noWrap/>
            <w:vAlign w:val="center"/>
          </w:tcPr>
          <w:p w14:paraId="2B604667">
            <w:pPr>
              <w:spacing w:line="300" w:lineRule="auto"/>
              <w:jc w:val="center"/>
              <w:rPr>
                <w:rFonts w:ascii="黑体" w:eastAsia="黑体"/>
                <w:b/>
                <w:color w:val="auto"/>
                <w:sz w:val="24"/>
                <w:highlight w:val="none"/>
              </w:rPr>
            </w:pPr>
          </w:p>
        </w:tc>
        <w:tc>
          <w:tcPr>
            <w:tcW w:w="720" w:type="dxa"/>
            <w:noWrap/>
            <w:vAlign w:val="center"/>
          </w:tcPr>
          <w:p w14:paraId="7A08A523">
            <w:pPr>
              <w:spacing w:line="300" w:lineRule="auto"/>
              <w:jc w:val="center"/>
              <w:rPr>
                <w:rFonts w:ascii="黑体" w:eastAsia="黑体"/>
                <w:b/>
                <w:color w:val="auto"/>
                <w:sz w:val="24"/>
                <w:highlight w:val="none"/>
              </w:rPr>
            </w:pPr>
          </w:p>
        </w:tc>
      </w:tr>
      <w:tr w14:paraId="0F2E6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dxa"/>
            <w:noWrap/>
            <w:vAlign w:val="center"/>
          </w:tcPr>
          <w:p w14:paraId="4C9771E8">
            <w:pPr>
              <w:spacing w:line="300" w:lineRule="auto"/>
              <w:jc w:val="center"/>
              <w:rPr>
                <w:rFonts w:ascii="黑体" w:eastAsia="黑体"/>
                <w:b/>
                <w:color w:val="auto"/>
                <w:sz w:val="24"/>
                <w:highlight w:val="none"/>
              </w:rPr>
            </w:pPr>
          </w:p>
        </w:tc>
        <w:tc>
          <w:tcPr>
            <w:tcW w:w="1024" w:type="dxa"/>
            <w:noWrap/>
            <w:vAlign w:val="center"/>
          </w:tcPr>
          <w:p w14:paraId="27082DF1">
            <w:pPr>
              <w:spacing w:line="300" w:lineRule="auto"/>
              <w:jc w:val="center"/>
              <w:rPr>
                <w:rFonts w:ascii="黑体" w:eastAsia="黑体"/>
                <w:b/>
                <w:color w:val="auto"/>
                <w:sz w:val="24"/>
                <w:highlight w:val="none"/>
              </w:rPr>
            </w:pPr>
          </w:p>
        </w:tc>
        <w:tc>
          <w:tcPr>
            <w:tcW w:w="900" w:type="dxa"/>
            <w:noWrap/>
            <w:vAlign w:val="center"/>
          </w:tcPr>
          <w:p w14:paraId="5E53E16C">
            <w:pPr>
              <w:spacing w:line="300" w:lineRule="auto"/>
              <w:jc w:val="center"/>
              <w:rPr>
                <w:rFonts w:ascii="黑体" w:eastAsia="黑体"/>
                <w:b/>
                <w:color w:val="auto"/>
                <w:sz w:val="24"/>
                <w:highlight w:val="none"/>
              </w:rPr>
            </w:pPr>
          </w:p>
        </w:tc>
        <w:tc>
          <w:tcPr>
            <w:tcW w:w="540" w:type="dxa"/>
            <w:noWrap/>
            <w:vAlign w:val="center"/>
          </w:tcPr>
          <w:p w14:paraId="0D1EF853">
            <w:pPr>
              <w:spacing w:line="300" w:lineRule="auto"/>
              <w:jc w:val="center"/>
              <w:rPr>
                <w:rFonts w:ascii="黑体" w:eastAsia="黑体"/>
                <w:b/>
                <w:color w:val="auto"/>
                <w:sz w:val="24"/>
                <w:highlight w:val="none"/>
              </w:rPr>
            </w:pPr>
          </w:p>
        </w:tc>
        <w:tc>
          <w:tcPr>
            <w:tcW w:w="900" w:type="dxa"/>
            <w:noWrap/>
            <w:vAlign w:val="center"/>
          </w:tcPr>
          <w:p w14:paraId="75ACEEC0">
            <w:pPr>
              <w:spacing w:line="300" w:lineRule="auto"/>
              <w:jc w:val="center"/>
              <w:rPr>
                <w:rFonts w:ascii="黑体" w:eastAsia="黑体"/>
                <w:b/>
                <w:color w:val="auto"/>
                <w:sz w:val="24"/>
                <w:highlight w:val="none"/>
              </w:rPr>
            </w:pPr>
          </w:p>
        </w:tc>
        <w:tc>
          <w:tcPr>
            <w:tcW w:w="720" w:type="dxa"/>
            <w:noWrap/>
            <w:vAlign w:val="center"/>
          </w:tcPr>
          <w:p w14:paraId="580D86EB">
            <w:pPr>
              <w:spacing w:line="300" w:lineRule="auto"/>
              <w:jc w:val="center"/>
              <w:rPr>
                <w:rFonts w:ascii="黑体" w:eastAsia="黑体"/>
                <w:b/>
                <w:color w:val="auto"/>
                <w:sz w:val="24"/>
                <w:highlight w:val="none"/>
              </w:rPr>
            </w:pPr>
          </w:p>
        </w:tc>
        <w:tc>
          <w:tcPr>
            <w:tcW w:w="900" w:type="dxa"/>
            <w:noWrap/>
            <w:vAlign w:val="center"/>
          </w:tcPr>
          <w:p w14:paraId="4C140D65">
            <w:pPr>
              <w:spacing w:line="300" w:lineRule="auto"/>
              <w:jc w:val="center"/>
              <w:rPr>
                <w:rFonts w:ascii="黑体" w:eastAsia="黑体"/>
                <w:b/>
                <w:color w:val="auto"/>
                <w:sz w:val="24"/>
                <w:highlight w:val="none"/>
              </w:rPr>
            </w:pPr>
          </w:p>
        </w:tc>
        <w:tc>
          <w:tcPr>
            <w:tcW w:w="1260" w:type="dxa"/>
            <w:noWrap/>
            <w:vAlign w:val="center"/>
          </w:tcPr>
          <w:p w14:paraId="70450755">
            <w:pPr>
              <w:spacing w:line="300" w:lineRule="auto"/>
              <w:jc w:val="center"/>
              <w:rPr>
                <w:rFonts w:ascii="黑体" w:eastAsia="黑体"/>
                <w:b/>
                <w:color w:val="auto"/>
                <w:sz w:val="24"/>
                <w:highlight w:val="none"/>
              </w:rPr>
            </w:pPr>
          </w:p>
        </w:tc>
        <w:tc>
          <w:tcPr>
            <w:tcW w:w="1800" w:type="dxa"/>
            <w:noWrap/>
            <w:vAlign w:val="center"/>
          </w:tcPr>
          <w:p w14:paraId="531A7005">
            <w:pPr>
              <w:spacing w:line="300" w:lineRule="auto"/>
              <w:jc w:val="center"/>
              <w:rPr>
                <w:rFonts w:ascii="黑体" w:eastAsia="黑体"/>
                <w:b/>
                <w:color w:val="auto"/>
                <w:sz w:val="24"/>
                <w:highlight w:val="none"/>
              </w:rPr>
            </w:pPr>
          </w:p>
        </w:tc>
        <w:tc>
          <w:tcPr>
            <w:tcW w:w="720" w:type="dxa"/>
            <w:noWrap/>
            <w:vAlign w:val="center"/>
          </w:tcPr>
          <w:p w14:paraId="37A16678">
            <w:pPr>
              <w:spacing w:line="300" w:lineRule="auto"/>
              <w:jc w:val="center"/>
              <w:rPr>
                <w:rFonts w:ascii="黑体" w:eastAsia="黑体"/>
                <w:b/>
                <w:color w:val="auto"/>
                <w:sz w:val="24"/>
                <w:highlight w:val="none"/>
              </w:rPr>
            </w:pPr>
          </w:p>
        </w:tc>
        <w:tc>
          <w:tcPr>
            <w:tcW w:w="720" w:type="dxa"/>
            <w:noWrap/>
            <w:vAlign w:val="center"/>
          </w:tcPr>
          <w:p w14:paraId="6BD4CBA0">
            <w:pPr>
              <w:spacing w:line="300" w:lineRule="auto"/>
              <w:jc w:val="center"/>
              <w:rPr>
                <w:rFonts w:ascii="黑体" w:eastAsia="黑体"/>
                <w:b/>
                <w:color w:val="auto"/>
                <w:sz w:val="24"/>
                <w:highlight w:val="none"/>
              </w:rPr>
            </w:pPr>
          </w:p>
        </w:tc>
      </w:tr>
      <w:tr w14:paraId="5BAC7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dxa"/>
            <w:noWrap/>
            <w:vAlign w:val="center"/>
          </w:tcPr>
          <w:p w14:paraId="6E8B543F">
            <w:pPr>
              <w:spacing w:line="300" w:lineRule="auto"/>
              <w:jc w:val="center"/>
              <w:rPr>
                <w:rFonts w:ascii="黑体" w:eastAsia="黑体"/>
                <w:b/>
                <w:color w:val="auto"/>
                <w:sz w:val="24"/>
                <w:highlight w:val="none"/>
              </w:rPr>
            </w:pPr>
          </w:p>
        </w:tc>
        <w:tc>
          <w:tcPr>
            <w:tcW w:w="1024" w:type="dxa"/>
            <w:noWrap/>
            <w:vAlign w:val="center"/>
          </w:tcPr>
          <w:p w14:paraId="4DD9892E">
            <w:pPr>
              <w:spacing w:line="300" w:lineRule="auto"/>
              <w:jc w:val="center"/>
              <w:rPr>
                <w:rFonts w:ascii="黑体" w:eastAsia="黑体"/>
                <w:b/>
                <w:color w:val="auto"/>
                <w:sz w:val="24"/>
                <w:highlight w:val="none"/>
              </w:rPr>
            </w:pPr>
          </w:p>
        </w:tc>
        <w:tc>
          <w:tcPr>
            <w:tcW w:w="900" w:type="dxa"/>
            <w:noWrap/>
            <w:vAlign w:val="center"/>
          </w:tcPr>
          <w:p w14:paraId="341B07D1">
            <w:pPr>
              <w:spacing w:line="300" w:lineRule="auto"/>
              <w:jc w:val="center"/>
              <w:rPr>
                <w:rFonts w:ascii="黑体" w:eastAsia="黑体"/>
                <w:b/>
                <w:color w:val="auto"/>
                <w:sz w:val="24"/>
                <w:highlight w:val="none"/>
              </w:rPr>
            </w:pPr>
          </w:p>
        </w:tc>
        <w:tc>
          <w:tcPr>
            <w:tcW w:w="540" w:type="dxa"/>
            <w:noWrap/>
            <w:vAlign w:val="center"/>
          </w:tcPr>
          <w:p w14:paraId="4445C319">
            <w:pPr>
              <w:spacing w:line="300" w:lineRule="auto"/>
              <w:jc w:val="center"/>
              <w:rPr>
                <w:rFonts w:ascii="黑体" w:eastAsia="黑体"/>
                <w:b/>
                <w:color w:val="auto"/>
                <w:sz w:val="24"/>
                <w:highlight w:val="none"/>
              </w:rPr>
            </w:pPr>
          </w:p>
        </w:tc>
        <w:tc>
          <w:tcPr>
            <w:tcW w:w="900" w:type="dxa"/>
            <w:noWrap/>
            <w:vAlign w:val="center"/>
          </w:tcPr>
          <w:p w14:paraId="672C9922">
            <w:pPr>
              <w:spacing w:line="300" w:lineRule="auto"/>
              <w:jc w:val="center"/>
              <w:rPr>
                <w:rFonts w:ascii="黑体" w:eastAsia="黑体"/>
                <w:b/>
                <w:color w:val="auto"/>
                <w:sz w:val="24"/>
                <w:highlight w:val="none"/>
              </w:rPr>
            </w:pPr>
          </w:p>
        </w:tc>
        <w:tc>
          <w:tcPr>
            <w:tcW w:w="720" w:type="dxa"/>
            <w:noWrap/>
            <w:vAlign w:val="center"/>
          </w:tcPr>
          <w:p w14:paraId="10C45D31">
            <w:pPr>
              <w:spacing w:line="300" w:lineRule="auto"/>
              <w:jc w:val="center"/>
              <w:rPr>
                <w:rFonts w:ascii="黑体" w:eastAsia="黑体"/>
                <w:b/>
                <w:color w:val="auto"/>
                <w:sz w:val="24"/>
                <w:highlight w:val="none"/>
              </w:rPr>
            </w:pPr>
          </w:p>
        </w:tc>
        <w:tc>
          <w:tcPr>
            <w:tcW w:w="900" w:type="dxa"/>
            <w:noWrap/>
            <w:vAlign w:val="center"/>
          </w:tcPr>
          <w:p w14:paraId="22438D36">
            <w:pPr>
              <w:spacing w:line="300" w:lineRule="auto"/>
              <w:jc w:val="center"/>
              <w:rPr>
                <w:rFonts w:ascii="黑体" w:eastAsia="黑体"/>
                <w:b/>
                <w:color w:val="auto"/>
                <w:sz w:val="24"/>
                <w:highlight w:val="none"/>
              </w:rPr>
            </w:pPr>
          </w:p>
        </w:tc>
        <w:tc>
          <w:tcPr>
            <w:tcW w:w="1260" w:type="dxa"/>
            <w:noWrap/>
            <w:vAlign w:val="center"/>
          </w:tcPr>
          <w:p w14:paraId="77B51718">
            <w:pPr>
              <w:spacing w:line="300" w:lineRule="auto"/>
              <w:jc w:val="center"/>
              <w:rPr>
                <w:rFonts w:ascii="黑体" w:eastAsia="黑体"/>
                <w:b/>
                <w:color w:val="auto"/>
                <w:sz w:val="24"/>
                <w:highlight w:val="none"/>
              </w:rPr>
            </w:pPr>
          </w:p>
        </w:tc>
        <w:tc>
          <w:tcPr>
            <w:tcW w:w="1800" w:type="dxa"/>
            <w:noWrap/>
            <w:vAlign w:val="center"/>
          </w:tcPr>
          <w:p w14:paraId="275F8FEE">
            <w:pPr>
              <w:spacing w:line="300" w:lineRule="auto"/>
              <w:jc w:val="center"/>
              <w:rPr>
                <w:rFonts w:ascii="黑体" w:eastAsia="黑体"/>
                <w:b/>
                <w:color w:val="auto"/>
                <w:sz w:val="24"/>
                <w:highlight w:val="none"/>
              </w:rPr>
            </w:pPr>
          </w:p>
        </w:tc>
        <w:tc>
          <w:tcPr>
            <w:tcW w:w="720" w:type="dxa"/>
            <w:noWrap/>
            <w:vAlign w:val="center"/>
          </w:tcPr>
          <w:p w14:paraId="17C557CE">
            <w:pPr>
              <w:spacing w:line="300" w:lineRule="auto"/>
              <w:jc w:val="center"/>
              <w:rPr>
                <w:rFonts w:ascii="黑体" w:eastAsia="黑体"/>
                <w:b/>
                <w:color w:val="auto"/>
                <w:sz w:val="24"/>
                <w:highlight w:val="none"/>
              </w:rPr>
            </w:pPr>
          </w:p>
        </w:tc>
        <w:tc>
          <w:tcPr>
            <w:tcW w:w="720" w:type="dxa"/>
            <w:noWrap/>
            <w:vAlign w:val="center"/>
          </w:tcPr>
          <w:p w14:paraId="6A1F9098">
            <w:pPr>
              <w:spacing w:line="300" w:lineRule="auto"/>
              <w:jc w:val="center"/>
              <w:rPr>
                <w:rFonts w:ascii="黑体" w:eastAsia="黑体"/>
                <w:b/>
                <w:color w:val="auto"/>
                <w:sz w:val="24"/>
                <w:highlight w:val="none"/>
              </w:rPr>
            </w:pPr>
          </w:p>
        </w:tc>
      </w:tr>
    </w:tbl>
    <w:p w14:paraId="792BA0E1">
      <w:pPr>
        <w:pStyle w:val="17"/>
        <w:rPr>
          <w:rFonts w:ascii="宋体" w:hAnsi="宋体" w:cs="宋体"/>
          <w:color w:val="auto"/>
          <w:highlight w:val="none"/>
        </w:rPr>
      </w:pPr>
    </w:p>
    <w:p w14:paraId="794E0974">
      <w:pPr>
        <w:rPr>
          <w:rFonts w:hint="eastAsia" w:ascii="宋体" w:hAnsi="宋体" w:cs="宋体"/>
          <w:color w:val="auto"/>
          <w:sz w:val="28"/>
          <w:szCs w:val="28"/>
          <w:highlight w:val="none"/>
        </w:rPr>
      </w:pPr>
      <w:r>
        <w:rPr>
          <w:rFonts w:hint="eastAsia" w:ascii="宋体" w:hAnsi="宋体" w:cs="宋体"/>
          <w:color w:val="auto"/>
          <w:sz w:val="28"/>
          <w:szCs w:val="28"/>
          <w:highlight w:val="none"/>
        </w:rPr>
        <w:br w:type="page"/>
      </w:r>
    </w:p>
    <w:p w14:paraId="1C7065BA">
      <w:pPr>
        <w:tabs>
          <w:tab w:val="left" w:pos="3375"/>
        </w:tabs>
        <w:spacing w:line="360" w:lineRule="auto"/>
        <w:rPr>
          <w:rFonts w:ascii="宋体" w:hAnsi="宋体" w:cs="宋体"/>
          <w:color w:val="auto"/>
          <w:sz w:val="24"/>
          <w:highlight w:val="none"/>
        </w:rPr>
      </w:pPr>
      <w:r>
        <w:rPr>
          <w:rFonts w:hint="eastAsia" w:ascii="宋体" w:hAnsi="宋体" w:cs="宋体"/>
          <w:color w:val="auto"/>
          <w:sz w:val="28"/>
          <w:szCs w:val="28"/>
          <w:highlight w:val="none"/>
        </w:rPr>
        <w:t>附件</w:t>
      </w:r>
      <w:r>
        <w:rPr>
          <w:rFonts w:hint="eastAsia" w:ascii="宋体" w:hAnsi="宋体" w:cs="宋体"/>
          <w:color w:val="auto"/>
          <w:sz w:val="28"/>
          <w:szCs w:val="28"/>
          <w:highlight w:val="none"/>
          <w:lang w:val="en-US" w:eastAsia="zh-CN"/>
        </w:rPr>
        <w:t>6</w:t>
      </w:r>
      <w:r>
        <w:rPr>
          <w:rFonts w:hint="eastAsia" w:ascii="宋体" w:hAnsi="宋体" w:cs="宋体"/>
          <w:color w:val="auto"/>
          <w:sz w:val="28"/>
          <w:szCs w:val="28"/>
          <w:highlight w:val="none"/>
        </w:rPr>
        <w:t>：</w:t>
      </w:r>
      <w:r>
        <w:rPr>
          <w:rFonts w:hint="eastAsia" w:ascii="宋体" w:hAnsi="宋体" w:cs="宋体"/>
          <w:color w:val="auto"/>
          <w:sz w:val="24"/>
          <w:highlight w:val="none"/>
        </w:rPr>
        <w:t xml:space="preserve">                  其它需要提交的资格审查材料</w:t>
      </w:r>
    </w:p>
    <w:p w14:paraId="2C37D411">
      <w:pPr>
        <w:spacing w:after="120" w:line="360" w:lineRule="auto"/>
        <w:ind w:left="420" w:leftChars="200" w:firstLine="400" w:firstLineChars="200"/>
        <w:rPr>
          <w:rFonts w:ascii="宋体" w:hAnsi="宋体" w:cs="宋体"/>
          <w:color w:val="auto"/>
          <w:kern w:val="0"/>
          <w:sz w:val="20"/>
          <w:highlight w:val="none"/>
        </w:rPr>
      </w:pPr>
    </w:p>
    <w:p w14:paraId="0AE11C8B">
      <w:pPr>
        <w:tabs>
          <w:tab w:val="left" w:pos="3375"/>
        </w:tabs>
        <w:autoSpaceDE w:val="0"/>
        <w:autoSpaceDN w:val="0"/>
        <w:adjustRightInd w:val="0"/>
        <w:snapToGrid w:val="0"/>
        <w:spacing w:line="360" w:lineRule="auto"/>
        <w:contextualSpacing/>
        <w:rPr>
          <w:rFonts w:ascii="宋体" w:hAnsi="宋体" w:cs="宋体"/>
          <w:color w:val="auto"/>
          <w:sz w:val="24"/>
          <w:highlight w:val="none"/>
        </w:rPr>
      </w:pPr>
      <w:r>
        <w:rPr>
          <w:rFonts w:hint="eastAsia" w:ascii="宋体" w:hAnsi="宋体" w:cs="宋体"/>
          <w:color w:val="auto"/>
          <w:sz w:val="24"/>
          <w:highlight w:val="none"/>
        </w:rPr>
        <w:t>①其他</w:t>
      </w:r>
    </w:p>
    <w:p w14:paraId="67E900A3">
      <w:pPr>
        <w:pStyle w:val="17"/>
        <w:ind w:firstLine="480"/>
        <w:rPr>
          <w:rFonts w:ascii="宋体" w:hAnsi="宋体" w:cs="宋体"/>
          <w:color w:val="auto"/>
          <w:highlight w:val="none"/>
        </w:rPr>
      </w:pPr>
      <w:r>
        <w:rPr>
          <w:rFonts w:hint="eastAsia" w:ascii="宋体" w:hAnsi="宋体" w:cs="宋体"/>
          <w:color w:val="auto"/>
          <w:sz w:val="24"/>
          <w:highlight w:val="none"/>
        </w:rPr>
        <w:t>...</w:t>
      </w:r>
      <w:r>
        <w:rPr>
          <w:rFonts w:hint="eastAsia" w:ascii="宋体" w:hAnsi="宋体" w:cs="宋体"/>
          <w:color w:val="auto"/>
          <w:highlight w:val="none"/>
        </w:rPr>
        <w:br w:type="page"/>
      </w:r>
    </w:p>
    <w:p w14:paraId="463F5113">
      <w:pPr>
        <w:tabs>
          <w:tab w:val="left" w:pos="3375"/>
        </w:tabs>
        <w:autoSpaceDE w:val="0"/>
        <w:autoSpaceDN w:val="0"/>
        <w:adjustRightInd w:val="0"/>
        <w:snapToGrid w:val="0"/>
        <w:spacing w:line="440" w:lineRule="exact"/>
        <w:contextualSpacing/>
        <w:rPr>
          <w:rFonts w:ascii="宋体" w:hAnsi="宋体" w:cs="宋体"/>
          <w:color w:val="auto"/>
          <w:sz w:val="28"/>
          <w:szCs w:val="28"/>
          <w:highlight w:val="none"/>
        </w:rPr>
      </w:pPr>
      <w:r>
        <w:rPr>
          <w:rFonts w:hint="eastAsia" w:ascii="宋体" w:hAnsi="宋体" w:cs="宋体"/>
          <w:color w:val="auto"/>
          <w:sz w:val="28"/>
          <w:szCs w:val="28"/>
          <w:highlight w:val="none"/>
        </w:rPr>
        <w:t>第二部分格式：</w:t>
      </w:r>
    </w:p>
    <w:p w14:paraId="00D13311">
      <w:pPr>
        <w:snapToGrid w:val="0"/>
        <w:spacing w:line="300" w:lineRule="auto"/>
        <w:contextualSpacing/>
        <w:rPr>
          <w:rFonts w:ascii="宋体" w:hAnsi="宋体" w:cs="宋体"/>
          <w:color w:val="auto"/>
          <w:sz w:val="32"/>
          <w:szCs w:val="32"/>
          <w:highlight w:val="none"/>
        </w:rPr>
      </w:pPr>
    </w:p>
    <w:p w14:paraId="55F87B2C">
      <w:pPr>
        <w:autoSpaceDE w:val="0"/>
        <w:autoSpaceDN w:val="0"/>
        <w:adjustRightInd w:val="0"/>
        <w:jc w:val="center"/>
        <w:rPr>
          <w:rFonts w:ascii="宋体" w:hAnsi="宋体" w:cs="宋体"/>
          <w:b/>
          <w:color w:val="auto"/>
          <w:sz w:val="32"/>
          <w:szCs w:val="32"/>
          <w:highlight w:val="none"/>
        </w:rPr>
      </w:pPr>
    </w:p>
    <w:p w14:paraId="686303D0">
      <w:pPr>
        <w:autoSpaceDE w:val="0"/>
        <w:autoSpaceDN w:val="0"/>
        <w:adjustRightInd w:val="0"/>
        <w:jc w:val="center"/>
        <w:rPr>
          <w:rFonts w:hint="eastAsia" w:ascii="宋体" w:hAnsi="宋体" w:eastAsia="宋体" w:cs="宋体"/>
          <w:b/>
          <w:color w:val="auto"/>
          <w:sz w:val="44"/>
          <w:szCs w:val="44"/>
          <w:highlight w:val="none"/>
          <w:lang w:eastAsia="zh-CN"/>
        </w:rPr>
      </w:pPr>
      <w:r>
        <w:rPr>
          <w:rFonts w:hint="eastAsia" w:ascii="宋体" w:hAnsi="宋体" w:cs="宋体"/>
          <w:b/>
          <w:color w:val="auto"/>
          <w:sz w:val="44"/>
          <w:szCs w:val="44"/>
          <w:highlight w:val="none"/>
          <w:lang w:eastAsia="zh-CN"/>
        </w:rPr>
        <w:t>2025年南通市农村公路涉水桥梁下部结构风险隐患排查市级抽查项目</w:t>
      </w:r>
    </w:p>
    <w:p w14:paraId="432CEB63">
      <w:pPr>
        <w:pStyle w:val="17"/>
        <w:rPr>
          <w:rFonts w:ascii="宋体" w:hAnsi="宋体" w:cs="宋体"/>
          <w:color w:val="auto"/>
          <w:highlight w:val="none"/>
        </w:rPr>
      </w:pPr>
    </w:p>
    <w:p w14:paraId="6F0E1CD3">
      <w:pPr>
        <w:tabs>
          <w:tab w:val="left" w:pos="6300"/>
        </w:tabs>
        <w:snapToGrid w:val="0"/>
        <w:spacing w:line="300" w:lineRule="auto"/>
        <w:ind w:firstLine="3087" w:firstLineChars="1200"/>
        <w:jc w:val="both"/>
        <w:rPr>
          <w:rFonts w:hint="eastAsia" w:ascii="宋体" w:hAnsi="宋体" w:cs="宋体"/>
          <w:b/>
          <w:color w:val="auto"/>
          <w:w w:val="80"/>
          <w:sz w:val="32"/>
          <w:szCs w:val="32"/>
          <w:highlight w:val="none"/>
          <w:lang w:val="en-US" w:eastAsia="zh-CN"/>
        </w:rPr>
      </w:pPr>
      <w:r>
        <w:rPr>
          <w:rFonts w:hint="eastAsia" w:ascii="宋体" w:hAnsi="宋体" w:cs="宋体"/>
          <w:b/>
          <w:color w:val="auto"/>
          <w:w w:val="80"/>
          <w:sz w:val="32"/>
          <w:szCs w:val="32"/>
          <w:highlight w:val="none"/>
        </w:rPr>
        <w:t>项目编号：</w:t>
      </w:r>
      <w:r>
        <w:rPr>
          <w:rFonts w:hint="eastAsia" w:ascii="宋体" w:hAnsi="宋体" w:cs="宋体"/>
          <w:b/>
          <w:color w:val="auto"/>
          <w:w w:val="80"/>
          <w:sz w:val="32"/>
          <w:szCs w:val="32"/>
          <w:highlight w:val="none"/>
          <w:lang w:val="en-US" w:eastAsia="zh-CN"/>
        </w:rPr>
        <w:t>2025NLSXZ</w:t>
      </w:r>
    </w:p>
    <w:p w14:paraId="368FFF67">
      <w:pPr>
        <w:tabs>
          <w:tab w:val="left" w:pos="6300"/>
        </w:tabs>
        <w:snapToGrid w:val="0"/>
        <w:spacing w:line="300" w:lineRule="auto"/>
        <w:ind w:firstLine="3087" w:firstLineChars="1200"/>
        <w:jc w:val="both"/>
        <w:rPr>
          <w:rFonts w:hint="eastAsia" w:ascii="宋体" w:hAnsi="宋体" w:cs="宋体"/>
          <w:b/>
          <w:color w:val="auto"/>
          <w:w w:val="80"/>
          <w:sz w:val="32"/>
          <w:szCs w:val="32"/>
          <w:highlight w:val="none"/>
        </w:rPr>
      </w:pPr>
      <w:r>
        <w:rPr>
          <w:rFonts w:hint="eastAsia" w:ascii="宋体" w:hAnsi="宋体" w:cs="宋体"/>
          <w:b/>
          <w:color w:val="auto"/>
          <w:w w:val="80"/>
          <w:sz w:val="32"/>
          <w:szCs w:val="32"/>
          <w:highlight w:val="none"/>
        </w:rPr>
        <w:t>档案编号：</w:t>
      </w:r>
      <w:r>
        <w:rPr>
          <w:rFonts w:hint="eastAsia" w:ascii="宋体" w:hAnsi="宋体" w:cs="宋体"/>
          <w:b/>
          <w:color w:val="auto"/>
          <w:w w:val="80"/>
          <w:sz w:val="32"/>
          <w:szCs w:val="32"/>
          <w:highlight w:val="none"/>
          <w:lang w:val="en-US" w:eastAsia="zh-CN"/>
        </w:rPr>
        <w:t>20251116</w:t>
      </w:r>
    </w:p>
    <w:p w14:paraId="5AE94D09">
      <w:pPr>
        <w:tabs>
          <w:tab w:val="left" w:pos="6300"/>
        </w:tabs>
        <w:snapToGrid w:val="0"/>
        <w:spacing w:line="300" w:lineRule="auto"/>
        <w:jc w:val="center"/>
        <w:rPr>
          <w:rFonts w:ascii="宋体" w:hAnsi="宋体" w:cs="宋体"/>
          <w:b/>
          <w:color w:val="auto"/>
          <w:w w:val="80"/>
          <w:sz w:val="32"/>
          <w:szCs w:val="32"/>
          <w:highlight w:val="none"/>
        </w:rPr>
      </w:pPr>
    </w:p>
    <w:p w14:paraId="50E0002A">
      <w:pPr>
        <w:tabs>
          <w:tab w:val="left" w:pos="6300"/>
        </w:tabs>
        <w:snapToGrid w:val="0"/>
        <w:spacing w:line="300" w:lineRule="auto"/>
        <w:jc w:val="center"/>
        <w:rPr>
          <w:rFonts w:ascii="宋体" w:hAnsi="宋体" w:cs="宋体"/>
          <w:b/>
          <w:color w:val="auto"/>
          <w:w w:val="80"/>
          <w:sz w:val="32"/>
          <w:szCs w:val="32"/>
          <w:highlight w:val="none"/>
        </w:rPr>
      </w:pPr>
    </w:p>
    <w:p w14:paraId="4D56E3C1">
      <w:pPr>
        <w:spacing w:after="60" w:line="360" w:lineRule="auto"/>
        <w:ind w:firstLine="3373" w:firstLineChars="1050"/>
        <w:rPr>
          <w:rFonts w:ascii="宋体" w:hAnsi="宋体" w:cs="宋体"/>
          <w:b/>
          <w:bCs/>
          <w:color w:val="auto"/>
          <w:sz w:val="32"/>
          <w:szCs w:val="32"/>
          <w:highlight w:val="none"/>
        </w:rPr>
      </w:pPr>
      <w:r>
        <w:rPr>
          <w:rFonts w:hint="eastAsia" w:ascii="宋体" w:hAnsi="宋体" w:cs="宋体"/>
          <w:b/>
          <w:bCs/>
          <w:color w:val="auto"/>
          <w:sz w:val="32"/>
          <w:szCs w:val="32"/>
          <w:highlight w:val="none"/>
        </w:rPr>
        <w:t>响应文件</w:t>
      </w:r>
    </w:p>
    <w:p w14:paraId="5040DFFC">
      <w:pPr>
        <w:spacing w:after="60"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（商务技术响应文件）</w:t>
      </w:r>
    </w:p>
    <w:p w14:paraId="26368725">
      <w:pPr>
        <w:spacing w:after="60"/>
        <w:jc w:val="center"/>
        <w:rPr>
          <w:rFonts w:ascii="宋体" w:hAnsi="宋体" w:cs="宋体"/>
          <w:b/>
          <w:bCs/>
          <w:color w:val="auto"/>
          <w:sz w:val="72"/>
          <w:szCs w:val="72"/>
          <w:highlight w:val="none"/>
        </w:rPr>
      </w:pPr>
    </w:p>
    <w:p w14:paraId="75F168A4">
      <w:pPr>
        <w:spacing w:after="60"/>
        <w:jc w:val="center"/>
        <w:rPr>
          <w:rFonts w:ascii="宋体" w:hAnsi="宋体" w:cs="宋体"/>
          <w:b/>
          <w:bCs/>
          <w:color w:val="auto"/>
          <w:sz w:val="72"/>
          <w:szCs w:val="72"/>
          <w:highlight w:val="none"/>
        </w:rPr>
      </w:pPr>
    </w:p>
    <w:p w14:paraId="0993526D">
      <w:pPr>
        <w:spacing w:after="60"/>
        <w:jc w:val="center"/>
        <w:rPr>
          <w:rFonts w:ascii="宋体" w:hAnsi="宋体" w:cs="宋体"/>
          <w:b/>
          <w:bCs/>
          <w:color w:val="auto"/>
          <w:sz w:val="72"/>
          <w:szCs w:val="72"/>
          <w:highlight w:val="none"/>
        </w:rPr>
      </w:pPr>
    </w:p>
    <w:p w14:paraId="6A2D5C90">
      <w:pPr>
        <w:spacing w:after="60"/>
        <w:jc w:val="center"/>
        <w:rPr>
          <w:rFonts w:ascii="宋体" w:hAnsi="宋体" w:cs="宋体"/>
          <w:b/>
          <w:bCs/>
          <w:color w:val="auto"/>
          <w:sz w:val="72"/>
          <w:szCs w:val="72"/>
          <w:highlight w:val="none"/>
        </w:rPr>
      </w:pPr>
    </w:p>
    <w:p w14:paraId="7BBB8BBE">
      <w:pPr>
        <w:pStyle w:val="17"/>
        <w:ind w:left="0" w:leftChars="0" w:firstLine="0" w:firstLineChars="0"/>
        <w:rPr>
          <w:rFonts w:ascii="宋体" w:hAnsi="宋体" w:cs="宋体"/>
          <w:b/>
          <w:bCs/>
          <w:color w:val="auto"/>
          <w:sz w:val="72"/>
          <w:szCs w:val="72"/>
          <w:highlight w:val="none"/>
        </w:rPr>
      </w:pPr>
    </w:p>
    <w:p w14:paraId="53BD3E34">
      <w:pPr>
        <w:spacing w:after="60"/>
        <w:jc w:val="center"/>
        <w:rPr>
          <w:rFonts w:ascii="宋体" w:hAnsi="宋体" w:cs="宋体"/>
          <w:b/>
          <w:bCs/>
          <w:color w:val="auto"/>
          <w:sz w:val="72"/>
          <w:szCs w:val="72"/>
          <w:highlight w:val="none"/>
        </w:rPr>
      </w:pPr>
    </w:p>
    <w:p w14:paraId="212346BD">
      <w:pPr>
        <w:spacing w:line="48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供应商（盖公章）：</w:t>
      </w:r>
      <w:r>
        <w:rPr>
          <w:rFonts w:hint="eastAsia" w:ascii="宋体" w:hAnsi="宋体" w:cs="宋体"/>
          <w:b/>
          <w:color w:val="auto"/>
          <w:sz w:val="24"/>
          <w:highlight w:val="none"/>
          <w:u w:val="single"/>
        </w:rPr>
        <w:t xml:space="preserve">                            </w:t>
      </w:r>
    </w:p>
    <w:p w14:paraId="292CC5B0">
      <w:pPr>
        <w:spacing w:line="480" w:lineRule="auto"/>
        <w:ind w:firstLine="482" w:firstLineChars="200"/>
        <w:rPr>
          <w:rFonts w:ascii="宋体" w:hAnsi="宋体" w:cs="宋体"/>
          <w:b/>
          <w:color w:val="auto"/>
          <w:sz w:val="24"/>
          <w:highlight w:val="none"/>
          <w:u w:val="single"/>
        </w:rPr>
      </w:pPr>
      <w:r>
        <w:rPr>
          <w:rFonts w:hint="eastAsia" w:ascii="宋体" w:hAnsi="宋体" w:cs="宋体"/>
          <w:b/>
          <w:color w:val="auto"/>
          <w:sz w:val="24"/>
          <w:highlight w:val="none"/>
        </w:rPr>
        <w:t>法定代表人（或其委托代理人）（签字或盖章）：</w:t>
      </w:r>
      <w:r>
        <w:rPr>
          <w:rFonts w:hint="eastAsia" w:ascii="宋体" w:hAnsi="宋体" w:cs="宋体"/>
          <w:b/>
          <w:color w:val="auto"/>
          <w:sz w:val="24"/>
          <w:highlight w:val="none"/>
          <w:u w:val="single"/>
        </w:rPr>
        <w:t xml:space="preserve">                  </w:t>
      </w:r>
    </w:p>
    <w:p w14:paraId="25806FF5">
      <w:pPr>
        <w:spacing w:line="48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日    期：</w:t>
      </w:r>
      <w:r>
        <w:rPr>
          <w:rFonts w:hint="eastAsia" w:ascii="宋体" w:hAnsi="宋体" w:cs="宋体"/>
          <w:b/>
          <w:color w:val="auto"/>
          <w:sz w:val="24"/>
          <w:highlight w:val="none"/>
          <w:u w:val="single"/>
        </w:rPr>
        <w:t xml:space="preserve">                                                  </w:t>
      </w:r>
    </w:p>
    <w:p w14:paraId="3FEE9100">
      <w:pPr>
        <w:pStyle w:val="30"/>
        <w:spacing w:line="440" w:lineRule="exact"/>
        <w:ind w:firstLine="494"/>
        <w:rPr>
          <w:rFonts w:ascii="宋体" w:eastAsia="宋体" w:cs="宋体"/>
          <w:color w:val="auto"/>
          <w:sz w:val="24"/>
          <w:szCs w:val="24"/>
          <w:highlight w:val="none"/>
        </w:rPr>
      </w:pPr>
      <w:r>
        <w:rPr>
          <w:rFonts w:hint="eastAsia" w:ascii="宋体" w:eastAsia="宋体" w:cs="宋体"/>
          <w:color w:val="auto"/>
          <w:sz w:val="24"/>
          <w:szCs w:val="24"/>
          <w:highlight w:val="none"/>
        </w:rPr>
        <w:t>为方便评委评审，请供应商按评审办法中所涉及的事项顺序进行编制，可以补充相关材料。（以下均须提供扫描件（或复印件）并加盖公章。）</w:t>
      </w:r>
    </w:p>
    <w:p w14:paraId="7EF09D7D">
      <w:pPr>
        <w:pStyle w:val="30"/>
        <w:spacing w:line="440" w:lineRule="exact"/>
        <w:ind w:firstLine="494"/>
        <w:rPr>
          <w:rFonts w:ascii="宋体" w:eastAsia="宋体" w:cs="宋体"/>
          <w:color w:val="auto"/>
          <w:sz w:val="24"/>
          <w:szCs w:val="24"/>
          <w:highlight w:val="none"/>
        </w:rPr>
      </w:pPr>
      <w:r>
        <w:rPr>
          <w:rFonts w:hint="eastAsia" w:ascii="宋体" w:eastAsia="宋体" w:cs="宋体"/>
          <w:color w:val="auto"/>
          <w:sz w:val="24"/>
          <w:szCs w:val="24"/>
          <w:highlight w:val="none"/>
        </w:rPr>
        <w:t>1.竞争性磋商响应函；</w:t>
      </w:r>
    </w:p>
    <w:p w14:paraId="6AF4708F">
      <w:pPr>
        <w:pStyle w:val="30"/>
        <w:spacing w:line="440" w:lineRule="exact"/>
        <w:ind w:firstLine="494"/>
        <w:rPr>
          <w:rFonts w:ascii="宋体" w:eastAsia="宋体" w:cs="宋体"/>
          <w:color w:val="auto"/>
          <w:sz w:val="24"/>
          <w:szCs w:val="24"/>
          <w:highlight w:val="none"/>
        </w:rPr>
      </w:pPr>
      <w:r>
        <w:rPr>
          <w:rFonts w:hint="eastAsia" w:ascii="宋体" w:eastAsia="宋体" w:cs="宋体"/>
          <w:color w:val="auto"/>
          <w:sz w:val="24"/>
          <w:szCs w:val="24"/>
          <w:highlight w:val="none"/>
        </w:rPr>
        <w:t>2.评标办法中所涉及的事项需提供的所有资料；</w:t>
      </w:r>
    </w:p>
    <w:p w14:paraId="3709AF7B">
      <w:pPr>
        <w:pStyle w:val="30"/>
        <w:spacing w:line="440" w:lineRule="exact"/>
        <w:ind w:firstLine="494"/>
        <w:rPr>
          <w:rFonts w:ascii="宋体" w:eastAsia="宋体" w:cs="宋体"/>
          <w:color w:val="auto"/>
          <w:sz w:val="24"/>
          <w:szCs w:val="24"/>
          <w:highlight w:val="none"/>
        </w:rPr>
      </w:pPr>
      <w:r>
        <w:rPr>
          <w:rFonts w:hint="eastAsia" w:ascii="宋体" w:eastAsia="宋体" w:cs="宋体"/>
          <w:color w:val="auto"/>
          <w:sz w:val="24"/>
          <w:szCs w:val="24"/>
          <w:highlight w:val="none"/>
        </w:rPr>
        <w:t>3.评标办法中未涉及的事项，供应商认为需要提交的其他资料；</w:t>
      </w:r>
    </w:p>
    <w:p w14:paraId="554462DB">
      <w:pPr>
        <w:pStyle w:val="30"/>
        <w:spacing w:line="440" w:lineRule="exact"/>
        <w:ind w:firstLine="494"/>
        <w:rPr>
          <w:rFonts w:ascii="宋体" w:eastAsia="宋体" w:cs="宋体"/>
          <w:color w:val="auto"/>
          <w:sz w:val="24"/>
          <w:szCs w:val="24"/>
          <w:highlight w:val="none"/>
        </w:rPr>
      </w:pPr>
      <w:r>
        <w:rPr>
          <w:rFonts w:hint="eastAsia" w:ascii="宋体" w:eastAsia="宋体" w:cs="宋体"/>
          <w:color w:val="auto"/>
          <w:sz w:val="24"/>
          <w:szCs w:val="24"/>
          <w:highlight w:val="none"/>
        </w:rPr>
        <w:t>4.竞争性磋商文件中要求提供的其他材料。</w:t>
      </w:r>
    </w:p>
    <w:p w14:paraId="54B0CECD">
      <w:pPr>
        <w:snapToGrid w:val="0"/>
        <w:spacing w:line="300" w:lineRule="auto"/>
        <w:contextualSpacing/>
        <w:rPr>
          <w:rFonts w:ascii="宋体" w:hAnsi="宋体" w:cs="宋体"/>
          <w:color w:val="auto"/>
          <w:sz w:val="32"/>
          <w:szCs w:val="32"/>
          <w:highlight w:val="none"/>
        </w:rPr>
      </w:pPr>
    </w:p>
    <w:p w14:paraId="349141CC">
      <w:pPr>
        <w:pStyle w:val="17"/>
        <w:rPr>
          <w:rFonts w:ascii="宋体" w:hAnsi="宋体" w:cs="宋体"/>
          <w:color w:val="auto"/>
          <w:highlight w:val="none"/>
        </w:rPr>
      </w:pPr>
    </w:p>
    <w:p w14:paraId="774E3306">
      <w:pPr>
        <w:pStyle w:val="17"/>
        <w:rPr>
          <w:rFonts w:ascii="宋体" w:hAnsi="宋体" w:cs="宋体"/>
          <w:color w:val="auto"/>
          <w:highlight w:val="none"/>
        </w:rPr>
      </w:pPr>
    </w:p>
    <w:p w14:paraId="16C7A245">
      <w:pPr>
        <w:pStyle w:val="17"/>
        <w:rPr>
          <w:rFonts w:ascii="宋体" w:hAnsi="宋体" w:cs="宋体"/>
          <w:color w:val="auto"/>
          <w:highlight w:val="none"/>
        </w:rPr>
      </w:pPr>
    </w:p>
    <w:p w14:paraId="3E466012">
      <w:pPr>
        <w:pStyle w:val="17"/>
        <w:rPr>
          <w:rFonts w:ascii="宋体" w:hAnsi="宋体" w:cs="宋体"/>
          <w:color w:val="auto"/>
          <w:highlight w:val="none"/>
        </w:rPr>
      </w:pPr>
    </w:p>
    <w:p w14:paraId="62AD001F">
      <w:pPr>
        <w:pStyle w:val="17"/>
        <w:rPr>
          <w:rFonts w:ascii="宋体" w:hAnsi="宋体" w:cs="宋体"/>
          <w:color w:val="auto"/>
          <w:highlight w:val="none"/>
        </w:rPr>
      </w:pPr>
    </w:p>
    <w:p w14:paraId="49A38269">
      <w:pPr>
        <w:pStyle w:val="17"/>
        <w:rPr>
          <w:rFonts w:ascii="宋体" w:hAnsi="宋体" w:cs="宋体"/>
          <w:color w:val="auto"/>
          <w:highlight w:val="none"/>
        </w:rPr>
      </w:pPr>
    </w:p>
    <w:p w14:paraId="43574BE9">
      <w:pPr>
        <w:pStyle w:val="17"/>
        <w:rPr>
          <w:rFonts w:ascii="宋体" w:hAnsi="宋体" w:cs="宋体"/>
          <w:color w:val="auto"/>
          <w:highlight w:val="none"/>
        </w:rPr>
      </w:pPr>
    </w:p>
    <w:p w14:paraId="6B6B478E">
      <w:pPr>
        <w:pStyle w:val="17"/>
        <w:rPr>
          <w:rFonts w:ascii="宋体" w:hAnsi="宋体" w:cs="宋体"/>
          <w:color w:val="auto"/>
          <w:highlight w:val="none"/>
        </w:rPr>
      </w:pPr>
    </w:p>
    <w:p w14:paraId="6265097C">
      <w:pPr>
        <w:pStyle w:val="17"/>
        <w:rPr>
          <w:rFonts w:ascii="宋体" w:hAnsi="宋体" w:cs="宋体"/>
          <w:color w:val="auto"/>
          <w:highlight w:val="none"/>
        </w:rPr>
      </w:pPr>
    </w:p>
    <w:p w14:paraId="344A71CF">
      <w:pPr>
        <w:pStyle w:val="17"/>
        <w:rPr>
          <w:rFonts w:ascii="宋体" w:hAnsi="宋体" w:cs="宋体"/>
          <w:color w:val="auto"/>
          <w:highlight w:val="none"/>
        </w:rPr>
      </w:pPr>
    </w:p>
    <w:p w14:paraId="5F428BC6">
      <w:pPr>
        <w:pStyle w:val="17"/>
        <w:rPr>
          <w:rFonts w:ascii="宋体" w:hAnsi="宋体" w:cs="宋体"/>
          <w:color w:val="auto"/>
          <w:highlight w:val="none"/>
        </w:rPr>
      </w:pPr>
    </w:p>
    <w:p w14:paraId="1B635154">
      <w:pPr>
        <w:pStyle w:val="17"/>
        <w:rPr>
          <w:rFonts w:ascii="宋体" w:hAnsi="宋体" w:cs="宋体"/>
          <w:color w:val="auto"/>
          <w:highlight w:val="none"/>
        </w:rPr>
      </w:pPr>
    </w:p>
    <w:p w14:paraId="35EF952F">
      <w:pPr>
        <w:pStyle w:val="17"/>
        <w:rPr>
          <w:rFonts w:ascii="宋体" w:hAnsi="宋体" w:cs="宋体"/>
          <w:color w:val="auto"/>
          <w:highlight w:val="none"/>
        </w:rPr>
      </w:pPr>
    </w:p>
    <w:p w14:paraId="1F6B212F">
      <w:pPr>
        <w:pStyle w:val="17"/>
        <w:rPr>
          <w:rFonts w:ascii="宋体" w:hAnsi="宋体" w:cs="宋体"/>
          <w:color w:val="auto"/>
          <w:highlight w:val="none"/>
        </w:rPr>
      </w:pPr>
    </w:p>
    <w:p w14:paraId="5B25AA4D">
      <w:pPr>
        <w:pStyle w:val="17"/>
        <w:rPr>
          <w:rFonts w:ascii="宋体" w:hAnsi="宋体" w:cs="宋体"/>
          <w:color w:val="auto"/>
          <w:highlight w:val="none"/>
        </w:rPr>
      </w:pPr>
    </w:p>
    <w:p w14:paraId="7A03BD38">
      <w:pPr>
        <w:pStyle w:val="17"/>
        <w:rPr>
          <w:rFonts w:ascii="宋体" w:hAnsi="宋体" w:cs="宋体"/>
          <w:color w:val="auto"/>
          <w:highlight w:val="none"/>
        </w:rPr>
      </w:pPr>
    </w:p>
    <w:p w14:paraId="1BCF1DC6">
      <w:pPr>
        <w:pStyle w:val="17"/>
        <w:rPr>
          <w:rFonts w:ascii="宋体" w:hAnsi="宋体" w:cs="宋体"/>
          <w:color w:val="auto"/>
          <w:highlight w:val="none"/>
        </w:rPr>
      </w:pPr>
    </w:p>
    <w:p w14:paraId="75F5DBB2">
      <w:pPr>
        <w:pStyle w:val="17"/>
        <w:rPr>
          <w:rFonts w:ascii="宋体" w:hAnsi="宋体" w:cs="宋体"/>
          <w:color w:val="auto"/>
          <w:highlight w:val="none"/>
        </w:rPr>
      </w:pPr>
    </w:p>
    <w:p w14:paraId="7DD77D8B">
      <w:pPr>
        <w:pStyle w:val="17"/>
        <w:rPr>
          <w:rFonts w:ascii="宋体" w:hAnsi="宋体" w:cs="宋体"/>
          <w:color w:val="auto"/>
          <w:highlight w:val="none"/>
        </w:rPr>
      </w:pPr>
    </w:p>
    <w:p w14:paraId="371C4640">
      <w:pPr>
        <w:pStyle w:val="17"/>
        <w:rPr>
          <w:rFonts w:ascii="宋体" w:hAnsi="宋体" w:cs="宋体"/>
          <w:color w:val="auto"/>
          <w:highlight w:val="none"/>
        </w:rPr>
      </w:pPr>
    </w:p>
    <w:p w14:paraId="6FEDB210">
      <w:pPr>
        <w:pStyle w:val="17"/>
        <w:rPr>
          <w:rFonts w:ascii="宋体" w:hAnsi="宋体" w:cs="宋体"/>
          <w:color w:val="auto"/>
          <w:highlight w:val="none"/>
        </w:rPr>
      </w:pPr>
    </w:p>
    <w:p w14:paraId="13FD169A">
      <w:pPr>
        <w:pStyle w:val="17"/>
        <w:rPr>
          <w:rFonts w:ascii="宋体" w:hAnsi="宋体" w:cs="宋体"/>
          <w:color w:val="auto"/>
          <w:highlight w:val="none"/>
        </w:rPr>
      </w:pPr>
    </w:p>
    <w:p w14:paraId="5B1BE06B">
      <w:pPr>
        <w:pStyle w:val="17"/>
        <w:rPr>
          <w:rFonts w:ascii="宋体" w:hAnsi="宋体" w:cs="宋体"/>
          <w:color w:val="auto"/>
          <w:highlight w:val="none"/>
        </w:rPr>
      </w:pPr>
    </w:p>
    <w:p w14:paraId="2FA39E3E">
      <w:pPr>
        <w:pStyle w:val="17"/>
        <w:rPr>
          <w:rFonts w:ascii="宋体" w:hAnsi="宋体" w:cs="宋体"/>
          <w:color w:val="auto"/>
          <w:highlight w:val="none"/>
        </w:rPr>
      </w:pPr>
    </w:p>
    <w:p w14:paraId="161D1E15">
      <w:pPr>
        <w:pStyle w:val="17"/>
        <w:rPr>
          <w:rFonts w:ascii="宋体" w:hAnsi="宋体" w:cs="宋体"/>
          <w:color w:val="auto"/>
          <w:highlight w:val="none"/>
        </w:rPr>
      </w:pPr>
    </w:p>
    <w:p w14:paraId="1BBE5FC8">
      <w:pPr>
        <w:pStyle w:val="17"/>
        <w:rPr>
          <w:rFonts w:ascii="宋体" w:hAnsi="宋体" w:cs="宋体"/>
          <w:color w:val="auto"/>
          <w:highlight w:val="none"/>
        </w:rPr>
      </w:pPr>
    </w:p>
    <w:p w14:paraId="325BAA22">
      <w:pPr>
        <w:pStyle w:val="17"/>
        <w:rPr>
          <w:rFonts w:ascii="宋体" w:hAnsi="宋体" w:cs="宋体"/>
          <w:color w:val="auto"/>
          <w:highlight w:val="none"/>
        </w:rPr>
      </w:pPr>
    </w:p>
    <w:p w14:paraId="60791313">
      <w:pPr>
        <w:snapToGrid w:val="0"/>
        <w:spacing w:line="360" w:lineRule="auto"/>
        <w:jc w:val="center"/>
        <w:outlineLvl w:val="3"/>
        <w:rPr>
          <w:rFonts w:ascii="宋体" w:hAnsi="宋体" w:cs="宋体"/>
          <w:bCs/>
          <w:color w:val="auto"/>
          <w:sz w:val="28"/>
          <w:szCs w:val="28"/>
          <w:highlight w:val="none"/>
        </w:rPr>
      </w:pPr>
      <w:r>
        <w:rPr>
          <w:rFonts w:hint="eastAsia" w:ascii="宋体" w:hAnsi="宋体" w:cs="宋体"/>
          <w:bCs/>
          <w:color w:val="auto"/>
          <w:sz w:val="28"/>
          <w:szCs w:val="28"/>
          <w:highlight w:val="none"/>
        </w:rPr>
        <w:t>竞争性磋商响应函</w:t>
      </w:r>
    </w:p>
    <w:p w14:paraId="1141DF4F">
      <w:pPr>
        <w:snapToGrid w:val="0"/>
        <w:spacing w:line="360" w:lineRule="auto"/>
        <w:rPr>
          <w:rFonts w:ascii="宋体" w:hAnsi="宋体" w:cs="宋体"/>
          <w:color w:val="auto"/>
          <w:sz w:val="24"/>
          <w:highlight w:val="none"/>
        </w:rPr>
      </w:pPr>
      <w:r>
        <w:rPr>
          <w:rFonts w:hint="eastAsia" w:ascii="宋体" w:hAnsi="宋体" w:cs="宋体"/>
          <w:color w:val="auto"/>
          <w:sz w:val="24"/>
          <w:highlight w:val="none"/>
          <w:u w:val="single"/>
        </w:rPr>
        <w:t xml:space="preserve">       （采购人）       </w:t>
      </w:r>
      <w:r>
        <w:rPr>
          <w:rFonts w:hint="eastAsia" w:ascii="宋体" w:hAnsi="宋体" w:cs="宋体"/>
          <w:color w:val="auto"/>
          <w:sz w:val="24"/>
          <w:highlight w:val="none"/>
        </w:rPr>
        <w:t>：</w:t>
      </w:r>
    </w:p>
    <w:p w14:paraId="76A944CB">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依据贵单位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（项目名称)项目竞争性磋商的邀请，我方授权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（职务）为全权代表参加该项目的磋商响应工作，全权处理本次磋商的有关事宜。同时，</w:t>
      </w:r>
      <w:bookmarkStart w:id="5" w:name="_GoBack"/>
      <w:bookmarkEnd w:id="5"/>
      <w:r>
        <w:rPr>
          <w:rFonts w:hint="eastAsia" w:ascii="宋体" w:hAnsi="宋体" w:cs="宋体"/>
          <w:color w:val="auto"/>
          <w:sz w:val="24"/>
          <w:highlight w:val="none"/>
        </w:rPr>
        <w:t>我公司声明如下：</w:t>
      </w:r>
    </w:p>
    <w:p w14:paraId="3033AAC9">
      <w:pPr>
        <w:snapToGrid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（1）我方愿意按照磋商文件的一切要求，提供完成该项目的全部内容</w:t>
      </w:r>
      <w:r>
        <w:rPr>
          <w:rFonts w:hint="eastAsia" w:ascii="宋体" w:hAnsi="宋体" w:cs="宋体"/>
          <w:color w:val="auto"/>
          <w:sz w:val="24"/>
          <w:highlight w:val="none"/>
          <w:lang w:val="zh-CN"/>
        </w:rPr>
        <w:t>。</w:t>
      </w:r>
    </w:p>
    <w:p w14:paraId="4165CBD6">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（2）我方已经详细审查了全部磋商文件，我方已完全清晰理解磋商文件的要求，不存在任何含糊不清和误解之处，同意放弃对这些文件所提出的异议和质疑的权利。</w:t>
      </w:r>
    </w:p>
    <w:p w14:paraId="2C32415F">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（3）我方承诺提供的磋商响应文件的有效期，从磋商响应文件接收截止之日算起，45个“日历天”内保持有效。</w:t>
      </w:r>
    </w:p>
    <w:p w14:paraId="5C80E54F">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（4）我方愿意提供采购人在磋商文件中要求的所有资料。</w:t>
      </w:r>
    </w:p>
    <w:p w14:paraId="1881023F">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（5）我方承诺在本次磋商响应中提供的一切文件，无论是原件还是复印件均真实有效，绝无任何虚假、伪造和夸大的成份。否则，愿承担相应的后果和法律责任。</w:t>
      </w:r>
    </w:p>
    <w:p w14:paraId="6E99046F">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（6）我方尊重评审小组所作评定结果，同时也清楚理解到磋商报价最低并非意味着必定获得中标或成交资格。</w:t>
      </w:r>
    </w:p>
    <w:p w14:paraId="4C098889">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（7）一旦我方成交，我方将根据磋商文件的规定，严格履行磋商文件中规定的每一项要求，按期、按质、按量履行合同的义务。</w:t>
      </w:r>
    </w:p>
    <w:p w14:paraId="10963A0D">
      <w:pPr>
        <w:snapToGrid w:val="0"/>
        <w:spacing w:line="360" w:lineRule="auto"/>
        <w:ind w:firstLine="2400" w:firstLineChars="1000"/>
        <w:jc w:val="right"/>
        <w:rPr>
          <w:rFonts w:ascii="宋体" w:hAnsi="宋体" w:cs="宋体"/>
          <w:color w:val="auto"/>
          <w:sz w:val="24"/>
          <w:highlight w:val="none"/>
        </w:rPr>
      </w:pPr>
      <w:r>
        <w:rPr>
          <w:rFonts w:hint="eastAsia" w:ascii="宋体" w:hAnsi="宋体" w:cs="宋体"/>
          <w:color w:val="auto"/>
          <w:sz w:val="24"/>
          <w:highlight w:val="none"/>
        </w:rPr>
        <w:t>磋商响应供应商：（盖</w:t>
      </w:r>
      <w:r>
        <w:rPr>
          <w:rFonts w:hint="eastAsia" w:ascii="宋体" w:hAnsi="宋体" w:cs="宋体"/>
          <w:color w:val="auto"/>
          <w:sz w:val="24"/>
          <w:highlight w:val="none"/>
          <w:lang w:val="en-US" w:eastAsia="zh-CN"/>
        </w:rPr>
        <w:t>单位</w:t>
      </w:r>
      <w:r>
        <w:rPr>
          <w:rFonts w:hint="eastAsia" w:ascii="宋体" w:hAnsi="宋体" w:cs="宋体"/>
          <w:color w:val="auto"/>
          <w:sz w:val="24"/>
          <w:highlight w:val="none"/>
        </w:rPr>
        <w:t>公章）</w:t>
      </w:r>
    </w:p>
    <w:p w14:paraId="5CD45BDB">
      <w:pPr>
        <w:snapToGrid w:val="0"/>
        <w:spacing w:line="360" w:lineRule="auto"/>
        <w:ind w:firstLine="2400" w:firstLineChars="1000"/>
        <w:jc w:val="right"/>
        <w:rPr>
          <w:rFonts w:ascii="宋体" w:hAnsi="宋体" w:cs="宋体"/>
          <w:color w:val="auto"/>
          <w:sz w:val="24"/>
          <w:highlight w:val="none"/>
        </w:rPr>
      </w:pPr>
      <w:r>
        <w:rPr>
          <w:rFonts w:hint="eastAsia" w:ascii="宋体" w:hAnsi="宋体" w:cs="宋体"/>
          <w:color w:val="auto"/>
          <w:sz w:val="24"/>
          <w:highlight w:val="none"/>
        </w:rPr>
        <w:t>法定代表人或委托代理人：</w:t>
      </w:r>
      <w:r>
        <w:rPr>
          <w:rFonts w:hint="eastAsia" w:ascii="宋体" w:hAnsi="宋体" w:cs="宋体"/>
          <w:bCs/>
          <w:color w:val="auto"/>
          <w:sz w:val="24"/>
          <w:highlight w:val="none"/>
        </w:rPr>
        <w:t>（</w:t>
      </w:r>
      <w:r>
        <w:rPr>
          <w:rFonts w:hint="eastAsia" w:ascii="宋体" w:hAnsi="宋体" w:cs="宋体"/>
          <w:bCs/>
          <w:color w:val="auto"/>
          <w:sz w:val="24"/>
          <w:highlight w:val="none"/>
          <w:lang w:val="en-US" w:eastAsia="zh-CN"/>
        </w:rPr>
        <w:t>签字或盖章</w:t>
      </w:r>
      <w:r>
        <w:rPr>
          <w:rFonts w:hint="eastAsia" w:ascii="宋体" w:hAnsi="宋体" w:cs="宋体"/>
          <w:bCs/>
          <w:color w:val="auto"/>
          <w:sz w:val="24"/>
          <w:highlight w:val="none"/>
        </w:rPr>
        <w:t>）</w:t>
      </w:r>
    </w:p>
    <w:p w14:paraId="09F4E31F">
      <w:pPr>
        <w:snapToGrid w:val="0"/>
        <w:spacing w:line="360" w:lineRule="auto"/>
        <w:ind w:firstLine="2400" w:firstLineChars="1000"/>
        <w:jc w:val="right"/>
        <w:rPr>
          <w:rFonts w:ascii="宋体" w:hAnsi="宋体" w:cs="宋体"/>
          <w:color w:val="auto"/>
          <w:sz w:val="24"/>
          <w:highlight w:val="none"/>
        </w:rPr>
      </w:pPr>
      <w:r>
        <w:rPr>
          <w:rFonts w:hint="eastAsia" w:ascii="宋体" w:hAnsi="宋体" w:cs="宋体"/>
          <w:color w:val="auto"/>
          <w:sz w:val="24"/>
          <w:highlight w:val="none"/>
        </w:rPr>
        <w:t xml:space="preserve">   年      月     日</w:t>
      </w:r>
    </w:p>
    <w:p w14:paraId="74EE0DEA">
      <w:pPr>
        <w:pStyle w:val="17"/>
        <w:rPr>
          <w:rFonts w:ascii="宋体" w:hAnsi="宋体" w:cs="宋体"/>
          <w:color w:val="auto"/>
          <w:highlight w:val="none"/>
        </w:rPr>
      </w:pPr>
    </w:p>
    <w:p w14:paraId="27846D6D">
      <w:pPr>
        <w:widowControl/>
        <w:jc w:val="left"/>
        <w:rPr>
          <w:rFonts w:ascii="宋体" w:hAnsi="宋体" w:cs="宋体"/>
          <w:color w:val="auto"/>
          <w:sz w:val="28"/>
          <w:szCs w:val="28"/>
          <w:highlight w:val="none"/>
        </w:rPr>
      </w:pPr>
      <w:r>
        <w:rPr>
          <w:rFonts w:hint="eastAsia" w:ascii="宋体" w:hAnsi="宋体" w:cs="宋体"/>
          <w:color w:val="auto"/>
          <w:sz w:val="28"/>
          <w:szCs w:val="28"/>
          <w:highlight w:val="none"/>
        </w:rPr>
        <w:br w:type="page"/>
      </w:r>
    </w:p>
    <w:p w14:paraId="3D78CE5A">
      <w:pPr>
        <w:tabs>
          <w:tab w:val="left" w:pos="3375"/>
        </w:tabs>
        <w:autoSpaceDE w:val="0"/>
        <w:autoSpaceDN w:val="0"/>
        <w:adjustRightInd w:val="0"/>
        <w:snapToGrid w:val="0"/>
        <w:spacing w:line="440" w:lineRule="exact"/>
        <w:contextualSpacing/>
        <w:rPr>
          <w:rFonts w:ascii="宋体" w:hAnsi="宋体" w:cs="宋体"/>
          <w:color w:val="auto"/>
          <w:sz w:val="28"/>
          <w:szCs w:val="28"/>
          <w:highlight w:val="none"/>
        </w:rPr>
      </w:pPr>
      <w:r>
        <w:rPr>
          <w:rFonts w:hint="eastAsia" w:ascii="宋体" w:hAnsi="宋体" w:cs="宋体"/>
          <w:color w:val="auto"/>
          <w:sz w:val="28"/>
          <w:szCs w:val="28"/>
          <w:highlight w:val="none"/>
        </w:rPr>
        <w:t>第三部分格式：</w:t>
      </w:r>
    </w:p>
    <w:p w14:paraId="71B52CC3">
      <w:pPr>
        <w:snapToGrid w:val="0"/>
        <w:spacing w:line="300" w:lineRule="auto"/>
        <w:contextualSpacing/>
        <w:rPr>
          <w:rFonts w:ascii="宋体" w:hAnsi="宋体" w:cs="宋体"/>
          <w:color w:val="auto"/>
          <w:sz w:val="32"/>
          <w:szCs w:val="32"/>
          <w:highlight w:val="none"/>
        </w:rPr>
      </w:pPr>
    </w:p>
    <w:p w14:paraId="61C545AD">
      <w:pPr>
        <w:autoSpaceDE w:val="0"/>
        <w:autoSpaceDN w:val="0"/>
        <w:adjustRightInd w:val="0"/>
        <w:jc w:val="center"/>
        <w:rPr>
          <w:rFonts w:ascii="宋体" w:hAnsi="宋体" w:cs="宋体"/>
          <w:b/>
          <w:color w:val="auto"/>
          <w:sz w:val="32"/>
          <w:szCs w:val="32"/>
          <w:highlight w:val="none"/>
        </w:rPr>
      </w:pPr>
    </w:p>
    <w:p w14:paraId="5E354D33">
      <w:pPr>
        <w:autoSpaceDE w:val="0"/>
        <w:autoSpaceDN w:val="0"/>
        <w:adjustRightInd w:val="0"/>
        <w:jc w:val="center"/>
        <w:rPr>
          <w:rFonts w:hint="eastAsia" w:ascii="宋体" w:hAnsi="宋体" w:eastAsia="宋体" w:cs="宋体"/>
          <w:b/>
          <w:color w:val="auto"/>
          <w:sz w:val="44"/>
          <w:szCs w:val="44"/>
          <w:highlight w:val="none"/>
          <w:lang w:eastAsia="zh-CN"/>
        </w:rPr>
      </w:pPr>
      <w:r>
        <w:rPr>
          <w:rFonts w:hint="eastAsia" w:ascii="宋体" w:hAnsi="宋体" w:cs="宋体"/>
          <w:b/>
          <w:color w:val="auto"/>
          <w:sz w:val="44"/>
          <w:szCs w:val="44"/>
          <w:highlight w:val="none"/>
          <w:lang w:eastAsia="zh-CN"/>
        </w:rPr>
        <w:t>2025年南通市农村公路涉水桥梁下部结构风险隐患排查市级抽查项目</w:t>
      </w:r>
    </w:p>
    <w:p w14:paraId="3FD3934F">
      <w:pPr>
        <w:pStyle w:val="17"/>
        <w:rPr>
          <w:rFonts w:ascii="宋体" w:hAnsi="宋体" w:cs="宋体"/>
          <w:color w:val="auto"/>
          <w:highlight w:val="none"/>
        </w:rPr>
      </w:pPr>
    </w:p>
    <w:p w14:paraId="0FE7457D">
      <w:pPr>
        <w:tabs>
          <w:tab w:val="left" w:pos="6300"/>
        </w:tabs>
        <w:snapToGrid w:val="0"/>
        <w:spacing w:line="300" w:lineRule="auto"/>
        <w:ind w:firstLine="3087" w:firstLineChars="1200"/>
        <w:jc w:val="both"/>
        <w:rPr>
          <w:rFonts w:hint="eastAsia" w:ascii="宋体" w:hAnsi="宋体" w:cs="宋体"/>
          <w:b/>
          <w:color w:val="auto"/>
          <w:w w:val="80"/>
          <w:sz w:val="32"/>
          <w:szCs w:val="32"/>
          <w:highlight w:val="none"/>
          <w:lang w:val="en-US" w:eastAsia="zh-CN"/>
        </w:rPr>
      </w:pPr>
      <w:r>
        <w:rPr>
          <w:rFonts w:hint="eastAsia" w:ascii="宋体" w:hAnsi="宋体" w:cs="宋体"/>
          <w:b/>
          <w:color w:val="auto"/>
          <w:w w:val="80"/>
          <w:sz w:val="32"/>
          <w:szCs w:val="32"/>
          <w:highlight w:val="none"/>
        </w:rPr>
        <w:t>项目编号：</w:t>
      </w:r>
      <w:r>
        <w:rPr>
          <w:rFonts w:hint="eastAsia" w:ascii="宋体" w:hAnsi="宋体" w:cs="宋体"/>
          <w:b/>
          <w:color w:val="auto"/>
          <w:w w:val="80"/>
          <w:sz w:val="32"/>
          <w:szCs w:val="32"/>
          <w:highlight w:val="none"/>
          <w:lang w:val="en-US" w:eastAsia="zh-CN"/>
        </w:rPr>
        <w:t>2025NLSXZ</w:t>
      </w:r>
    </w:p>
    <w:p w14:paraId="7D850102">
      <w:pPr>
        <w:tabs>
          <w:tab w:val="left" w:pos="6300"/>
        </w:tabs>
        <w:snapToGrid w:val="0"/>
        <w:spacing w:line="300" w:lineRule="auto"/>
        <w:ind w:firstLine="3087" w:firstLineChars="1200"/>
        <w:jc w:val="both"/>
        <w:rPr>
          <w:rFonts w:hint="eastAsia" w:ascii="宋体" w:hAnsi="宋体" w:cs="宋体"/>
          <w:b/>
          <w:color w:val="auto"/>
          <w:w w:val="80"/>
          <w:sz w:val="32"/>
          <w:szCs w:val="32"/>
          <w:highlight w:val="none"/>
        </w:rPr>
      </w:pPr>
      <w:r>
        <w:rPr>
          <w:rFonts w:hint="eastAsia" w:ascii="宋体" w:hAnsi="宋体" w:cs="宋体"/>
          <w:b/>
          <w:color w:val="auto"/>
          <w:w w:val="80"/>
          <w:sz w:val="32"/>
          <w:szCs w:val="32"/>
          <w:highlight w:val="none"/>
        </w:rPr>
        <w:t>档案编号：</w:t>
      </w:r>
      <w:r>
        <w:rPr>
          <w:rFonts w:hint="eastAsia" w:ascii="宋体" w:hAnsi="宋体" w:cs="宋体"/>
          <w:b/>
          <w:color w:val="auto"/>
          <w:w w:val="80"/>
          <w:sz w:val="32"/>
          <w:szCs w:val="32"/>
          <w:highlight w:val="none"/>
          <w:lang w:val="en-US" w:eastAsia="zh-CN"/>
        </w:rPr>
        <w:t>20251116</w:t>
      </w:r>
    </w:p>
    <w:p w14:paraId="1D230B55">
      <w:pPr>
        <w:tabs>
          <w:tab w:val="left" w:pos="6300"/>
        </w:tabs>
        <w:snapToGrid w:val="0"/>
        <w:spacing w:line="300" w:lineRule="auto"/>
        <w:jc w:val="center"/>
        <w:rPr>
          <w:rFonts w:ascii="宋体" w:hAnsi="宋体" w:cs="宋体"/>
          <w:b/>
          <w:color w:val="auto"/>
          <w:w w:val="80"/>
          <w:sz w:val="32"/>
          <w:szCs w:val="32"/>
          <w:highlight w:val="none"/>
        </w:rPr>
      </w:pPr>
    </w:p>
    <w:p w14:paraId="095C33E7">
      <w:pPr>
        <w:tabs>
          <w:tab w:val="left" w:pos="6300"/>
        </w:tabs>
        <w:snapToGrid w:val="0"/>
        <w:spacing w:line="300" w:lineRule="auto"/>
        <w:jc w:val="center"/>
        <w:rPr>
          <w:rFonts w:ascii="宋体" w:hAnsi="宋体" w:cs="宋体"/>
          <w:b/>
          <w:color w:val="auto"/>
          <w:w w:val="80"/>
          <w:sz w:val="32"/>
          <w:szCs w:val="32"/>
          <w:highlight w:val="none"/>
        </w:rPr>
      </w:pPr>
    </w:p>
    <w:p w14:paraId="4660CE92">
      <w:pPr>
        <w:spacing w:after="60" w:line="360" w:lineRule="auto"/>
        <w:ind w:firstLine="3373" w:firstLineChars="1050"/>
        <w:rPr>
          <w:rFonts w:ascii="宋体" w:hAnsi="宋体" w:cs="宋体"/>
          <w:b/>
          <w:bCs/>
          <w:color w:val="auto"/>
          <w:sz w:val="32"/>
          <w:szCs w:val="32"/>
          <w:highlight w:val="none"/>
        </w:rPr>
      </w:pPr>
      <w:r>
        <w:rPr>
          <w:rFonts w:hint="eastAsia" w:ascii="宋体" w:hAnsi="宋体" w:cs="宋体"/>
          <w:b/>
          <w:bCs/>
          <w:color w:val="auto"/>
          <w:sz w:val="32"/>
          <w:szCs w:val="32"/>
          <w:highlight w:val="none"/>
        </w:rPr>
        <w:t>响应文件</w:t>
      </w:r>
    </w:p>
    <w:p w14:paraId="1A90E388">
      <w:pPr>
        <w:spacing w:after="60"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（价格响应文件）</w:t>
      </w:r>
    </w:p>
    <w:p w14:paraId="4215A6B4">
      <w:pPr>
        <w:spacing w:after="60"/>
        <w:jc w:val="center"/>
        <w:rPr>
          <w:rFonts w:ascii="宋体" w:hAnsi="宋体" w:cs="宋体"/>
          <w:b/>
          <w:bCs/>
          <w:color w:val="auto"/>
          <w:sz w:val="72"/>
          <w:szCs w:val="72"/>
          <w:highlight w:val="none"/>
        </w:rPr>
      </w:pPr>
    </w:p>
    <w:p w14:paraId="1E181A60">
      <w:pPr>
        <w:spacing w:after="60"/>
        <w:jc w:val="center"/>
        <w:rPr>
          <w:rFonts w:ascii="宋体" w:hAnsi="宋体" w:cs="宋体"/>
          <w:b/>
          <w:bCs/>
          <w:color w:val="auto"/>
          <w:sz w:val="72"/>
          <w:szCs w:val="72"/>
          <w:highlight w:val="none"/>
        </w:rPr>
      </w:pPr>
    </w:p>
    <w:p w14:paraId="140985A3">
      <w:pPr>
        <w:spacing w:after="60"/>
        <w:jc w:val="center"/>
        <w:rPr>
          <w:rFonts w:ascii="宋体" w:hAnsi="宋体" w:cs="宋体"/>
          <w:b/>
          <w:bCs/>
          <w:color w:val="auto"/>
          <w:sz w:val="72"/>
          <w:szCs w:val="72"/>
          <w:highlight w:val="none"/>
        </w:rPr>
      </w:pPr>
    </w:p>
    <w:p w14:paraId="05A0DCE0">
      <w:pPr>
        <w:spacing w:after="60"/>
        <w:jc w:val="center"/>
        <w:rPr>
          <w:rFonts w:ascii="宋体" w:hAnsi="宋体" w:cs="宋体"/>
          <w:b/>
          <w:bCs/>
          <w:color w:val="auto"/>
          <w:sz w:val="72"/>
          <w:szCs w:val="72"/>
          <w:highlight w:val="none"/>
        </w:rPr>
      </w:pPr>
    </w:p>
    <w:p w14:paraId="2E1BEAFE">
      <w:pPr>
        <w:pStyle w:val="17"/>
        <w:ind w:left="0" w:leftChars="0" w:firstLine="0" w:firstLineChars="0"/>
        <w:rPr>
          <w:rFonts w:ascii="宋体" w:hAnsi="宋体" w:cs="宋体"/>
          <w:b/>
          <w:bCs/>
          <w:color w:val="auto"/>
          <w:sz w:val="72"/>
          <w:szCs w:val="72"/>
          <w:highlight w:val="none"/>
        </w:rPr>
      </w:pPr>
    </w:p>
    <w:p w14:paraId="481FEC02">
      <w:pPr>
        <w:spacing w:after="60"/>
        <w:jc w:val="center"/>
        <w:rPr>
          <w:rFonts w:ascii="宋体" w:hAnsi="宋体" w:cs="宋体"/>
          <w:b/>
          <w:bCs/>
          <w:color w:val="auto"/>
          <w:sz w:val="72"/>
          <w:szCs w:val="72"/>
          <w:highlight w:val="none"/>
        </w:rPr>
      </w:pPr>
    </w:p>
    <w:p w14:paraId="6286CFE5">
      <w:pPr>
        <w:spacing w:line="48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供应商（盖公章）：</w:t>
      </w:r>
      <w:r>
        <w:rPr>
          <w:rFonts w:hint="eastAsia" w:ascii="宋体" w:hAnsi="宋体" w:cs="宋体"/>
          <w:b/>
          <w:color w:val="auto"/>
          <w:sz w:val="24"/>
          <w:highlight w:val="none"/>
          <w:u w:val="single"/>
        </w:rPr>
        <w:t xml:space="preserve">                            </w:t>
      </w:r>
    </w:p>
    <w:p w14:paraId="0239B32A">
      <w:pPr>
        <w:spacing w:line="480" w:lineRule="auto"/>
        <w:ind w:firstLine="482" w:firstLineChars="200"/>
        <w:rPr>
          <w:rFonts w:ascii="宋体" w:hAnsi="宋体" w:cs="宋体"/>
          <w:b/>
          <w:color w:val="auto"/>
          <w:sz w:val="24"/>
          <w:highlight w:val="none"/>
          <w:u w:val="single"/>
        </w:rPr>
      </w:pPr>
      <w:r>
        <w:rPr>
          <w:rFonts w:hint="eastAsia" w:ascii="宋体" w:hAnsi="宋体" w:cs="宋体"/>
          <w:b/>
          <w:color w:val="auto"/>
          <w:sz w:val="24"/>
          <w:highlight w:val="none"/>
        </w:rPr>
        <w:t>法定代表人（或其委托代理人）（签字或盖章）：</w:t>
      </w:r>
      <w:r>
        <w:rPr>
          <w:rFonts w:hint="eastAsia" w:ascii="宋体" w:hAnsi="宋体" w:cs="宋体"/>
          <w:b/>
          <w:color w:val="auto"/>
          <w:sz w:val="24"/>
          <w:highlight w:val="none"/>
          <w:u w:val="single"/>
        </w:rPr>
        <w:t xml:space="preserve">                  </w:t>
      </w:r>
    </w:p>
    <w:p w14:paraId="14235010">
      <w:pPr>
        <w:spacing w:line="48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日    期：</w:t>
      </w:r>
      <w:r>
        <w:rPr>
          <w:rFonts w:hint="eastAsia" w:ascii="宋体" w:hAnsi="宋体" w:cs="宋体"/>
          <w:b/>
          <w:color w:val="auto"/>
          <w:sz w:val="24"/>
          <w:highlight w:val="none"/>
          <w:u w:val="single"/>
        </w:rPr>
        <w:t xml:space="preserve">                                                  </w:t>
      </w:r>
    </w:p>
    <w:p w14:paraId="50B60366">
      <w:pPr>
        <w:widowControl/>
        <w:jc w:val="left"/>
        <w:rPr>
          <w:rFonts w:ascii="宋体" w:hAnsi="宋体" w:cs="宋体"/>
          <w:color w:val="auto"/>
          <w:sz w:val="32"/>
          <w:szCs w:val="32"/>
          <w:highlight w:val="none"/>
        </w:rPr>
      </w:pPr>
    </w:p>
    <w:p w14:paraId="2F28F77B">
      <w:pPr>
        <w:snapToGrid w:val="0"/>
        <w:spacing w:line="300" w:lineRule="auto"/>
        <w:contextualSpacing/>
        <w:rPr>
          <w:rFonts w:ascii="宋体" w:hAnsi="宋体" w:cs="宋体"/>
          <w:color w:val="auto"/>
          <w:sz w:val="32"/>
          <w:szCs w:val="32"/>
          <w:highlight w:val="none"/>
        </w:rPr>
      </w:pPr>
      <w:r>
        <w:rPr>
          <w:rFonts w:hint="eastAsia" w:ascii="宋体" w:hAnsi="宋体" w:cs="宋体"/>
          <w:color w:val="auto"/>
          <w:sz w:val="32"/>
          <w:szCs w:val="32"/>
          <w:highlight w:val="none"/>
        </w:rPr>
        <w:t>附件1：</w:t>
      </w:r>
    </w:p>
    <w:p w14:paraId="61C888BD">
      <w:pPr>
        <w:snapToGrid w:val="0"/>
        <w:jc w:val="center"/>
        <w:rPr>
          <w:rFonts w:ascii="宋体" w:hAnsi="宋体" w:cs="宋体"/>
          <w:b/>
          <w:color w:val="auto"/>
          <w:sz w:val="36"/>
          <w:szCs w:val="36"/>
          <w:highlight w:val="none"/>
        </w:rPr>
      </w:pPr>
      <w:r>
        <w:rPr>
          <w:rFonts w:hint="eastAsia" w:ascii="宋体" w:hAnsi="宋体" w:cs="宋体"/>
          <w:b/>
          <w:color w:val="auto"/>
          <w:sz w:val="36"/>
          <w:szCs w:val="36"/>
          <w:highlight w:val="none"/>
        </w:rPr>
        <w:t>磋商报价总表</w:t>
      </w:r>
    </w:p>
    <w:tbl>
      <w:tblPr>
        <w:tblStyle w:val="18"/>
        <w:tblW w:w="9597" w:type="dxa"/>
        <w:tblInd w:w="95" w:type="dxa"/>
        <w:tblLayout w:type="fixed"/>
        <w:tblCellMar>
          <w:top w:w="0" w:type="dxa"/>
          <w:left w:w="108" w:type="dxa"/>
          <w:bottom w:w="0" w:type="dxa"/>
          <w:right w:w="108" w:type="dxa"/>
        </w:tblCellMar>
      </w:tblPr>
      <w:tblGrid>
        <w:gridCol w:w="2990"/>
        <w:gridCol w:w="3638"/>
        <w:gridCol w:w="236"/>
        <w:gridCol w:w="1513"/>
        <w:gridCol w:w="980"/>
        <w:gridCol w:w="240"/>
      </w:tblGrid>
      <w:tr w14:paraId="5F739BA9">
        <w:tblPrEx>
          <w:tblCellMar>
            <w:top w:w="0" w:type="dxa"/>
            <w:left w:w="108" w:type="dxa"/>
            <w:bottom w:w="0" w:type="dxa"/>
            <w:right w:w="108" w:type="dxa"/>
          </w:tblCellMar>
        </w:tblPrEx>
        <w:trPr>
          <w:trHeight w:val="405" w:hRule="atLeast"/>
        </w:trPr>
        <w:tc>
          <w:tcPr>
            <w:tcW w:w="2990" w:type="dxa"/>
            <w:tcBorders>
              <w:top w:val="nil"/>
              <w:left w:val="nil"/>
              <w:bottom w:val="nil"/>
              <w:right w:val="nil"/>
            </w:tcBorders>
            <w:noWrap/>
            <w:vAlign w:val="center"/>
          </w:tcPr>
          <w:p w14:paraId="7D55F9C6">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项目名称：</w:t>
            </w:r>
          </w:p>
        </w:tc>
        <w:tc>
          <w:tcPr>
            <w:tcW w:w="3638" w:type="dxa"/>
            <w:tcBorders>
              <w:top w:val="nil"/>
              <w:left w:val="nil"/>
              <w:bottom w:val="nil"/>
              <w:right w:val="nil"/>
            </w:tcBorders>
            <w:noWrap/>
            <w:vAlign w:val="center"/>
          </w:tcPr>
          <w:p w14:paraId="544006F2">
            <w:pPr>
              <w:widowControl/>
              <w:spacing w:line="240" w:lineRule="exact"/>
              <w:jc w:val="left"/>
              <w:rPr>
                <w:rFonts w:ascii="宋体" w:hAnsi="宋体" w:cs="宋体"/>
                <w:color w:val="auto"/>
                <w:kern w:val="0"/>
                <w:sz w:val="24"/>
                <w:highlight w:val="none"/>
              </w:rPr>
            </w:pPr>
          </w:p>
        </w:tc>
        <w:tc>
          <w:tcPr>
            <w:tcW w:w="236" w:type="dxa"/>
            <w:tcBorders>
              <w:top w:val="nil"/>
              <w:left w:val="nil"/>
              <w:bottom w:val="nil"/>
              <w:right w:val="nil"/>
            </w:tcBorders>
            <w:noWrap/>
            <w:vAlign w:val="center"/>
          </w:tcPr>
          <w:p w14:paraId="12AAFF53">
            <w:pPr>
              <w:widowControl/>
              <w:spacing w:line="240" w:lineRule="exact"/>
              <w:jc w:val="left"/>
              <w:rPr>
                <w:rFonts w:ascii="宋体" w:hAnsi="宋体" w:cs="宋体"/>
                <w:color w:val="auto"/>
                <w:kern w:val="0"/>
                <w:sz w:val="24"/>
                <w:highlight w:val="none"/>
              </w:rPr>
            </w:pPr>
          </w:p>
        </w:tc>
        <w:tc>
          <w:tcPr>
            <w:tcW w:w="2493" w:type="dxa"/>
            <w:gridSpan w:val="2"/>
            <w:tcBorders>
              <w:top w:val="nil"/>
              <w:left w:val="nil"/>
              <w:bottom w:val="nil"/>
              <w:right w:val="nil"/>
            </w:tcBorders>
            <w:noWrap/>
            <w:vAlign w:val="center"/>
          </w:tcPr>
          <w:p w14:paraId="372C9F11">
            <w:pPr>
              <w:widowControl/>
              <w:spacing w:line="240" w:lineRule="exact"/>
              <w:jc w:val="left"/>
              <w:rPr>
                <w:rFonts w:ascii="宋体" w:hAnsi="宋体" w:cs="宋体"/>
                <w:color w:val="auto"/>
                <w:kern w:val="0"/>
                <w:sz w:val="24"/>
                <w:highlight w:val="none"/>
              </w:rPr>
            </w:pPr>
          </w:p>
        </w:tc>
        <w:tc>
          <w:tcPr>
            <w:tcW w:w="240" w:type="dxa"/>
            <w:tcBorders>
              <w:top w:val="nil"/>
              <w:left w:val="nil"/>
              <w:bottom w:val="nil"/>
              <w:right w:val="nil"/>
            </w:tcBorders>
            <w:noWrap/>
            <w:vAlign w:val="center"/>
          </w:tcPr>
          <w:p w14:paraId="6A99F4A9">
            <w:pPr>
              <w:widowControl/>
              <w:spacing w:line="240" w:lineRule="exact"/>
              <w:jc w:val="left"/>
              <w:rPr>
                <w:rFonts w:ascii="宋体" w:hAnsi="宋体" w:cs="宋体"/>
                <w:color w:val="auto"/>
                <w:kern w:val="0"/>
                <w:sz w:val="24"/>
                <w:highlight w:val="none"/>
              </w:rPr>
            </w:pPr>
          </w:p>
        </w:tc>
      </w:tr>
      <w:tr w14:paraId="17DAB564">
        <w:tblPrEx>
          <w:tblCellMar>
            <w:top w:w="0" w:type="dxa"/>
            <w:left w:w="108" w:type="dxa"/>
            <w:bottom w:w="0" w:type="dxa"/>
            <w:right w:w="108" w:type="dxa"/>
          </w:tblCellMar>
        </w:tblPrEx>
        <w:trPr>
          <w:trHeight w:val="420" w:hRule="atLeast"/>
        </w:trPr>
        <w:tc>
          <w:tcPr>
            <w:tcW w:w="2990" w:type="dxa"/>
            <w:tcBorders>
              <w:top w:val="nil"/>
              <w:left w:val="nil"/>
              <w:bottom w:val="nil"/>
              <w:right w:val="nil"/>
            </w:tcBorders>
            <w:noWrap/>
            <w:vAlign w:val="center"/>
          </w:tcPr>
          <w:p w14:paraId="0D6840E1">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项目编号：</w:t>
            </w:r>
          </w:p>
        </w:tc>
        <w:tc>
          <w:tcPr>
            <w:tcW w:w="3638" w:type="dxa"/>
            <w:tcBorders>
              <w:top w:val="nil"/>
              <w:left w:val="nil"/>
              <w:bottom w:val="nil"/>
              <w:right w:val="nil"/>
            </w:tcBorders>
            <w:noWrap/>
            <w:vAlign w:val="center"/>
          </w:tcPr>
          <w:p w14:paraId="65FAC6EF">
            <w:pPr>
              <w:widowControl/>
              <w:spacing w:line="240" w:lineRule="exact"/>
              <w:jc w:val="left"/>
              <w:rPr>
                <w:rFonts w:ascii="宋体" w:hAnsi="宋体" w:cs="宋体"/>
                <w:color w:val="auto"/>
                <w:kern w:val="0"/>
                <w:sz w:val="24"/>
                <w:highlight w:val="none"/>
              </w:rPr>
            </w:pPr>
          </w:p>
        </w:tc>
        <w:tc>
          <w:tcPr>
            <w:tcW w:w="236" w:type="dxa"/>
            <w:tcBorders>
              <w:top w:val="nil"/>
              <w:left w:val="nil"/>
              <w:bottom w:val="nil"/>
              <w:right w:val="nil"/>
            </w:tcBorders>
            <w:noWrap/>
            <w:vAlign w:val="center"/>
          </w:tcPr>
          <w:p w14:paraId="19AFBCD8">
            <w:pPr>
              <w:widowControl/>
              <w:spacing w:line="240" w:lineRule="exact"/>
              <w:jc w:val="left"/>
              <w:rPr>
                <w:rFonts w:ascii="宋体" w:hAnsi="宋体" w:cs="宋体"/>
                <w:color w:val="auto"/>
                <w:kern w:val="0"/>
                <w:sz w:val="24"/>
                <w:highlight w:val="none"/>
              </w:rPr>
            </w:pPr>
          </w:p>
        </w:tc>
        <w:tc>
          <w:tcPr>
            <w:tcW w:w="2493" w:type="dxa"/>
            <w:gridSpan w:val="2"/>
            <w:tcBorders>
              <w:top w:val="nil"/>
              <w:left w:val="nil"/>
              <w:bottom w:val="nil"/>
              <w:right w:val="nil"/>
            </w:tcBorders>
            <w:noWrap/>
            <w:vAlign w:val="center"/>
          </w:tcPr>
          <w:p w14:paraId="7B770D2C">
            <w:pPr>
              <w:widowControl/>
              <w:spacing w:line="240" w:lineRule="exact"/>
              <w:jc w:val="left"/>
              <w:rPr>
                <w:rFonts w:ascii="宋体" w:hAnsi="宋体" w:cs="宋体"/>
                <w:color w:val="auto"/>
                <w:kern w:val="0"/>
                <w:sz w:val="24"/>
                <w:highlight w:val="none"/>
              </w:rPr>
            </w:pPr>
          </w:p>
        </w:tc>
        <w:tc>
          <w:tcPr>
            <w:tcW w:w="240" w:type="dxa"/>
            <w:tcBorders>
              <w:top w:val="nil"/>
              <w:left w:val="nil"/>
              <w:bottom w:val="nil"/>
              <w:right w:val="nil"/>
            </w:tcBorders>
            <w:noWrap/>
            <w:vAlign w:val="center"/>
          </w:tcPr>
          <w:p w14:paraId="74B0A13F">
            <w:pPr>
              <w:widowControl/>
              <w:spacing w:line="240" w:lineRule="exact"/>
              <w:jc w:val="left"/>
              <w:rPr>
                <w:rFonts w:ascii="宋体" w:hAnsi="宋体" w:cs="宋体"/>
                <w:color w:val="auto"/>
                <w:kern w:val="0"/>
                <w:sz w:val="24"/>
                <w:highlight w:val="none"/>
              </w:rPr>
            </w:pPr>
          </w:p>
        </w:tc>
      </w:tr>
      <w:tr w14:paraId="6FB78EB9">
        <w:tblPrEx>
          <w:tblCellMar>
            <w:top w:w="0" w:type="dxa"/>
            <w:left w:w="108" w:type="dxa"/>
            <w:bottom w:w="0" w:type="dxa"/>
            <w:right w:w="108" w:type="dxa"/>
          </w:tblCellMar>
        </w:tblPrEx>
        <w:trPr>
          <w:gridAfter w:val="2"/>
          <w:wAfter w:w="1220" w:type="dxa"/>
          <w:trHeight w:val="383" w:hRule="atLeast"/>
        </w:trPr>
        <w:tc>
          <w:tcPr>
            <w:tcW w:w="2990" w:type="dxa"/>
            <w:vMerge w:val="restart"/>
            <w:tcBorders>
              <w:top w:val="single" w:color="auto" w:sz="4" w:space="0"/>
              <w:left w:val="single" w:color="auto" w:sz="4" w:space="0"/>
              <w:bottom w:val="single" w:color="auto" w:sz="4" w:space="0"/>
              <w:right w:val="single" w:color="auto" w:sz="4" w:space="0"/>
            </w:tcBorders>
            <w:noWrap/>
            <w:vAlign w:val="center"/>
          </w:tcPr>
          <w:p w14:paraId="7D4C7A3E">
            <w:pPr>
              <w:widowControl/>
              <w:spacing w:line="24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投标总报价</w:t>
            </w:r>
          </w:p>
        </w:tc>
        <w:tc>
          <w:tcPr>
            <w:tcW w:w="5387" w:type="dxa"/>
            <w:gridSpan w:val="3"/>
            <w:tcBorders>
              <w:top w:val="single" w:color="auto" w:sz="4" w:space="0"/>
              <w:left w:val="nil"/>
              <w:bottom w:val="single" w:color="auto" w:sz="4" w:space="0"/>
              <w:right w:val="single" w:color="auto" w:sz="4" w:space="0"/>
            </w:tcBorders>
            <w:noWrap/>
            <w:vAlign w:val="center"/>
          </w:tcPr>
          <w:p w14:paraId="2621F2E9">
            <w:pPr>
              <w:widowControl/>
              <w:spacing w:line="240" w:lineRule="exact"/>
              <w:jc w:val="left"/>
              <w:rPr>
                <w:rFonts w:ascii="宋体" w:hAnsi="宋体" w:cs="宋体"/>
                <w:color w:val="auto"/>
                <w:kern w:val="0"/>
                <w:sz w:val="24"/>
                <w:highlight w:val="none"/>
              </w:rPr>
            </w:pPr>
            <w:r>
              <w:rPr>
                <w:rFonts w:hint="eastAsia" w:ascii="宋体" w:hAnsi="宋体" w:cs="宋体"/>
                <w:color w:val="auto"/>
                <w:kern w:val="0"/>
                <w:sz w:val="24"/>
                <w:highlight w:val="none"/>
              </w:rPr>
              <w:t>大写：</w:t>
            </w:r>
          </w:p>
        </w:tc>
      </w:tr>
      <w:tr w14:paraId="2B01B502">
        <w:tblPrEx>
          <w:tblCellMar>
            <w:top w:w="0" w:type="dxa"/>
            <w:left w:w="108" w:type="dxa"/>
            <w:bottom w:w="0" w:type="dxa"/>
            <w:right w:w="108" w:type="dxa"/>
          </w:tblCellMar>
        </w:tblPrEx>
        <w:trPr>
          <w:gridAfter w:val="2"/>
          <w:wAfter w:w="1220" w:type="dxa"/>
          <w:trHeight w:val="417" w:hRule="atLeast"/>
        </w:trPr>
        <w:tc>
          <w:tcPr>
            <w:tcW w:w="2990" w:type="dxa"/>
            <w:vMerge w:val="continue"/>
            <w:tcBorders>
              <w:top w:val="single" w:color="auto" w:sz="4" w:space="0"/>
              <w:left w:val="single" w:color="auto" w:sz="4" w:space="0"/>
              <w:bottom w:val="single" w:color="auto" w:sz="4" w:space="0"/>
              <w:right w:val="single" w:color="auto" w:sz="4" w:space="0"/>
            </w:tcBorders>
            <w:vAlign w:val="center"/>
          </w:tcPr>
          <w:p w14:paraId="23AAEA89">
            <w:pPr>
              <w:widowControl/>
              <w:spacing w:line="240" w:lineRule="exact"/>
              <w:jc w:val="center"/>
              <w:rPr>
                <w:rFonts w:ascii="宋体" w:hAnsi="宋体" w:cs="宋体"/>
                <w:color w:val="auto"/>
                <w:kern w:val="0"/>
                <w:sz w:val="24"/>
                <w:highlight w:val="none"/>
              </w:rPr>
            </w:pPr>
          </w:p>
        </w:tc>
        <w:tc>
          <w:tcPr>
            <w:tcW w:w="5387" w:type="dxa"/>
            <w:gridSpan w:val="3"/>
            <w:tcBorders>
              <w:top w:val="single" w:color="auto" w:sz="4" w:space="0"/>
              <w:left w:val="nil"/>
              <w:bottom w:val="single" w:color="auto" w:sz="4" w:space="0"/>
              <w:right w:val="single" w:color="auto" w:sz="4" w:space="0"/>
            </w:tcBorders>
            <w:noWrap/>
            <w:vAlign w:val="center"/>
          </w:tcPr>
          <w:p w14:paraId="2845C401">
            <w:pPr>
              <w:widowControl/>
              <w:spacing w:line="240" w:lineRule="exact"/>
              <w:jc w:val="left"/>
              <w:rPr>
                <w:rFonts w:ascii="宋体" w:hAnsi="宋体" w:cs="宋体"/>
                <w:color w:val="auto"/>
                <w:kern w:val="0"/>
                <w:sz w:val="24"/>
                <w:highlight w:val="none"/>
              </w:rPr>
            </w:pPr>
            <w:r>
              <w:rPr>
                <w:rFonts w:hint="eastAsia" w:ascii="宋体" w:hAnsi="宋体" w:cs="宋体"/>
                <w:color w:val="auto"/>
                <w:kern w:val="0"/>
                <w:sz w:val="24"/>
                <w:highlight w:val="none"/>
              </w:rPr>
              <w:t>小写：</w:t>
            </w:r>
          </w:p>
        </w:tc>
      </w:tr>
    </w:tbl>
    <w:p w14:paraId="36349554">
      <w:pPr>
        <w:snapToGrid w:val="0"/>
        <w:spacing w:line="360" w:lineRule="auto"/>
        <w:ind w:firstLine="480" w:firstLineChars="200"/>
        <w:contextualSpacing/>
        <w:jc w:val="left"/>
        <w:rPr>
          <w:rFonts w:ascii="宋体" w:hAnsi="宋体" w:cs="宋体"/>
          <w:color w:val="auto"/>
          <w:sz w:val="24"/>
          <w:highlight w:val="none"/>
        </w:rPr>
      </w:pPr>
    </w:p>
    <w:p w14:paraId="13544645">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供应商（盖单位公章）：</w:t>
      </w:r>
      <w:r>
        <w:rPr>
          <w:rFonts w:hint="eastAsia" w:ascii="宋体" w:hAnsi="宋体" w:cs="宋体"/>
          <w:color w:val="auto"/>
          <w:sz w:val="24"/>
          <w:highlight w:val="none"/>
          <w:u w:val="single"/>
        </w:rPr>
        <w:t xml:space="preserve">                    </w:t>
      </w:r>
    </w:p>
    <w:p w14:paraId="4E058263">
      <w:pPr>
        <w:kinsoku w:val="0"/>
        <w:topLinePunct/>
        <w:snapToGrid w:val="0"/>
        <w:spacing w:line="360" w:lineRule="auto"/>
        <w:rPr>
          <w:rFonts w:ascii="宋体" w:hAnsi="宋体" w:cs="宋体"/>
          <w:color w:val="auto"/>
          <w:sz w:val="24"/>
          <w:highlight w:val="none"/>
        </w:rPr>
      </w:pPr>
      <w:r>
        <w:rPr>
          <w:rFonts w:hint="eastAsia" w:ascii="宋体" w:hAnsi="宋体" w:cs="宋体"/>
          <w:color w:val="auto"/>
          <w:sz w:val="24"/>
          <w:highlight w:val="none"/>
        </w:rPr>
        <w:t>法定代表人或委托代理人（签字或盖章）：</w:t>
      </w:r>
    </w:p>
    <w:p w14:paraId="0B9B1AE8">
      <w:pPr>
        <w:snapToGrid w:val="0"/>
        <w:spacing w:line="360" w:lineRule="auto"/>
        <w:ind w:firstLine="1200" w:firstLineChars="500"/>
        <w:rPr>
          <w:rFonts w:ascii="宋体" w:hAnsi="宋体" w:cs="宋体"/>
          <w:color w:val="auto"/>
          <w:sz w:val="24"/>
          <w:highlight w:val="none"/>
        </w:rPr>
      </w:pPr>
      <w:r>
        <w:rPr>
          <w:rFonts w:hint="eastAsia" w:ascii="宋体" w:hAnsi="宋体" w:cs="宋体"/>
          <w:color w:val="auto"/>
          <w:sz w:val="24"/>
          <w:highlight w:val="none"/>
        </w:rPr>
        <w:t>年    月    日</w:t>
      </w:r>
    </w:p>
    <w:p w14:paraId="25C16B2D">
      <w:pPr>
        <w:snapToGrid w:val="0"/>
        <w:spacing w:line="360" w:lineRule="auto"/>
        <w:ind w:firstLine="480" w:firstLineChars="200"/>
        <w:contextualSpacing/>
        <w:jc w:val="left"/>
        <w:rPr>
          <w:rFonts w:ascii="宋体" w:hAnsi="宋体" w:cs="宋体"/>
          <w:color w:val="auto"/>
          <w:sz w:val="24"/>
          <w:highlight w:val="none"/>
        </w:rPr>
      </w:pPr>
    </w:p>
    <w:p w14:paraId="6FBA55E6">
      <w:pPr>
        <w:pStyle w:val="17"/>
        <w:rPr>
          <w:rFonts w:ascii="宋体" w:hAnsi="宋体" w:cs="宋体"/>
          <w:color w:val="auto"/>
          <w:highlight w:val="none"/>
        </w:rPr>
      </w:pPr>
    </w:p>
    <w:p w14:paraId="3D43B531">
      <w:pPr>
        <w:pStyle w:val="17"/>
        <w:rPr>
          <w:rFonts w:ascii="宋体" w:hAnsi="宋体" w:cs="宋体"/>
          <w:color w:val="auto"/>
          <w:highlight w:val="none"/>
        </w:rPr>
      </w:pPr>
    </w:p>
    <w:p w14:paraId="39653581">
      <w:pPr>
        <w:pStyle w:val="17"/>
        <w:rPr>
          <w:rFonts w:ascii="宋体" w:hAnsi="宋体" w:cs="宋体"/>
          <w:color w:val="auto"/>
          <w:highlight w:val="none"/>
        </w:rPr>
      </w:pPr>
    </w:p>
    <w:p w14:paraId="7E8B7B14">
      <w:pPr>
        <w:pStyle w:val="17"/>
        <w:rPr>
          <w:rFonts w:ascii="宋体" w:hAnsi="宋体" w:cs="宋体"/>
          <w:color w:val="auto"/>
          <w:highlight w:val="none"/>
        </w:rPr>
      </w:pPr>
    </w:p>
    <w:p w14:paraId="5421458A">
      <w:pPr>
        <w:snapToGrid w:val="0"/>
        <w:spacing w:line="360" w:lineRule="auto"/>
        <w:ind w:firstLine="482" w:firstLineChars="200"/>
        <w:contextualSpacing/>
        <w:jc w:val="left"/>
        <w:rPr>
          <w:rFonts w:ascii="宋体" w:hAnsi="宋体" w:cs="宋体"/>
          <w:b/>
          <w:color w:val="auto"/>
          <w:sz w:val="24"/>
          <w:highlight w:val="none"/>
        </w:rPr>
      </w:pPr>
      <w:r>
        <w:rPr>
          <w:rFonts w:hint="eastAsia" w:ascii="宋体" w:hAnsi="宋体" w:cs="宋体"/>
          <w:b/>
          <w:color w:val="auto"/>
          <w:sz w:val="24"/>
          <w:highlight w:val="none"/>
        </w:rPr>
        <w:t>注：</w:t>
      </w:r>
      <w:r>
        <w:rPr>
          <w:rFonts w:hint="eastAsia" w:ascii="宋体" w:hAnsi="宋体" w:cs="宋体"/>
          <w:b/>
          <w:color w:val="auto"/>
          <w:kern w:val="0"/>
          <w:sz w:val="24"/>
          <w:highlight w:val="none"/>
        </w:rPr>
        <w:t>供应商此表为首轮报价，最终报价在磋商现场填写</w:t>
      </w:r>
      <w:r>
        <w:rPr>
          <w:rFonts w:hint="eastAsia" w:ascii="宋体" w:hAnsi="宋体" w:cs="宋体"/>
          <w:color w:val="auto"/>
          <w:sz w:val="24"/>
          <w:highlight w:val="none"/>
        </w:rPr>
        <w:t>。</w:t>
      </w:r>
      <w:r>
        <w:rPr>
          <w:rFonts w:hint="eastAsia" w:ascii="宋体" w:hAnsi="宋体" w:cs="宋体"/>
          <w:b/>
          <w:color w:val="auto"/>
          <w:kern w:val="0"/>
          <w:sz w:val="24"/>
          <w:highlight w:val="none"/>
        </w:rPr>
        <w:t>响应文件密封提交时只需填写磋商报价总计（首次）的报价。</w:t>
      </w:r>
    </w:p>
    <w:p w14:paraId="131111BD">
      <w:pPr>
        <w:widowControl/>
        <w:jc w:val="left"/>
        <w:rPr>
          <w:rFonts w:ascii="宋体" w:hAnsi="宋体" w:cs="宋体"/>
          <w:color w:val="auto"/>
          <w:highlight w:val="none"/>
        </w:rPr>
      </w:pPr>
    </w:p>
    <w:p w14:paraId="3578BFB8">
      <w:pPr>
        <w:pStyle w:val="17"/>
        <w:rPr>
          <w:rFonts w:ascii="宋体" w:hAnsi="宋体" w:cs="宋体"/>
          <w:color w:val="auto"/>
          <w:highlight w:val="none"/>
        </w:rPr>
        <w:sectPr>
          <w:footerReference r:id="rId5" w:type="default"/>
          <w:pgSz w:w="11905" w:h="16838"/>
          <w:pgMar w:top="1429" w:right="1429" w:bottom="1429" w:left="1429" w:header="850" w:footer="992" w:gutter="0"/>
          <w:cols w:space="0" w:num="1"/>
          <w:rtlGutter w:val="0"/>
          <w:docGrid w:linePitch="286" w:charSpace="0"/>
        </w:sectPr>
      </w:pPr>
      <w:r>
        <w:rPr>
          <w:rFonts w:hint="eastAsia" w:ascii="宋体" w:hAnsi="宋体" w:cs="宋体"/>
          <w:color w:val="auto"/>
          <w:highlight w:val="none"/>
        </w:rPr>
        <w:br w:type="page"/>
      </w:r>
    </w:p>
    <w:p w14:paraId="29F30DA1">
      <w:pPr>
        <w:widowControl/>
        <w:spacing w:line="360" w:lineRule="auto"/>
        <w:jc w:val="left"/>
        <w:rPr>
          <w:rFonts w:ascii="宋体" w:hAnsi="宋体" w:cs="宋体"/>
          <w:color w:val="auto"/>
          <w:sz w:val="32"/>
          <w:szCs w:val="32"/>
          <w:highlight w:val="none"/>
        </w:rPr>
      </w:pPr>
      <w:r>
        <w:rPr>
          <w:rFonts w:hint="eastAsia" w:ascii="宋体" w:hAnsi="宋体" w:cs="宋体"/>
          <w:color w:val="auto"/>
          <w:sz w:val="32"/>
          <w:szCs w:val="32"/>
          <w:highlight w:val="none"/>
        </w:rPr>
        <w:t>附件2：</w:t>
      </w:r>
      <w:bookmarkStart w:id="4" w:name="_Toc217446086"/>
    </w:p>
    <w:bookmarkEnd w:id="4"/>
    <w:p w14:paraId="3943BDE2">
      <w:pPr>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分项报价明细表</w:t>
      </w:r>
    </w:p>
    <w:p w14:paraId="773D60B3">
      <w:pPr>
        <w:snapToGrid w:val="0"/>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项目名称：</w:t>
      </w:r>
    </w:p>
    <w:tbl>
      <w:tblPr>
        <w:tblStyle w:val="19"/>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33"/>
        <w:gridCol w:w="1064"/>
        <w:gridCol w:w="847"/>
        <w:gridCol w:w="1251"/>
        <w:gridCol w:w="775"/>
        <w:gridCol w:w="1898"/>
        <w:gridCol w:w="1763"/>
        <w:gridCol w:w="832"/>
      </w:tblGrid>
      <w:tr w14:paraId="39B829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45" w:hRule="atLeast"/>
        </w:trPr>
        <w:tc>
          <w:tcPr>
            <w:tcW w:w="450" w:type="pct"/>
            <w:noWrap w:val="0"/>
            <w:vAlign w:val="center"/>
          </w:tcPr>
          <w:p w14:paraId="7B979EA8">
            <w:pPr>
              <w:jc w:val="center"/>
              <w:rPr>
                <w:rFonts w:hint="eastAsia" w:ascii="宋体" w:hAnsi="宋体" w:cs="宋体"/>
                <w:bCs/>
                <w:color w:val="auto"/>
                <w:szCs w:val="21"/>
                <w:highlight w:val="none"/>
              </w:rPr>
            </w:pPr>
            <w:r>
              <w:rPr>
                <w:rFonts w:hint="eastAsia" w:ascii="宋体" w:hAnsi="宋体" w:cs="宋体"/>
                <w:bCs/>
                <w:color w:val="auto"/>
                <w:szCs w:val="21"/>
                <w:highlight w:val="none"/>
              </w:rPr>
              <w:t>序号</w:t>
            </w:r>
          </w:p>
        </w:tc>
        <w:tc>
          <w:tcPr>
            <w:tcW w:w="1031" w:type="pct"/>
            <w:gridSpan w:val="2"/>
            <w:noWrap w:val="0"/>
            <w:vAlign w:val="center"/>
          </w:tcPr>
          <w:p w14:paraId="1F39544A">
            <w:pPr>
              <w:jc w:val="center"/>
              <w:rPr>
                <w:rFonts w:hint="eastAsia" w:ascii="宋体" w:hAnsi="宋体" w:cs="宋体"/>
                <w:bCs/>
                <w:color w:val="auto"/>
                <w:szCs w:val="21"/>
                <w:highlight w:val="none"/>
              </w:rPr>
            </w:pPr>
            <w:r>
              <w:rPr>
                <w:rFonts w:hint="eastAsia" w:ascii="宋体" w:hAnsi="宋体" w:cs="宋体"/>
                <w:bCs/>
                <w:color w:val="auto"/>
                <w:szCs w:val="21"/>
                <w:highlight w:val="none"/>
              </w:rPr>
              <w:t>项目名称</w:t>
            </w:r>
          </w:p>
        </w:tc>
        <w:tc>
          <w:tcPr>
            <w:tcW w:w="675" w:type="pct"/>
            <w:noWrap w:val="0"/>
            <w:vAlign w:val="center"/>
          </w:tcPr>
          <w:p w14:paraId="4E189108">
            <w:pPr>
              <w:jc w:val="center"/>
              <w:rPr>
                <w:rFonts w:hint="eastAsia" w:ascii="宋体" w:hAnsi="宋体" w:cs="宋体"/>
                <w:bCs/>
                <w:color w:val="auto"/>
                <w:szCs w:val="21"/>
                <w:highlight w:val="none"/>
              </w:rPr>
            </w:pPr>
            <w:r>
              <w:rPr>
                <w:rFonts w:hint="eastAsia" w:ascii="宋体" w:hAnsi="宋体" w:cs="宋体"/>
                <w:bCs/>
                <w:color w:val="auto"/>
                <w:szCs w:val="21"/>
                <w:highlight w:val="none"/>
              </w:rPr>
              <w:t>数量</w:t>
            </w:r>
          </w:p>
        </w:tc>
        <w:tc>
          <w:tcPr>
            <w:tcW w:w="418" w:type="pct"/>
            <w:noWrap w:val="0"/>
            <w:vAlign w:val="center"/>
          </w:tcPr>
          <w:p w14:paraId="2DCD4C4A">
            <w:pPr>
              <w:jc w:val="center"/>
              <w:rPr>
                <w:rFonts w:hint="eastAsia" w:ascii="宋体" w:hAnsi="宋体" w:cs="宋体"/>
                <w:bCs/>
                <w:color w:val="auto"/>
                <w:szCs w:val="21"/>
                <w:highlight w:val="none"/>
              </w:rPr>
            </w:pPr>
            <w:r>
              <w:rPr>
                <w:rFonts w:hint="eastAsia" w:ascii="宋体" w:hAnsi="宋体" w:cs="宋体"/>
                <w:bCs/>
                <w:color w:val="auto"/>
                <w:szCs w:val="21"/>
                <w:highlight w:val="none"/>
              </w:rPr>
              <w:t>单位</w:t>
            </w:r>
          </w:p>
        </w:tc>
        <w:tc>
          <w:tcPr>
            <w:tcW w:w="1021" w:type="pct"/>
            <w:noWrap w:val="0"/>
            <w:vAlign w:val="center"/>
          </w:tcPr>
          <w:p w14:paraId="22EB6468">
            <w:pPr>
              <w:jc w:val="center"/>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单价</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元</w:t>
            </w:r>
            <w:r>
              <w:rPr>
                <w:rFonts w:hint="eastAsia" w:ascii="宋体" w:hAnsi="宋体" w:cs="宋体"/>
                <w:bCs/>
                <w:color w:val="auto"/>
                <w:szCs w:val="21"/>
                <w:highlight w:val="none"/>
                <w:lang w:eastAsia="zh-CN"/>
              </w:rPr>
              <w:t>）</w:t>
            </w:r>
          </w:p>
        </w:tc>
        <w:tc>
          <w:tcPr>
            <w:tcW w:w="951" w:type="pct"/>
            <w:noWrap w:val="0"/>
            <w:vAlign w:val="center"/>
          </w:tcPr>
          <w:p w14:paraId="35C55C25">
            <w:pPr>
              <w:jc w:val="center"/>
              <w:rPr>
                <w:rFonts w:hint="eastAsia" w:ascii="宋体" w:hAnsi="宋体" w:cs="宋体"/>
                <w:bCs/>
                <w:color w:val="auto"/>
                <w:szCs w:val="21"/>
                <w:highlight w:val="none"/>
              </w:rPr>
            </w:pPr>
            <w:r>
              <w:rPr>
                <w:rFonts w:hint="eastAsia" w:ascii="宋体" w:hAnsi="宋体" w:cs="宋体"/>
                <w:bCs/>
                <w:color w:val="auto"/>
                <w:szCs w:val="21"/>
                <w:highlight w:val="none"/>
              </w:rPr>
              <w:t>合价（元）</w:t>
            </w:r>
          </w:p>
        </w:tc>
        <w:tc>
          <w:tcPr>
            <w:tcW w:w="449" w:type="pct"/>
            <w:noWrap w:val="0"/>
            <w:vAlign w:val="center"/>
          </w:tcPr>
          <w:p w14:paraId="2593A6A6">
            <w:pPr>
              <w:jc w:val="center"/>
              <w:rPr>
                <w:rFonts w:hint="eastAsia" w:ascii="宋体" w:hAnsi="宋体" w:cs="宋体"/>
                <w:bCs/>
                <w:color w:val="auto"/>
                <w:szCs w:val="21"/>
                <w:highlight w:val="none"/>
              </w:rPr>
            </w:pPr>
            <w:r>
              <w:rPr>
                <w:rFonts w:hint="eastAsia" w:ascii="宋体" w:hAnsi="宋体" w:cs="宋体"/>
                <w:bCs/>
                <w:color w:val="auto"/>
                <w:szCs w:val="21"/>
                <w:highlight w:val="none"/>
              </w:rPr>
              <w:t>备注</w:t>
            </w:r>
          </w:p>
        </w:tc>
      </w:tr>
      <w:tr w14:paraId="23BE17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450" w:type="pct"/>
            <w:noWrap w:val="0"/>
            <w:vAlign w:val="center"/>
          </w:tcPr>
          <w:p w14:paraId="3AD3E360">
            <w:pPr>
              <w:jc w:val="center"/>
              <w:rPr>
                <w:rFonts w:hint="eastAsia" w:ascii="宋体" w:hAnsi="宋体" w:cs="宋体"/>
                <w:bCs/>
                <w:color w:val="auto"/>
                <w:szCs w:val="21"/>
                <w:highlight w:val="none"/>
              </w:rPr>
            </w:pPr>
            <w:r>
              <w:rPr>
                <w:rFonts w:hint="eastAsia" w:ascii="宋体" w:hAnsi="宋体" w:cs="宋体"/>
                <w:bCs/>
                <w:color w:val="auto"/>
                <w:szCs w:val="21"/>
                <w:highlight w:val="none"/>
              </w:rPr>
              <w:t>1</w:t>
            </w:r>
          </w:p>
        </w:tc>
        <w:tc>
          <w:tcPr>
            <w:tcW w:w="574" w:type="pct"/>
            <w:vMerge w:val="restart"/>
            <w:tcBorders>
              <w:right w:val="single" w:color="auto" w:sz="4" w:space="0"/>
            </w:tcBorders>
            <w:noWrap w:val="0"/>
            <w:vAlign w:val="center"/>
          </w:tcPr>
          <w:p w14:paraId="53859FC0">
            <w:pPr>
              <w:jc w:val="center"/>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外业检查</w:t>
            </w:r>
          </w:p>
          <w:p w14:paraId="4814A9ED">
            <w:pPr>
              <w:jc w:val="center"/>
              <w:rPr>
                <w:rFonts w:hint="eastAsia" w:ascii="宋体" w:hAnsi="宋体" w:cs="宋体"/>
                <w:bCs/>
                <w:color w:val="auto"/>
                <w:szCs w:val="21"/>
                <w:highlight w:val="none"/>
                <w:lang w:eastAsia="zh-CN"/>
              </w:rPr>
            </w:pPr>
          </w:p>
        </w:tc>
        <w:tc>
          <w:tcPr>
            <w:tcW w:w="456" w:type="pct"/>
            <w:tcBorders>
              <w:left w:val="single" w:color="auto" w:sz="4" w:space="0"/>
            </w:tcBorders>
            <w:shd w:val="clear" w:color="auto" w:fill="auto"/>
            <w:noWrap w:val="0"/>
            <w:vAlign w:val="center"/>
          </w:tcPr>
          <w:p w14:paraId="1E58F7A7">
            <w:pPr>
              <w:jc w:val="center"/>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rPr>
              <w:t>31座桥梁的</w:t>
            </w:r>
            <w:r>
              <w:rPr>
                <w:rFonts w:hint="eastAsia" w:ascii="宋体" w:hAnsi="宋体" w:cs="宋体"/>
                <w:bCs/>
                <w:color w:val="auto"/>
                <w:szCs w:val="21"/>
                <w:highlight w:val="none"/>
                <w:lang w:val="en-US" w:eastAsia="zh-CN"/>
              </w:rPr>
              <w:t>桩基</w:t>
            </w:r>
          </w:p>
        </w:tc>
        <w:tc>
          <w:tcPr>
            <w:tcW w:w="675" w:type="pct"/>
            <w:noWrap w:val="0"/>
            <w:vAlign w:val="center"/>
          </w:tcPr>
          <w:p w14:paraId="7AA896C7">
            <w:pPr>
              <w:jc w:val="center"/>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152</w:t>
            </w:r>
          </w:p>
        </w:tc>
        <w:tc>
          <w:tcPr>
            <w:tcW w:w="418" w:type="pct"/>
            <w:noWrap w:val="0"/>
            <w:vAlign w:val="center"/>
          </w:tcPr>
          <w:p w14:paraId="43FF791F">
            <w:pPr>
              <w:jc w:val="center"/>
              <w:rPr>
                <w:rFonts w:hint="eastAsia" w:ascii="宋体" w:hAnsi="宋体" w:cs="宋体"/>
                <w:bCs/>
                <w:color w:val="auto"/>
                <w:szCs w:val="21"/>
                <w:highlight w:val="none"/>
              </w:rPr>
            </w:pPr>
            <w:r>
              <w:rPr>
                <w:rFonts w:hint="eastAsia" w:ascii="宋体" w:hAnsi="宋体" w:cs="宋体"/>
                <w:bCs/>
                <w:color w:val="auto"/>
                <w:szCs w:val="21"/>
                <w:highlight w:val="none"/>
              </w:rPr>
              <w:t>根</w:t>
            </w:r>
          </w:p>
        </w:tc>
        <w:tc>
          <w:tcPr>
            <w:tcW w:w="1021" w:type="pct"/>
            <w:noWrap w:val="0"/>
            <w:vAlign w:val="center"/>
          </w:tcPr>
          <w:p w14:paraId="418B3B6F">
            <w:pPr>
              <w:jc w:val="center"/>
              <w:rPr>
                <w:rFonts w:hint="eastAsia" w:ascii="宋体" w:hAnsi="宋体" w:cs="宋体"/>
                <w:bCs/>
                <w:color w:val="auto"/>
                <w:szCs w:val="21"/>
                <w:highlight w:val="none"/>
              </w:rPr>
            </w:pPr>
          </w:p>
        </w:tc>
        <w:tc>
          <w:tcPr>
            <w:tcW w:w="951" w:type="pct"/>
            <w:noWrap w:val="0"/>
            <w:vAlign w:val="center"/>
          </w:tcPr>
          <w:p w14:paraId="51EBC7E2">
            <w:pPr>
              <w:jc w:val="center"/>
              <w:rPr>
                <w:rFonts w:hint="eastAsia" w:ascii="宋体" w:hAnsi="宋体" w:cs="宋体"/>
                <w:bCs/>
                <w:color w:val="auto"/>
                <w:szCs w:val="21"/>
                <w:highlight w:val="none"/>
              </w:rPr>
            </w:pPr>
          </w:p>
        </w:tc>
        <w:tc>
          <w:tcPr>
            <w:tcW w:w="449" w:type="pct"/>
            <w:noWrap w:val="0"/>
            <w:vAlign w:val="center"/>
          </w:tcPr>
          <w:p w14:paraId="18794E3D">
            <w:pPr>
              <w:jc w:val="center"/>
              <w:rPr>
                <w:rFonts w:hint="eastAsia" w:ascii="宋体" w:hAnsi="宋体" w:cs="宋体"/>
                <w:bCs/>
                <w:color w:val="auto"/>
                <w:szCs w:val="21"/>
                <w:highlight w:val="none"/>
              </w:rPr>
            </w:pPr>
          </w:p>
        </w:tc>
      </w:tr>
      <w:tr w14:paraId="69E960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450" w:type="pct"/>
            <w:noWrap w:val="0"/>
            <w:vAlign w:val="center"/>
          </w:tcPr>
          <w:p w14:paraId="68193781">
            <w:pPr>
              <w:jc w:val="center"/>
              <w:rPr>
                <w:rFonts w:hint="eastAsia"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2</w:t>
            </w:r>
          </w:p>
        </w:tc>
        <w:tc>
          <w:tcPr>
            <w:tcW w:w="574" w:type="pct"/>
            <w:vMerge w:val="continue"/>
            <w:tcBorders>
              <w:right w:val="single" w:color="auto" w:sz="4" w:space="0"/>
            </w:tcBorders>
            <w:noWrap w:val="0"/>
            <w:vAlign w:val="center"/>
          </w:tcPr>
          <w:p w14:paraId="62A02EC3">
            <w:pPr>
              <w:jc w:val="center"/>
              <w:rPr>
                <w:rFonts w:hint="eastAsia" w:ascii="宋体" w:hAnsi="宋体" w:cs="宋体"/>
                <w:bCs/>
                <w:color w:val="auto"/>
                <w:szCs w:val="21"/>
                <w:highlight w:val="none"/>
                <w:lang w:eastAsia="zh-CN"/>
              </w:rPr>
            </w:pPr>
          </w:p>
        </w:tc>
        <w:tc>
          <w:tcPr>
            <w:tcW w:w="456" w:type="pct"/>
            <w:tcBorders>
              <w:left w:val="single" w:color="auto" w:sz="4" w:space="0"/>
            </w:tcBorders>
            <w:shd w:val="clear" w:color="auto" w:fill="auto"/>
            <w:noWrap w:val="0"/>
            <w:vAlign w:val="center"/>
          </w:tcPr>
          <w:p w14:paraId="6887F771">
            <w:pPr>
              <w:jc w:val="center"/>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rPr>
              <w:t>4座桥的</w:t>
            </w:r>
            <w:r>
              <w:rPr>
                <w:rFonts w:hint="eastAsia" w:ascii="宋体" w:hAnsi="宋体" w:cs="宋体"/>
                <w:bCs/>
                <w:color w:val="auto"/>
                <w:szCs w:val="21"/>
                <w:highlight w:val="none"/>
                <w:lang w:eastAsia="zh-CN"/>
              </w:rPr>
              <w:t>桥墩（台）</w:t>
            </w:r>
          </w:p>
        </w:tc>
        <w:tc>
          <w:tcPr>
            <w:tcW w:w="675" w:type="pct"/>
            <w:noWrap w:val="0"/>
            <w:vAlign w:val="center"/>
          </w:tcPr>
          <w:p w14:paraId="48F0C94B">
            <w:pPr>
              <w:jc w:val="center"/>
              <w:rPr>
                <w:rFonts w:hint="default"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8</w:t>
            </w:r>
          </w:p>
        </w:tc>
        <w:tc>
          <w:tcPr>
            <w:tcW w:w="418" w:type="pct"/>
            <w:noWrap w:val="0"/>
            <w:vAlign w:val="center"/>
          </w:tcPr>
          <w:p w14:paraId="249BB9C9">
            <w:pPr>
              <w:jc w:val="center"/>
              <w:rPr>
                <w:rFonts w:hint="eastAsia"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个</w:t>
            </w:r>
          </w:p>
        </w:tc>
        <w:tc>
          <w:tcPr>
            <w:tcW w:w="1021" w:type="pct"/>
            <w:noWrap w:val="0"/>
            <w:vAlign w:val="center"/>
          </w:tcPr>
          <w:p w14:paraId="41963FDA">
            <w:pPr>
              <w:jc w:val="center"/>
              <w:rPr>
                <w:rFonts w:hint="eastAsia" w:ascii="宋体" w:hAnsi="宋体" w:cs="宋体"/>
                <w:bCs/>
                <w:color w:val="auto"/>
                <w:szCs w:val="21"/>
                <w:highlight w:val="none"/>
              </w:rPr>
            </w:pPr>
          </w:p>
        </w:tc>
        <w:tc>
          <w:tcPr>
            <w:tcW w:w="951" w:type="pct"/>
            <w:noWrap w:val="0"/>
            <w:vAlign w:val="center"/>
          </w:tcPr>
          <w:p w14:paraId="27D608EA">
            <w:pPr>
              <w:jc w:val="center"/>
              <w:rPr>
                <w:rFonts w:hint="eastAsia" w:ascii="宋体" w:hAnsi="宋体" w:cs="宋体"/>
                <w:bCs/>
                <w:color w:val="auto"/>
                <w:szCs w:val="21"/>
                <w:highlight w:val="none"/>
              </w:rPr>
            </w:pPr>
          </w:p>
        </w:tc>
        <w:tc>
          <w:tcPr>
            <w:tcW w:w="449" w:type="pct"/>
            <w:noWrap w:val="0"/>
            <w:vAlign w:val="center"/>
          </w:tcPr>
          <w:p w14:paraId="61191312">
            <w:pPr>
              <w:jc w:val="center"/>
              <w:rPr>
                <w:rFonts w:hint="eastAsia" w:ascii="宋体" w:hAnsi="宋体" w:cs="宋体"/>
                <w:bCs/>
                <w:color w:val="auto"/>
                <w:szCs w:val="21"/>
                <w:highlight w:val="none"/>
              </w:rPr>
            </w:pPr>
          </w:p>
        </w:tc>
      </w:tr>
      <w:tr w14:paraId="6DD7A5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450" w:type="pct"/>
            <w:noWrap w:val="0"/>
            <w:vAlign w:val="center"/>
          </w:tcPr>
          <w:p w14:paraId="1BB99883">
            <w:pPr>
              <w:jc w:val="center"/>
              <w:rPr>
                <w:rFonts w:hint="default"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3</w:t>
            </w:r>
          </w:p>
        </w:tc>
        <w:tc>
          <w:tcPr>
            <w:tcW w:w="1031" w:type="pct"/>
            <w:gridSpan w:val="2"/>
            <w:noWrap w:val="0"/>
            <w:vAlign w:val="center"/>
          </w:tcPr>
          <w:p w14:paraId="77AA3326">
            <w:pPr>
              <w:jc w:val="center"/>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内业核查</w:t>
            </w:r>
          </w:p>
        </w:tc>
        <w:tc>
          <w:tcPr>
            <w:tcW w:w="675" w:type="pct"/>
            <w:noWrap w:val="0"/>
            <w:vAlign w:val="center"/>
          </w:tcPr>
          <w:p w14:paraId="63EACC45">
            <w:pPr>
              <w:jc w:val="center"/>
              <w:rPr>
                <w:rFonts w:hint="default"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1</w:t>
            </w:r>
          </w:p>
        </w:tc>
        <w:tc>
          <w:tcPr>
            <w:tcW w:w="418" w:type="pct"/>
            <w:noWrap w:val="0"/>
            <w:vAlign w:val="center"/>
          </w:tcPr>
          <w:p w14:paraId="01A686AF">
            <w:pPr>
              <w:jc w:val="center"/>
              <w:rPr>
                <w:rFonts w:hint="default"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项</w:t>
            </w:r>
          </w:p>
        </w:tc>
        <w:tc>
          <w:tcPr>
            <w:tcW w:w="1021" w:type="pct"/>
            <w:noWrap w:val="0"/>
            <w:vAlign w:val="center"/>
          </w:tcPr>
          <w:p w14:paraId="130D1B2C">
            <w:pPr>
              <w:jc w:val="center"/>
              <w:rPr>
                <w:rFonts w:hint="eastAsia" w:ascii="宋体" w:hAnsi="宋体" w:cs="宋体"/>
                <w:bCs/>
                <w:color w:val="auto"/>
                <w:szCs w:val="21"/>
                <w:highlight w:val="none"/>
              </w:rPr>
            </w:pPr>
          </w:p>
        </w:tc>
        <w:tc>
          <w:tcPr>
            <w:tcW w:w="951" w:type="pct"/>
            <w:noWrap w:val="0"/>
            <w:vAlign w:val="center"/>
          </w:tcPr>
          <w:p w14:paraId="4F5B5A99">
            <w:pPr>
              <w:jc w:val="center"/>
              <w:rPr>
                <w:rFonts w:hint="eastAsia" w:ascii="宋体" w:hAnsi="宋体" w:cs="宋体"/>
                <w:bCs/>
                <w:color w:val="auto"/>
                <w:szCs w:val="21"/>
                <w:highlight w:val="none"/>
              </w:rPr>
            </w:pPr>
          </w:p>
        </w:tc>
        <w:tc>
          <w:tcPr>
            <w:tcW w:w="449" w:type="pct"/>
            <w:noWrap w:val="0"/>
            <w:vAlign w:val="center"/>
          </w:tcPr>
          <w:p w14:paraId="50D044FD">
            <w:pPr>
              <w:jc w:val="center"/>
              <w:rPr>
                <w:rFonts w:hint="eastAsia" w:ascii="宋体" w:hAnsi="宋体" w:cs="宋体"/>
                <w:bCs/>
                <w:color w:val="auto"/>
                <w:szCs w:val="21"/>
                <w:highlight w:val="none"/>
              </w:rPr>
            </w:pPr>
          </w:p>
        </w:tc>
      </w:tr>
      <w:tr w14:paraId="351CB0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450" w:type="pct"/>
            <w:noWrap w:val="0"/>
            <w:vAlign w:val="center"/>
          </w:tcPr>
          <w:p w14:paraId="64CF91F9">
            <w:pPr>
              <w:jc w:val="center"/>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lang w:val="en-US" w:eastAsia="zh-CN"/>
              </w:rPr>
              <w:t>4</w:t>
            </w:r>
          </w:p>
        </w:tc>
        <w:tc>
          <w:tcPr>
            <w:tcW w:w="3148" w:type="pct"/>
            <w:gridSpan w:val="5"/>
            <w:noWrap w:val="0"/>
            <w:vAlign w:val="center"/>
          </w:tcPr>
          <w:p w14:paraId="108EE1B0">
            <w:pPr>
              <w:jc w:val="center"/>
              <w:rPr>
                <w:rFonts w:hint="eastAsia" w:ascii="宋体" w:hAnsi="宋体" w:cs="宋体"/>
                <w:bCs/>
                <w:color w:val="auto"/>
                <w:szCs w:val="21"/>
                <w:highlight w:val="none"/>
              </w:rPr>
            </w:pPr>
            <w:r>
              <w:rPr>
                <w:rFonts w:hint="eastAsia" w:ascii="宋体" w:hAnsi="宋体" w:cs="宋体"/>
                <w:bCs/>
                <w:color w:val="auto"/>
                <w:szCs w:val="21"/>
                <w:highlight w:val="none"/>
              </w:rPr>
              <w:t>投标报价</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1+2+3</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（元）</w:t>
            </w:r>
          </w:p>
        </w:tc>
        <w:tc>
          <w:tcPr>
            <w:tcW w:w="951" w:type="pct"/>
            <w:noWrap w:val="0"/>
            <w:vAlign w:val="center"/>
          </w:tcPr>
          <w:p w14:paraId="16A29D9F">
            <w:pPr>
              <w:jc w:val="center"/>
              <w:rPr>
                <w:rFonts w:hint="eastAsia" w:ascii="宋体" w:hAnsi="宋体" w:cs="宋体"/>
                <w:bCs/>
                <w:color w:val="auto"/>
                <w:szCs w:val="21"/>
                <w:highlight w:val="none"/>
              </w:rPr>
            </w:pPr>
          </w:p>
        </w:tc>
        <w:tc>
          <w:tcPr>
            <w:tcW w:w="449" w:type="pct"/>
            <w:noWrap w:val="0"/>
            <w:vAlign w:val="center"/>
          </w:tcPr>
          <w:p w14:paraId="65347F98">
            <w:pPr>
              <w:jc w:val="center"/>
              <w:rPr>
                <w:rFonts w:hint="eastAsia" w:ascii="宋体" w:hAnsi="宋体" w:cs="宋体"/>
                <w:bCs/>
                <w:color w:val="auto"/>
                <w:szCs w:val="21"/>
                <w:highlight w:val="none"/>
              </w:rPr>
            </w:pPr>
          </w:p>
        </w:tc>
      </w:tr>
    </w:tbl>
    <w:p w14:paraId="21F00A14">
      <w:pPr>
        <w:snapToGrid w:val="0"/>
        <w:spacing w:line="360" w:lineRule="auto"/>
        <w:outlineLvl w:val="0"/>
        <w:rPr>
          <w:rFonts w:ascii="宋体" w:hAnsi="宋体" w:cs="宋体"/>
          <w:color w:val="auto"/>
          <w:sz w:val="24"/>
          <w:highlight w:val="none"/>
        </w:rPr>
      </w:pPr>
    </w:p>
    <w:p w14:paraId="5807188C">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供应商（盖单位公章）：</w:t>
      </w:r>
    </w:p>
    <w:p w14:paraId="070759CD">
      <w:pPr>
        <w:kinsoku w:val="0"/>
        <w:topLinePunct/>
        <w:snapToGrid w:val="0"/>
        <w:spacing w:line="360" w:lineRule="auto"/>
        <w:rPr>
          <w:rFonts w:ascii="宋体" w:hAnsi="宋体" w:cs="宋体"/>
          <w:color w:val="auto"/>
          <w:sz w:val="24"/>
          <w:highlight w:val="none"/>
        </w:rPr>
      </w:pPr>
      <w:r>
        <w:rPr>
          <w:rFonts w:hint="eastAsia" w:ascii="宋体" w:hAnsi="宋体" w:cs="宋体"/>
          <w:color w:val="auto"/>
          <w:sz w:val="24"/>
          <w:highlight w:val="none"/>
        </w:rPr>
        <w:t>法定代表人或委托代理人（</w:t>
      </w:r>
      <w:r>
        <w:rPr>
          <w:rFonts w:hint="eastAsia" w:ascii="宋体" w:hAnsi="宋体" w:cs="宋体"/>
          <w:color w:val="auto"/>
          <w:sz w:val="24"/>
          <w:highlight w:val="none"/>
          <w:lang w:val="en-US" w:eastAsia="zh-CN"/>
        </w:rPr>
        <w:t>签字或盖章</w:t>
      </w:r>
      <w:r>
        <w:rPr>
          <w:rFonts w:hint="eastAsia" w:ascii="宋体" w:hAnsi="宋体" w:cs="宋体"/>
          <w:color w:val="auto"/>
          <w:sz w:val="24"/>
          <w:highlight w:val="none"/>
        </w:rPr>
        <w:t>）：</w:t>
      </w:r>
    </w:p>
    <w:p w14:paraId="7692FB23">
      <w:pPr>
        <w:snapToGrid w:val="0"/>
        <w:spacing w:line="360" w:lineRule="auto"/>
        <w:ind w:firstLine="1200" w:firstLineChars="500"/>
        <w:rPr>
          <w:rFonts w:ascii="宋体" w:hAnsi="宋体" w:cs="宋体"/>
          <w:color w:val="auto"/>
          <w:sz w:val="24"/>
          <w:highlight w:val="none"/>
        </w:rPr>
      </w:pPr>
      <w:r>
        <w:rPr>
          <w:rFonts w:hint="eastAsia" w:ascii="宋体" w:hAnsi="宋体" w:cs="宋体"/>
          <w:color w:val="auto"/>
          <w:sz w:val="24"/>
          <w:highlight w:val="none"/>
        </w:rPr>
        <w:t>年    月    日</w:t>
      </w:r>
    </w:p>
    <w:p w14:paraId="4DF12981">
      <w:pPr>
        <w:snapToGrid w:val="0"/>
        <w:spacing w:line="360" w:lineRule="auto"/>
        <w:outlineLvl w:val="0"/>
        <w:rPr>
          <w:rFonts w:ascii="宋体" w:hAnsi="宋体" w:cs="宋体"/>
          <w:color w:val="auto"/>
          <w:sz w:val="24"/>
          <w:highlight w:val="none"/>
        </w:rPr>
      </w:pPr>
    </w:p>
    <w:p w14:paraId="58F8F750">
      <w:pPr>
        <w:snapToGrid w:val="0"/>
        <w:spacing w:line="360" w:lineRule="auto"/>
        <w:outlineLvl w:val="0"/>
        <w:rPr>
          <w:rFonts w:ascii="宋体" w:hAnsi="宋体" w:cs="宋体"/>
          <w:color w:val="auto"/>
          <w:sz w:val="24"/>
          <w:highlight w:val="none"/>
        </w:rPr>
      </w:pPr>
    </w:p>
    <w:p w14:paraId="4A9183BA">
      <w:pPr>
        <w:adjustRightInd w:val="0"/>
        <w:snapToGrid w:val="0"/>
        <w:spacing w:line="360" w:lineRule="auto"/>
        <w:ind w:firstLine="482" w:firstLineChars="200"/>
        <w:jc w:val="left"/>
        <w:rPr>
          <w:rFonts w:hint="eastAsia" w:ascii="宋体" w:hAnsi="宋体" w:cs="宋体"/>
          <w:b/>
          <w:bCs/>
          <w:color w:val="auto"/>
          <w:sz w:val="24"/>
          <w:highlight w:val="none"/>
        </w:rPr>
      </w:pPr>
      <w:r>
        <w:rPr>
          <w:rFonts w:hint="eastAsia" w:ascii="宋体" w:hAnsi="宋体" w:cs="宋体"/>
          <w:b/>
          <w:color w:val="auto"/>
          <w:sz w:val="24"/>
          <w:highlight w:val="none"/>
        </w:rPr>
        <w:t>注：供应商必须详细报出本项目投标总报价各个组成部分的报价。且</w:t>
      </w:r>
      <w:r>
        <w:rPr>
          <w:rFonts w:hint="eastAsia" w:ascii="宋体" w:hAnsi="宋体" w:cs="宋体"/>
          <w:b/>
          <w:bCs/>
          <w:color w:val="auto"/>
          <w:sz w:val="24"/>
          <w:highlight w:val="none"/>
        </w:rPr>
        <w:t>本表各分项报价合计应当与</w:t>
      </w:r>
      <w:r>
        <w:rPr>
          <w:rFonts w:hint="eastAsia" w:ascii="宋体" w:hAnsi="宋体" w:cs="宋体"/>
          <w:b/>
          <w:color w:val="auto"/>
          <w:kern w:val="0"/>
          <w:sz w:val="24"/>
          <w:highlight w:val="none"/>
          <w:lang w:val="zh-CN"/>
        </w:rPr>
        <w:t>磋商报价总表</w:t>
      </w:r>
      <w:r>
        <w:rPr>
          <w:rFonts w:hint="eastAsia" w:ascii="宋体" w:hAnsi="宋体" w:cs="宋体"/>
          <w:b/>
          <w:bCs/>
          <w:color w:val="auto"/>
          <w:sz w:val="24"/>
          <w:highlight w:val="none"/>
        </w:rPr>
        <w:t>报价合计相等。</w:t>
      </w:r>
    </w:p>
    <w:p w14:paraId="20220CF3">
      <w:pPr>
        <w:rPr>
          <w:rFonts w:hint="eastAsia" w:ascii="宋体" w:hAnsi="宋体" w:cs="宋体"/>
          <w:b/>
          <w:bCs/>
          <w:color w:val="auto"/>
          <w:sz w:val="24"/>
          <w:highlight w:val="none"/>
        </w:rPr>
      </w:pPr>
      <w:r>
        <w:rPr>
          <w:rFonts w:hint="eastAsia" w:ascii="宋体" w:hAnsi="宋体" w:cs="宋体"/>
          <w:b/>
          <w:bCs/>
          <w:color w:val="auto"/>
          <w:sz w:val="24"/>
          <w:highlight w:val="none"/>
        </w:rPr>
        <w:br w:type="page"/>
      </w:r>
    </w:p>
    <w:p w14:paraId="79351825">
      <w:pPr>
        <w:widowControl/>
        <w:spacing w:line="360" w:lineRule="auto"/>
        <w:jc w:val="left"/>
        <w:rPr>
          <w:rFonts w:ascii="宋体" w:hAnsi="宋体" w:cs="宋体"/>
          <w:color w:val="auto"/>
          <w:sz w:val="28"/>
          <w:szCs w:val="28"/>
          <w:highlight w:val="none"/>
        </w:rPr>
      </w:pPr>
      <w:r>
        <w:rPr>
          <w:rFonts w:hint="eastAsia" w:ascii="宋体" w:hAnsi="宋体" w:cs="宋体"/>
          <w:color w:val="auto"/>
          <w:sz w:val="32"/>
          <w:szCs w:val="32"/>
          <w:highlight w:val="none"/>
        </w:rPr>
        <w:t>附件</w:t>
      </w:r>
      <w:r>
        <w:rPr>
          <w:rFonts w:hint="eastAsia" w:ascii="宋体" w:hAnsi="宋体" w:cs="宋体"/>
          <w:color w:val="auto"/>
          <w:sz w:val="32"/>
          <w:szCs w:val="32"/>
          <w:highlight w:val="none"/>
          <w:lang w:val="en-US" w:eastAsia="zh-CN"/>
        </w:rPr>
        <w:t>3</w:t>
      </w:r>
      <w:r>
        <w:rPr>
          <w:rFonts w:hint="eastAsia" w:ascii="宋体" w:hAnsi="宋体" w:cs="宋体"/>
          <w:color w:val="auto"/>
          <w:sz w:val="32"/>
          <w:szCs w:val="32"/>
          <w:highlight w:val="none"/>
        </w:rPr>
        <w:t>：</w:t>
      </w:r>
      <w:r>
        <w:rPr>
          <w:rFonts w:hint="eastAsia" w:ascii="宋体" w:hAnsi="宋体" w:cs="宋体"/>
          <w:color w:val="auto"/>
          <w:sz w:val="28"/>
          <w:szCs w:val="28"/>
          <w:highlight w:val="none"/>
        </w:rPr>
        <w:t>《中小企业声明函》等（如有）</w:t>
      </w:r>
    </w:p>
    <w:p w14:paraId="6D5B354B">
      <w:pPr>
        <w:snapToGrid w:val="0"/>
        <w:spacing w:line="300" w:lineRule="auto"/>
        <w:outlineLvl w:val="0"/>
        <w:rPr>
          <w:rFonts w:ascii="宋体" w:hAnsi="宋体" w:cs="宋体"/>
          <w:color w:val="auto"/>
          <w:sz w:val="28"/>
          <w:szCs w:val="28"/>
          <w:highlight w:val="none"/>
        </w:rPr>
      </w:pPr>
    </w:p>
    <w:p w14:paraId="2A5432CA">
      <w:pPr>
        <w:spacing w:before="120" w:beforeLines="50" w:after="120" w:afterLines="50" w:line="300" w:lineRule="auto"/>
        <w:jc w:val="center"/>
        <w:outlineLvl w:val="0"/>
        <w:rPr>
          <w:rFonts w:ascii="宋体" w:hAnsi="宋体" w:cs="宋体"/>
          <w:b/>
          <w:bCs/>
          <w:color w:val="auto"/>
          <w:sz w:val="28"/>
          <w:szCs w:val="28"/>
          <w:highlight w:val="none"/>
          <w:lang w:bidi="zh-CN"/>
        </w:rPr>
      </w:pPr>
      <w:r>
        <w:rPr>
          <w:rFonts w:hint="eastAsia" w:ascii="宋体" w:hAnsi="宋体" w:cs="宋体"/>
          <w:b/>
          <w:bCs/>
          <w:color w:val="auto"/>
          <w:sz w:val="28"/>
          <w:szCs w:val="28"/>
          <w:highlight w:val="none"/>
          <w:lang w:bidi="zh-CN"/>
        </w:rPr>
        <w:t>中小企业声明函（工程、服务）</w:t>
      </w:r>
    </w:p>
    <w:p w14:paraId="1C107CEE">
      <w:pPr>
        <w:adjustRightInd w:val="0"/>
        <w:snapToGrid w:val="0"/>
        <w:spacing w:line="360" w:lineRule="auto"/>
        <w:ind w:firstLine="480" w:firstLineChars="200"/>
        <w:outlineLvl w:val="0"/>
        <w:rPr>
          <w:rFonts w:ascii="宋体" w:hAnsi="宋体" w:cs="宋体"/>
          <w:color w:val="auto"/>
          <w:sz w:val="24"/>
          <w:highlight w:val="none"/>
          <w:lang w:bidi="zh-CN"/>
        </w:rPr>
      </w:pPr>
      <w:r>
        <w:rPr>
          <w:rFonts w:hint="eastAsia" w:ascii="宋体" w:hAnsi="宋体" w:cs="宋体"/>
          <w:color w:val="auto"/>
          <w:sz w:val="24"/>
          <w:highlight w:val="none"/>
          <w:lang w:bidi="zh-CN"/>
        </w:rPr>
        <w:t>本公司（联合体）郑重声明，根据《政府采购促进中小企业发展管理办法》（财库﹝2020﹞46 号）的规定，本公司（联合体）参加</w:t>
      </w:r>
      <w:r>
        <w:rPr>
          <w:rFonts w:hint="eastAsia" w:ascii="宋体" w:hAnsi="宋体" w:cs="宋体"/>
          <w:color w:val="auto"/>
          <w:sz w:val="24"/>
          <w:highlight w:val="none"/>
          <w:u w:val="single"/>
          <w:lang w:bidi="zh-CN"/>
        </w:rPr>
        <w:t>（单位名称）</w:t>
      </w:r>
      <w:r>
        <w:rPr>
          <w:rFonts w:hint="eastAsia" w:ascii="宋体" w:hAnsi="宋体" w:cs="宋体"/>
          <w:color w:val="auto"/>
          <w:sz w:val="24"/>
          <w:highlight w:val="none"/>
          <w:lang w:bidi="zh-CN"/>
        </w:rPr>
        <w:t>的</w:t>
      </w:r>
      <w:r>
        <w:rPr>
          <w:rFonts w:hint="eastAsia" w:ascii="宋体" w:hAnsi="宋体" w:cs="宋体"/>
          <w:color w:val="auto"/>
          <w:sz w:val="24"/>
          <w:highlight w:val="none"/>
          <w:u w:val="single"/>
          <w:lang w:bidi="zh-CN"/>
        </w:rPr>
        <w:t>（项目名称）</w:t>
      </w:r>
      <w:r>
        <w:rPr>
          <w:rFonts w:hint="eastAsia" w:ascii="宋体" w:hAnsi="宋体" w:cs="宋体"/>
          <w:color w:val="auto"/>
          <w:sz w:val="24"/>
          <w:highlight w:val="none"/>
          <w:lang w:bidi="zh-CN"/>
        </w:rPr>
        <w:t>采购活动，工程的施工单位全部为符合政策要求的中小企业（或者：服务全部由符合政策要求的中小企业承接）。相关企业（含联合体中的中小企业、签订分包意向协议的中小企业）的具体情况如下：</w:t>
      </w:r>
    </w:p>
    <w:p w14:paraId="277D9451">
      <w:pPr>
        <w:adjustRightInd w:val="0"/>
        <w:snapToGrid w:val="0"/>
        <w:spacing w:line="360" w:lineRule="auto"/>
        <w:outlineLvl w:val="0"/>
        <w:rPr>
          <w:rFonts w:ascii="宋体" w:hAnsi="宋体" w:cs="宋体"/>
          <w:color w:val="auto"/>
          <w:sz w:val="24"/>
          <w:highlight w:val="none"/>
          <w:lang w:bidi="zh-CN"/>
        </w:rPr>
      </w:pPr>
      <w:r>
        <w:rPr>
          <w:rFonts w:hint="eastAsia" w:ascii="宋体" w:hAnsi="宋体" w:cs="宋体"/>
          <w:color w:val="auto"/>
          <w:sz w:val="24"/>
          <w:highlight w:val="none"/>
          <w:lang w:bidi="zh-CN"/>
        </w:rPr>
        <w:t>1.</w:t>
      </w:r>
      <w:r>
        <w:rPr>
          <w:rFonts w:hint="eastAsia" w:ascii="宋体" w:hAnsi="宋体" w:cs="宋体"/>
          <w:color w:val="auto"/>
          <w:sz w:val="24"/>
          <w:highlight w:val="none"/>
          <w:u w:val="single"/>
          <w:lang w:bidi="zh-CN"/>
        </w:rPr>
        <w:t>（标的名称）</w:t>
      </w:r>
      <w:r>
        <w:rPr>
          <w:rFonts w:hint="eastAsia" w:ascii="宋体" w:hAnsi="宋体" w:cs="宋体"/>
          <w:color w:val="auto"/>
          <w:sz w:val="24"/>
          <w:highlight w:val="none"/>
          <w:lang w:bidi="zh-CN"/>
        </w:rPr>
        <w:t>，属于（</w:t>
      </w:r>
      <w:r>
        <w:rPr>
          <w:rFonts w:hint="eastAsia" w:ascii="宋体" w:hAnsi="宋体" w:cs="宋体"/>
          <w:color w:val="auto"/>
          <w:sz w:val="24"/>
          <w:highlight w:val="none"/>
          <w:u w:val="single"/>
          <w:lang w:bidi="zh-CN"/>
        </w:rPr>
        <w:t>所属行业）</w:t>
      </w:r>
      <w:r>
        <w:rPr>
          <w:rFonts w:hint="eastAsia" w:ascii="宋体" w:hAnsi="宋体" w:cs="宋体"/>
          <w:color w:val="auto"/>
          <w:sz w:val="24"/>
          <w:highlight w:val="none"/>
          <w:lang w:bidi="zh-CN"/>
        </w:rPr>
        <w:t>；承建（承接）企业为</w:t>
      </w:r>
      <w:r>
        <w:rPr>
          <w:rFonts w:hint="eastAsia" w:ascii="宋体" w:hAnsi="宋体" w:cs="宋体"/>
          <w:color w:val="auto"/>
          <w:sz w:val="24"/>
          <w:highlight w:val="none"/>
          <w:u w:val="single"/>
          <w:lang w:bidi="zh-CN"/>
        </w:rPr>
        <w:t>（企业名称）</w:t>
      </w:r>
      <w:r>
        <w:rPr>
          <w:rFonts w:hint="eastAsia" w:ascii="宋体" w:hAnsi="宋体" w:cs="宋体"/>
          <w:color w:val="auto"/>
          <w:sz w:val="24"/>
          <w:highlight w:val="none"/>
          <w:lang w:bidi="zh-CN"/>
        </w:rPr>
        <w:t>，从业人员</w:t>
      </w:r>
      <w:r>
        <w:rPr>
          <w:rFonts w:hint="eastAsia" w:ascii="宋体" w:hAnsi="宋体" w:cs="宋体"/>
          <w:color w:val="auto"/>
          <w:sz w:val="24"/>
          <w:highlight w:val="none"/>
          <w:u w:val="single"/>
          <w:lang w:bidi="zh-CN"/>
        </w:rPr>
        <w:tab/>
      </w:r>
      <w:r>
        <w:rPr>
          <w:rFonts w:hint="eastAsia" w:ascii="宋体" w:hAnsi="宋体" w:cs="宋体"/>
          <w:color w:val="auto"/>
          <w:sz w:val="24"/>
          <w:highlight w:val="none"/>
          <w:lang w:bidi="zh-CN"/>
        </w:rPr>
        <w:t>人，营业收入为</w:t>
      </w:r>
      <w:r>
        <w:rPr>
          <w:rFonts w:hint="eastAsia" w:ascii="宋体" w:hAnsi="宋体" w:cs="宋体"/>
          <w:color w:val="auto"/>
          <w:sz w:val="24"/>
          <w:highlight w:val="none"/>
          <w:u w:val="single"/>
          <w:lang w:bidi="zh-CN"/>
        </w:rPr>
        <w:tab/>
      </w:r>
      <w:r>
        <w:rPr>
          <w:rFonts w:hint="eastAsia" w:ascii="宋体" w:hAnsi="宋体" w:cs="宋体"/>
          <w:color w:val="auto"/>
          <w:sz w:val="24"/>
          <w:highlight w:val="none"/>
          <w:lang w:bidi="zh-CN"/>
        </w:rPr>
        <w:t>万元，资产总额为</w:t>
      </w:r>
      <w:r>
        <w:rPr>
          <w:rFonts w:hint="eastAsia" w:ascii="宋体" w:hAnsi="宋体" w:cs="宋体"/>
          <w:color w:val="auto"/>
          <w:sz w:val="24"/>
          <w:highlight w:val="none"/>
          <w:u w:val="single"/>
          <w:lang w:bidi="zh-CN"/>
        </w:rPr>
        <w:tab/>
      </w:r>
      <w:r>
        <w:rPr>
          <w:rFonts w:hint="eastAsia" w:ascii="宋体" w:hAnsi="宋体" w:cs="宋体"/>
          <w:color w:val="auto"/>
          <w:sz w:val="24"/>
          <w:highlight w:val="none"/>
          <w:lang w:bidi="zh-CN"/>
        </w:rPr>
        <w:t>万元，属于</w:t>
      </w:r>
      <w:r>
        <w:rPr>
          <w:rFonts w:hint="eastAsia" w:ascii="宋体" w:hAnsi="宋体" w:cs="宋体"/>
          <w:color w:val="auto"/>
          <w:sz w:val="24"/>
          <w:highlight w:val="none"/>
          <w:u w:val="single"/>
          <w:lang w:bidi="zh-CN"/>
        </w:rPr>
        <w:t>（中型企业、小型企业、微型企业）</w:t>
      </w:r>
      <w:r>
        <w:rPr>
          <w:rFonts w:hint="eastAsia" w:ascii="宋体" w:hAnsi="宋体" w:cs="宋体"/>
          <w:color w:val="auto"/>
          <w:sz w:val="24"/>
          <w:highlight w:val="none"/>
          <w:lang w:bidi="zh-CN"/>
        </w:rPr>
        <w:t>；</w:t>
      </w:r>
    </w:p>
    <w:p w14:paraId="6CADB74F">
      <w:pPr>
        <w:adjustRightInd w:val="0"/>
        <w:snapToGrid w:val="0"/>
        <w:spacing w:line="360" w:lineRule="auto"/>
        <w:outlineLvl w:val="0"/>
        <w:rPr>
          <w:rFonts w:ascii="宋体" w:hAnsi="宋体" w:cs="宋体"/>
          <w:color w:val="auto"/>
          <w:sz w:val="24"/>
          <w:highlight w:val="none"/>
          <w:lang w:bidi="zh-CN"/>
        </w:rPr>
      </w:pPr>
      <w:r>
        <w:rPr>
          <w:rFonts w:hint="eastAsia" w:ascii="宋体" w:hAnsi="宋体" w:cs="宋体"/>
          <w:color w:val="auto"/>
          <w:sz w:val="24"/>
          <w:highlight w:val="none"/>
          <w:lang w:bidi="zh-CN"/>
        </w:rPr>
        <w:t>2.</w:t>
      </w:r>
      <w:r>
        <w:rPr>
          <w:rFonts w:hint="eastAsia" w:ascii="宋体" w:hAnsi="宋体" w:cs="宋体"/>
          <w:color w:val="auto"/>
          <w:sz w:val="24"/>
          <w:highlight w:val="none"/>
          <w:u w:val="single"/>
          <w:lang w:bidi="zh-CN"/>
        </w:rPr>
        <w:t>（标的名称）</w:t>
      </w:r>
      <w:r>
        <w:rPr>
          <w:rFonts w:hint="eastAsia" w:ascii="宋体" w:hAnsi="宋体" w:cs="宋体"/>
          <w:color w:val="auto"/>
          <w:sz w:val="24"/>
          <w:highlight w:val="none"/>
          <w:lang w:bidi="zh-CN"/>
        </w:rPr>
        <w:t>，属于（</w:t>
      </w:r>
      <w:r>
        <w:rPr>
          <w:rFonts w:hint="eastAsia" w:ascii="宋体" w:hAnsi="宋体" w:cs="宋体"/>
          <w:color w:val="auto"/>
          <w:sz w:val="24"/>
          <w:highlight w:val="none"/>
          <w:u w:val="single"/>
          <w:lang w:bidi="zh-CN"/>
        </w:rPr>
        <w:t>所属行业）</w:t>
      </w:r>
      <w:r>
        <w:rPr>
          <w:rFonts w:hint="eastAsia" w:ascii="宋体" w:hAnsi="宋体" w:cs="宋体"/>
          <w:color w:val="auto"/>
          <w:sz w:val="24"/>
          <w:highlight w:val="none"/>
          <w:lang w:bidi="zh-CN"/>
        </w:rPr>
        <w:t>；承建（承接）企业为</w:t>
      </w:r>
      <w:r>
        <w:rPr>
          <w:rFonts w:hint="eastAsia" w:ascii="宋体" w:hAnsi="宋体" w:cs="宋体"/>
          <w:color w:val="auto"/>
          <w:sz w:val="24"/>
          <w:highlight w:val="none"/>
          <w:u w:val="single"/>
          <w:lang w:bidi="zh-CN"/>
        </w:rPr>
        <w:t>（企业名称）</w:t>
      </w:r>
      <w:r>
        <w:rPr>
          <w:rFonts w:hint="eastAsia" w:ascii="宋体" w:hAnsi="宋体" w:cs="宋体"/>
          <w:color w:val="auto"/>
          <w:sz w:val="24"/>
          <w:highlight w:val="none"/>
          <w:lang w:bidi="zh-CN"/>
        </w:rPr>
        <w:t>，从业人员</w:t>
      </w:r>
      <w:r>
        <w:rPr>
          <w:rFonts w:hint="eastAsia" w:ascii="宋体" w:hAnsi="宋体" w:cs="宋体"/>
          <w:color w:val="auto"/>
          <w:sz w:val="24"/>
          <w:highlight w:val="none"/>
          <w:u w:val="single"/>
          <w:lang w:bidi="zh-CN"/>
        </w:rPr>
        <w:tab/>
      </w:r>
      <w:r>
        <w:rPr>
          <w:rFonts w:hint="eastAsia" w:ascii="宋体" w:hAnsi="宋体" w:cs="宋体"/>
          <w:color w:val="auto"/>
          <w:sz w:val="24"/>
          <w:highlight w:val="none"/>
          <w:lang w:bidi="zh-CN"/>
        </w:rPr>
        <w:t>人，营业收入为</w:t>
      </w:r>
      <w:r>
        <w:rPr>
          <w:rFonts w:hint="eastAsia" w:ascii="宋体" w:hAnsi="宋体" w:cs="宋体"/>
          <w:color w:val="auto"/>
          <w:sz w:val="24"/>
          <w:highlight w:val="none"/>
          <w:u w:val="single"/>
          <w:lang w:bidi="zh-CN"/>
        </w:rPr>
        <w:tab/>
      </w:r>
      <w:r>
        <w:rPr>
          <w:rFonts w:hint="eastAsia" w:ascii="宋体" w:hAnsi="宋体" w:cs="宋体"/>
          <w:color w:val="auto"/>
          <w:sz w:val="24"/>
          <w:highlight w:val="none"/>
          <w:lang w:bidi="zh-CN"/>
        </w:rPr>
        <w:t>万元，资产总额为</w:t>
      </w:r>
      <w:r>
        <w:rPr>
          <w:rFonts w:hint="eastAsia" w:ascii="宋体" w:hAnsi="宋体" w:cs="宋体"/>
          <w:color w:val="auto"/>
          <w:sz w:val="24"/>
          <w:highlight w:val="none"/>
          <w:u w:val="single"/>
          <w:lang w:bidi="zh-CN"/>
        </w:rPr>
        <w:tab/>
      </w:r>
      <w:r>
        <w:rPr>
          <w:rFonts w:hint="eastAsia" w:ascii="宋体" w:hAnsi="宋体" w:cs="宋体"/>
          <w:color w:val="auto"/>
          <w:sz w:val="24"/>
          <w:highlight w:val="none"/>
          <w:lang w:bidi="zh-CN"/>
        </w:rPr>
        <w:t>万元，属于</w:t>
      </w:r>
      <w:r>
        <w:rPr>
          <w:rFonts w:hint="eastAsia" w:ascii="宋体" w:hAnsi="宋体" w:cs="宋体"/>
          <w:color w:val="auto"/>
          <w:sz w:val="24"/>
          <w:highlight w:val="none"/>
          <w:u w:val="single"/>
          <w:lang w:bidi="zh-CN"/>
        </w:rPr>
        <w:t>（中型企业、小型企业、微型企业）</w:t>
      </w:r>
      <w:r>
        <w:rPr>
          <w:rFonts w:hint="eastAsia" w:ascii="宋体" w:hAnsi="宋体" w:cs="宋体"/>
          <w:color w:val="auto"/>
          <w:sz w:val="24"/>
          <w:highlight w:val="none"/>
          <w:lang w:bidi="zh-CN"/>
        </w:rPr>
        <w:t>；</w:t>
      </w:r>
    </w:p>
    <w:p w14:paraId="46F3180B">
      <w:pPr>
        <w:adjustRightInd w:val="0"/>
        <w:snapToGrid w:val="0"/>
        <w:spacing w:line="360" w:lineRule="auto"/>
        <w:outlineLvl w:val="0"/>
        <w:rPr>
          <w:rFonts w:ascii="宋体" w:hAnsi="宋体" w:cs="宋体"/>
          <w:color w:val="auto"/>
          <w:sz w:val="24"/>
          <w:highlight w:val="none"/>
          <w:lang w:bidi="zh-CN"/>
        </w:rPr>
      </w:pPr>
      <w:r>
        <w:rPr>
          <w:rFonts w:hint="eastAsia" w:ascii="宋体" w:hAnsi="宋体" w:cs="宋体"/>
          <w:color w:val="auto"/>
          <w:sz w:val="24"/>
          <w:highlight w:val="none"/>
          <w:lang w:bidi="zh-CN"/>
        </w:rPr>
        <w:t>……</w:t>
      </w:r>
    </w:p>
    <w:p w14:paraId="6DADE60E">
      <w:pPr>
        <w:adjustRightInd w:val="0"/>
        <w:snapToGrid w:val="0"/>
        <w:spacing w:line="360" w:lineRule="auto"/>
        <w:ind w:firstLine="480" w:firstLineChars="200"/>
        <w:outlineLvl w:val="0"/>
        <w:rPr>
          <w:rFonts w:ascii="宋体" w:hAnsi="宋体" w:cs="宋体"/>
          <w:color w:val="auto"/>
          <w:sz w:val="24"/>
          <w:highlight w:val="none"/>
          <w:lang w:bidi="zh-CN"/>
        </w:rPr>
      </w:pPr>
      <w:r>
        <w:rPr>
          <w:rFonts w:hint="eastAsia" w:ascii="宋体" w:hAnsi="宋体" w:cs="宋体"/>
          <w:color w:val="auto"/>
          <w:sz w:val="24"/>
          <w:highlight w:val="none"/>
          <w:lang w:bidi="zh-CN"/>
        </w:rPr>
        <w:t>以上企业，不属于大企业的分支机构，不存在控股股东为大企业的情形，也不存在与大企业的负责人为同一人的情形。</w:t>
      </w:r>
    </w:p>
    <w:p w14:paraId="2C6A5743">
      <w:pPr>
        <w:adjustRightInd w:val="0"/>
        <w:snapToGrid w:val="0"/>
        <w:spacing w:line="360" w:lineRule="auto"/>
        <w:ind w:firstLine="480" w:firstLineChars="200"/>
        <w:outlineLvl w:val="0"/>
        <w:rPr>
          <w:rFonts w:ascii="宋体" w:hAnsi="宋体" w:cs="宋体"/>
          <w:color w:val="auto"/>
          <w:sz w:val="24"/>
          <w:highlight w:val="none"/>
          <w:lang w:bidi="zh-CN"/>
        </w:rPr>
      </w:pPr>
      <w:r>
        <w:rPr>
          <w:rFonts w:hint="eastAsia" w:ascii="宋体" w:hAnsi="宋体" w:cs="宋体"/>
          <w:color w:val="auto"/>
          <w:sz w:val="24"/>
          <w:highlight w:val="none"/>
          <w:lang w:bidi="zh-CN"/>
        </w:rPr>
        <w:t>本企业对上述声明内容的真实性负责。如有虚假，将依法承担相应责任。</w:t>
      </w:r>
    </w:p>
    <w:p w14:paraId="612EF852">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（备注：1、供应商如不提供此声明函，价格将不做相应扣除。</w:t>
      </w:r>
    </w:p>
    <w:p w14:paraId="3C576812">
      <w:pPr>
        <w:adjustRightInd w:val="0"/>
        <w:snapToGrid w:val="0"/>
        <w:spacing w:line="360" w:lineRule="auto"/>
        <w:ind w:firstLine="960" w:firstLineChars="400"/>
        <w:rPr>
          <w:rFonts w:ascii="宋体" w:hAnsi="宋体" w:cs="宋体"/>
          <w:color w:val="auto"/>
          <w:highlight w:val="none"/>
        </w:rPr>
      </w:pPr>
      <w:r>
        <w:rPr>
          <w:rFonts w:hint="eastAsia" w:ascii="宋体" w:hAnsi="宋体" w:cs="宋体"/>
          <w:color w:val="auto"/>
          <w:sz w:val="24"/>
          <w:highlight w:val="none"/>
          <w:lang w:eastAsia="zh-CN"/>
        </w:rPr>
        <w:t>2.</w:t>
      </w:r>
      <w:r>
        <w:rPr>
          <w:rFonts w:hint="eastAsia" w:ascii="宋体" w:hAnsi="宋体" w:cs="宋体"/>
          <w:color w:val="auto"/>
          <w:sz w:val="24"/>
          <w:highlight w:val="none"/>
        </w:rPr>
        <w:t>中标或成交供应商为小型、微型单位的，此声明函将随中标或成交结果同时公告，接受社会监督。）</w:t>
      </w:r>
    </w:p>
    <w:p w14:paraId="172C013D">
      <w:pPr>
        <w:adjustRightInd w:val="0"/>
        <w:snapToGrid w:val="0"/>
        <w:spacing w:line="360" w:lineRule="auto"/>
        <w:outlineLvl w:val="0"/>
        <w:rPr>
          <w:rFonts w:ascii="宋体" w:hAnsi="宋体" w:cs="宋体"/>
          <w:color w:val="auto"/>
          <w:sz w:val="24"/>
          <w:highlight w:val="none"/>
          <w:lang w:bidi="zh-CN"/>
        </w:rPr>
      </w:pPr>
    </w:p>
    <w:p w14:paraId="20D1643E">
      <w:pPr>
        <w:adjustRightInd w:val="0"/>
        <w:snapToGrid w:val="0"/>
        <w:spacing w:line="360" w:lineRule="auto"/>
        <w:outlineLvl w:val="0"/>
        <w:rPr>
          <w:rFonts w:ascii="宋体" w:hAnsi="宋体" w:cs="宋体"/>
          <w:color w:val="auto"/>
          <w:sz w:val="24"/>
          <w:highlight w:val="none"/>
          <w:lang w:bidi="zh-CN"/>
        </w:rPr>
      </w:pPr>
    </w:p>
    <w:p w14:paraId="3E33CC95">
      <w:pPr>
        <w:adjustRightInd w:val="0"/>
        <w:snapToGrid w:val="0"/>
        <w:spacing w:line="360" w:lineRule="auto"/>
        <w:ind w:firstLine="4200" w:firstLineChars="1750"/>
        <w:outlineLvl w:val="0"/>
        <w:rPr>
          <w:rFonts w:ascii="宋体" w:hAnsi="宋体" w:cs="宋体"/>
          <w:color w:val="auto"/>
          <w:sz w:val="24"/>
          <w:highlight w:val="none"/>
          <w:lang w:bidi="zh-CN"/>
        </w:rPr>
      </w:pPr>
      <w:r>
        <w:rPr>
          <w:rFonts w:hint="eastAsia" w:ascii="宋体" w:hAnsi="宋体" w:cs="宋体"/>
          <w:color w:val="auto"/>
          <w:sz w:val="24"/>
          <w:highlight w:val="none"/>
          <w:lang w:bidi="zh-CN"/>
        </w:rPr>
        <w:t>企业名称（盖章）：</w:t>
      </w:r>
    </w:p>
    <w:p w14:paraId="5F2D6BC5">
      <w:pPr>
        <w:spacing w:line="300" w:lineRule="auto"/>
        <w:ind w:firstLine="4200" w:firstLineChars="1750"/>
        <w:outlineLvl w:val="0"/>
        <w:rPr>
          <w:rFonts w:ascii="宋体" w:hAnsi="宋体" w:cs="宋体"/>
          <w:color w:val="auto"/>
          <w:sz w:val="24"/>
          <w:highlight w:val="none"/>
          <w:lang w:bidi="zh-CN"/>
        </w:rPr>
      </w:pPr>
      <w:r>
        <w:rPr>
          <w:rFonts w:hint="eastAsia" w:ascii="宋体" w:hAnsi="宋体" w:cs="宋体"/>
          <w:color w:val="auto"/>
          <w:sz w:val="24"/>
          <w:highlight w:val="none"/>
          <w:lang w:bidi="zh-CN"/>
        </w:rPr>
        <w:t>日期：</w:t>
      </w:r>
    </w:p>
    <w:p w14:paraId="73BEE34D">
      <w:pPr>
        <w:spacing w:line="560" w:lineRule="exact"/>
        <w:ind w:firstLine="240" w:firstLineChars="100"/>
        <w:rPr>
          <w:rFonts w:ascii="宋体" w:hAnsi="宋体" w:cs="宋体"/>
          <w:color w:val="auto"/>
          <w:sz w:val="24"/>
          <w:highlight w:val="none"/>
        </w:rPr>
      </w:pPr>
    </w:p>
    <w:p w14:paraId="59C31B37">
      <w:pPr>
        <w:spacing w:line="300" w:lineRule="auto"/>
        <w:contextualSpacing/>
        <w:rPr>
          <w:rFonts w:ascii="宋体" w:hAnsi="宋体" w:cs="宋体"/>
          <w:color w:val="auto"/>
          <w:sz w:val="24"/>
          <w:highlight w:val="none"/>
        </w:rPr>
      </w:pPr>
    </w:p>
    <w:p w14:paraId="6546B325">
      <w:pPr>
        <w:spacing w:line="60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br w:type="page"/>
      </w:r>
      <w:r>
        <w:rPr>
          <w:rFonts w:hint="eastAsia" w:ascii="宋体" w:hAnsi="宋体" w:cs="宋体"/>
          <w:b/>
          <w:color w:val="auto"/>
          <w:sz w:val="32"/>
          <w:szCs w:val="32"/>
          <w:highlight w:val="none"/>
        </w:rPr>
        <w:t>残疾人福利性单位声明函</w:t>
      </w:r>
    </w:p>
    <w:p w14:paraId="52108F07">
      <w:pPr>
        <w:spacing w:line="588"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中国残疾人联合会关于促进残疾人就业政府采购政策的通知》（财库〔2017〕141号）的规定，本单位为符合条件的残疾人福利性单位，且本单位参加______单位的项目编号为______的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49F12619">
      <w:pPr>
        <w:spacing w:line="588"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1E03B3F8">
      <w:pPr>
        <w:spacing w:line="588"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（备注：1、供应商如不提供此声明函，价格将不做相应扣除。</w:t>
      </w:r>
    </w:p>
    <w:p w14:paraId="41D733C3">
      <w:pPr>
        <w:spacing w:line="588" w:lineRule="exact"/>
        <w:ind w:firstLine="1440" w:firstLineChars="600"/>
        <w:rPr>
          <w:rFonts w:ascii="宋体" w:hAnsi="宋体" w:cs="宋体"/>
          <w:color w:val="auto"/>
          <w:sz w:val="24"/>
          <w:highlight w:val="none"/>
        </w:rPr>
      </w:pPr>
      <w:r>
        <w:rPr>
          <w:rFonts w:hint="eastAsia" w:ascii="宋体" w:hAnsi="宋体" w:cs="宋体"/>
          <w:color w:val="auto"/>
          <w:sz w:val="24"/>
          <w:highlight w:val="none"/>
          <w:lang w:eastAsia="zh-CN"/>
        </w:rPr>
        <w:t>2.</w:t>
      </w:r>
      <w:r>
        <w:rPr>
          <w:rFonts w:hint="eastAsia" w:ascii="宋体" w:hAnsi="宋体" w:cs="宋体"/>
          <w:color w:val="auto"/>
          <w:sz w:val="24"/>
          <w:highlight w:val="none"/>
        </w:rPr>
        <w:t>中标或成交供应商为残疾人福利单位的，此声明函将随中标或成交结果同时公告，接受社会监督）</w:t>
      </w:r>
    </w:p>
    <w:p w14:paraId="3A0DC3F5">
      <w:pPr>
        <w:spacing w:line="588" w:lineRule="exact"/>
        <w:ind w:firstLine="480" w:firstLineChars="200"/>
        <w:rPr>
          <w:rFonts w:ascii="宋体" w:hAnsi="宋体" w:cs="宋体"/>
          <w:color w:val="auto"/>
          <w:sz w:val="24"/>
          <w:highlight w:val="none"/>
        </w:rPr>
      </w:pPr>
    </w:p>
    <w:p w14:paraId="401C1E8E">
      <w:pPr>
        <w:tabs>
          <w:tab w:val="left" w:pos="4860"/>
        </w:tabs>
        <w:spacing w:line="588" w:lineRule="exact"/>
        <w:ind w:right="1560"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供应商全称（盖章）：</w:t>
      </w:r>
    </w:p>
    <w:p w14:paraId="404890E8">
      <w:pPr>
        <w:tabs>
          <w:tab w:val="left" w:pos="4860"/>
        </w:tabs>
        <w:spacing w:line="588" w:lineRule="exact"/>
        <w:ind w:right="1560"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日  期：</w:t>
      </w:r>
    </w:p>
    <w:p w14:paraId="2F907B92">
      <w:pPr>
        <w:spacing w:line="420" w:lineRule="exact"/>
        <w:jc w:val="center"/>
        <w:outlineLvl w:val="2"/>
        <w:rPr>
          <w:rFonts w:ascii="宋体" w:hAnsi="宋体" w:cs="宋体"/>
          <w:b/>
          <w:bCs/>
          <w:color w:val="auto"/>
          <w:sz w:val="32"/>
          <w:szCs w:val="32"/>
          <w:highlight w:val="none"/>
        </w:rPr>
      </w:pPr>
      <w:r>
        <w:rPr>
          <w:rFonts w:hint="eastAsia" w:ascii="宋体" w:hAnsi="宋体" w:cs="宋体"/>
          <w:b/>
          <w:bCs/>
          <w:color w:val="auto"/>
          <w:sz w:val="32"/>
          <w:szCs w:val="32"/>
          <w:highlight w:val="none"/>
        </w:rPr>
        <w:br w:type="page"/>
      </w:r>
      <w:r>
        <w:rPr>
          <w:rFonts w:hint="eastAsia" w:ascii="宋体" w:hAnsi="宋体" w:cs="宋体"/>
          <w:b/>
          <w:bCs/>
          <w:color w:val="auto"/>
          <w:sz w:val="32"/>
          <w:szCs w:val="32"/>
          <w:highlight w:val="none"/>
        </w:rPr>
        <w:t>监狱和戒毒企业证明材料</w:t>
      </w:r>
    </w:p>
    <w:p w14:paraId="35823D06">
      <w:pPr>
        <w:spacing w:line="420" w:lineRule="exact"/>
        <w:ind w:firstLine="495" w:firstLineChars="177"/>
        <w:rPr>
          <w:rFonts w:ascii="宋体" w:hAnsi="宋体" w:cs="宋体"/>
          <w:color w:val="auto"/>
          <w:sz w:val="28"/>
          <w:szCs w:val="28"/>
          <w:highlight w:val="none"/>
        </w:rPr>
      </w:pPr>
    </w:p>
    <w:p w14:paraId="36E28C5C">
      <w:pPr>
        <w:spacing w:line="420" w:lineRule="exact"/>
        <w:ind w:firstLine="426" w:firstLineChars="177"/>
        <w:jc w:val="center"/>
        <w:rPr>
          <w:rFonts w:ascii="宋体" w:hAnsi="宋体" w:cs="宋体"/>
          <w:b/>
          <w:color w:val="auto"/>
          <w:sz w:val="24"/>
          <w:highlight w:val="none"/>
        </w:rPr>
      </w:pPr>
      <w:r>
        <w:rPr>
          <w:rFonts w:hint="eastAsia" w:ascii="宋体" w:hAnsi="宋体" w:cs="宋体"/>
          <w:b/>
          <w:color w:val="auto"/>
          <w:sz w:val="24"/>
          <w:highlight w:val="none"/>
        </w:rPr>
        <w:t>（格式自拟）</w:t>
      </w:r>
    </w:p>
    <w:p w14:paraId="7C04F26F">
      <w:pPr>
        <w:spacing w:line="420" w:lineRule="exact"/>
        <w:ind w:firstLine="424" w:firstLineChars="177"/>
        <w:rPr>
          <w:rFonts w:ascii="宋体" w:hAnsi="宋体" w:cs="宋体"/>
          <w:color w:val="auto"/>
          <w:sz w:val="24"/>
          <w:highlight w:val="none"/>
        </w:rPr>
      </w:pPr>
    </w:p>
    <w:p w14:paraId="5F9E66F0">
      <w:pPr>
        <w:spacing w:line="420" w:lineRule="exact"/>
        <w:ind w:firstLine="566" w:firstLineChars="236"/>
        <w:rPr>
          <w:rFonts w:ascii="宋体" w:hAnsi="宋体" w:cs="宋体"/>
          <w:color w:val="auto"/>
          <w:sz w:val="24"/>
          <w:highlight w:val="none"/>
        </w:rPr>
      </w:pPr>
      <w:r>
        <w:rPr>
          <w:rFonts w:hint="eastAsia" w:ascii="宋体" w:hAnsi="宋体" w:cs="宋体"/>
          <w:color w:val="auto"/>
          <w:sz w:val="24"/>
          <w:highlight w:val="none"/>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7806BAFC">
      <w:pPr>
        <w:spacing w:line="300" w:lineRule="auto"/>
        <w:contextualSpacing/>
        <w:rPr>
          <w:rFonts w:ascii="宋体" w:hAnsi="宋体" w:cs="宋体"/>
          <w:b/>
          <w:bCs/>
          <w:color w:val="auto"/>
          <w:sz w:val="24"/>
          <w:highlight w:val="none"/>
        </w:rPr>
      </w:pPr>
    </w:p>
    <w:p w14:paraId="2A2076A6">
      <w:pPr>
        <w:kinsoku w:val="0"/>
        <w:topLinePunct/>
        <w:spacing w:line="420" w:lineRule="exact"/>
        <w:jc w:val="center"/>
        <w:rPr>
          <w:rFonts w:ascii="宋体" w:hAnsi="宋体" w:cs="宋体"/>
          <w:color w:val="auto"/>
          <w:sz w:val="24"/>
          <w:highlight w:val="none"/>
        </w:rPr>
      </w:pPr>
    </w:p>
    <w:p w14:paraId="1F448FDF">
      <w:pPr>
        <w:adjustRightInd w:val="0"/>
        <w:snapToGrid w:val="0"/>
        <w:spacing w:line="360" w:lineRule="auto"/>
        <w:jc w:val="left"/>
        <w:rPr>
          <w:rFonts w:ascii="宋体" w:hAnsi="宋体" w:cs="宋体"/>
          <w:color w:val="auto"/>
          <w:sz w:val="24"/>
          <w:highlight w:val="none"/>
        </w:rPr>
      </w:pPr>
    </w:p>
    <w:p w14:paraId="56B0C308">
      <w:pPr>
        <w:rPr>
          <w:rFonts w:ascii="宋体" w:hAnsi="宋体" w:cs="宋体"/>
          <w:b/>
          <w:bCs/>
          <w:color w:val="auto"/>
          <w:sz w:val="24"/>
          <w:highlight w:val="none"/>
        </w:rPr>
      </w:pPr>
    </w:p>
    <w:sectPr>
      <w:pgSz w:w="11905" w:h="16838"/>
      <w:pgMar w:top="1429" w:right="1429" w:bottom="1429" w:left="1429" w:header="850" w:footer="992" w:gutter="0"/>
      <w:cols w:space="0" w:num="1"/>
      <w:rtlGutter w:val="0"/>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Times New Roman Regular">
    <w:altName w:val="Times New Roman"/>
    <w:panose1 w:val="02020503050405090304"/>
    <w:charset w:val="00"/>
    <w:family w:val="auto"/>
    <w:pitch w:val="default"/>
    <w:sig w:usb0="00000000" w:usb1="00000000" w:usb2="00000001" w:usb3="00000000" w:csb0="400001BF" w:csb1="DF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0264F">
    <w:pPr>
      <w:pStyle w:val="1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8369"/>
                          </w:sdtPr>
                          <w:sdtContent>
                            <w:p w14:paraId="5DFAD13B">
                              <w:pPr>
                                <w:pStyle w:val="13"/>
                                <w:jc w:val="center"/>
                              </w:pPr>
                              <w:r>
                                <w:fldChar w:fldCharType="begin"/>
                              </w:r>
                              <w:r>
                                <w:instrText xml:space="preserve">PAGE   \* MERGEFORMAT</w:instrText>
                              </w:r>
                              <w:r>
                                <w:fldChar w:fldCharType="separate"/>
                              </w:r>
                              <w:r>
                                <w:rPr>
                                  <w:lang w:val="zh-CN"/>
                                </w:rPr>
                                <w:t>3</w:t>
                              </w:r>
                              <w:r>
                                <w:rPr>
                                  <w:lang w:val="zh-CN"/>
                                </w:rPr>
                                <w:fldChar w:fldCharType="end"/>
                              </w:r>
                            </w:p>
                          </w:sdtContent>
                        </w:sdt>
                        <w:p w14:paraId="3BAE3A11">
                          <w:pPr>
                            <w:pStyle w:val="6"/>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147478369"/>
                    </w:sdtPr>
                    <w:sdtContent>
                      <w:p w14:paraId="5DFAD13B">
                        <w:pPr>
                          <w:pStyle w:val="13"/>
                          <w:jc w:val="center"/>
                        </w:pPr>
                        <w:r>
                          <w:fldChar w:fldCharType="begin"/>
                        </w:r>
                        <w:r>
                          <w:instrText xml:space="preserve">PAGE   \* MERGEFORMAT</w:instrText>
                        </w:r>
                        <w:r>
                          <w:fldChar w:fldCharType="separate"/>
                        </w:r>
                        <w:r>
                          <w:rPr>
                            <w:lang w:val="zh-CN"/>
                          </w:rPr>
                          <w:t>3</w:t>
                        </w:r>
                        <w:r>
                          <w:rPr>
                            <w:lang w:val="zh-CN"/>
                          </w:rPr>
                          <w:fldChar w:fldCharType="end"/>
                        </w:r>
                      </w:p>
                    </w:sdtContent>
                  </w:sdt>
                  <w:p w14:paraId="3BAE3A11">
                    <w:pPr>
                      <w:pStyle w:val="6"/>
                    </w:pPr>
                  </w:p>
                </w:txbxContent>
              </v:textbox>
            </v:shape>
          </w:pict>
        </mc:Fallback>
      </mc:AlternateContent>
    </w:r>
  </w:p>
  <w:p w14:paraId="0C27AA4E">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7B1D4">
    <w:pPr>
      <w:pStyle w:val="60"/>
      <w:jc w:val="center"/>
      <w:rPr>
        <w:b/>
        <w:i/>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BA846D">
                          <w:pPr>
                            <w:pStyle w:val="13"/>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8BA846D">
                    <w:pPr>
                      <w:pStyle w:val="13"/>
                    </w:pPr>
                    <w:r>
                      <w:fldChar w:fldCharType="begin"/>
                    </w:r>
                    <w:r>
                      <w:instrText xml:space="preserve"> PAGE  \* MERGEFORMAT </w:instrText>
                    </w:r>
                    <w:r>
                      <w:fldChar w:fldCharType="separate"/>
                    </w:r>
                    <w:r>
                      <w:t>20</w:t>
                    </w:r>
                    <w:r>
                      <w:fldChar w:fldCharType="end"/>
                    </w:r>
                  </w:p>
                </w:txbxContent>
              </v:textbox>
            </v:shape>
          </w:pict>
        </mc:Fallback>
      </mc:AlternateContent>
    </w:r>
    <w:r>
      <w:rPr>
        <w:b/>
        <w:i/>
        <w:sz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903E4">
    <w:pPr>
      <w:pStyle w:val="13"/>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6041"/>
                          </w:sdtPr>
                          <w:sdtContent>
                            <w:p w14:paraId="3FE07AA6">
                              <w:pPr>
                                <w:pStyle w:val="13"/>
                                <w:jc w:val="center"/>
                              </w:pPr>
                              <w:r>
                                <w:fldChar w:fldCharType="begin"/>
                              </w:r>
                              <w:r>
                                <w:instrText xml:space="preserve">PAGE   \* MERGEFORMAT</w:instrText>
                              </w:r>
                              <w:r>
                                <w:fldChar w:fldCharType="separate"/>
                              </w:r>
                              <w:r>
                                <w:rPr>
                                  <w:lang w:val="zh-CN"/>
                                </w:rPr>
                                <w:t>66</w:t>
                              </w:r>
                              <w:r>
                                <w:rPr>
                                  <w:lang w:val="zh-CN"/>
                                </w:rPr>
                                <w:fldChar w:fldCharType="end"/>
                              </w:r>
                            </w:p>
                          </w:sdtContent>
                        </w:sdt>
                        <w:p w14:paraId="00080F74">
                          <w:pPr>
                            <w:pStyle w:val="6"/>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sdt>
                    <w:sdtPr>
                      <w:id w:val="147476041"/>
                    </w:sdtPr>
                    <w:sdtContent>
                      <w:p w14:paraId="3FE07AA6">
                        <w:pPr>
                          <w:pStyle w:val="13"/>
                          <w:jc w:val="center"/>
                        </w:pPr>
                        <w:r>
                          <w:fldChar w:fldCharType="begin"/>
                        </w:r>
                        <w:r>
                          <w:instrText xml:space="preserve">PAGE   \* MERGEFORMAT</w:instrText>
                        </w:r>
                        <w:r>
                          <w:fldChar w:fldCharType="separate"/>
                        </w:r>
                        <w:r>
                          <w:rPr>
                            <w:lang w:val="zh-CN"/>
                          </w:rPr>
                          <w:t>66</w:t>
                        </w:r>
                        <w:r>
                          <w:rPr>
                            <w:lang w:val="zh-CN"/>
                          </w:rPr>
                          <w:fldChar w:fldCharType="end"/>
                        </w:r>
                      </w:p>
                    </w:sdtContent>
                  </w:sdt>
                  <w:p w14:paraId="00080F74">
                    <w:pPr>
                      <w:pStyle w:val="6"/>
                    </w:pPr>
                  </w:p>
                </w:txbxContent>
              </v:textbox>
            </v:shape>
          </w:pict>
        </mc:Fallback>
      </mc:AlternateContent>
    </w:r>
  </w:p>
  <w:p w14:paraId="49EC431A">
    <w:pPr>
      <w:pStyle w:val="1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0EA4D4"/>
    <w:multiLevelType w:val="singleLevel"/>
    <w:tmpl w:val="160EA4D4"/>
    <w:lvl w:ilvl="0" w:tentative="0">
      <w:start w:val="8"/>
      <w:numFmt w:val="chineseCounting"/>
      <w:suff w:val="nothing"/>
      <w:lvlText w:val="%1、"/>
      <w:lvlJc w:val="left"/>
      <w:rPr>
        <w:rFonts w:hint="eastAsia"/>
      </w:rPr>
    </w:lvl>
  </w:abstractNum>
  <w:abstractNum w:abstractNumId="1">
    <w:nsid w:val="2472CD72"/>
    <w:multiLevelType w:val="singleLevel"/>
    <w:tmpl w:val="2472CD72"/>
    <w:lvl w:ilvl="0" w:tentative="0">
      <w:start w:val="1"/>
      <w:numFmt w:val="decimal"/>
      <w:lvlText w:val="%1."/>
      <w:lvlJc w:val="left"/>
      <w:pPr>
        <w:ind w:left="851" w:hanging="425"/>
      </w:pPr>
      <w:rPr>
        <w:rFonts w:hint="default" w:cs="Times New Roman"/>
      </w:rPr>
    </w:lvl>
  </w:abstractNum>
  <w:abstractNum w:abstractNumId="2">
    <w:nsid w:val="7C30D000"/>
    <w:multiLevelType w:val="singleLevel"/>
    <w:tmpl w:val="7C30D000"/>
    <w:lvl w:ilvl="0" w:tentative="0">
      <w:start w:val="5"/>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xNTFmN2NlZTk0MGQ1OTkxM2M1ZDNhNDkyN2Q1NDcifQ=="/>
    <w:docVar w:name="KSO_WPS_MARK_KEY" w:val="b0289b24-6483-461c-b282-0aac915c9090"/>
  </w:docVars>
  <w:rsids>
    <w:rsidRoot w:val="004E6A01"/>
    <w:rsid w:val="000013E2"/>
    <w:rsid w:val="00004814"/>
    <w:rsid w:val="00004F3A"/>
    <w:rsid w:val="000059C0"/>
    <w:rsid w:val="00007897"/>
    <w:rsid w:val="0002042E"/>
    <w:rsid w:val="00021F9F"/>
    <w:rsid w:val="000251AD"/>
    <w:rsid w:val="000251B3"/>
    <w:rsid w:val="000275F4"/>
    <w:rsid w:val="00033299"/>
    <w:rsid w:val="00035CD1"/>
    <w:rsid w:val="000362E9"/>
    <w:rsid w:val="00037EF2"/>
    <w:rsid w:val="000451EC"/>
    <w:rsid w:val="000451F8"/>
    <w:rsid w:val="0004657F"/>
    <w:rsid w:val="000520D9"/>
    <w:rsid w:val="00057671"/>
    <w:rsid w:val="000713C9"/>
    <w:rsid w:val="00072281"/>
    <w:rsid w:val="00072F28"/>
    <w:rsid w:val="00072F70"/>
    <w:rsid w:val="00076F8C"/>
    <w:rsid w:val="000802EA"/>
    <w:rsid w:val="0008732D"/>
    <w:rsid w:val="00091AD9"/>
    <w:rsid w:val="00095D50"/>
    <w:rsid w:val="000A423C"/>
    <w:rsid w:val="000B3772"/>
    <w:rsid w:val="000F0B73"/>
    <w:rsid w:val="000F3FC3"/>
    <w:rsid w:val="00102152"/>
    <w:rsid w:val="00105CE8"/>
    <w:rsid w:val="001116CB"/>
    <w:rsid w:val="00115F3B"/>
    <w:rsid w:val="00122A27"/>
    <w:rsid w:val="001246E8"/>
    <w:rsid w:val="00126723"/>
    <w:rsid w:val="00126FEF"/>
    <w:rsid w:val="00130D3A"/>
    <w:rsid w:val="00131C02"/>
    <w:rsid w:val="00137126"/>
    <w:rsid w:val="001376C9"/>
    <w:rsid w:val="001414F9"/>
    <w:rsid w:val="00147540"/>
    <w:rsid w:val="00151467"/>
    <w:rsid w:val="00157B7C"/>
    <w:rsid w:val="00170721"/>
    <w:rsid w:val="00173FAB"/>
    <w:rsid w:val="00177979"/>
    <w:rsid w:val="00187179"/>
    <w:rsid w:val="00193017"/>
    <w:rsid w:val="0019491F"/>
    <w:rsid w:val="001A6574"/>
    <w:rsid w:val="001A6D4B"/>
    <w:rsid w:val="001B5DC9"/>
    <w:rsid w:val="001C13AE"/>
    <w:rsid w:val="001C1DCE"/>
    <w:rsid w:val="001C3262"/>
    <w:rsid w:val="001C51EF"/>
    <w:rsid w:val="001C77B5"/>
    <w:rsid w:val="001D64B1"/>
    <w:rsid w:val="001D741F"/>
    <w:rsid w:val="001E071B"/>
    <w:rsid w:val="001E2B68"/>
    <w:rsid w:val="001E6DD3"/>
    <w:rsid w:val="001F036F"/>
    <w:rsid w:val="001F6F5C"/>
    <w:rsid w:val="00200979"/>
    <w:rsid w:val="00201938"/>
    <w:rsid w:val="002063F7"/>
    <w:rsid w:val="00213A61"/>
    <w:rsid w:val="00221D3C"/>
    <w:rsid w:val="00226261"/>
    <w:rsid w:val="00230635"/>
    <w:rsid w:val="002401BF"/>
    <w:rsid w:val="00244B5D"/>
    <w:rsid w:val="0024628A"/>
    <w:rsid w:val="00246366"/>
    <w:rsid w:val="00246E02"/>
    <w:rsid w:val="0025515D"/>
    <w:rsid w:val="002567A9"/>
    <w:rsid w:val="00257115"/>
    <w:rsid w:val="002703F4"/>
    <w:rsid w:val="00283D52"/>
    <w:rsid w:val="00296C3A"/>
    <w:rsid w:val="00297093"/>
    <w:rsid w:val="002A1591"/>
    <w:rsid w:val="002A1AE3"/>
    <w:rsid w:val="002A2058"/>
    <w:rsid w:val="002B339B"/>
    <w:rsid w:val="002C31BD"/>
    <w:rsid w:val="002C51C5"/>
    <w:rsid w:val="002C72B9"/>
    <w:rsid w:val="002D1B82"/>
    <w:rsid w:val="002D351F"/>
    <w:rsid w:val="002D3954"/>
    <w:rsid w:val="002D7740"/>
    <w:rsid w:val="002F07A0"/>
    <w:rsid w:val="002F492E"/>
    <w:rsid w:val="002F6837"/>
    <w:rsid w:val="00313736"/>
    <w:rsid w:val="00323EA0"/>
    <w:rsid w:val="0033190C"/>
    <w:rsid w:val="0033279E"/>
    <w:rsid w:val="00333502"/>
    <w:rsid w:val="0034337F"/>
    <w:rsid w:val="003437AF"/>
    <w:rsid w:val="00343952"/>
    <w:rsid w:val="003449B5"/>
    <w:rsid w:val="00345F37"/>
    <w:rsid w:val="003552F3"/>
    <w:rsid w:val="00361633"/>
    <w:rsid w:val="00365957"/>
    <w:rsid w:val="00367C8A"/>
    <w:rsid w:val="0037423D"/>
    <w:rsid w:val="00374855"/>
    <w:rsid w:val="003779F2"/>
    <w:rsid w:val="00383624"/>
    <w:rsid w:val="00384813"/>
    <w:rsid w:val="00385790"/>
    <w:rsid w:val="003865A4"/>
    <w:rsid w:val="003869DB"/>
    <w:rsid w:val="00386E22"/>
    <w:rsid w:val="00393094"/>
    <w:rsid w:val="003947AA"/>
    <w:rsid w:val="00396B48"/>
    <w:rsid w:val="003A0035"/>
    <w:rsid w:val="003A7D38"/>
    <w:rsid w:val="003B2F06"/>
    <w:rsid w:val="003B5AA3"/>
    <w:rsid w:val="003B7FBB"/>
    <w:rsid w:val="003C2A41"/>
    <w:rsid w:val="003C6BD4"/>
    <w:rsid w:val="003D2A3D"/>
    <w:rsid w:val="003E170B"/>
    <w:rsid w:val="003E1F92"/>
    <w:rsid w:val="003E46C9"/>
    <w:rsid w:val="003E5033"/>
    <w:rsid w:val="003E5F8F"/>
    <w:rsid w:val="003E727E"/>
    <w:rsid w:val="003F41E2"/>
    <w:rsid w:val="003F4952"/>
    <w:rsid w:val="003F4EE6"/>
    <w:rsid w:val="004055DC"/>
    <w:rsid w:val="0041349D"/>
    <w:rsid w:val="004212D6"/>
    <w:rsid w:val="00421A34"/>
    <w:rsid w:val="00433757"/>
    <w:rsid w:val="00441C87"/>
    <w:rsid w:val="00443D65"/>
    <w:rsid w:val="004444F9"/>
    <w:rsid w:val="0044468D"/>
    <w:rsid w:val="00455FE9"/>
    <w:rsid w:val="004572BC"/>
    <w:rsid w:val="004633D9"/>
    <w:rsid w:val="00472C32"/>
    <w:rsid w:val="0047530F"/>
    <w:rsid w:val="004822C9"/>
    <w:rsid w:val="00490034"/>
    <w:rsid w:val="00490C60"/>
    <w:rsid w:val="00493EC7"/>
    <w:rsid w:val="00495630"/>
    <w:rsid w:val="004A2FCB"/>
    <w:rsid w:val="004A30E5"/>
    <w:rsid w:val="004A4849"/>
    <w:rsid w:val="004A640F"/>
    <w:rsid w:val="004B2F8E"/>
    <w:rsid w:val="004B64BB"/>
    <w:rsid w:val="004C082D"/>
    <w:rsid w:val="004D3837"/>
    <w:rsid w:val="004D3D61"/>
    <w:rsid w:val="004D65F2"/>
    <w:rsid w:val="004D7F0F"/>
    <w:rsid w:val="004E6A01"/>
    <w:rsid w:val="004E736C"/>
    <w:rsid w:val="004F3D25"/>
    <w:rsid w:val="004F7946"/>
    <w:rsid w:val="00505E24"/>
    <w:rsid w:val="00506000"/>
    <w:rsid w:val="00507573"/>
    <w:rsid w:val="005100C6"/>
    <w:rsid w:val="00510BE0"/>
    <w:rsid w:val="005305DD"/>
    <w:rsid w:val="00533E3C"/>
    <w:rsid w:val="00534EC7"/>
    <w:rsid w:val="00535003"/>
    <w:rsid w:val="00537C64"/>
    <w:rsid w:val="00542063"/>
    <w:rsid w:val="005515FF"/>
    <w:rsid w:val="00561692"/>
    <w:rsid w:val="005703CF"/>
    <w:rsid w:val="00572A6D"/>
    <w:rsid w:val="00577732"/>
    <w:rsid w:val="00584CEE"/>
    <w:rsid w:val="0059014C"/>
    <w:rsid w:val="0059209C"/>
    <w:rsid w:val="00594458"/>
    <w:rsid w:val="00597576"/>
    <w:rsid w:val="00597599"/>
    <w:rsid w:val="005A0369"/>
    <w:rsid w:val="005A2122"/>
    <w:rsid w:val="005A4338"/>
    <w:rsid w:val="005B5238"/>
    <w:rsid w:val="005B6827"/>
    <w:rsid w:val="005C22D9"/>
    <w:rsid w:val="005C63ED"/>
    <w:rsid w:val="005C6748"/>
    <w:rsid w:val="005D0729"/>
    <w:rsid w:val="005E33DD"/>
    <w:rsid w:val="005E3520"/>
    <w:rsid w:val="005E6254"/>
    <w:rsid w:val="005F1FB7"/>
    <w:rsid w:val="00601B2E"/>
    <w:rsid w:val="006038D8"/>
    <w:rsid w:val="00607020"/>
    <w:rsid w:val="006115C0"/>
    <w:rsid w:val="00611FAF"/>
    <w:rsid w:val="006146AC"/>
    <w:rsid w:val="00622AEA"/>
    <w:rsid w:val="00623DE8"/>
    <w:rsid w:val="006259E2"/>
    <w:rsid w:val="00625D1A"/>
    <w:rsid w:val="00630B3B"/>
    <w:rsid w:val="00635218"/>
    <w:rsid w:val="0065010D"/>
    <w:rsid w:val="00654885"/>
    <w:rsid w:val="00655BB0"/>
    <w:rsid w:val="0066177D"/>
    <w:rsid w:val="0066520D"/>
    <w:rsid w:val="006662CB"/>
    <w:rsid w:val="006671E8"/>
    <w:rsid w:val="00670A13"/>
    <w:rsid w:val="00672395"/>
    <w:rsid w:val="00673093"/>
    <w:rsid w:val="00680C17"/>
    <w:rsid w:val="00697C61"/>
    <w:rsid w:val="006B03C7"/>
    <w:rsid w:val="006B216E"/>
    <w:rsid w:val="006B2FFF"/>
    <w:rsid w:val="006B3A9D"/>
    <w:rsid w:val="006B7F8E"/>
    <w:rsid w:val="006C1F5B"/>
    <w:rsid w:val="006C63F3"/>
    <w:rsid w:val="006D3752"/>
    <w:rsid w:val="006D3B9E"/>
    <w:rsid w:val="006E66D4"/>
    <w:rsid w:val="006E6F24"/>
    <w:rsid w:val="006F027B"/>
    <w:rsid w:val="006F5025"/>
    <w:rsid w:val="006F5117"/>
    <w:rsid w:val="006F7925"/>
    <w:rsid w:val="00700303"/>
    <w:rsid w:val="00704C6C"/>
    <w:rsid w:val="00712B7E"/>
    <w:rsid w:val="00715ECD"/>
    <w:rsid w:val="00725D4E"/>
    <w:rsid w:val="00743BD7"/>
    <w:rsid w:val="00752968"/>
    <w:rsid w:val="00754A9D"/>
    <w:rsid w:val="00757F1A"/>
    <w:rsid w:val="00760578"/>
    <w:rsid w:val="00760F2B"/>
    <w:rsid w:val="00770D84"/>
    <w:rsid w:val="00774376"/>
    <w:rsid w:val="007760B2"/>
    <w:rsid w:val="00781DCA"/>
    <w:rsid w:val="007848A4"/>
    <w:rsid w:val="00785177"/>
    <w:rsid w:val="0079474B"/>
    <w:rsid w:val="0079517C"/>
    <w:rsid w:val="007978A6"/>
    <w:rsid w:val="007A5F0B"/>
    <w:rsid w:val="007B0918"/>
    <w:rsid w:val="007B4BEF"/>
    <w:rsid w:val="007B7AA0"/>
    <w:rsid w:val="007C197C"/>
    <w:rsid w:val="007D2636"/>
    <w:rsid w:val="007D47B9"/>
    <w:rsid w:val="007E51A5"/>
    <w:rsid w:val="007E557B"/>
    <w:rsid w:val="007F0A16"/>
    <w:rsid w:val="007F1EAA"/>
    <w:rsid w:val="007F406D"/>
    <w:rsid w:val="00801979"/>
    <w:rsid w:val="00803B60"/>
    <w:rsid w:val="00814D72"/>
    <w:rsid w:val="008165D1"/>
    <w:rsid w:val="00816E94"/>
    <w:rsid w:val="008228A1"/>
    <w:rsid w:val="00823A9F"/>
    <w:rsid w:val="00835C0F"/>
    <w:rsid w:val="00866367"/>
    <w:rsid w:val="00871F07"/>
    <w:rsid w:val="00874B88"/>
    <w:rsid w:val="008820E5"/>
    <w:rsid w:val="00893A16"/>
    <w:rsid w:val="00895014"/>
    <w:rsid w:val="00895895"/>
    <w:rsid w:val="008A28B4"/>
    <w:rsid w:val="008B6F6D"/>
    <w:rsid w:val="008B7057"/>
    <w:rsid w:val="008B76B7"/>
    <w:rsid w:val="008C2935"/>
    <w:rsid w:val="008C5CAE"/>
    <w:rsid w:val="008C7382"/>
    <w:rsid w:val="008D3923"/>
    <w:rsid w:val="008D6748"/>
    <w:rsid w:val="008E296E"/>
    <w:rsid w:val="008E3B4C"/>
    <w:rsid w:val="008E5500"/>
    <w:rsid w:val="00904D70"/>
    <w:rsid w:val="00904FB9"/>
    <w:rsid w:val="00906D53"/>
    <w:rsid w:val="009110EA"/>
    <w:rsid w:val="00916A6F"/>
    <w:rsid w:val="00917395"/>
    <w:rsid w:val="00925636"/>
    <w:rsid w:val="00926712"/>
    <w:rsid w:val="0093020C"/>
    <w:rsid w:val="009372F4"/>
    <w:rsid w:val="009433C5"/>
    <w:rsid w:val="00943467"/>
    <w:rsid w:val="00945306"/>
    <w:rsid w:val="00945F8C"/>
    <w:rsid w:val="00947A9E"/>
    <w:rsid w:val="00950C1D"/>
    <w:rsid w:val="009546A2"/>
    <w:rsid w:val="00954ECC"/>
    <w:rsid w:val="00971B84"/>
    <w:rsid w:val="0097200D"/>
    <w:rsid w:val="00974030"/>
    <w:rsid w:val="00977DD7"/>
    <w:rsid w:val="00977E31"/>
    <w:rsid w:val="00982B5D"/>
    <w:rsid w:val="00986643"/>
    <w:rsid w:val="009944D0"/>
    <w:rsid w:val="00994FFE"/>
    <w:rsid w:val="009A0C65"/>
    <w:rsid w:val="009A0F2C"/>
    <w:rsid w:val="009A3861"/>
    <w:rsid w:val="009A53C2"/>
    <w:rsid w:val="009A65F7"/>
    <w:rsid w:val="009B37F3"/>
    <w:rsid w:val="009B4675"/>
    <w:rsid w:val="009B786A"/>
    <w:rsid w:val="009B78C8"/>
    <w:rsid w:val="009D00D1"/>
    <w:rsid w:val="009D069A"/>
    <w:rsid w:val="009D7E74"/>
    <w:rsid w:val="009E0E99"/>
    <w:rsid w:val="009E7F55"/>
    <w:rsid w:val="009F1CF1"/>
    <w:rsid w:val="009F4864"/>
    <w:rsid w:val="009F5583"/>
    <w:rsid w:val="00A05EA2"/>
    <w:rsid w:val="00A1181B"/>
    <w:rsid w:val="00A12828"/>
    <w:rsid w:val="00A174E3"/>
    <w:rsid w:val="00A20419"/>
    <w:rsid w:val="00A34093"/>
    <w:rsid w:val="00A34D88"/>
    <w:rsid w:val="00A3744C"/>
    <w:rsid w:val="00A40B79"/>
    <w:rsid w:val="00A41E6A"/>
    <w:rsid w:val="00A4310C"/>
    <w:rsid w:val="00A445ED"/>
    <w:rsid w:val="00A51484"/>
    <w:rsid w:val="00A534AC"/>
    <w:rsid w:val="00A53576"/>
    <w:rsid w:val="00A56DDD"/>
    <w:rsid w:val="00A6282B"/>
    <w:rsid w:val="00A6484D"/>
    <w:rsid w:val="00A76287"/>
    <w:rsid w:val="00A772A9"/>
    <w:rsid w:val="00A805B7"/>
    <w:rsid w:val="00A92BAC"/>
    <w:rsid w:val="00AA13C7"/>
    <w:rsid w:val="00AA6F7C"/>
    <w:rsid w:val="00AA701F"/>
    <w:rsid w:val="00AB3DFB"/>
    <w:rsid w:val="00AB61E5"/>
    <w:rsid w:val="00AB6A73"/>
    <w:rsid w:val="00AB6BBC"/>
    <w:rsid w:val="00AB7845"/>
    <w:rsid w:val="00AD1FD6"/>
    <w:rsid w:val="00AD2B89"/>
    <w:rsid w:val="00AE0EFC"/>
    <w:rsid w:val="00AE5EA5"/>
    <w:rsid w:val="00AE775C"/>
    <w:rsid w:val="00AF48D5"/>
    <w:rsid w:val="00AF5426"/>
    <w:rsid w:val="00AF6E03"/>
    <w:rsid w:val="00B024FF"/>
    <w:rsid w:val="00B02FD2"/>
    <w:rsid w:val="00B0416E"/>
    <w:rsid w:val="00B1021A"/>
    <w:rsid w:val="00B1368A"/>
    <w:rsid w:val="00B155C1"/>
    <w:rsid w:val="00B17683"/>
    <w:rsid w:val="00B2479A"/>
    <w:rsid w:val="00B30328"/>
    <w:rsid w:val="00B31B08"/>
    <w:rsid w:val="00B41417"/>
    <w:rsid w:val="00B44E67"/>
    <w:rsid w:val="00B452BF"/>
    <w:rsid w:val="00B46525"/>
    <w:rsid w:val="00B4700B"/>
    <w:rsid w:val="00B47DB3"/>
    <w:rsid w:val="00B51278"/>
    <w:rsid w:val="00B55E84"/>
    <w:rsid w:val="00B56CC6"/>
    <w:rsid w:val="00B56F94"/>
    <w:rsid w:val="00B57DAA"/>
    <w:rsid w:val="00B62DC7"/>
    <w:rsid w:val="00B72631"/>
    <w:rsid w:val="00B746AF"/>
    <w:rsid w:val="00B747BD"/>
    <w:rsid w:val="00B758C6"/>
    <w:rsid w:val="00B80075"/>
    <w:rsid w:val="00B803B3"/>
    <w:rsid w:val="00B8078C"/>
    <w:rsid w:val="00B81E60"/>
    <w:rsid w:val="00B8659A"/>
    <w:rsid w:val="00B86772"/>
    <w:rsid w:val="00B930A1"/>
    <w:rsid w:val="00BA34DB"/>
    <w:rsid w:val="00BA3E08"/>
    <w:rsid w:val="00BB4DE2"/>
    <w:rsid w:val="00BB7038"/>
    <w:rsid w:val="00BC6105"/>
    <w:rsid w:val="00BC7737"/>
    <w:rsid w:val="00BE1002"/>
    <w:rsid w:val="00BE6DC9"/>
    <w:rsid w:val="00BF1195"/>
    <w:rsid w:val="00C05693"/>
    <w:rsid w:val="00C0573A"/>
    <w:rsid w:val="00C2034D"/>
    <w:rsid w:val="00C21D7D"/>
    <w:rsid w:val="00C228EB"/>
    <w:rsid w:val="00C22E17"/>
    <w:rsid w:val="00C2363A"/>
    <w:rsid w:val="00C2779B"/>
    <w:rsid w:val="00C312B4"/>
    <w:rsid w:val="00C34A9E"/>
    <w:rsid w:val="00C50309"/>
    <w:rsid w:val="00C514AB"/>
    <w:rsid w:val="00C56D1C"/>
    <w:rsid w:val="00C61138"/>
    <w:rsid w:val="00C625C7"/>
    <w:rsid w:val="00C63A54"/>
    <w:rsid w:val="00C726A8"/>
    <w:rsid w:val="00C758CA"/>
    <w:rsid w:val="00C77821"/>
    <w:rsid w:val="00C84927"/>
    <w:rsid w:val="00CA06E1"/>
    <w:rsid w:val="00CA22BA"/>
    <w:rsid w:val="00CA5FD7"/>
    <w:rsid w:val="00CB03A7"/>
    <w:rsid w:val="00CB5662"/>
    <w:rsid w:val="00CB6249"/>
    <w:rsid w:val="00CB70CC"/>
    <w:rsid w:val="00CD0C84"/>
    <w:rsid w:val="00CD47DF"/>
    <w:rsid w:val="00CE5FF7"/>
    <w:rsid w:val="00CE6246"/>
    <w:rsid w:val="00CE664F"/>
    <w:rsid w:val="00CE7020"/>
    <w:rsid w:val="00CF1470"/>
    <w:rsid w:val="00CF166F"/>
    <w:rsid w:val="00CF1C80"/>
    <w:rsid w:val="00CF4A51"/>
    <w:rsid w:val="00D10900"/>
    <w:rsid w:val="00D11F5E"/>
    <w:rsid w:val="00D126A1"/>
    <w:rsid w:val="00D26B1A"/>
    <w:rsid w:val="00D35ADB"/>
    <w:rsid w:val="00D3697B"/>
    <w:rsid w:val="00D369C8"/>
    <w:rsid w:val="00D37074"/>
    <w:rsid w:val="00D43BC7"/>
    <w:rsid w:val="00D539AD"/>
    <w:rsid w:val="00D5423F"/>
    <w:rsid w:val="00D5594D"/>
    <w:rsid w:val="00D70A22"/>
    <w:rsid w:val="00D80F93"/>
    <w:rsid w:val="00D84BAB"/>
    <w:rsid w:val="00D86E6B"/>
    <w:rsid w:val="00D878FD"/>
    <w:rsid w:val="00D945C9"/>
    <w:rsid w:val="00DA0D2A"/>
    <w:rsid w:val="00DA448E"/>
    <w:rsid w:val="00DA4E89"/>
    <w:rsid w:val="00DA63E5"/>
    <w:rsid w:val="00DB16A3"/>
    <w:rsid w:val="00DB3778"/>
    <w:rsid w:val="00DC1FF5"/>
    <w:rsid w:val="00DC5380"/>
    <w:rsid w:val="00DC79E7"/>
    <w:rsid w:val="00DD0022"/>
    <w:rsid w:val="00DD4C4A"/>
    <w:rsid w:val="00DE7B01"/>
    <w:rsid w:val="00DF21CE"/>
    <w:rsid w:val="00DF3859"/>
    <w:rsid w:val="00DF721F"/>
    <w:rsid w:val="00DF75B0"/>
    <w:rsid w:val="00E001B1"/>
    <w:rsid w:val="00E05703"/>
    <w:rsid w:val="00E14BCB"/>
    <w:rsid w:val="00E16E37"/>
    <w:rsid w:val="00E233DD"/>
    <w:rsid w:val="00E32AD6"/>
    <w:rsid w:val="00E4427F"/>
    <w:rsid w:val="00E53631"/>
    <w:rsid w:val="00E6001A"/>
    <w:rsid w:val="00E600E8"/>
    <w:rsid w:val="00E602D6"/>
    <w:rsid w:val="00E61716"/>
    <w:rsid w:val="00E66293"/>
    <w:rsid w:val="00E7232F"/>
    <w:rsid w:val="00E72D4F"/>
    <w:rsid w:val="00E7664F"/>
    <w:rsid w:val="00E83B2F"/>
    <w:rsid w:val="00E85FCD"/>
    <w:rsid w:val="00E86056"/>
    <w:rsid w:val="00E86BFD"/>
    <w:rsid w:val="00E86C8F"/>
    <w:rsid w:val="00E87250"/>
    <w:rsid w:val="00E90AD4"/>
    <w:rsid w:val="00E93F70"/>
    <w:rsid w:val="00E9601D"/>
    <w:rsid w:val="00EA133E"/>
    <w:rsid w:val="00EA2A79"/>
    <w:rsid w:val="00EA47F4"/>
    <w:rsid w:val="00EB3BB5"/>
    <w:rsid w:val="00EB6B2E"/>
    <w:rsid w:val="00EB79C2"/>
    <w:rsid w:val="00EC243E"/>
    <w:rsid w:val="00ED4074"/>
    <w:rsid w:val="00EF0651"/>
    <w:rsid w:val="00F00F69"/>
    <w:rsid w:val="00F149FB"/>
    <w:rsid w:val="00F2328A"/>
    <w:rsid w:val="00F24120"/>
    <w:rsid w:val="00F32D1E"/>
    <w:rsid w:val="00F347B7"/>
    <w:rsid w:val="00F34928"/>
    <w:rsid w:val="00F352C8"/>
    <w:rsid w:val="00F374A2"/>
    <w:rsid w:val="00F379DF"/>
    <w:rsid w:val="00F42FE0"/>
    <w:rsid w:val="00F46FD5"/>
    <w:rsid w:val="00F52E32"/>
    <w:rsid w:val="00F544BC"/>
    <w:rsid w:val="00F55A8F"/>
    <w:rsid w:val="00F55EEF"/>
    <w:rsid w:val="00F84B36"/>
    <w:rsid w:val="00F9200F"/>
    <w:rsid w:val="00FA2009"/>
    <w:rsid w:val="00FA4800"/>
    <w:rsid w:val="00FA491D"/>
    <w:rsid w:val="00FB3AFD"/>
    <w:rsid w:val="00FB4C1B"/>
    <w:rsid w:val="00FB54E9"/>
    <w:rsid w:val="00FB5AE8"/>
    <w:rsid w:val="00FB74C5"/>
    <w:rsid w:val="00FC019B"/>
    <w:rsid w:val="00FC67A2"/>
    <w:rsid w:val="00FD3650"/>
    <w:rsid w:val="00FD6FD3"/>
    <w:rsid w:val="00FD76A7"/>
    <w:rsid w:val="00FE1FB6"/>
    <w:rsid w:val="00FE4055"/>
    <w:rsid w:val="00FE632E"/>
    <w:rsid w:val="012E34F5"/>
    <w:rsid w:val="047C6831"/>
    <w:rsid w:val="05524952"/>
    <w:rsid w:val="056D2E15"/>
    <w:rsid w:val="06871428"/>
    <w:rsid w:val="06B52E6E"/>
    <w:rsid w:val="07193FF5"/>
    <w:rsid w:val="07A11279"/>
    <w:rsid w:val="07A16AD8"/>
    <w:rsid w:val="08362309"/>
    <w:rsid w:val="0849203C"/>
    <w:rsid w:val="08A234FA"/>
    <w:rsid w:val="08BD33F4"/>
    <w:rsid w:val="099217C1"/>
    <w:rsid w:val="0A5E0C59"/>
    <w:rsid w:val="0AAC3FD4"/>
    <w:rsid w:val="0BA26B08"/>
    <w:rsid w:val="0C3A32A1"/>
    <w:rsid w:val="0C450D6C"/>
    <w:rsid w:val="0C9D4705"/>
    <w:rsid w:val="0C9E28EC"/>
    <w:rsid w:val="0D7313F8"/>
    <w:rsid w:val="0EE3398A"/>
    <w:rsid w:val="0F0376B4"/>
    <w:rsid w:val="0F396B61"/>
    <w:rsid w:val="0F966B3F"/>
    <w:rsid w:val="0FCB26F9"/>
    <w:rsid w:val="104246CD"/>
    <w:rsid w:val="10BF4F03"/>
    <w:rsid w:val="120D40DA"/>
    <w:rsid w:val="1283614B"/>
    <w:rsid w:val="13400FC0"/>
    <w:rsid w:val="13A02D2C"/>
    <w:rsid w:val="146137CF"/>
    <w:rsid w:val="14AD65E3"/>
    <w:rsid w:val="152C2AC9"/>
    <w:rsid w:val="154222ED"/>
    <w:rsid w:val="15A563D8"/>
    <w:rsid w:val="15DE716E"/>
    <w:rsid w:val="15DF5D8E"/>
    <w:rsid w:val="1604435F"/>
    <w:rsid w:val="162E0984"/>
    <w:rsid w:val="17B434B7"/>
    <w:rsid w:val="17FE0021"/>
    <w:rsid w:val="188B4CDC"/>
    <w:rsid w:val="19A30C3C"/>
    <w:rsid w:val="1AB5530F"/>
    <w:rsid w:val="1B5C578B"/>
    <w:rsid w:val="1BD111DE"/>
    <w:rsid w:val="1C53479C"/>
    <w:rsid w:val="1D3249F5"/>
    <w:rsid w:val="1EDF44F4"/>
    <w:rsid w:val="1EE47F71"/>
    <w:rsid w:val="1F9F2DD9"/>
    <w:rsid w:val="201872BC"/>
    <w:rsid w:val="201D7763"/>
    <w:rsid w:val="23EB6DA1"/>
    <w:rsid w:val="241E0FFA"/>
    <w:rsid w:val="2483022C"/>
    <w:rsid w:val="24B67467"/>
    <w:rsid w:val="256A70DF"/>
    <w:rsid w:val="25C40AFC"/>
    <w:rsid w:val="26F93E18"/>
    <w:rsid w:val="27753FE9"/>
    <w:rsid w:val="27A97396"/>
    <w:rsid w:val="27C33364"/>
    <w:rsid w:val="287E31E4"/>
    <w:rsid w:val="294A5C4F"/>
    <w:rsid w:val="29770441"/>
    <w:rsid w:val="2BE9306B"/>
    <w:rsid w:val="2C391C60"/>
    <w:rsid w:val="2CAE1922"/>
    <w:rsid w:val="2CD722CC"/>
    <w:rsid w:val="2D555096"/>
    <w:rsid w:val="2D5E5392"/>
    <w:rsid w:val="2F0D7070"/>
    <w:rsid w:val="3098637C"/>
    <w:rsid w:val="30CD4226"/>
    <w:rsid w:val="313244EC"/>
    <w:rsid w:val="31BF2A03"/>
    <w:rsid w:val="323341D1"/>
    <w:rsid w:val="32380C07"/>
    <w:rsid w:val="331C0D46"/>
    <w:rsid w:val="33202078"/>
    <w:rsid w:val="349124F1"/>
    <w:rsid w:val="34A75F46"/>
    <w:rsid w:val="36062A6B"/>
    <w:rsid w:val="361231BE"/>
    <w:rsid w:val="364079A0"/>
    <w:rsid w:val="36603F29"/>
    <w:rsid w:val="36B93A98"/>
    <w:rsid w:val="36C720A4"/>
    <w:rsid w:val="36EF52AD"/>
    <w:rsid w:val="36F37731"/>
    <w:rsid w:val="37D0630C"/>
    <w:rsid w:val="384462A9"/>
    <w:rsid w:val="38481C7E"/>
    <w:rsid w:val="3848736B"/>
    <w:rsid w:val="386046B4"/>
    <w:rsid w:val="38E47094"/>
    <w:rsid w:val="394F0285"/>
    <w:rsid w:val="39512A22"/>
    <w:rsid w:val="39747F9D"/>
    <w:rsid w:val="3B0A5163"/>
    <w:rsid w:val="3C3E5289"/>
    <w:rsid w:val="3CCC7501"/>
    <w:rsid w:val="3D536049"/>
    <w:rsid w:val="3E886BC8"/>
    <w:rsid w:val="425A2175"/>
    <w:rsid w:val="42704534"/>
    <w:rsid w:val="428261E2"/>
    <w:rsid w:val="42D24401"/>
    <w:rsid w:val="430A1C61"/>
    <w:rsid w:val="433E3844"/>
    <w:rsid w:val="434370AD"/>
    <w:rsid w:val="4391606A"/>
    <w:rsid w:val="44625310"/>
    <w:rsid w:val="44F109D5"/>
    <w:rsid w:val="4554492E"/>
    <w:rsid w:val="45647A48"/>
    <w:rsid w:val="457F1EF2"/>
    <w:rsid w:val="459B6D55"/>
    <w:rsid w:val="45CF4C28"/>
    <w:rsid w:val="46DF28B7"/>
    <w:rsid w:val="470A303D"/>
    <w:rsid w:val="470B7EE1"/>
    <w:rsid w:val="477E4B57"/>
    <w:rsid w:val="47E759F0"/>
    <w:rsid w:val="482D025C"/>
    <w:rsid w:val="4947569E"/>
    <w:rsid w:val="49757894"/>
    <w:rsid w:val="4A840191"/>
    <w:rsid w:val="4BB55C79"/>
    <w:rsid w:val="4CEE0089"/>
    <w:rsid w:val="4CFB4554"/>
    <w:rsid w:val="4E125654"/>
    <w:rsid w:val="4E3F014B"/>
    <w:rsid w:val="4E7F5118"/>
    <w:rsid w:val="4E8636E4"/>
    <w:rsid w:val="4EC15329"/>
    <w:rsid w:val="4F3B332E"/>
    <w:rsid w:val="4F457D08"/>
    <w:rsid w:val="4F7853F7"/>
    <w:rsid w:val="516F21A5"/>
    <w:rsid w:val="519B00B4"/>
    <w:rsid w:val="51DD6BC9"/>
    <w:rsid w:val="527B72D6"/>
    <w:rsid w:val="52BC29D7"/>
    <w:rsid w:val="53067DC6"/>
    <w:rsid w:val="53CF7776"/>
    <w:rsid w:val="53F43EF1"/>
    <w:rsid w:val="54091C4C"/>
    <w:rsid w:val="56AD4788"/>
    <w:rsid w:val="572834F8"/>
    <w:rsid w:val="57AA1988"/>
    <w:rsid w:val="57E80E47"/>
    <w:rsid w:val="58586CFE"/>
    <w:rsid w:val="586E6522"/>
    <w:rsid w:val="597A2F72"/>
    <w:rsid w:val="59D55610"/>
    <w:rsid w:val="5A4540E7"/>
    <w:rsid w:val="5A854500"/>
    <w:rsid w:val="5B645A2A"/>
    <w:rsid w:val="5BF62AB6"/>
    <w:rsid w:val="5D641CA2"/>
    <w:rsid w:val="5DDD4037"/>
    <w:rsid w:val="5DEC610D"/>
    <w:rsid w:val="5E0758EE"/>
    <w:rsid w:val="5E361890"/>
    <w:rsid w:val="5FA212DE"/>
    <w:rsid w:val="5FC85532"/>
    <w:rsid w:val="5FD17AC2"/>
    <w:rsid w:val="60026A52"/>
    <w:rsid w:val="60D96503"/>
    <w:rsid w:val="625B20CE"/>
    <w:rsid w:val="62AE5783"/>
    <w:rsid w:val="62DE42A4"/>
    <w:rsid w:val="63337B03"/>
    <w:rsid w:val="63412E7D"/>
    <w:rsid w:val="63F0603D"/>
    <w:rsid w:val="640A23EA"/>
    <w:rsid w:val="64540CC2"/>
    <w:rsid w:val="645A795A"/>
    <w:rsid w:val="65586327"/>
    <w:rsid w:val="65F53DDF"/>
    <w:rsid w:val="6646463A"/>
    <w:rsid w:val="67C65A33"/>
    <w:rsid w:val="67F31205"/>
    <w:rsid w:val="6841330B"/>
    <w:rsid w:val="68E85E7D"/>
    <w:rsid w:val="69EC12BA"/>
    <w:rsid w:val="6A372C18"/>
    <w:rsid w:val="6B575EFD"/>
    <w:rsid w:val="6BB34520"/>
    <w:rsid w:val="6BEF307E"/>
    <w:rsid w:val="6BF15CBC"/>
    <w:rsid w:val="6C712D2B"/>
    <w:rsid w:val="6E81013B"/>
    <w:rsid w:val="6EC00D66"/>
    <w:rsid w:val="6F06705D"/>
    <w:rsid w:val="6FBB1BF5"/>
    <w:rsid w:val="70D54F38"/>
    <w:rsid w:val="70D67B33"/>
    <w:rsid w:val="70DE203F"/>
    <w:rsid w:val="70F64FF1"/>
    <w:rsid w:val="710F25AA"/>
    <w:rsid w:val="71104394"/>
    <w:rsid w:val="71235CA4"/>
    <w:rsid w:val="71991A38"/>
    <w:rsid w:val="71BC7EA6"/>
    <w:rsid w:val="71CC633B"/>
    <w:rsid w:val="72CD4767"/>
    <w:rsid w:val="72F21378"/>
    <w:rsid w:val="74E652C6"/>
    <w:rsid w:val="750951B1"/>
    <w:rsid w:val="75362644"/>
    <w:rsid w:val="758955BC"/>
    <w:rsid w:val="75C83CC5"/>
    <w:rsid w:val="76DE56C7"/>
    <w:rsid w:val="779C40BA"/>
    <w:rsid w:val="78D945F3"/>
    <w:rsid w:val="79621333"/>
    <w:rsid w:val="799C2AEF"/>
    <w:rsid w:val="79A265CB"/>
    <w:rsid w:val="7C885555"/>
    <w:rsid w:val="7CB64B7A"/>
    <w:rsid w:val="7DF85FEB"/>
    <w:rsid w:val="7EC24B05"/>
    <w:rsid w:val="7F863357"/>
    <w:rsid w:val="7F961011"/>
    <w:rsid w:val="7FFF78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99"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link w:val="26"/>
    <w:qFormat/>
    <w:uiPriority w:val="0"/>
    <w:pPr>
      <w:ind w:firstLine="420"/>
    </w:pPr>
    <w:rPr>
      <w:szCs w:val="20"/>
    </w:rPr>
  </w:style>
  <w:style w:type="paragraph" w:styleId="4">
    <w:name w:val="annotation text"/>
    <w:basedOn w:val="1"/>
    <w:link w:val="42"/>
    <w:semiHidden/>
    <w:unhideWhenUsed/>
    <w:qFormat/>
    <w:uiPriority w:val="99"/>
    <w:pPr>
      <w:jc w:val="left"/>
    </w:pPr>
  </w:style>
  <w:style w:type="paragraph" w:styleId="5">
    <w:name w:val="Body Text 3"/>
    <w:basedOn w:val="1"/>
    <w:link w:val="52"/>
    <w:semiHidden/>
    <w:unhideWhenUsed/>
    <w:qFormat/>
    <w:uiPriority w:val="99"/>
    <w:pPr>
      <w:spacing w:after="120"/>
    </w:pPr>
    <w:rPr>
      <w:sz w:val="16"/>
      <w:szCs w:val="16"/>
    </w:rPr>
  </w:style>
  <w:style w:type="paragraph" w:styleId="6">
    <w:name w:val="Body Text"/>
    <w:basedOn w:val="1"/>
    <w:next w:val="1"/>
    <w:qFormat/>
    <w:uiPriority w:val="0"/>
    <w:pPr>
      <w:spacing w:after="120"/>
    </w:pPr>
  </w:style>
  <w:style w:type="paragraph" w:styleId="7">
    <w:name w:val="Body Text Indent"/>
    <w:basedOn w:val="1"/>
    <w:next w:val="8"/>
    <w:link w:val="23"/>
    <w:unhideWhenUsed/>
    <w:qFormat/>
    <w:uiPriority w:val="0"/>
    <w:pPr>
      <w:spacing w:after="120"/>
      <w:ind w:left="420" w:leftChars="200"/>
    </w:pPr>
  </w:style>
  <w:style w:type="paragraph" w:styleId="8">
    <w:name w:val="envelope return"/>
    <w:basedOn w:val="1"/>
    <w:unhideWhenUsed/>
    <w:qFormat/>
    <w:uiPriority w:val="99"/>
    <w:pPr>
      <w:snapToGrid w:val="0"/>
    </w:pPr>
    <w:rPr>
      <w:rFonts w:ascii="Arial" w:hAnsi="Arial"/>
    </w:rPr>
  </w:style>
  <w:style w:type="paragraph" w:styleId="9">
    <w:name w:val="index 4"/>
    <w:basedOn w:val="1"/>
    <w:next w:val="1"/>
    <w:qFormat/>
    <w:uiPriority w:val="99"/>
    <w:pPr>
      <w:ind w:left="600" w:leftChars="600"/>
    </w:pPr>
  </w:style>
  <w:style w:type="paragraph" w:styleId="10">
    <w:name w:val="toc 3"/>
    <w:basedOn w:val="1"/>
    <w:next w:val="1"/>
    <w:qFormat/>
    <w:uiPriority w:val="0"/>
    <w:pPr>
      <w:ind w:left="840" w:leftChars="400"/>
    </w:pPr>
  </w:style>
  <w:style w:type="paragraph" w:styleId="11">
    <w:name w:val="Plain Text"/>
    <w:basedOn w:val="1"/>
    <w:link w:val="50"/>
    <w:qFormat/>
    <w:uiPriority w:val="0"/>
    <w:rPr>
      <w:rFonts w:ascii="宋体" w:hAnsi="Courier New"/>
    </w:rPr>
  </w:style>
  <w:style w:type="paragraph" w:styleId="12">
    <w:name w:val="Balloon Text"/>
    <w:basedOn w:val="1"/>
    <w:link w:val="27"/>
    <w:qFormat/>
    <w:uiPriority w:val="0"/>
    <w:rPr>
      <w:sz w:val="18"/>
      <w:szCs w:val="18"/>
    </w:rPr>
  </w:style>
  <w:style w:type="paragraph" w:styleId="13">
    <w:name w:val="footer"/>
    <w:basedOn w:val="1"/>
    <w:link w:val="28"/>
    <w:qFormat/>
    <w:uiPriority w:val="99"/>
    <w:pPr>
      <w:tabs>
        <w:tab w:val="center" w:pos="4153"/>
        <w:tab w:val="right" w:pos="8306"/>
      </w:tabs>
      <w:snapToGrid w:val="0"/>
      <w:jc w:val="left"/>
    </w:pPr>
    <w:rPr>
      <w:sz w:val="18"/>
      <w:szCs w:val="18"/>
    </w:rPr>
  </w:style>
  <w:style w:type="paragraph" w:styleId="14">
    <w:name w:val="header"/>
    <w:basedOn w:val="1"/>
    <w:link w:val="38"/>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16">
    <w:name w:val="annotation subject"/>
    <w:basedOn w:val="4"/>
    <w:next w:val="4"/>
    <w:link w:val="43"/>
    <w:semiHidden/>
    <w:unhideWhenUsed/>
    <w:qFormat/>
    <w:uiPriority w:val="99"/>
    <w:rPr>
      <w:b/>
      <w:bCs/>
    </w:rPr>
  </w:style>
  <w:style w:type="paragraph" w:styleId="17">
    <w:name w:val="Body Text First Indent 2"/>
    <w:basedOn w:val="7"/>
    <w:link w:val="24"/>
    <w:unhideWhenUsed/>
    <w:qFormat/>
    <w:uiPriority w:val="99"/>
    <w:pPr>
      <w:ind w:firstLine="420" w:firstLineChars="200"/>
    </w:pPr>
  </w:style>
  <w:style w:type="table" w:styleId="19">
    <w:name w:val="Table Grid"/>
    <w:basedOn w:val="1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1">
    <w:name w:val="annotation reference"/>
    <w:unhideWhenUsed/>
    <w:qFormat/>
    <w:uiPriority w:val="0"/>
    <w:rPr>
      <w:sz w:val="21"/>
      <w:szCs w:val="21"/>
    </w:rPr>
  </w:style>
  <w:style w:type="paragraph" w:customStyle="1" w:styleId="22">
    <w:name w:val="目录 82"/>
    <w:next w:val="1"/>
    <w:qFormat/>
    <w:uiPriority w:val="0"/>
    <w:pPr>
      <w:wordWrap w:val="0"/>
      <w:ind w:left="2550"/>
      <w:jc w:val="both"/>
    </w:pPr>
    <w:rPr>
      <w:rFonts w:ascii="Times New Roman" w:hAnsi="Times New Roman" w:eastAsia="宋体" w:cs="Times New Roman"/>
      <w:sz w:val="21"/>
      <w:lang w:val="en-US" w:eastAsia="zh-CN" w:bidi="ar-SA"/>
    </w:rPr>
  </w:style>
  <w:style w:type="character" w:customStyle="1" w:styleId="23">
    <w:name w:val="正文文本缩进 Char"/>
    <w:basedOn w:val="20"/>
    <w:link w:val="7"/>
    <w:semiHidden/>
    <w:qFormat/>
    <w:uiPriority w:val="99"/>
    <w:rPr>
      <w:rFonts w:ascii="Times New Roman" w:hAnsi="Times New Roman" w:eastAsia="宋体" w:cs="Times New Roman"/>
      <w:szCs w:val="24"/>
    </w:rPr>
  </w:style>
  <w:style w:type="character" w:customStyle="1" w:styleId="24">
    <w:name w:val="正文首行缩进 2 Char1"/>
    <w:basedOn w:val="23"/>
    <w:link w:val="17"/>
    <w:qFormat/>
    <w:uiPriority w:val="99"/>
    <w:rPr>
      <w:rFonts w:ascii="Times New Roman" w:hAnsi="Times New Roman" w:eastAsia="宋体" w:cs="Times New Roman"/>
      <w:szCs w:val="24"/>
    </w:rPr>
  </w:style>
  <w:style w:type="character" w:customStyle="1" w:styleId="25">
    <w:name w:val="正文文本缩进 Char1"/>
    <w:qFormat/>
    <w:uiPriority w:val="0"/>
    <w:rPr>
      <w:kern w:val="2"/>
      <w:sz w:val="21"/>
      <w:szCs w:val="24"/>
    </w:rPr>
  </w:style>
  <w:style w:type="character" w:customStyle="1" w:styleId="26">
    <w:name w:val="正文缩进 Char1"/>
    <w:link w:val="3"/>
    <w:qFormat/>
    <w:uiPriority w:val="0"/>
    <w:rPr>
      <w:rFonts w:ascii="Times New Roman" w:hAnsi="Times New Roman" w:eastAsia="宋体" w:cs="Times New Roman"/>
      <w:szCs w:val="20"/>
    </w:rPr>
  </w:style>
  <w:style w:type="character" w:customStyle="1" w:styleId="27">
    <w:name w:val="批注框文本 Char"/>
    <w:basedOn w:val="20"/>
    <w:link w:val="12"/>
    <w:qFormat/>
    <w:uiPriority w:val="0"/>
    <w:rPr>
      <w:rFonts w:ascii="Times New Roman" w:hAnsi="Times New Roman" w:eastAsia="宋体" w:cs="Times New Roman"/>
      <w:sz w:val="18"/>
      <w:szCs w:val="18"/>
    </w:rPr>
  </w:style>
  <w:style w:type="character" w:customStyle="1" w:styleId="28">
    <w:name w:val="页脚 Char"/>
    <w:basedOn w:val="20"/>
    <w:link w:val="13"/>
    <w:qFormat/>
    <w:uiPriority w:val="99"/>
    <w:rPr>
      <w:rFonts w:ascii="Times New Roman" w:hAnsi="Times New Roman" w:eastAsia="宋体" w:cs="Times New Roman"/>
      <w:sz w:val="18"/>
      <w:szCs w:val="18"/>
    </w:rPr>
  </w:style>
  <w:style w:type="character" w:customStyle="1" w:styleId="29">
    <w:name w:val="正文缩进2格 Char"/>
    <w:link w:val="30"/>
    <w:qFormat/>
    <w:locked/>
    <w:uiPriority w:val="99"/>
    <w:rPr>
      <w:rFonts w:ascii="仿宋_GB2312" w:hAnsi="宋体" w:eastAsia="仿宋_GB2312"/>
      <w:sz w:val="31"/>
      <w:szCs w:val="28"/>
    </w:rPr>
  </w:style>
  <w:style w:type="paragraph" w:customStyle="1" w:styleId="30">
    <w:name w:val="正文缩进2格"/>
    <w:basedOn w:val="1"/>
    <w:link w:val="29"/>
    <w:qFormat/>
    <w:uiPriority w:val="99"/>
    <w:pPr>
      <w:spacing w:line="600" w:lineRule="exact"/>
      <w:ind w:firstLine="639" w:firstLineChars="206"/>
    </w:pPr>
    <w:rPr>
      <w:rFonts w:ascii="仿宋_GB2312" w:hAnsi="宋体" w:eastAsia="仿宋_GB2312" w:cstheme="minorBidi"/>
      <w:sz w:val="31"/>
      <w:szCs w:val="28"/>
    </w:rPr>
  </w:style>
  <w:style w:type="paragraph" w:customStyle="1" w:styleId="31">
    <w:name w:val="标题 2 + Times New Roman 居中 段前: 0 磅 段后: 0 磅 行距: 单倍行距 + 段前..."/>
    <w:basedOn w:val="1"/>
    <w:qFormat/>
    <w:uiPriority w:val="0"/>
    <w:pPr>
      <w:keepNext/>
      <w:keepLines/>
      <w:adjustRightInd w:val="0"/>
      <w:snapToGrid w:val="0"/>
      <w:spacing w:beforeLines="150" w:afterLines="100"/>
      <w:jc w:val="center"/>
      <w:outlineLvl w:val="1"/>
    </w:pPr>
    <w:rPr>
      <w:rFonts w:eastAsia="黑体"/>
      <w:b/>
      <w:bCs/>
      <w:sz w:val="32"/>
      <w:szCs w:val="20"/>
    </w:rPr>
  </w:style>
  <w:style w:type="character" w:customStyle="1" w:styleId="32">
    <w:name w:val="我的正文 Char"/>
    <w:link w:val="33"/>
    <w:qFormat/>
    <w:locked/>
    <w:uiPriority w:val="0"/>
    <w:rPr>
      <w:rFonts w:ascii="宋体" w:hAnsi="宋体"/>
      <w:sz w:val="24"/>
      <w:szCs w:val="24"/>
    </w:rPr>
  </w:style>
  <w:style w:type="paragraph" w:customStyle="1" w:styleId="33">
    <w:name w:val="我的正文"/>
    <w:basedOn w:val="1"/>
    <w:link w:val="32"/>
    <w:qFormat/>
    <w:uiPriority w:val="0"/>
    <w:pPr>
      <w:snapToGrid w:val="0"/>
      <w:spacing w:line="300" w:lineRule="auto"/>
      <w:ind w:firstLine="150" w:firstLineChars="150"/>
    </w:pPr>
    <w:rPr>
      <w:rFonts w:ascii="宋体" w:hAnsi="宋体" w:eastAsiaTheme="minorEastAsia" w:cstheme="minorBidi"/>
      <w:sz w:val="24"/>
    </w:rPr>
  </w:style>
  <w:style w:type="paragraph" w:customStyle="1" w:styleId="34">
    <w:name w:val="列出段落1"/>
    <w:basedOn w:val="1"/>
    <w:qFormat/>
    <w:uiPriority w:val="34"/>
    <w:pPr>
      <w:ind w:firstLine="420" w:firstLineChars="200"/>
    </w:pPr>
  </w:style>
  <w:style w:type="character" w:customStyle="1" w:styleId="35">
    <w:name w:val="fontstyle01"/>
    <w:qFormat/>
    <w:uiPriority w:val="0"/>
    <w:rPr>
      <w:rFonts w:hint="eastAsia" w:ascii="宋体" w:hAnsi="宋体" w:eastAsia="宋体"/>
      <w:color w:val="000000"/>
      <w:sz w:val="24"/>
      <w:szCs w:val="24"/>
    </w:rPr>
  </w:style>
  <w:style w:type="paragraph" w:styleId="36">
    <w:name w:val="List Paragraph"/>
    <w:basedOn w:val="1"/>
    <w:qFormat/>
    <w:uiPriority w:val="34"/>
    <w:pPr>
      <w:ind w:firstLine="420" w:firstLineChars="200"/>
    </w:pPr>
  </w:style>
  <w:style w:type="paragraph" w:customStyle="1" w:styleId="37">
    <w:name w:val="xl36"/>
    <w:basedOn w:val="1"/>
    <w:qFormat/>
    <w:uiPriority w:val="0"/>
    <w:pPr>
      <w:widowControl/>
      <w:pBdr>
        <w:left w:val="single" w:color="auto" w:sz="8" w:space="0"/>
        <w:bottom w:val="single" w:color="auto" w:sz="4" w:space="0"/>
        <w:right w:val="single" w:color="auto" w:sz="4" w:space="0"/>
      </w:pBdr>
      <w:adjustRightInd w:val="0"/>
      <w:snapToGrid w:val="0"/>
      <w:spacing w:before="100" w:beforeAutospacing="1" w:after="100" w:afterAutospacing="1"/>
      <w:jc w:val="center"/>
    </w:pPr>
    <w:rPr>
      <w:rFonts w:hint="eastAsia" w:ascii="宋体" w:hAnsi="Tahoma" w:eastAsia="微软雅黑"/>
      <w:kern w:val="0"/>
      <w:sz w:val="24"/>
      <w:szCs w:val="20"/>
    </w:rPr>
  </w:style>
  <w:style w:type="character" w:customStyle="1" w:styleId="38">
    <w:name w:val="页眉 Char"/>
    <w:basedOn w:val="20"/>
    <w:link w:val="14"/>
    <w:qFormat/>
    <w:uiPriority w:val="99"/>
    <w:rPr>
      <w:rFonts w:ascii="Times New Roman" w:hAnsi="Times New Roman" w:eastAsia="宋体" w:cs="Times New Roman"/>
      <w:sz w:val="18"/>
      <w:szCs w:val="18"/>
    </w:rPr>
  </w:style>
  <w:style w:type="character" w:customStyle="1" w:styleId="39">
    <w:name w:val="font61"/>
    <w:basedOn w:val="20"/>
    <w:qFormat/>
    <w:uiPriority w:val="0"/>
    <w:rPr>
      <w:rFonts w:hint="eastAsia" w:ascii="宋体" w:hAnsi="宋体" w:eastAsia="宋体" w:cs="宋体"/>
      <w:color w:val="FF0000"/>
      <w:sz w:val="20"/>
      <w:szCs w:val="20"/>
      <w:u w:val="none"/>
    </w:rPr>
  </w:style>
  <w:style w:type="character" w:customStyle="1" w:styleId="40">
    <w:name w:val="font31"/>
    <w:basedOn w:val="20"/>
    <w:qFormat/>
    <w:uiPriority w:val="0"/>
    <w:rPr>
      <w:rFonts w:hint="eastAsia" w:ascii="宋体" w:hAnsi="宋体" w:eastAsia="宋体" w:cs="宋体"/>
      <w:color w:val="000000"/>
      <w:sz w:val="20"/>
      <w:szCs w:val="20"/>
      <w:u w:val="none"/>
    </w:rPr>
  </w:style>
  <w:style w:type="paragraph" w:customStyle="1" w:styleId="41">
    <w:name w:val="ces正文"/>
    <w:basedOn w:val="1"/>
    <w:qFormat/>
    <w:uiPriority w:val="0"/>
    <w:pPr>
      <w:spacing w:line="360" w:lineRule="auto"/>
      <w:ind w:firstLine="480" w:firstLineChars="200"/>
    </w:pPr>
    <w:rPr>
      <w:rFonts w:ascii="宋体" w:hAnsi="宋体"/>
      <w:sz w:val="24"/>
    </w:rPr>
  </w:style>
  <w:style w:type="character" w:customStyle="1" w:styleId="42">
    <w:name w:val="批注文字 Char"/>
    <w:basedOn w:val="20"/>
    <w:link w:val="4"/>
    <w:semiHidden/>
    <w:qFormat/>
    <w:uiPriority w:val="99"/>
    <w:rPr>
      <w:kern w:val="2"/>
      <w:sz w:val="21"/>
      <w:szCs w:val="24"/>
    </w:rPr>
  </w:style>
  <w:style w:type="character" w:customStyle="1" w:styleId="43">
    <w:name w:val="批注主题 Char"/>
    <w:basedOn w:val="42"/>
    <w:link w:val="16"/>
    <w:semiHidden/>
    <w:qFormat/>
    <w:uiPriority w:val="99"/>
    <w:rPr>
      <w:b/>
      <w:bCs/>
      <w:kern w:val="2"/>
      <w:sz w:val="21"/>
      <w:szCs w:val="24"/>
    </w:rPr>
  </w:style>
  <w:style w:type="paragraph" w:customStyle="1" w:styleId="44">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45">
    <w:name w:val="正文缩进 Char"/>
    <w:qFormat/>
    <w:uiPriority w:val="0"/>
    <w:rPr>
      <w:kern w:val="2"/>
      <w:sz w:val="21"/>
    </w:rPr>
  </w:style>
  <w:style w:type="paragraph" w:customStyle="1" w:styleId="46">
    <w:name w:val="_Style 38"/>
    <w:basedOn w:val="7"/>
    <w:next w:val="17"/>
    <w:link w:val="47"/>
    <w:unhideWhenUsed/>
    <w:qFormat/>
    <w:uiPriority w:val="99"/>
    <w:pPr>
      <w:ind w:firstLine="420" w:firstLineChars="200"/>
    </w:pPr>
    <w:rPr>
      <w:kern w:val="0"/>
      <w:sz w:val="20"/>
      <w:szCs w:val="20"/>
    </w:rPr>
  </w:style>
  <w:style w:type="character" w:customStyle="1" w:styleId="47">
    <w:name w:val="正文首行缩进 2 Char"/>
    <w:link w:val="46"/>
    <w:semiHidden/>
    <w:qFormat/>
    <w:uiPriority w:val="99"/>
  </w:style>
  <w:style w:type="paragraph" w:customStyle="1" w:styleId="48">
    <w:name w:val="Default"/>
    <w:next w:val="1"/>
    <w:unhideWhenUsed/>
    <w:qFormat/>
    <w:uiPriority w:val="0"/>
    <w:pPr>
      <w:widowControl w:val="0"/>
      <w:autoSpaceDE w:val="0"/>
      <w:autoSpaceDN w:val="0"/>
      <w:adjustRightInd w:val="0"/>
    </w:pPr>
    <w:rPr>
      <w:rFonts w:hint="eastAsia" w:ascii="仿宋_GB2312" w:hAnsi="仿宋_GB2312" w:eastAsia="仿宋_GB2312" w:cs="Times New Roman"/>
      <w:color w:val="000000"/>
      <w:sz w:val="24"/>
      <w:lang w:val="en-US" w:eastAsia="zh-CN" w:bidi="ar-SA"/>
    </w:rPr>
  </w:style>
  <w:style w:type="table" w:customStyle="1" w:styleId="49">
    <w:name w:val="网格型1"/>
    <w:basedOn w:val="18"/>
    <w:qFormat/>
    <w:uiPriority w:val="59"/>
    <w:rPr>
      <w:rFonts w:ascii="Arial" w:hAnsi="Arial"/>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50">
    <w:name w:val="纯文本 Char"/>
    <w:basedOn w:val="20"/>
    <w:link w:val="11"/>
    <w:qFormat/>
    <w:uiPriority w:val="0"/>
    <w:rPr>
      <w:rFonts w:ascii="宋体" w:hAnsi="Courier New"/>
      <w:kern w:val="2"/>
      <w:sz w:val="21"/>
      <w:szCs w:val="24"/>
    </w:rPr>
  </w:style>
  <w:style w:type="character" w:customStyle="1" w:styleId="51">
    <w:name w:val="NormalCharacter"/>
    <w:autoRedefine/>
    <w:qFormat/>
    <w:uiPriority w:val="0"/>
  </w:style>
  <w:style w:type="character" w:customStyle="1" w:styleId="52">
    <w:name w:val="正文文本 3 Char"/>
    <w:basedOn w:val="20"/>
    <w:link w:val="5"/>
    <w:semiHidden/>
    <w:qFormat/>
    <w:uiPriority w:val="99"/>
    <w:rPr>
      <w:kern w:val="2"/>
      <w:sz w:val="16"/>
      <w:szCs w:val="16"/>
    </w:rPr>
  </w:style>
  <w:style w:type="paragraph" w:customStyle="1" w:styleId="53">
    <w:name w:val="样式1"/>
    <w:basedOn w:val="1"/>
    <w:qFormat/>
    <w:uiPriority w:val="0"/>
    <w:pPr>
      <w:spacing w:line="520" w:lineRule="exact"/>
      <w:ind w:firstLine="566" w:firstLineChars="236"/>
    </w:pPr>
    <w:rPr>
      <w:sz w:val="24"/>
    </w:rPr>
  </w:style>
  <w:style w:type="character" w:customStyle="1" w:styleId="54">
    <w:name w:val="批注引用1"/>
    <w:basedOn w:val="55"/>
    <w:qFormat/>
    <w:uiPriority w:val="0"/>
    <w:rPr>
      <w:rFonts w:ascii="Times New Roman" w:hAnsi="Times New Roman" w:eastAsia="宋体" w:cs="Times New Roman"/>
      <w:kern w:val="2"/>
      <w:sz w:val="21"/>
      <w:szCs w:val="24"/>
      <w:lang w:val="en-US" w:eastAsia="zh-CN" w:bidi="ar-SA"/>
    </w:rPr>
  </w:style>
  <w:style w:type="character" w:customStyle="1" w:styleId="55">
    <w:name w:val="默认段落字体1"/>
    <w:unhideWhenUsed/>
    <w:qFormat/>
    <w:uiPriority w:val="1"/>
  </w:style>
  <w:style w:type="paragraph" w:customStyle="1" w:styleId="56">
    <w:name w:val="正文首行缩进 21"/>
    <w:basedOn w:val="57"/>
    <w:qFormat/>
    <w:uiPriority w:val="99"/>
    <w:pPr>
      <w:spacing w:after="0" w:line="360" w:lineRule="auto"/>
      <w:ind w:left="0" w:firstLine="420"/>
    </w:pPr>
    <w:rPr>
      <w:rFonts w:ascii="宋体" w:hAnsi="宋体"/>
      <w:sz w:val="20"/>
      <w:szCs w:val="20"/>
    </w:rPr>
  </w:style>
  <w:style w:type="paragraph" w:customStyle="1" w:styleId="57">
    <w:name w:val="正文文本缩进1"/>
    <w:basedOn w:val="1"/>
    <w:unhideWhenUsed/>
    <w:qFormat/>
    <w:uiPriority w:val="99"/>
    <w:pPr>
      <w:spacing w:after="120"/>
      <w:ind w:left="420"/>
    </w:pPr>
  </w:style>
  <w:style w:type="paragraph" w:customStyle="1" w:styleId="58">
    <w:name w:val="正文2"/>
    <w:qFormat/>
    <w:uiPriority w:val="0"/>
    <w:pPr>
      <w:widowControl w:val="0"/>
      <w:spacing w:before="156" w:line="360" w:lineRule="auto"/>
      <w:ind w:firstLine="200"/>
      <w:jc w:val="both"/>
    </w:pPr>
    <w:rPr>
      <w:rFonts w:ascii="Times New Roman" w:hAnsi="Times New Roman" w:eastAsia="宋体" w:cs="Times New Roman"/>
      <w:sz w:val="24"/>
      <w:lang w:val="en-US" w:eastAsia="zh-CN" w:bidi="ar-SA"/>
    </w:rPr>
  </w:style>
  <w:style w:type="paragraph" w:customStyle="1" w:styleId="59">
    <w:name w:val="纯文本1"/>
    <w:basedOn w:val="1"/>
    <w:qFormat/>
    <w:uiPriority w:val="0"/>
    <w:rPr>
      <w:rFonts w:ascii="宋体" w:hAnsi="Courier New" w:cs="Courier New"/>
      <w:szCs w:val="21"/>
    </w:rPr>
  </w:style>
  <w:style w:type="paragraph" w:customStyle="1" w:styleId="60">
    <w:name w:val="页脚1"/>
    <w:basedOn w:val="1"/>
    <w:qFormat/>
    <w:uiPriority w:val="99"/>
    <w:pPr>
      <w:tabs>
        <w:tab w:val="center" w:pos="4153"/>
        <w:tab w:val="right" w:pos="8306"/>
      </w:tabs>
      <w:jc w:val="left"/>
    </w:pPr>
    <w:rPr>
      <w:sz w:val="18"/>
      <w:szCs w:val="18"/>
    </w:rPr>
  </w:style>
  <w:style w:type="character" w:customStyle="1" w:styleId="61">
    <w:name w:val="font21"/>
    <w:basedOn w:val="20"/>
    <w:qFormat/>
    <w:uiPriority w:val="0"/>
    <w:rPr>
      <w:rFonts w:hint="default" w:ascii="仿宋_GB2312" w:eastAsia="仿宋_GB2312" w:cs="仿宋_GB2312"/>
      <w:color w:val="000000"/>
      <w:sz w:val="24"/>
      <w:szCs w:val="24"/>
      <w:u w:val="none"/>
    </w:rPr>
  </w:style>
  <w:style w:type="character" w:customStyle="1" w:styleId="62">
    <w:name w:val="font81"/>
    <w:basedOn w:val="20"/>
    <w:qFormat/>
    <w:uiPriority w:val="0"/>
    <w:rPr>
      <w:rFonts w:hint="default" w:ascii="Times New Roman" w:hAnsi="Times New Roman" w:cs="Times New Roman"/>
      <w:color w:val="000000"/>
      <w:sz w:val="22"/>
      <w:szCs w:val="22"/>
      <w:u w:val="none"/>
    </w:rPr>
  </w:style>
  <w:style w:type="character" w:customStyle="1" w:styleId="63">
    <w:name w:val="font51"/>
    <w:basedOn w:val="20"/>
    <w:qFormat/>
    <w:uiPriority w:val="0"/>
    <w:rPr>
      <w:rFonts w:hint="eastAsia" w:ascii="宋体" w:hAnsi="宋体" w:eastAsia="宋体" w:cs="宋体"/>
      <w:color w:val="000000"/>
      <w:sz w:val="24"/>
      <w:szCs w:val="24"/>
      <w:u w:val="none"/>
    </w:rPr>
  </w:style>
  <w:style w:type="paragraph" w:styleId="64">
    <w:name w:val="No Spacing"/>
    <w:qFormat/>
    <w:uiPriority w:val="1"/>
    <w:pPr>
      <w:adjustRightInd w:val="0"/>
      <w:snapToGrid w:val="0"/>
    </w:pPr>
    <w:rPr>
      <w:rFonts w:ascii="Tahoma" w:hAnsi="Tahoma" w:eastAsia="微软雅黑" w:cs="Tahoma"/>
      <w:sz w:val="22"/>
      <w:szCs w:val="22"/>
      <w:lang w:val="en-US" w:eastAsia="zh-CN" w:bidi="ar-SA"/>
    </w:rPr>
  </w:style>
  <w:style w:type="character" w:customStyle="1" w:styleId="65">
    <w:name w:val="font101"/>
    <w:basedOn w:val="20"/>
    <w:qFormat/>
    <w:uiPriority w:val="0"/>
    <w:rPr>
      <w:rFonts w:hint="eastAsia" w:ascii="仿宋" w:hAnsi="仿宋" w:eastAsia="仿宋" w:cs="仿宋"/>
      <w:color w:val="000000"/>
      <w:sz w:val="24"/>
      <w:szCs w:val="24"/>
      <w:u w:val="none"/>
    </w:rPr>
  </w:style>
  <w:style w:type="character" w:customStyle="1" w:styleId="66">
    <w:name w:val="font91"/>
    <w:basedOn w:val="20"/>
    <w:qFormat/>
    <w:uiPriority w:val="0"/>
    <w:rPr>
      <w:rFonts w:ascii="仿宋_GB2312" w:eastAsia="仿宋_GB2312" w:cs="仿宋_GB2312"/>
      <w:color w:val="000000"/>
      <w:sz w:val="22"/>
      <w:szCs w:val="22"/>
      <w:u w:val="none"/>
    </w:rPr>
  </w:style>
  <w:style w:type="character" w:customStyle="1" w:styleId="67">
    <w:name w:val="font112"/>
    <w:basedOn w:val="20"/>
    <w:qFormat/>
    <w:uiPriority w:val="0"/>
    <w:rPr>
      <w:rFonts w:hint="eastAsia" w:ascii="宋体" w:hAnsi="宋体" w:eastAsia="宋体" w:cs="宋体"/>
      <w:color w:val="000000"/>
      <w:sz w:val="22"/>
      <w:szCs w:val="22"/>
      <w:u w:val="none"/>
    </w:rPr>
  </w:style>
  <w:style w:type="character" w:customStyle="1" w:styleId="68">
    <w:name w:val="font11"/>
    <w:basedOn w:val="20"/>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69</Pages>
  <Words>7375</Words>
  <Characters>8114</Characters>
  <Lines>253</Lines>
  <Paragraphs>71</Paragraphs>
  <TotalTime>2</TotalTime>
  <ScaleCrop>false</ScaleCrop>
  <LinksUpToDate>false</LinksUpToDate>
  <CharactersWithSpaces>8195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2024-11-28T02:57:00Z</dcterms:created>
  <dc:creator>吉加兵</dc:creator>
  <cp:lastModifiedBy>WPS_1542117345</cp:lastModifiedBy>
  <cp:lastPrinted>2022-03-01T06:57:00Z</cp:lastPrinted>
  <dcterms:modified xsi:type="dcterms:W3CDTF">2025-10-24T07:40:24Z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6918114121B54E279306B450F3856DA2_13</vt:lpwstr>
  </property>
  <property fmtid="{D5CDD505-2E9C-101B-9397-08002B2CF9AE}" pid="4" name="KSOTemplateDocerSaveRecord">
    <vt:lpwstr>eyJoZGlkIjoiZmMxNTFmN2NlZTk0MGQ1OTkxM2M1ZDNhNDkyN2Q1NDciLCJ1c2VySWQiOiI0Mjc4NTY2NzMifQ==</vt:lpwstr>
  </property>
</Properties>
</file>