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pacing w:val="20"/>
          <w:sz w:val="44"/>
          <w:szCs w:val="44"/>
        </w:rPr>
      </w:pPr>
    </w:p>
    <w:p>
      <w:pPr>
        <w:spacing w:line="360" w:lineRule="auto"/>
        <w:jc w:val="center"/>
        <w:rPr>
          <w:rFonts w:ascii="宋体" w:hAnsi="宋体"/>
          <w:b/>
          <w:sz w:val="44"/>
          <w:szCs w:val="44"/>
        </w:rPr>
      </w:pPr>
      <w:r>
        <w:rPr>
          <w:rFonts w:hint="eastAsia" w:ascii="宋体" w:hAnsi="宋体"/>
          <w:b/>
          <w:sz w:val="44"/>
          <w:szCs w:val="44"/>
        </w:rPr>
        <w:t>基于机器视觉的路面坑槽裂缝快检系统深化改造项目</w:t>
      </w:r>
    </w:p>
    <w:p>
      <w:pPr>
        <w:spacing w:line="360" w:lineRule="auto"/>
        <w:jc w:val="center"/>
        <w:rPr>
          <w:rFonts w:ascii="仿宋" w:hAnsi="仿宋" w:eastAsia="仿宋"/>
          <w:b/>
          <w:spacing w:val="20"/>
          <w:sz w:val="44"/>
        </w:rPr>
      </w:pPr>
    </w:p>
    <w:p>
      <w:pPr>
        <w:spacing w:line="360" w:lineRule="auto"/>
        <w:jc w:val="center"/>
        <w:rPr>
          <w:rFonts w:ascii="仿宋" w:hAnsi="仿宋" w:eastAsia="仿宋"/>
          <w:b/>
          <w:spacing w:val="20"/>
          <w:sz w:val="44"/>
        </w:rPr>
      </w:pPr>
    </w:p>
    <w:p>
      <w:pPr>
        <w:spacing w:line="360" w:lineRule="auto"/>
        <w:jc w:val="center"/>
        <w:rPr>
          <w:rFonts w:ascii="仿宋" w:hAnsi="仿宋" w:eastAsia="仿宋"/>
          <w:b/>
          <w:spacing w:val="20"/>
          <w:sz w:val="44"/>
        </w:rPr>
      </w:pPr>
    </w:p>
    <w:p>
      <w:pPr>
        <w:jc w:val="center"/>
        <w:rPr>
          <w:rFonts w:ascii="仿宋" w:hAnsi="仿宋" w:eastAsia="仿宋"/>
          <w:b/>
          <w:sz w:val="44"/>
          <w:szCs w:val="44"/>
        </w:rPr>
      </w:pPr>
      <w:r>
        <w:rPr>
          <w:rFonts w:hint="eastAsia" w:ascii="仿宋" w:hAnsi="仿宋" w:eastAsia="仿宋"/>
          <w:b/>
          <w:sz w:val="96"/>
          <w:szCs w:val="100"/>
        </w:rPr>
        <w:t>竞争性磋商文件</w:t>
      </w:r>
    </w:p>
    <w:p>
      <w:pPr>
        <w:jc w:val="center"/>
        <w:rPr>
          <w:rFonts w:ascii="仿宋" w:hAnsi="仿宋" w:eastAsia="仿宋"/>
          <w:b/>
          <w:sz w:val="44"/>
          <w:szCs w:val="44"/>
        </w:rPr>
      </w:pPr>
      <w:r>
        <w:rPr>
          <w:rFonts w:hint="eastAsia" w:ascii="宋体" w:hAnsi="宋体"/>
          <w:b/>
          <w:sz w:val="44"/>
          <w:szCs w:val="44"/>
        </w:rPr>
        <w:t>（资格后审）</w:t>
      </w:r>
    </w:p>
    <w:p>
      <w:pPr>
        <w:jc w:val="center"/>
        <w:rPr>
          <w:rFonts w:ascii="仿宋" w:hAnsi="仿宋" w:eastAsia="仿宋"/>
          <w:b/>
          <w:sz w:val="96"/>
          <w:szCs w:val="100"/>
        </w:rPr>
      </w:pPr>
    </w:p>
    <w:p>
      <w:pPr>
        <w:jc w:val="center"/>
        <w:rPr>
          <w:rFonts w:ascii="仿宋" w:hAnsi="仿宋" w:eastAsia="仿宋"/>
          <w:b/>
          <w:sz w:val="96"/>
          <w:szCs w:val="100"/>
        </w:rPr>
      </w:pPr>
    </w:p>
    <w:p>
      <w:pPr>
        <w:jc w:val="center"/>
        <w:rPr>
          <w:rFonts w:ascii="仿宋" w:hAnsi="仿宋" w:eastAsia="仿宋"/>
          <w:b/>
          <w:sz w:val="96"/>
          <w:szCs w:val="100"/>
        </w:rPr>
      </w:pPr>
    </w:p>
    <w:p>
      <w:pPr>
        <w:rPr>
          <w:rFonts w:ascii="仿宋" w:hAnsi="仿宋" w:eastAsia="仿宋"/>
          <w:b/>
          <w:sz w:val="96"/>
          <w:szCs w:val="100"/>
        </w:rPr>
      </w:pPr>
    </w:p>
    <w:p>
      <w:pPr>
        <w:rPr>
          <w:rFonts w:ascii="仿宋" w:hAnsi="仿宋" w:eastAsia="仿宋"/>
          <w:b/>
          <w:sz w:val="44"/>
          <w:szCs w:val="44"/>
        </w:rPr>
      </w:pPr>
    </w:p>
    <w:p>
      <w:pPr>
        <w:spacing w:line="360" w:lineRule="auto"/>
        <w:jc w:val="center"/>
        <w:rPr>
          <w:rFonts w:ascii="宋体" w:hAnsi="宋体"/>
          <w:b/>
          <w:spacing w:val="20"/>
          <w:sz w:val="32"/>
        </w:rPr>
      </w:pPr>
      <w:r>
        <w:rPr>
          <w:rFonts w:hint="eastAsia" w:ascii="宋体" w:hAnsi="宋体"/>
          <w:b/>
          <w:spacing w:val="20"/>
          <w:sz w:val="32"/>
        </w:rPr>
        <w:t>招标人：南通市公路事业发展中心</w:t>
      </w:r>
    </w:p>
    <w:p>
      <w:pPr>
        <w:spacing w:line="360" w:lineRule="auto"/>
        <w:jc w:val="center"/>
        <w:rPr>
          <w:rFonts w:ascii="宋体" w:hAnsi="宋体"/>
          <w:b/>
          <w:spacing w:val="20"/>
          <w:sz w:val="32"/>
        </w:rPr>
      </w:pPr>
      <w:r>
        <w:rPr>
          <w:rFonts w:hint="eastAsia" w:ascii="宋体" w:hAnsi="宋体"/>
          <w:b/>
          <w:spacing w:val="20"/>
          <w:sz w:val="32"/>
        </w:rPr>
        <w:t>招标代理：捷宏润安工程顾问有限公司</w:t>
      </w:r>
    </w:p>
    <w:p>
      <w:pPr>
        <w:spacing w:line="360" w:lineRule="auto"/>
        <w:jc w:val="center"/>
        <w:rPr>
          <w:rFonts w:ascii="仿宋" w:hAnsi="仿宋" w:eastAsia="仿宋"/>
          <w:b/>
          <w:sz w:val="44"/>
          <w:szCs w:val="44"/>
        </w:rPr>
      </w:pPr>
      <w:r>
        <w:rPr>
          <w:rFonts w:hint="eastAsia" w:ascii="宋体" w:hAnsi="宋体"/>
          <w:b/>
          <w:spacing w:val="20"/>
          <w:sz w:val="32"/>
        </w:rPr>
        <w:t>20</w:t>
      </w:r>
      <w:r>
        <w:rPr>
          <w:rFonts w:ascii="宋体" w:hAnsi="宋体"/>
          <w:b/>
          <w:spacing w:val="20"/>
          <w:sz w:val="32"/>
        </w:rPr>
        <w:t>20</w:t>
      </w:r>
      <w:r>
        <w:rPr>
          <w:rFonts w:hint="eastAsia" w:ascii="宋体" w:hAnsi="宋体"/>
          <w:b/>
          <w:spacing w:val="20"/>
          <w:sz w:val="32"/>
        </w:rPr>
        <w:t>年9月11日</w:t>
      </w:r>
      <w:r>
        <w:rPr>
          <w:rFonts w:ascii="仿宋" w:hAnsi="仿宋" w:eastAsia="仿宋"/>
          <w:b/>
          <w:sz w:val="44"/>
          <w:szCs w:val="44"/>
        </w:rPr>
        <w:br w:type="page"/>
      </w:r>
    </w:p>
    <w:sdt>
      <w:sdtPr>
        <w:rPr>
          <w:rFonts w:ascii="仿宋" w:hAnsi="仿宋" w:eastAsia="仿宋" w:cs="Times New Roman"/>
          <w:b w:val="0"/>
          <w:bCs w:val="0"/>
          <w:color w:val="auto"/>
          <w:kern w:val="2"/>
          <w:sz w:val="21"/>
          <w:szCs w:val="24"/>
          <w:lang w:val="zh-CN"/>
        </w:rPr>
        <w:id w:val="1611776336"/>
        <w:docPartObj>
          <w:docPartGallery w:val="Table of Contents"/>
          <w:docPartUnique/>
        </w:docPartObj>
      </w:sdtPr>
      <w:sdtEndPr>
        <w:rPr>
          <w:rFonts w:ascii="仿宋" w:hAnsi="仿宋" w:eastAsia="仿宋" w:cs="Times New Roman"/>
          <w:b w:val="0"/>
          <w:bCs w:val="0"/>
          <w:color w:val="auto"/>
          <w:kern w:val="2"/>
          <w:sz w:val="28"/>
          <w:szCs w:val="28"/>
          <w:lang w:val="zh-CN"/>
        </w:rPr>
      </w:sdtEndPr>
      <w:sdtContent>
        <w:p>
          <w:pPr>
            <w:pStyle w:val="106"/>
            <w:jc w:val="center"/>
            <w:rPr>
              <w:rFonts w:ascii="仿宋" w:hAnsi="仿宋" w:eastAsia="仿宋"/>
              <w:color w:val="auto"/>
              <w:sz w:val="32"/>
              <w:szCs w:val="44"/>
            </w:rPr>
          </w:pPr>
          <w:r>
            <w:rPr>
              <w:rFonts w:ascii="仿宋" w:hAnsi="仿宋" w:eastAsia="仿宋"/>
              <w:color w:val="auto"/>
              <w:sz w:val="32"/>
              <w:szCs w:val="44"/>
              <w:lang w:val="zh-CN"/>
            </w:rPr>
            <w:t>目录</w:t>
          </w:r>
        </w:p>
        <w:p>
          <w:pPr>
            <w:pStyle w:val="23"/>
            <w:tabs>
              <w:tab w:val="right" w:leader="dot" w:pos="7797"/>
            </w:tabs>
            <w:spacing w:beforeLines="50" w:afterLines="50" w:line="360" w:lineRule="auto"/>
            <w:ind w:left="850" w:leftChars="405" w:right="1273" w:rightChars="606"/>
            <w:rPr>
              <w:rFonts w:ascii="仿宋" w:hAnsi="仿宋" w:eastAsia="仿宋" w:cstheme="minorBidi"/>
              <w:b/>
              <w:sz w:val="28"/>
              <w:szCs w:val="28"/>
            </w:rPr>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fldChar w:fldCharType="begin"/>
          </w:r>
          <w:r>
            <w:instrText xml:space="preserve"> HYPERLINK \l "_Toc8163747" </w:instrText>
          </w:r>
          <w:r>
            <w:fldChar w:fldCharType="separate"/>
          </w:r>
          <w:r>
            <w:rPr>
              <w:rStyle w:val="37"/>
              <w:rFonts w:hint="eastAsia" w:ascii="仿宋" w:hAnsi="仿宋" w:eastAsia="仿宋"/>
              <w:b/>
              <w:color w:val="auto"/>
              <w:sz w:val="28"/>
              <w:szCs w:val="28"/>
            </w:rPr>
            <w:t>第一部分磋商公告</w:t>
          </w:r>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_Toc8163747 \h </w:instrText>
          </w:r>
          <w:r>
            <w:rPr>
              <w:rFonts w:ascii="仿宋" w:hAnsi="仿宋" w:eastAsia="仿宋"/>
              <w:b/>
              <w:sz w:val="28"/>
              <w:szCs w:val="28"/>
            </w:rPr>
            <w:fldChar w:fldCharType="separate"/>
          </w:r>
          <w:r>
            <w:rPr>
              <w:rFonts w:ascii="仿宋" w:hAnsi="仿宋" w:eastAsia="仿宋"/>
              <w:b/>
              <w:sz w:val="28"/>
              <w:szCs w:val="28"/>
            </w:rPr>
            <w:t>3</w:t>
          </w:r>
          <w:r>
            <w:rPr>
              <w:rFonts w:ascii="仿宋" w:hAnsi="仿宋" w:eastAsia="仿宋"/>
              <w:b/>
              <w:sz w:val="28"/>
              <w:szCs w:val="28"/>
            </w:rPr>
            <w:fldChar w:fldCharType="end"/>
          </w:r>
          <w:r>
            <w:rPr>
              <w:rFonts w:ascii="仿宋" w:hAnsi="仿宋" w:eastAsia="仿宋"/>
              <w:b/>
              <w:sz w:val="28"/>
              <w:szCs w:val="28"/>
            </w:rPr>
            <w:fldChar w:fldCharType="end"/>
          </w:r>
        </w:p>
        <w:p>
          <w:pPr>
            <w:pStyle w:val="23"/>
            <w:tabs>
              <w:tab w:val="right" w:leader="dot" w:pos="7797"/>
            </w:tabs>
            <w:spacing w:beforeLines="50" w:afterLines="50" w:line="360" w:lineRule="auto"/>
            <w:ind w:left="850" w:leftChars="405" w:right="1273" w:rightChars="606"/>
            <w:rPr>
              <w:rFonts w:ascii="仿宋" w:hAnsi="仿宋" w:eastAsia="仿宋" w:cstheme="minorBidi"/>
              <w:b/>
              <w:sz w:val="28"/>
              <w:szCs w:val="28"/>
            </w:rPr>
          </w:pPr>
          <w:r>
            <w:fldChar w:fldCharType="begin"/>
          </w:r>
          <w:r>
            <w:instrText xml:space="preserve"> HYPERLINK \l "_Toc8163748" </w:instrText>
          </w:r>
          <w:r>
            <w:fldChar w:fldCharType="separate"/>
          </w:r>
          <w:r>
            <w:rPr>
              <w:rStyle w:val="37"/>
              <w:rFonts w:hint="eastAsia" w:ascii="仿宋" w:hAnsi="仿宋" w:eastAsia="仿宋"/>
              <w:b/>
              <w:color w:val="auto"/>
              <w:sz w:val="28"/>
              <w:szCs w:val="28"/>
            </w:rPr>
            <w:t>第二部分磋商须知</w:t>
          </w:r>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_Toc8163748 \h </w:instrText>
          </w:r>
          <w:r>
            <w:rPr>
              <w:rFonts w:ascii="仿宋" w:hAnsi="仿宋" w:eastAsia="仿宋"/>
              <w:b/>
              <w:sz w:val="28"/>
              <w:szCs w:val="28"/>
            </w:rPr>
            <w:fldChar w:fldCharType="separate"/>
          </w:r>
          <w:r>
            <w:rPr>
              <w:rFonts w:ascii="仿宋" w:hAnsi="仿宋" w:eastAsia="仿宋"/>
              <w:b/>
              <w:sz w:val="28"/>
              <w:szCs w:val="28"/>
            </w:rPr>
            <w:t>6</w:t>
          </w:r>
          <w:r>
            <w:rPr>
              <w:rFonts w:ascii="仿宋" w:hAnsi="仿宋" w:eastAsia="仿宋"/>
              <w:b/>
              <w:sz w:val="28"/>
              <w:szCs w:val="28"/>
            </w:rPr>
            <w:fldChar w:fldCharType="end"/>
          </w:r>
          <w:r>
            <w:rPr>
              <w:rFonts w:ascii="仿宋" w:hAnsi="仿宋" w:eastAsia="仿宋"/>
              <w:b/>
              <w:sz w:val="28"/>
              <w:szCs w:val="28"/>
            </w:rPr>
            <w:fldChar w:fldCharType="end"/>
          </w:r>
        </w:p>
        <w:p>
          <w:pPr>
            <w:pStyle w:val="23"/>
            <w:tabs>
              <w:tab w:val="right" w:leader="dot" w:pos="7797"/>
            </w:tabs>
            <w:spacing w:beforeLines="50" w:afterLines="50" w:line="360" w:lineRule="auto"/>
            <w:ind w:left="850" w:leftChars="405" w:right="1273" w:rightChars="606"/>
            <w:rPr>
              <w:rFonts w:ascii="仿宋" w:hAnsi="仿宋" w:eastAsia="仿宋" w:cstheme="minorBidi"/>
              <w:b/>
              <w:sz w:val="28"/>
              <w:szCs w:val="28"/>
            </w:rPr>
          </w:pPr>
          <w:r>
            <w:fldChar w:fldCharType="begin"/>
          </w:r>
          <w:r>
            <w:instrText xml:space="preserve"> HYPERLINK \l "_Toc8163749" </w:instrText>
          </w:r>
          <w:r>
            <w:fldChar w:fldCharType="separate"/>
          </w:r>
          <w:r>
            <w:rPr>
              <w:rStyle w:val="37"/>
              <w:rFonts w:hint="eastAsia" w:ascii="仿宋" w:hAnsi="仿宋" w:eastAsia="仿宋"/>
              <w:b/>
              <w:color w:val="auto"/>
              <w:sz w:val="28"/>
              <w:szCs w:val="28"/>
            </w:rPr>
            <w:t>第三部分项目需求说明</w:t>
          </w:r>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_Toc8163749 \h </w:instrText>
          </w:r>
          <w:r>
            <w:rPr>
              <w:rFonts w:ascii="仿宋" w:hAnsi="仿宋" w:eastAsia="仿宋"/>
              <w:b/>
              <w:sz w:val="28"/>
              <w:szCs w:val="28"/>
            </w:rPr>
            <w:fldChar w:fldCharType="separate"/>
          </w:r>
          <w:r>
            <w:rPr>
              <w:rFonts w:ascii="仿宋" w:hAnsi="仿宋" w:eastAsia="仿宋"/>
              <w:b/>
              <w:sz w:val="28"/>
              <w:szCs w:val="28"/>
            </w:rPr>
            <w:t>9</w:t>
          </w:r>
          <w:r>
            <w:rPr>
              <w:rFonts w:ascii="仿宋" w:hAnsi="仿宋" w:eastAsia="仿宋"/>
              <w:b/>
              <w:sz w:val="28"/>
              <w:szCs w:val="28"/>
            </w:rPr>
            <w:fldChar w:fldCharType="end"/>
          </w:r>
          <w:r>
            <w:rPr>
              <w:rFonts w:ascii="仿宋" w:hAnsi="仿宋" w:eastAsia="仿宋"/>
              <w:b/>
              <w:sz w:val="28"/>
              <w:szCs w:val="28"/>
            </w:rPr>
            <w:fldChar w:fldCharType="end"/>
          </w:r>
        </w:p>
        <w:p>
          <w:pPr>
            <w:pStyle w:val="23"/>
            <w:tabs>
              <w:tab w:val="right" w:leader="dot" w:pos="7797"/>
            </w:tabs>
            <w:spacing w:beforeLines="50" w:afterLines="50" w:line="360" w:lineRule="auto"/>
            <w:ind w:left="850" w:leftChars="405" w:right="1273" w:rightChars="606"/>
            <w:rPr>
              <w:rFonts w:ascii="仿宋" w:hAnsi="仿宋" w:eastAsia="仿宋" w:cstheme="minorBidi"/>
              <w:b/>
              <w:sz w:val="28"/>
              <w:szCs w:val="28"/>
            </w:rPr>
          </w:pPr>
          <w:r>
            <w:fldChar w:fldCharType="begin"/>
          </w:r>
          <w:r>
            <w:instrText xml:space="preserve"> HYPERLINK \l "_Toc8163750" </w:instrText>
          </w:r>
          <w:r>
            <w:fldChar w:fldCharType="separate"/>
          </w:r>
          <w:r>
            <w:rPr>
              <w:rStyle w:val="37"/>
              <w:rFonts w:hint="eastAsia" w:ascii="仿宋" w:hAnsi="仿宋" w:eastAsia="仿宋"/>
              <w:b/>
              <w:color w:val="auto"/>
              <w:sz w:val="28"/>
              <w:szCs w:val="28"/>
            </w:rPr>
            <w:t>第四部分磋商程序和内容</w:t>
          </w:r>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_Toc8163750 \h </w:instrText>
          </w:r>
          <w:r>
            <w:rPr>
              <w:rFonts w:ascii="仿宋" w:hAnsi="仿宋" w:eastAsia="仿宋"/>
              <w:b/>
              <w:sz w:val="28"/>
              <w:szCs w:val="28"/>
            </w:rPr>
            <w:fldChar w:fldCharType="separate"/>
          </w:r>
          <w:r>
            <w:rPr>
              <w:rFonts w:ascii="仿宋" w:hAnsi="仿宋" w:eastAsia="仿宋"/>
              <w:b/>
              <w:sz w:val="28"/>
              <w:szCs w:val="28"/>
            </w:rPr>
            <w:t>11</w:t>
          </w:r>
          <w:r>
            <w:rPr>
              <w:rFonts w:ascii="仿宋" w:hAnsi="仿宋" w:eastAsia="仿宋"/>
              <w:b/>
              <w:sz w:val="28"/>
              <w:szCs w:val="28"/>
            </w:rPr>
            <w:fldChar w:fldCharType="end"/>
          </w:r>
          <w:r>
            <w:rPr>
              <w:rFonts w:ascii="仿宋" w:hAnsi="仿宋" w:eastAsia="仿宋"/>
              <w:b/>
              <w:sz w:val="28"/>
              <w:szCs w:val="28"/>
            </w:rPr>
            <w:fldChar w:fldCharType="end"/>
          </w:r>
        </w:p>
        <w:p>
          <w:pPr>
            <w:pStyle w:val="23"/>
            <w:tabs>
              <w:tab w:val="right" w:leader="dot" w:pos="7797"/>
            </w:tabs>
            <w:spacing w:beforeLines="50" w:afterLines="50" w:line="360" w:lineRule="auto"/>
            <w:ind w:left="850" w:leftChars="405" w:right="1273" w:rightChars="606"/>
            <w:rPr>
              <w:rFonts w:ascii="仿宋" w:hAnsi="仿宋" w:eastAsia="仿宋" w:cstheme="minorBidi"/>
              <w:b/>
              <w:sz w:val="28"/>
              <w:szCs w:val="28"/>
            </w:rPr>
          </w:pPr>
          <w:r>
            <w:fldChar w:fldCharType="begin"/>
          </w:r>
          <w:r>
            <w:instrText xml:space="preserve"> HYPERLINK \l "_Toc8163751" </w:instrText>
          </w:r>
          <w:r>
            <w:fldChar w:fldCharType="separate"/>
          </w:r>
          <w:r>
            <w:rPr>
              <w:rStyle w:val="37"/>
              <w:rFonts w:hint="eastAsia" w:ascii="仿宋" w:hAnsi="仿宋" w:eastAsia="仿宋"/>
              <w:b/>
              <w:color w:val="auto"/>
              <w:sz w:val="28"/>
              <w:szCs w:val="28"/>
            </w:rPr>
            <w:t>第五部分合同签订与验收付款</w:t>
          </w:r>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_Toc8163751 \h </w:instrText>
          </w:r>
          <w:r>
            <w:rPr>
              <w:rFonts w:ascii="仿宋" w:hAnsi="仿宋" w:eastAsia="仿宋"/>
              <w:b/>
              <w:sz w:val="28"/>
              <w:szCs w:val="28"/>
            </w:rPr>
            <w:fldChar w:fldCharType="separate"/>
          </w:r>
          <w:r>
            <w:rPr>
              <w:rFonts w:ascii="仿宋" w:hAnsi="仿宋" w:eastAsia="仿宋"/>
              <w:b/>
              <w:sz w:val="28"/>
              <w:szCs w:val="28"/>
            </w:rPr>
            <w:t>20</w:t>
          </w:r>
          <w:r>
            <w:rPr>
              <w:rFonts w:ascii="仿宋" w:hAnsi="仿宋" w:eastAsia="仿宋"/>
              <w:b/>
              <w:sz w:val="28"/>
              <w:szCs w:val="28"/>
            </w:rPr>
            <w:fldChar w:fldCharType="end"/>
          </w:r>
          <w:r>
            <w:rPr>
              <w:rFonts w:ascii="仿宋" w:hAnsi="仿宋" w:eastAsia="仿宋"/>
              <w:b/>
              <w:sz w:val="28"/>
              <w:szCs w:val="28"/>
            </w:rPr>
            <w:fldChar w:fldCharType="end"/>
          </w:r>
        </w:p>
        <w:p>
          <w:pPr>
            <w:pStyle w:val="23"/>
            <w:tabs>
              <w:tab w:val="right" w:leader="dot" w:pos="7797"/>
            </w:tabs>
            <w:spacing w:beforeLines="50" w:afterLines="50" w:line="360" w:lineRule="auto"/>
            <w:ind w:left="850" w:leftChars="405" w:right="1273" w:rightChars="606"/>
            <w:rPr>
              <w:rFonts w:ascii="仿宋" w:hAnsi="仿宋" w:eastAsia="仿宋" w:cstheme="minorBidi"/>
              <w:b/>
              <w:sz w:val="28"/>
              <w:szCs w:val="28"/>
            </w:rPr>
          </w:pPr>
          <w:r>
            <w:fldChar w:fldCharType="begin"/>
          </w:r>
          <w:r>
            <w:instrText xml:space="preserve"> HYPERLINK \l "_Toc8163752" </w:instrText>
          </w:r>
          <w:r>
            <w:fldChar w:fldCharType="separate"/>
          </w:r>
          <w:r>
            <w:rPr>
              <w:rStyle w:val="37"/>
              <w:rFonts w:hint="eastAsia" w:ascii="仿宋" w:hAnsi="仿宋" w:eastAsia="仿宋"/>
              <w:b/>
              <w:color w:val="auto"/>
              <w:sz w:val="28"/>
              <w:szCs w:val="28"/>
            </w:rPr>
            <w:t>第六部分质疑提出和处理</w:t>
          </w:r>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_Toc8163752 \h </w:instrText>
          </w:r>
          <w:r>
            <w:rPr>
              <w:rFonts w:ascii="仿宋" w:hAnsi="仿宋" w:eastAsia="仿宋"/>
              <w:b/>
              <w:sz w:val="28"/>
              <w:szCs w:val="28"/>
            </w:rPr>
            <w:fldChar w:fldCharType="separate"/>
          </w:r>
          <w:r>
            <w:rPr>
              <w:rFonts w:ascii="仿宋" w:hAnsi="仿宋" w:eastAsia="仿宋"/>
              <w:b/>
              <w:sz w:val="28"/>
              <w:szCs w:val="28"/>
            </w:rPr>
            <w:t>21</w:t>
          </w:r>
          <w:r>
            <w:rPr>
              <w:rFonts w:ascii="仿宋" w:hAnsi="仿宋" w:eastAsia="仿宋"/>
              <w:b/>
              <w:sz w:val="28"/>
              <w:szCs w:val="28"/>
            </w:rPr>
            <w:fldChar w:fldCharType="end"/>
          </w:r>
          <w:r>
            <w:rPr>
              <w:rFonts w:ascii="仿宋" w:hAnsi="仿宋" w:eastAsia="仿宋"/>
              <w:b/>
              <w:sz w:val="28"/>
              <w:szCs w:val="28"/>
            </w:rPr>
            <w:fldChar w:fldCharType="end"/>
          </w:r>
        </w:p>
        <w:p>
          <w:pPr>
            <w:pStyle w:val="23"/>
            <w:tabs>
              <w:tab w:val="right" w:leader="dot" w:pos="7797"/>
            </w:tabs>
            <w:spacing w:beforeLines="50" w:afterLines="50" w:line="360" w:lineRule="auto"/>
            <w:ind w:left="850" w:leftChars="405" w:right="1273" w:rightChars="606"/>
            <w:rPr>
              <w:rFonts w:ascii="仿宋" w:hAnsi="仿宋" w:eastAsia="仿宋" w:cstheme="minorBidi"/>
              <w:sz w:val="28"/>
              <w:szCs w:val="28"/>
            </w:rPr>
          </w:pPr>
          <w:r>
            <w:fldChar w:fldCharType="begin"/>
          </w:r>
          <w:r>
            <w:instrText xml:space="preserve"> HYPERLINK \l "_Toc8163753" </w:instrText>
          </w:r>
          <w:r>
            <w:fldChar w:fldCharType="separate"/>
          </w:r>
          <w:r>
            <w:rPr>
              <w:rStyle w:val="37"/>
              <w:rFonts w:hint="eastAsia" w:ascii="仿宋" w:hAnsi="仿宋" w:eastAsia="仿宋"/>
              <w:b/>
              <w:color w:val="auto"/>
              <w:sz w:val="28"/>
              <w:szCs w:val="28"/>
            </w:rPr>
            <w:t>第七部分响应文件组成</w:t>
          </w:r>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_Toc8163753 \h </w:instrText>
          </w:r>
          <w:r>
            <w:rPr>
              <w:rFonts w:ascii="仿宋" w:hAnsi="仿宋" w:eastAsia="仿宋"/>
              <w:b/>
              <w:sz w:val="28"/>
              <w:szCs w:val="28"/>
            </w:rPr>
            <w:fldChar w:fldCharType="separate"/>
          </w:r>
          <w:r>
            <w:rPr>
              <w:rFonts w:ascii="仿宋" w:hAnsi="仿宋" w:eastAsia="仿宋"/>
              <w:b/>
              <w:sz w:val="28"/>
              <w:szCs w:val="28"/>
            </w:rPr>
            <w:t>25</w:t>
          </w:r>
          <w:r>
            <w:rPr>
              <w:rFonts w:ascii="仿宋" w:hAnsi="仿宋" w:eastAsia="仿宋"/>
              <w:b/>
              <w:sz w:val="28"/>
              <w:szCs w:val="28"/>
            </w:rPr>
            <w:fldChar w:fldCharType="end"/>
          </w:r>
          <w:r>
            <w:rPr>
              <w:rFonts w:ascii="仿宋" w:hAnsi="仿宋" w:eastAsia="仿宋"/>
              <w:b/>
              <w:sz w:val="28"/>
              <w:szCs w:val="28"/>
            </w:rPr>
            <w:fldChar w:fldCharType="end"/>
          </w:r>
        </w:p>
        <w:p>
          <w:pPr>
            <w:spacing w:beforeLines="50" w:afterLines="50" w:line="360" w:lineRule="auto"/>
            <w:rPr>
              <w:rFonts w:ascii="仿宋" w:hAnsi="仿宋" w:eastAsia="仿宋"/>
              <w:sz w:val="28"/>
              <w:szCs w:val="28"/>
            </w:rPr>
          </w:pPr>
          <w:r>
            <w:rPr>
              <w:rFonts w:ascii="仿宋" w:hAnsi="仿宋" w:eastAsia="仿宋"/>
              <w:b/>
              <w:bCs/>
              <w:sz w:val="28"/>
              <w:szCs w:val="28"/>
              <w:lang w:val="zh-CN"/>
            </w:rPr>
            <w:fldChar w:fldCharType="end"/>
          </w:r>
        </w:p>
      </w:sdtContent>
    </w:sdt>
    <w:p>
      <w:pPr>
        <w:snapToGrid w:val="0"/>
        <w:spacing w:line="360" w:lineRule="auto"/>
        <w:jc w:val="center"/>
        <w:rPr>
          <w:rFonts w:ascii="宋体" w:hAnsi="宋体"/>
          <w:b/>
          <w:w w:val="80"/>
          <w:szCs w:val="44"/>
        </w:rPr>
      </w:pPr>
      <w:r>
        <w:rPr>
          <w:rFonts w:ascii="仿宋" w:hAnsi="仿宋" w:eastAsia="仿宋"/>
          <w:sz w:val="36"/>
          <w:szCs w:val="36"/>
        </w:rPr>
        <w:br w:type="page"/>
      </w:r>
      <w:bookmarkStart w:id="0" w:name="_Toc8163747"/>
      <w:r>
        <w:rPr>
          <w:rFonts w:hint="eastAsia" w:ascii="宋体" w:hAnsi="宋体"/>
          <w:b/>
          <w:sz w:val="36"/>
          <w:szCs w:val="36"/>
        </w:rPr>
        <w:t>第一部分 磋商公告</w:t>
      </w:r>
      <w:bookmarkEnd w:id="0"/>
    </w:p>
    <w:p>
      <w:pPr>
        <w:tabs>
          <w:tab w:val="left" w:pos="1470"/>
          <w:tab w:val="center" w:pos="4769"/>
          <w:tab w:val="left" w:pos="6300"/>
        </w:tabs>
        <w:snapToGrid w:val="0"/>
        <w:spacing w:line="360" w:lineRule="auto"/>
        <w:ind w:firstLine="480" w:firstLineChars="200"/>
        <w:jc w:val="left"/>
        <w:rPr>
          <w:rFonts w:ascii="宋体" w:hAnsi="宋体" w:cs="宋体"/>
          <w:sz w:val="24"/>
        </w:rPr>
      </w:pPr>
      <w:r>
        <w:rPr>
          <w:rFonts w:hint="eastAsia" w:ascii="宋体" w:hAnsi="宋体" w:cs="宋体"/>
          <w:sz w:val="24"/>
          <w:lang w:val="zh-CN"/>
        </w:rPr>
        <w:t>捷宏润安工程顾问有限公司（</w:t>
      </w:r>
      <w:r>
        <w:rPr>
          <w:rFonts w:hint="eastAsia" w:ascii="宋体" w:hAnsi="宋体" w:cs="宋体"/>
          <w:sz w:val="24"/>
        </w:rPr>
        <w:t>以下称代理机构）受南通市公路事业发展中心（以下称采购单位）的委托，就基于机器视觉的路面坑槽裂缝快检系统深化改造项目组织竞争性磋商采购，诚邀符合条件的潜在供应商参加该项目的竞争性磋商。</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一、项目名称及编号</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项目名称：基于机器视觉的路面坑槽裂缝快检系统深化改造项目</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项目编号： </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二、采购预算</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本项目采购预算为3</w:t>
      </w:r>
      <w:r>
        <w:rPr>
          <w:rFonts w:hint="eastAsia" w:ascii="宋体" w:hAnsi="宋体" w:cs="宋体"/>
          <w:sz w:val="24"/>
        </w:rPr>
        <w:t>0</w:t>
      </w:r>
      <w:r>
        <w:rPr>
          <w:rFonts w:hint="eastAsia" w:ascii="宋体" w:hAnsi="宋体" w:cs="宋体"/>
          <w:sz w:val="24"/>
          <w:lang w:val="zh-CN"/>
        </w:rPr>
        <w:t>万元，投标总价超过采购预算的为无效响应文件。</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三、服务期</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建设期：2020年12月15日前完成系统开发、安装调试，开展系统试运行。2021年4月前通过验收。</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售后服务期：系统通过验收后1年免费维护。</w:t>
      </w:r>
    </w:p>
    <w:p>
      <w:pPr>
        <w:numPr>
          <w:ilvl w:val="0"/>
          <w:numId w:val="1"/>
        </w:num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项目需求</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(一)项目概况：</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2019年南通市公路事业发展中心组织开展了基于机器视觉的路面养护智能快检系统研发工作，利用机器视觉图像识别技术，针对普通国省干线公路沥青路面的常见病害进行自动识别，提升日常养护巡查工作的专业化和自动化水平。项目一期针对日常养护巡查中关注的主要病害（横向裂缝、纵向裂缝、块状裂缝、坑槽、龟裂、修补，约占所有病害中87%）予以自动定性识别，平均识别率达到80%。现拟进行深化改造,进一步提升识别率至90%以上，在定性识别基础上开展定量识别、业务功能拓展等相关研发工作。</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）具体深化改造内容如下：</w:t>
      </w:r>
      <w:r>
        <w:rPr>
          <w:rFonts w:hint="eastAsia" w:ascii="宋体" w:hAnsi="宋体" w:cs="宋体"/>
          <w:sz w:val="24"/>
          <w:lang w:val="zh-CN"/>
        </w:rPr>
        <w:tab/>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完成系统北斗定位支持，契合国家战略</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进一步提升系统算法检测精度,识别率稳定保持在90%以上。</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结合业务进一步扩充系统功能</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包括：对横向裂缝、纵向裂缝等病害，自动计算影响面积，以便针对以上问题的小修工程进行成本估算；识别完成后，对于需及时修复的重要病害（如坑槽），通过系统及时提醒业务人员处理；对系统基础数据处理、权限定制化配置等功能进行标准化深化改造开发，将GIS底图与桩号叠加融合，强化分析结果的快速复核、分析报告自动生成、数据及分析报告导出、多期报告对比、路面病害历史变迁管理等功能开发。通过功能扩展使得基于巡查检测结果能够更好地辅助养护工程方案建议、计量统计等实施，辅助一线养护业务工作基于巡查结果开展。</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完成与现有协同巡查系统的数据对接</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扩展应用范围;购置3套采集设备，扩展应用范围至其余3个县区分中心。</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在深化改造开展过程中对巡查用硬件采集装置、安全警示标志等进行进一步研究及测试。</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（三）其他</w:t>
      </w:r>
      <w:r>
        <w:rPr>
          <w:rFonts w:hint="eastAsia" w:ascii="宋体" w:hAnsi="宋体" w:cs="宋体"/>
          <w:sz w:val="24"/>
          <w:lang w:val="zh-CN"/>
        </w:rPr>
        <w:t>详见第三章。</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五、供应商资格要求</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（一）符合政府采购法第二十二条第一款规定的条件，并提供下列材料：</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w:t>
      </w:r>
      <w:r>
        <w:rPr>
          <w:rFonts w:ascii="宋体" w:hAnsi="宋体" w:cs="宋体"/>
          <w:sz w:val="24"/>
          <w:lang w:val="zh-CN"/>
        </w:rPr>
        <w:t>法人或者其他组织的营业执照等证明文件，自然人的身份证明；</w:t>
      </w:r>
    </w:p>
    <w:p>
      <w:pPr>
        <w:autoSpaceDE w:val="0"/>
        <w:autoSpaceDN w:val="0"/>
        <w:adjustRightInd w:val="0"/>
        <w:spacing w:line="360" w:lineRule="auto"/>
        <w:ind w:firstLine="480" w:firstLineChars="200"/>
        <w:rPr>
          <w:rFonts w:ascii="宋体" w:hAnsi="宋体" w:cs="宋体"/>
          <w:sz w:val="24"/>
          <w:lang w:val="zh-CN"/>
        </w:rPr>
      </w:pPr>
      <w:r>
        <w:rPr>
          <w:rFonts w:ascii="宋体" w:hAnsi="宋体" w:cs="宋体"/>
          <w:sz w:val="24"/>
          <w:lang w:val="zh-CN"/>
        </w:rPr>
        <w:t>2</w:t>
      </w:r>
      <w:r>
        <w:rPr>
          <w:rFonts w:hint="eastAsia" w:ascii="宋体" w:hAnsi="宋体" w:cs="宋体"/>
          <w:sz w:val="24"/>
          <w:lang w:val="zh-CN"/>
        </w:rPr>
        <w:t>.</w:t>
      </w:r>
      <w:r>
        <w:rPr>
          <w:rFonts w:ascii="宋体" w:hAnsi="宋体" w:cs="宋体"/>
          <w:sz w:val="24"/>
          <w:lang w:val="zh-CN"/>
        </w:rPr>
        <w:t>上一年度的财务状况报告（成立不满一年不需提供）；</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3.</w:t>
      </w:r>
      <w:r>
        <w:rPr>
          <w:rFonts w:ascii="宋体" w:hAnsi="宋体" w:cs="宋体"/>
          <w:sz w:val="24"/>
          <w:lang w:val="zh-CN"/>
        </w:rPr>
        <w:t>依法缴纳税收和社会保障资金的相关材料；</w:t>
      </w:r>
    </w:p>
    <w:p>
      <w:pPr>
        <w:autoSpaceDE w:val="0"/>
        <w:autoSpaceDN w:val="0"/>
        <w:adjustRightInd w:val="0"/>
        <w:spacing w:line="360" w:lineRule="auto"/>
        <w:ind w:firstLine="480" w:firstLineChars="200"/>
        <w:rPr>
          <w:rFonts w:ascii="宋体" w:hAnsi="宋体" w:cs="宋体"/>
          <w:sz w:val="24"/>
          <w:lang w:val="zh-CN"/>
        </w:rPr>
      </w:pPr>
      <w:r>
        <w:rPr>
          <w:rFonts w:ascii="宋体" w:hAnsi="宋体" w:cs="宋体"/>
          <w:sz w:val="24"/>
          <w:lang w:val="zh-CN"/>
        </w:rPr>
        <w:t>4</w:t>
      </w:r>
      <w:r>
        <w:rPr>
          <w:rFonts w:hint="eastAsia" w:ascii="宋体" w:hAnsi="宋体" w:cs="宋体"/>
          <w:sz w:val="24"/>
          <w:lang w:val="zh-CN"/>
        </w:rPr>
        <w:t>.</w:t>
      </w:r>
      <w:r>
        <w:rPr>
          <w:rFonts w:ascii="宋体" w:hAnsi="宋体" w:cs="宋体"/>
          <w:sz w:val="24"/>
          <w:lang w:val="zh-CN"/>
        </w:rPr>
        <w:t>具备履行合同所必需的设备和专业技术能力的证明材料；</w:t>
      </w:r>
    </w:p>
    <w:p>
      <w:pPr>
        <w:autoSpaceDE w:val="0"/>
        <w:autoSpaceDN w:val="0"/>
        <w:adjustRightInd w:val="0"/>
        <w:spacing w:line="360" w:lineRule="auto"/>
        <w:ind w:firstLine="480" w:firstLineChars="200"/>
        <w:rPr>
          <w:rFonts w:ascii="宋体" w:hAnsi="宋体" w:cs="宋体"/>
          <w:sz w:val="24"/>
          <w:lang w:val="zh-CN"/>
        </w:rPr>
      </w:pPr>
      <w:r>
        <w:rPr>
          <w:rFonts w:ascii="宋体" w:hAnsi="宋体" w:cs="宋体"/>
          <w:sz w:val="24"/>
          <w:lang w:val="zh-CN"/>
        </w:rPr>
        <w:t>5</w:t>
      </w:r>
      <w:r>
        <w:rPr>
          <w:rFonts w:hint="eastAsia" w:ascii="宋体" w:hAnsi="宋体" w:cs="宋体"/>
          <w:sz w:val="24"/>
          <w:lang w:val="zh-CN"/>
        </w:rPr>
        <w:t>.</w:t>
      </w:r>
      <w:r>
        <w:rPr>
          <w:rFonts w:ascii="宋体" w:hAnsi="宋体" w:cs="宋体"/>
          <w:sz w:val="24"/>
          <w:lang w:val="zh-CN"/>
        </w:rPr>
        <w:t>参加政府采购活动前3年内在经营活动中没有重大违法记录的书面声明</w:t>
      </w:r>
      <w:r>
        <w:rPr>
          <w:rFonts w:hint="eastAsia" w:ascii="宋体" w:hAnsi="宋体" w:cs="宋体"/>
          <w:sz w:val="24"/>
          <w:lang w:val="zh-CN"/>
        </w:rPr>
        <w:t>。</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（二）供应商的特定条件：</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.投标人在中华人民共和国境内注册，具有独立法人资格，持有工商行政管理部门核发的有效企业法人营业执照。</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投标人近三年内承担过应用软件开发项目。</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 xml:space="preserve">项目负责人的要求：投标人拟派项目经理须具有项目管理师（PMP）资格认证或中级工程师及以上资格证书。 </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、未被“信用中国”网站（www.creditchina.gov.cn）列入失信被执行人、重大税收违法案件当事人名单、政府采购严重失信行为记录名单。</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、供应商须提供参与本次项目政府采购活动前三年内，在经营活动中没有重大违法记录的书面《资格声明函》（格式参见第七章）。</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、关于资格文件的声明函（格式参见第七章）。</w:t>
      </w:r>
    </w:p>
    <w:p>
      <w:pPr>
        <w:spacing w:line="360" w:lineRule="auto"/>
        <w:ind w:firstLine="480" w:firstLineChars="200"/>
        <w:rPr>
          <w:rFonts w:ascii="宋体" w:hAnsi="宋体" w:cs="宋体"/>
          <w:sz w:val="24"/>
          <w:lang w:val="zh-CN"/>
        </w:rPr>
      </w:pPr>
      <w:r>
        <w:rPr>
          <w:rFonts w:hint="eastAsia" w:ascii="宋体" w:hAnsi="宋体" w:cs="宋体"/>
          <w:sz w:val="24"/>
        </w:rPr>
        <w:t>7</w:t>
      </w:r>
      <w:r>
        <w:rPr>
          <w:rFonts w:hint="eastAsia" w:ascii="宋体" w:hAnsi="宋体" w:cs="宋体"/>
          <w:sz w:val="24"/>
          <w:lang w:val="zh-CN"/>
        </w:rPr>
        <w:t>、本项目不接受任何形式的联合体参与磋商。</w:t>
      </w:r>
    </w:p>
    <w:p>
      <w:pPr>
        <w:spacing w:line="360" w:lineRule="auto"/>
        <w:ind w:firstLine="482" w:firstLineChars="200"/>
        <w:rPr>
          <w:rFonts w:ascii="宋体" w:hAnsi="宋体" w:cs="宋体"/>
          <w:b/>
          <w:sz w:val="24"/>
        </w:rPr>
      </w:pPr>
      <w:r>
        <w:rPr>
          <w:rFonts w:hint="eastAsia" w:ascii="宋体" w:hAnsi="宋体" w:cs="宋体"/>
          <w:b/>
          <w:sz w:val="24"/>
        </w:rPr>
        <w:t>具体详见本招标文件《第七章　</w:t>
      </w:r>
      <w:r>
        <w:rPr>
          <w:rFonts w:hint="eastAsia" w:ascii="宋体" w:hAnsi="宋体" w:cs="宋体"/>
          <w:b/>
          <w:sz w:val="24"/>
          <w:szCs w:val="22"/>
        </w:rPr>
        <w:t>响应文件组成》</w:t>
      </w:r>
      <w:r>
        <w:rPr>
          <w:rFonts w:hint="eastAsia" w:ascii="宋体" w:hAnsi="宋体" w:cs="宋体"/>
          <w:b/>
          <w:sz w:val="24"/>
        </w:rPr>
        <w:t>中的资格审查文件要求。</w:t>
      </w:r>
    </w:p>
    <w:p>
      <w:pPr>
        <w:widowControl/>
        <w:tabs>
          <w:tab w:val="left" w:pos="3780"/>
        </w:tabs>
        <w:spacing w:line="360" w:lineRule="auto"/>
        <w:ind w:firstLine="482" w:firstLineChars="200"/>
        <w:jc w:val="left"/>
        <w:rPr>
          <w:rFonts w:ascii="宋体" w:hAnsi="宋体" w:cs="宋体"/>
          <w:b/>
          <w:sz w:val="24"/>
        </w:rPr>
      </w:pPr>
      <w:r>
        <w:rPr>
          <w:rFonts w:hint="eastAsia" w:ascii="宋体" w:hAnsi="宋体"/>
          <w:b/>
          <w:sz w:val="24"/>
          <w:lang w:val="zh-CN"/>
        </w:rPr>
        <w:t>请供应商认真对照资格要求，如不符合要求，无意或故意参与投标的，所产生的一切后果由供应商承担。对提供虚假材料的响应供应商作无效标处理，磋商保证金不予退还，并报财政部门处理。</w:t>
      </w:r>
    </w:p>
    <w:p>
      <w:pPr>
        <w:autoSpaceDE w:val="0"/>
        <w:autoSpaceDN w:val="0"/>
        <w:adjustRightInd w:val="0"/>
        <w:spacing w:line="360" w:lineRule="auto"/>
        <w:ind w:firstLine="482" w:firstLineChars="200"/>
        <w:rPr>
          <w:rFonts w:ascii="宋体" w:hAnsi="宋体" w:cs="宋体"/>
          <w:sz w:val="24"/>
          <w:lang w:val="zh-CN"/>
        </w:rPr>
      </w:pPr>
      <w:r>
        <w:rPr>
          <w:rFonts w:hint="eastAsia" w:ascii="宋体" w:hAnsi="宋体" w:cs="宋体"/>
          <w:b/>
          <w:sz w:val="24"/>
        </w:rPr>
        <w:t>【特别提醒】单位负责人为同一人或者存在直接控股、管理关系的不同供应商，不得同时参与同一采购项目相同标段的政府采购活动；为采购项目提供整体设计、规范编制、开发建设或者项目管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b/>
          <w:bCs/>
          <w:kern w:val="0"/>
          <w:sz w:val="24"/>
        </w:rPr>
        <w:t>。</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六、磋商保证金</w:t>
      </w:r>
    </w:p>
    <w:p>
      <w:pPr>
        <w:spacing w:line="360" w:lineRule="auto"/>
        <w:ind w:firstLine="484" w:firstLineChars="202"/>
        <w:rPr>
          <w:rFonts w:ascii="宋体" w:hAnsi="宋体" w:cs="宋体"/>
          <w:bCs/>
          <w:sz w:val="24"/>
        </w:rPr>
      </w:pPr>
      <w:r>
        <w:rPr>
          <w:rFonts w:hint="eastAsia" w:ascii="宋体" w:hAnsi="宋体" w:cs="宋体"/>
          <w:bCs/>
          <w:sz w:val="24"/>
        </w:rPr>
        <w:t>1、本次项目磋商保证金为：人民币陆仟元（¥6000元）。</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bCs/>
          <w:sz w:val="24"/>
        </w:rPr>
        <w:t>磋商</w:t>
      </w:r>
      <w:r>
        <w:rPr>
          <w:rFonts w:hint="eastAsia" w:ascii="宋体" w:hAnsi="宋体" w:cs="宋体"/>
          <w:sz w:val="24"/>
        </w:rPr>
        <w:t>保证金必须选择下列一种形式</w:t>
      </w:r>
      <w:r>
        <w:rPr>
          <w:rFonts w:ascii="宋体" w:hAnsi="宋体" w:cs="宋体"/>
          <w:sz w:val="24"/>
        </w:rPr>
        <w:t>：</w:t>
      </w:r>
      <w:r>
        <w:rPr>
          <w:rFonts w:hint="eastAsia" w:ascii="宋体" w:hAnsi="宋体" w:cs="宋体"/>
          <w:sz w:val="24"/>
        </w:rPr>
        <w:t>电汇、银行汇票或银行本票或银行保函。</w:t>
      </w:r>
    </w:p>
    <w:p>
      <w:pPr>
        <w:spacing w:line="360" w:lineRule="auto"/>
        <w:ind w:firstLine="480" w:firstLineChars="200"/>
        <w:rPr>
          <w:rFonts w:ascii="宋体" w:hAnsi="宋体" w:cs="宋体"/>
          <w:sz w:val="24"/>
        </w:rPr>
      </w:pPr>
      <w:r>
        <w:rPr>
          <w:rFonts w:hint="eastAsia" w:ascii="宋体" w:hAnsi="宋体" w:cs="宋体"/>
          <w:sz w:val="24"/>
        </w:rPr>
        <w:t>（1）若采用电汇，</w:t>
      </w:r>
      <w:r>
        <w:rPr>
          <w:rFonts w:hint="eastAsia" w:ascii="宋体" w:hAnsi="宋体" w:cs="宋体"/>
          <w:sz w:val="24"/>
          <w:lang w:val="zh-CN"/>
        </w:rPr>
        <w:t>供应商</w:t>
      </w:r>
      <w:r>
        <w:rPr>
          <w:rFonts w:hint="eastAsia" w:ascii="宋体" w:hAnsi="宋体" w:cs="宋体"/>
          <w:sz w:val="24"/>
        </w:rPr>
        <w:t>应在上述</w:t>
      </w:r>
      <w:r>
        <w:rPr>
          <w:rFonts w:hint="eastAsia" w:ascii="宋体" w:hAnsi="宋体" w:cs="宋体"/>
          <w:bCs/>
          <w:sz w:val="24"/>
        </w:rPr>
        <w:t>磋商</w:t>
      </w:r>
      <w:r>
        <w:rPr>
          <w:rFonts w:hint="eastAsia" w:ascii="宋体" w:hAnsi="宋体" w:cs="宋体"/>
          <w:sz w:val="24"/>
        </w:rPr>
        <w:t>保证金递交截止之前，将</w:t>
      </w:r>
      <w:r>
        <w:rPr>
          <w:rFonts w:hint="eastAsia" w:ascii="宋体" w:hAnsi="宋体" w:cs="宋体"/>
          <w:bCs/>
          <w:sz w:val="24"/>
        </w:rPr>
        <w:t>磋商</w:t>
      </w:r>
      <w:r>
        <w:rPr>
          <w:rFonts w:hint="eastAsia" w:ascii="宋体" w:hAnsi="宋体" w:cs="宋体"/>
          <w:sz w:val="24"/>
        </w:rPr>
        <w:t>保证金由</w:t>
      </w:r>
      <w:r>
        <w:rPr>
          <w:rFonts w:hint="eastAsia" w:ascii="宋体" w:hAnsi="宋体" w:cs="宋体"/>
          <w:b/>
          <w:sz w:val="24"/>
        </w:rPr>
        <w:t>供应商基本帐户一次性汇入</w:t>
      </w:r>
      <w:r>
        <w:rPr>
          <w:rFonts w:hint="eastAsia" w:ascii="宋体" w:hAnsi="宋体" w:cs="宋体"/>
          <w:sz w:val="24"/>
        </w:rPr>
        <w:t>采购人指定账户，否则视为</w:t>
      </w:r>
      <w:r>
        <w:rPr>
          <w:rFonts w:hint="eastAsia" w:ascii="宋体" w:hAnsi="宋体" w:cs="宋体"/>
          <w:bCs/>
          <w:sz w:val="24"/>
        </w:rPr>
        <w:t>磋商</w:t>
      </w:r>
      <w:r>
        <w:rPr>
          <w:rFonts w:hint="eastAsia" w:ascii="宋体" w:hAnsi="宋体" w:cs="宋体"/>
          <w:sz w:val="24"/>
        </w:rPr>
        <w:t>保证金无效。</w:t>
      </w:r>
    </w:p>
    <w:p>
      <w:pPr>
        <w:spacing w:line="360" w:lineRule="auto"/>
        <w:ind w:firstLine="480" w:firstLineChars="200"/>
        <w:rPr>
          <w:rFonts w:ascii="宋体" w:hAnsi="宋体" w:cs="宋体"/>
          <w:sz w:val="24"/>
        </w:rPr>
      </w:pPr>
      <w:r>
        <w:rPr>
          <w:rFonts w:hint="eastAsia" w:ascii="宋体" w:hAnsi="宋体" w:cs="宋体"/>
          <w:sz w:val="24"/>
        </w:rPr>
        <w:t>（2）若采用</w:t>
      </w:r>
      <w:r>
        <w:rPr>
          <w:rFonts w:ascii="宋体" w:hAnsi="宋体" w:cs="宋体"/>
          <w:sz w:val="24"/>
        </w:rPr>
        <w:t>银</w:t>
      </w:r>
      <w:r>
        <w:rPr>
          <w:rFonts w:hint="eastAsia" w:ascii="宋体" w:hAnsi="宋体" w:cs="宋体"/>
          <w:sz w:val="24"/>
        </w:rPr>
        <w:t>行</w:t>
      </w:r>
      <w:r>
        <w:rPr>
          <w:rFonts w:ascii="宋体" w:hAnsi="宋体" w:cs="宋体"/>
          <w:sz w:val="24"/>
        </w:rPr>
        <w:t>汇</w:t>
      </w:r>
      <w:r>
        <w:rPr>
          <w:rFonts w:hint="eastAsia" w:ascii="宋体" w:hAnsi="宋体" w:cs="宋体"/>
          <w:sz w:val="24"/>
        </w:rPr>
        <w:t>票或银行本票（若</w:t>
      </w:r>
      <w:r>
        <w:rPr>
          <w:rFonts w:hint="eastAsia" w:ascii="宋体" w:hAnsi="宋体" w:cs="宋体"/>
          <w:sz w:val="24"/>
          <w:lang w:val="zh-CN"/>
        </w:rPr>
        <w:t>供应商</w:t>
      </w:r>
      <w:r>
        <w:rPr>
          <w:rFonts w:hint="eastAsia" w:ascii="宋体" w:hAnsi="宋体" w:cs="宋体"/>
          <w:sz w:val="24"/>
        </w:rPr>
        <w:t>基本开户行在南通，则可递交银行本票），</w:t>
      </w:r>
      <w:r>
        <w:rPr>
          <w:rFonts w:hint="eastAsia" w:ascii="宋体" w:hAnsi="宋体" w:cs="宋体"/>
          <w:sz w:val="24"/>
          <w:lang w:val="zh-CN"/>
        </w:rPr>
        <w:t>供应商</w:t>
      </w:r>
      <w:r>
        <w:rPr>
          <w:rFonts w:hint="eastAsia" w:ascii="宋体" w:hAnsi="宋体" w:cs="宋体"/>
          <w:sz w:val="24"/>
        </w:rPr>
        <w:t>应在上述</w:t>
      </w:r>
      <w:r>
        <w:rPr>
          <w:rFonts w:hint="eastAsia" w:ascii="宋体" w:hAnsi="宋体" w:cs="宋体"/>
          <w:bCs/>
          <w:sz w:val="24"/>
        </w:rPr>
        <w:t>磋商</w:t>
      </w:r>
      <w:r>
        <w:rPr>
          <w:rFonts w:hint="eastAsia" w:ascii="宋体" w:hAnsi="宋体" w:cs="宋体"/>
          <w:sz w:val="24"/>
        </w:rPr>
        <w:t>保证金递交截止时间之前，将</w:t>
      </w:r>
      <w:r>
        <w:rPr>
          <w:rFonts w:ascii="宋体" w:hAnsi="宋体" w:cs="宋体"/>
          <w:sz w:val="24"/>
        </w:rPr>
        <w:t>银</w:t>
      </w:r>
      <w:r>
        <w:rPr>
          <w:rFonts w:hint="eastAsia" w:ascii="宋体" w:hAnsi="宋体" w:cs="宋体"/>
          <w:sz w:val="24"/>
        </w:rPr>
        <w:t>行</w:t>
      </w:r>
      <w:r>
        <w:rPr>
          <w:rFonts w:ascii="宋体" w:hAnsi="宋体" w:cs="宋体"/>
          <w:sz w:val="24"/>
        </w:rPr>
        <w:t>汇</w:t>
      </w:r>
      <w:r>
        <w:rPr>
          <w:rFonts w:hint="eastAsia" w:ascii="宋体" w:hAnsi="宋体" w:cs="宋体"/>
          <w:sz w:val="24"/>
        </w:rPr>
        <w:t>票或银行本票原件递交给招标代理，否则视为</w:t>
      </w:r>
      <w:r>
        <w:rPr>
          <w:rFonts w:hint="eastAsia" w:ascii="宋体" w:hAnsi="宋体" w:cs="宋体"/>
          <w:bCs/>
          <w:sz w:val="24"/>
        </w:rPr>
        <w:t>磋商</w:t>
      </w:r>
      <w:r>
        <w:rPr>
          <w:rFonts w:hint="eastAsia" w:ascii="宋体" w:hAnsi="宋体" w:cs="宋体"/>
          <w:sz w:val="24"/>
        </w:rPr>
        <w:t>保证金无效。（采用银行本票的，必须同时递交银行本票申请单的复印件）</w:t>
      </w:r>
      <w:bookmarkStart w:id="1" w:name="_Hlk35371762"/>
      <w:r>
        <w:rPr>
          <w:rFonts w:hint="eastAsia" w:ascii="宋体" w:hAnsi="宋体" w:cs="宋体"/>
          <w:sz w:val="24"/>
        </w:rPr>
        <w:t>（无需密封在响应文件内，单独递交）</w:t>
      </w:r>
      <w:bookmarkEnd w:id="1"/>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（3）若采用银行保函，银行保函应采用</w:t>
      </w:r>
      <w:r>
        <w:rPr>
          <w:rFonts w:hint="eastAsia" w:ascii="宋体" w:hAnsi="宋体" w:cs="宋体"/>
          <w:bCs/>
          <w:sz w:val="24"/>
        </w:rPr>
        <w:t>磋商</w:t>
      </w:r>
      <w:r>
        <w:rPr>
          <w:rFonts w:hint="eastAsia" w:ascii="宋体" w:hAnsi="宋体" w:cs="宋体"/>
          <w:sz w:val="24"/>
        </w:rPr>
        <w:t>文件提供的格式，且应在</w:t>
      </w:r>
      <w:r>
        <w:rPr>
          <w:rFonts w:hint="eastAsia" w:ascii="宋体" w:hAnsi="宋体" w:cs="宋体"/>
          <w:bCs/>
          <w:sz w:val="24"/>
        </w:rPr>
        <w:t>磋商</w:t>
      </w:r>
      <w:r>
        <w:rPr>
          <w:rFonts w:hint="eastAsia" w:ascii="宋体" w:hAnsi="宋体" w:cs="宋体"/>
          <w:sz w:val="24"/>
        </w:rPr>
        <w:t>有效期内保持有效，采购人如果延长了</w:t>
      </w:r>
      <w:r>
        <w:rPr>
          <w:rFonts w:hint="eastAsia" w:ascii="宋体" w:hAnsi="宋体" w:cs="宋体"/>
          <w:bCs/>
          <w:sz w:val="24"/>
        </w:rPr>
        <w:t>磋商</w:t>
      </w:r>
      <w:r>
        <w:rPr>
          <w:rFonts w:hint="eastAsia" w:ascii="宋体" w:hAnsi="宋体" w:cs="宋体"/>
          <w:sz w:val="24"/>
        </w:rPr>
        <w:t>有效期，则</w:t>
      </w:r>
      <w:r>
        <w:rPr>
          <w:rFonts w:hint="eastAsia" w:ascii="宋体" w:hAnsi="宋体" w:cs="宋体"/>
          <w:bCs/>
          <w:sz w:val="24"/>
        </w:rPr>
        <w:t>磋商</w:t>
      </w:r>
      <w:r>
        <w:rPr>
          <w:rFonts w:hint="eastAsia" w:ascii="宋体" w:hAnsi="宋体" w:cs="宋体"/>
          <w:sz w:val="24"/>
        </w:rPr>
        <w:t>保证金的有效期也相应延长。</w:t>
      </w:r>
      <w:r>
        <w:rPr>
          <w:rFonts w:hint="eastAsia" w:ascii="宋体" w:hAnsi="宋体" w:cs="宋体"/>
          <w:b/>
          <w:sz w:val="24"/>
        </w:rPr>
        <w:t>银行保函原件应在递交响应文件的同时提交给招标代理</w:t>
      </w:r>
      <w:r>
        <w:rPr>
          <w:rFonts w:hint="eastAsia" w:ascii="宋体" w:hAnsi="宋体" w:cs="宋体"/>
          <w:sz w:val="24"/>
        </w:rPr>
        <w:t>（无需密封在响应文件内，单独递交）。</w:t>
      </w:r>
    </w:p>
    <w:p>
      <w:pPr>
        <w:spacing w:line="360" w:lineRule="auto"/>
        <w:ind w:firstLine="480" w:firstLineChars="200"/>
        <w:rPr>
          <w:rFonts w:ascii="宋体" w:hAnsi="宋体" w:cs="宋体"/>
          <w:sz w:val="24"/>
        </w:rPr>
      </w:pPr>
      <w:r>
        <w:rPr>
          <w:rFonts w:hint="eastAsia" w:ascii="宋体" w:hAnsi="宋体" w:cs="宋体"/>
          <w:sz w:val="24"/>
        </w:rPr>
        <w:t>采购人的开户银行及账号如下：</w:t>
      </w:r>
    </w:p>
    <w:p>
      <w:pPr>
        <w:spacing w:line="360" w:lineRule="auto"/>
        <w:ind w:firstLine="480" w:firstLineChars="200"/>
        <w:rPr>
          <w:rFonts w:ascii="宋体" w:hAnsi="宋体" w:cs="宋体"/>
          <w:sz w:val="24"/>
        </w:rPr>
      </w:pPr>
      <w:r>
        <w:rPr>
          <w:rFonts w:hint="eastAsia" w:ascii="宋体" w:hAnsi="宋体" w:cs="宋体"/>
          <w:sz w:val="24"/>
        </w:rPr>
        <w:t>开户名称：南通市公路事业发展中心</w:t>
      </w:r>
    </w:p>
    <w:p>
      <w:pPr>
        <w:spacing w:line="360" w:lineRule="auto"/>
        <w:ind w:firstLine="480" w:firstLineChars="200"/>
        <w:rPr>
          <w:rFonts w:ascii="宋体" w:hAnsi="宋体" w:cs="宋体"/>
          <w:sz w:val="24"/>
        </w:rPr>
      </w:pPr>
      <w:r>
        <w:rPr>
          <w:rFonts w:hint="eastAsia" w:ascii="宋体" w:hAnsi="宋体" w:cs="宋体"/>
          <w:sz w:val="24"/>
        </w:rPr>
        <w:t>开户银行：交通银行南通城西支行</w:t>
      </w:r>
    </w:p>
    <w:p>
      <w:pPr>
        <w:spacing w:line="360" w:lineRule="auto"/>
        <w:ind w:firstLine="480" w:firstLineChars="200"/>
        <w:rPr>
          <w:rFonts w:ascii="宋体" w:hAnsi="宋体" w:cs="宋体"/>
          <w:sz w:val="24"/>
        </w:rPr>
      </w:pPr>
      <w:r>
        <w:rPr>
          <w:rFonts w:hint="eastAsia" w:ascii="宋体" w:hAnsi="宋体" w:cs="宋体"/>
          <w:sz w:val="24"/>
        </w:rPr>
        <w:t>开户账号：</w:t>
      </w:r>
      <w:r>
        <w:rPr>
          <w:rFonts w:ascii="宋体" w:hAnsi="宋体" w:cs="宋体"/>
          <w:sz w:val="24"/>
        </w:rPr>
        <w:t xml:space="preserve">326008601010149036016 </w:t>
      </w:r>
    </w:p>
    <w:p>
      <w:pPr>
        <w:tabs>
          <w:tab w:val="left" w:pos="260"/>
        </w:tabs>
        <w:spacing w:line="360" w:lineRule="auto"/>
        <w:ind w:firstLine="480" w:firstLineChars="200"/>
        <w:rPr>
          <w:rFonts w:ascii="宋体" w:hAnsi="宋体" w:cs="宋体"/>
          <w:kern w:val="0"/>
          <w:sz w:val="24"/>
        </w:rPr>
      </w:pPr>
      <w:r>
        <w:rPr>
          <w:rFonts w:hint="eastAsia" w:ascii="宋体" w:hAnsi="宋体" w:cs="宋体"/>
          <w:sz w:val="24"/>
        </w:rPr>
        <w:t>采用银行保函时，出具保函的银行级别：</w:t>
      </w:r>
      <w:r>
        <w:rPr>
          <w:rFonts w:hint="eastAsia" w:ascii="宋体" w:hAnsi="宋体" w:cs="宋体"/>
          <w:b/>
          <w:sz w:val="24"/>
        </w:rPr>
        <w:t>供应商基本账户所在国有或股份制商业银行的分行及以上级别</w:t>
      </w:r>
      <w:r>
        <w:rPr>
          <w:rFonts w:hint="eastAsia" w:ascii="宋体" w:hAnsi="宋体" w:cs="宋体"/>
          <w:sz w:val="24"/>
        </w:rPr>
        <w:t>（不限于基本账户所在银行具体分支机构）。</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4、未按上述要求提交磋商保证金的供应商，采购人有权拒绝其响应文件。</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七、供应商下载磋商文件、报名、响应文件递交</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1、下载磋商文件：自本公告发布之日起即可在公告附件中下载本磋商文件。</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2、报名：凡有意参与本项目投标的，自本公告发布之日起即可向工作人员报名，领取磋商文件（可以至招标代理单位现场报名，也可以联系招标代理通过电子方式进行报名）。报名时请携带①</w:t>
      </w:r>
      <w:r>
        <w:rPr>
          <w:rFonts w:hint="eastAsia" w:ascii="宋体" w:hAnsi="宋体" w:cs="宋体"/>
          <w:bCs/>
          <w:sz w:val="24"/>
          <w:lang w:val="en-US" w:eastAsia="zh-CN"/>
        </w:rPr>
        <w:t>按附件提供《报名函》</w:t>
      </w:r>
      <w:r>
        <w:rPr>
          <w:rFonts w:hint="eastAsia" w:ascii="宋体" w:hAnsi="宋体" w:cs="宋体"/>
          <w:sz w:val="24"/>
          <w:lang w:val="zh-CN"/>
        </w:rPr>
        <w:t>②营业执照副</w:t>
      </w:r>
      <w:r>
        <w:rPr>
          <w:rFonts w:hint="eastAsia" w:ascii="宋体" w:hAnsi="宋体" w:cs="宋体"/>
          <w:bCs/>
          <w:sz w:val="24"/>
          <w:lang w:val="zh-CN"/>
        </w:rPr>
        <w:t>本复印件，上述材料加盖公章。报名截止时间为</w:t>
      </w:r>
      <w:r>
        <w:rPr>
          <w:rFonts w:ascii="宋体" w:hAnsi="宋体" w:cs="宋体"/>
          <w:bCs/>
          <w:sz w:val="24"/>
          <w:lang w:val="zh-CN"/>
        </w:rPr>
        <w:t>2020</w:t>
      </w:r>
      <w:r>
        <w:rPr>
          <w:rFonts w:hint="eastAsia" w:ascii="宋体" w:hAnsi="宋体" w:cs="宋体"/>
          <w:bCs/>
          <w:sz w:val="24"/>
          <w:lang w:val="zh-CN"/>
        </w:rPr>
        <w:t>年0</w:t>
      </w:r>
      <w:r>
        <w:rPr>
          <w:rFonts w:hint="eastAsia" w:ascii="宋体" w:hAnsi="宋体" w:cs="宋体"/>
          <w:bCs/>
          <w:sz w:val="24"/>
        </w:rPr>
        <w:t>9</w:t>
      </w:r>
      <w:r>
        <w:rPr>
          <w:rFonts w:hint="eastAsia" w:ascii="宋体" w:hAnsi="宋体" w:cs="宋体"/>
          <w:bCs/>
          <w:sz w:val="24"/>
          <w:lang w:val="zh-CN"/>
        </w:rPr>
        <w:t>月</w:t>
      </w:r>
      <w:r>
        <w:rPr>
          <w:rFonts w:hint="eastAsia" w:ascii="宋体" w:hAnsi="宋体" w:cs="宋体"/>
          <w:bCs/>
          <w:sz w:val="24"/>
        </w:rPr>
        <w:t>18</w:t>
      </w:r>
      <w:r>
        <w:rPr>
          <w:rFonts w:hint="eastAsia" w:ascii="宋体" w:hAnsi="宋体" w:cs="宋体"/>
          <w:bCs/>
          <w:sz w:val="24"/>
          <w:lang w:val="zh-CN"/>
        </w:rPr>
        <w:t>日17:00时。磋商文件费400元/供应商，逾期不可报</w:t>
      </w:r>
      <w:r>
        <w:rPr>
          <w:rFonts w:hint="eastAsia" w:ascii="宋体" w:hAnsi="宋体" w:cs="宋体"/>
          <w:sz w:val="24"/>
          <w:lang w:val="zh-CN"/>
        </w:rPr>
        <w:t>名。</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报名地点：南通市工农南路156号鑫乾国际广场B1612室</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联系人：沙云天 18551417471</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3、纸质响应文件接收截止及开</w:t>
      </w:r>
      <w:bookmarkStart w:id="466" w:name="_GoBack"/>
      <w:bookmarkEnd w:id="466"/>
      <w:r>
        <w:rPr>
          <w:rFonts w:hint="eastAsia" w:ascii="宋体" w:hAnsi="宋体" w:cs="宋体"/>
          <w:sz w:val="24"/>
          <w:lang w:val="zh-CN"/>
        </w:rPr>
        <w:t>标时间、地点：</w:t>
      </w:r>
    </w:p>
    <w:p>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lang w:val="zh-CN"/>
        </w:rPr>
        <w:t>时间：</w:t>
      </w:r>
      <w:r>
        <w:rPr>
          <w:rFonts w:ascii="宋体" w:hAnsi="宋体" w:cs="宋体"/>
          <w:sz w:val="24"/>
          <w:lang w:val="zh-CN"/>
        </w:rPr>
        <w:t>2020</w:t>
      </w:r>
      <w:r>
        <w:rPr>
          <w:rFonts w:hint="eastAsia" w:ascii="宋体" w:hAnsi="宋体" w:cs="宋体"/>
          <w:sz w:val="24"/>
          <w:lang w:val="zh-CN"/>
        </w:rPr>
        <w:t>年</w:t>
      </w:r>
      <w:r>
        <w:rPr>
          <w:rFonts w:ascii="宋体" w:hAnsi="宋体" w:cs="宋体"/>
          <w:sz w:val="24"/>
          <w:highlight w:val="none"/>
          <w:lang w:val="zh-CN"/>
        </w:rPr>
        <w:t>0</w:t>
      </w:r>
      <w:r>
        <w:rPr>
          <w:rFonts w:hint="eastAsia" w:ascii="宋体" w:hAnsi="宋体" w:cs="宋体"/>
          <w:sz w:val="24"/>
          <w:highlight w:val="none"/>
        </w:rPr>
        <w:t>9</w:t>
      </w:r>
      <w:r>
        <w:rPr>
          <w:rFonts w:hint="eastAsia" w:ascii="宋体" w:hAnsi="宋体" w:cs="宋体"/>
          <w:sz w:val="24"/>
          <w:highlight w:val="none"/>
          <w:lang w:val="zh-CN"/>
        </w:rPr>
        <w:t>月</w:t>
      </w:r>
      <w:r>
        <w:rPr>
          <w:rFonts w:hint="eastAsia" w:ascii="宋体" w:hAnsi="宋体" w:cs="宋体"/>
          <w:sz w:val="24"/>
          <w:highlight w:val="none"/>
        </w:rPr>
        <w:t>22</w:t>
      </w:r>
      <w:r>
        <w:rPr>
          <w:rFonts w:hint="eastAsia" w:ascii="宋体" w:hAnsi="宋体" w:cs="宋体"/>
          <w:sz w:val="24"/>
          <w:highlight w:val="none"/>
          <w:lang w:val="zh-CN"/>
        </w:rPr>
        <w:t>日9:30</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地点：</w:t>
      </w:r>
      <w:r>
        <w:rPr>
          <w:rFonts w:hint="eastAsia" w:ascii="宋体" w:hAnsi="宋体" w:cs="宋体"/>
          <w:sz w:val="24"/>
        </w:rPr>
        <w:t>南通市公路事业发展中心1号楼303会议室（地址：南通市跃龙路4号）</w:t>
      </w:r>
      <w:r>
        <w:rPr>
          <w:rFonts w:hint="eastAsia" w:ascii="宋体" w:hAnsi="宋体" w:cs="宋体"/>
          <w:b/>
          <w:sz w:val="24"/>
        </w:rPr>
        <w:t>，如有变动另行通知。</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八、本招标项目联系事项</w:t>
      </w:r>
    </w:p>
    <w:p>
      <w:pPr>
        <w:spacing w:line="360" w:lineRule="auto"/>
        <w:ind w:firstLine="480" w:firstLineChars="200"/>
        <w:rPr>
          <w:rFonts w:ascii="宋体" w:hAnsi="宋体" w:cs="宋体"/>
          <w:sz w:val="24"/>
        </w:rPr>
      </w:pPr>
      <w:r>
        <w:rPr>
          <w:rFonts w:ascii="宋体" w:hAnsi="宋体" w:cs="宋体"/>
          <w:sz w:val="24"/>
          <w:lang w:val="zh-CN"/>
        </w:rPr>
        <w:t>采购</w:t>
      </w:r>
      <w:r>
        <w:rPr>
          <w:rFonts w:hint="eastAsia" w:ascii="宋体" w:hAnsi="宋体" w:cs="宋体"/>
          <w:sz w:val="24"/>
        </w:rPr>
        <w:t>人：南通市公路事业发展中心     地  址：江苏省南通市跃龙路4号</w:t>
      </w:r>
    </w:p>
    <w:p>
      <w:pPr>
        <w:spacing w:line="360" w:lineRule="auto"/>
        <w:ind w:firstLine="480" w:firstLineChars="200"/>
        <w:rPr>
          <w:rFonts w:ascii="宋体" w:hAnsi="宋体" w:cs="宋体"/>
          <w:sz w:val="24"/>
        </w:rPr>
      </w:pPr>
      <w:r>
        <w:rPr>
          <w:rFonts w:hint="eastAsia" w:ascii="宋体" w:hAnsi="宋体" w:cs="宋体"/>
          <w:sz w:val="24"/>
        </w:rPr>
        <w:t>联系人：邓</w:t>
      </w:r>
      <w:r>
        <w:rPr>
          <w:rFonts w:hint="eastAsia" w:ascii="宋体" w:hAnsi="宋体" w:cs="宋体"/>
          <w:sz w:val="24"/>
          <w:lang w:val="zh-CN"/>
        </w:rPr>
        <w:t>女士</w:t>
      </w:r>
      <w:r>
        <w:rPr>
          <w:rFonts w:hint="eastAsia" w:ascii="宋体" w:hAnsi="宋体" w:cs="宋体"/>
          <w:sz w:val="24"/>
        </w:rPr>
        <w:t xml:space="preserve">                       电  话：0513-85524439</w:t>
      </w:r>
    </w:p>
    <w:p>
      <w:pPr>
        <w:spacing w:line="360" w:lineRule="auto"/>
        <w:ind w:firstLine="480" w:firstLineChars="200"/>
        <w:rPr>
          <w:rFonts w:ascii="宋体" w:hAnsi="宋体" w:cs="宋体"/>
          <w:sz w:val="24"/>
        </w:rPr>
      </w:pPr>
      <w:r>
        <w:rPr>
          <w:rFonts w:hint="eastAsia" w:ascii="宋体" w:hAnsi="宋体" w:cs="宋体"/>
          <w:sz w:val="24"/>
        </w:rPr>
        <w:t>传真：</w:t>
      </w:r>
      <w:r>
        <w:rPr>
          <w:rFonts w:ascii="宋体" w:hAnsi="宋体" w:cs="宋体"/>
          <w:sz w:val="24"/>
        </w:rPr>
        <w:t>0513-85529250</w:t>
      </w:r>
      <w:r>
        <w:rPr>
          <w:rFonts w:hint="eastAsia" w:ascii="宋体" w:hAnsi="宋体" w:cs="宋体"/>
          <w:sz w:val="24"/>
        </w:rPr>
        <w:t xml:space="preserve">                  邮  编：226001</w:t>
      </w:r>
    </w:p>
    <w:p>
      <w:pPr>
        <w:spacing w:line="360" w:lineRule="auto"/>
        <w:ind w:left="5879" w:leftChars="228" w:hanging="5400" w:hangingChars="2250"/>
        <w:rPr>
          <w:rFonts w:ascii="宋体" w:hAnsi="宋体" w:cs="宋体"/>
          <w:sz w:val="24"/>
        </w:rPr>
      </w:pPr>
      <w:r>
        <w:rPr>
          <w:rFonts w:hint="eastAsia" w:ascii="宋体" w:hAnsi="宋体" w:cs="宋体"/>
          <w:sz w:val="24"/>
        </w:rPr>
        <w:t>代理机构：</w:t>
      </w:r>
      <w:r>
        <w:rPr>
          <w:rFonts w:hint="eastAsia" w:ascii="宋体" w:hAnsi="宋体" w:cs="宋体"/>
          <w:sz w:val="24"/>
          <w:lang w:val="zh-CN"/>
        </w:rPr>
        <w:t xml:space="preserve">捷宏润安工程顾问有限公司   </w:t>
      </w:r>
      <w:r>
        <w:rPr>
          <w:rFonts w:hint="eastAsia" w:ascii="宋体" w:hAnsi="宋体" w:cs="宋体"/>
          <w:sz w:val="24"/>
        </w:rPr>
        <w:t>地  址：</w:t>
      </w:r>
      <w:r>
        <w:rPr>
          <w:rFonts w:hint="eastAsia" w:ascii="宋体" w:hAnsi="宋体" w:cs="宋体"/>
          <w:sz w:val="24"/>
          <w:lang w:val="zh-CN"/>
        </w:rPr>
        <w:t>南通市工农南路156号鑫乾国际广场B1612室</w:t>
      </w:r>
    </w:p>
    <w:p>
      <w:pPr>
        <w:spacing w:line="360" w:lineRule="auto"/>
        <w:ind w:firstLine="480" w:firstLineChars="200"/>
        <w:rPr>
          <w:rFonts w:ascii="宋体" w:hAnsi="宋体" w:cs="宋体"/>
          <w:sz w:val="24"/>
        </w:rPr>
      </w:pPr>
      <w:r>
        <w:rPr>
          <w:rFonts w:hint="eastAsia" w:ascii="宋体" w:hAnsi="宋体" w:cs="宋体"/>
          <w:sz w:val="24"/>
        </w:rPr>
        <w:t>联系人：</w:t>
      </w:r>
      <w:r>
        <w:rPr>
          <w:rFonts w:ascii="宋体" w:hAnsi="宋体" w:cs="宋体"/>
          <w:sz w:val="24"/>
        </w:rPr>
        <w:t>邱海峰、沙云天</w:t>
      </w:r>
      <w:r>
        <w:rPr>
          <w:rFonts w:hint="eastAsia" w:ascii="宋体" w:hAnsi="宋体" w:cs="宋体"/>
          <w:sz w:val="24"/>
        </w:rPr>
        <w:t xml:space="preserve">               电  话：</w:t>
      </w:r>
      <w:r>
        <w:rPr>
          <w:rFonts w:ascii="宋体" w:hAnsi="宋体" w:cs="宋体"/>
          <w:sz w:val="24"/>
        </w:rPr>
        <w:t>18036206278、18551417471</w:t>
      </w:r>
    </w:p>
    <w:p>
      <w:pPr>
        <w:spacing w:line="360" w:lineRule="auto"/>
        <w:ind w:firstLine="480" w:firstLineChars="200"/>
        <w:rPr>
          <w:rFonts w:ascii="宋体" w:hAnsi="宋体" w:cs="宋体"/>
          <w:sz w:val="24"/>
        </w:rPr>
      </w:pPr>
      <w:r>
        <w:rPr>
          <w:rFonts w:hint="eastAsia" w:ascii="宋体" w:hAnsi="宋体" w:cs="宋体"/>
          <w:sz w:val="24"/>
        </w:rPr>
        <w:t>邮  编：226001</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九</w:t>
      </w:r>
      <w:r>
        <w:rPr>
          <w:rFonts w:ascii="宋体" w:hAnsi="宋体" w:cs="宋体"/>
          <w:b/>
          <w:sz w:val="24"/>
          <w:lang w:val="zh-CN"/>
        </w:rPr>
        <w:t>、</w:t>
      </w:r>
      <w:r>
        <w:rPr>
          <w:rFonts w:hint="eastAsia" w:ascii="宋体" w:hAnsi="宋体" w:cs="宋体"/>
          <w:b/>
          <w:sz w:val="24"/>
          <w:lang w:val="zh-CN"/>
        </w:rPr>
        <w:t>响应</w:t>
      </w:r>
      <w:r>
        <w:rPr>
          <w:rFonts w:ascii="宋体" w:hAnsi="宋体" w:cs="宋体"/>
          <w:b/>
          <w:sz w:val="24"/>
          <w:lang w:val="zh-CN"/>
        </w:rPr>
        <w:t>文件制作份数要求：</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详见磋商文件第七部分“响应文件组成”的具体要求。</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十、竞争性磋商程序简介</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供应商先对响应文件密封情况相互检查，磋商小组审查响应供应商资格，符合资格的供应商接受磋商小组的各轮磋商。磋商结束后要求所有实质性响应的供应商在规定时间内提交最后报价.磋商小组采用综合评分法对提交最后报价的供应商的响应文件和最后报价进行综合评分，响应文件满足磋商文件全部实质性要求且按评审因素的量化指标评审得分最高者，为成交供应商。</w:t>
      </w:r>
    </w:p>
    <w:p>
      <w:pPr>
        <w:autoSpaceDE w:val="0"/>
        <w:autoSpaceDN w:val="0"/>
        <w:adjustRightInd w:val="0"/>
        <w:spacing w:line="360" w:lineRule="auto"/>
        <w:ind w:firstLine="480" w:firstLineChars="200"/>
        <w:jc w:val="right"/>
        <w:rPr>
          <w:rFonts w:ascii="宋体" w:hAnsi="宋体" w:cs="宋体"/>
          <w:sz w:val="24"/>
          <w:lang w:val="zh-CN"/>
        </w:rPr>
      </w:pPr>
      <w:r>
        <w:rPr>
          <w:rFonts w:hint="eastAsia" w:ascii="宋体" w:hAnsi="宋体" w:cs="宋体"/>
          <w:sz w:val="24"/>
          <w:lang w:val="zh-CN"/>
        </w:rPr>
        <w:t>20</w:t>
      </w:r>
      <w:r>
        <w:rPr>
          <w:rFonts w:ascii="宋体" w:hAnsi="宋体" w:cs="宋体"/>
          <w:sz w:val="24"/>
          <w:lang w:val="zh-CN"/>
        </w:rPr>
        <w:t>20</w:t>
      </w:r>
      <w:r>
        <w:rPr>
          <w:rFonts w:hint="eastAsia" w:ascii="宋体" w:hAnsi="宋体" w:cs="宋体"/>
          <w:sz w:val="24"/>
          <w:lang w:val="zh-CN"/>
        </w:rPr>
        <w:t>年</w:t>
      </w:r>
      <w:r>
        <w:rPr>
          <w:rFonts w:ascii="宋体" w:hAnsi="宋体" w:cs="宋体"/>
          <w:sz w:val="24"/>
          <w:lang w:val="zh-CN"/>
        </w:rPr>
        <w:t>0</w:t>
      </w:r>
      <w:r>
        <w:rPr>
          <w:rFonts w:hint="eastAsia" w:ascii="宋体" w:hAnsi="宋体" w:cs="宋体"/>
          <w:sz w:val="24"/>
        </w:rPr>
        <w:t>9</w:t>
      </w:r>
      <w:r>
        <w:rPr>
          <w:rFonts w:hint="eastAsia" w:ascii="宋体" w:hAnsi="宋体" w:cs="宋体"/>
          <w:sz w:val="24"/>
          <w:lang w:val="zh-CN"/>
        </w:rPr>
        <w:t>月</w:t>
      </w:r>
      <w:r>
        <w:rPr>
          <w:rFonts w:hint="eastAsia" w:ascii="宋体" w:hAnsi="宋体" w:cs="宋体"/>
          <w:sz w:val="24"/>
        </w:rPr>
        <w:t>11</w:t>
      </w:r>
      <w:r>
        <w:rPr>
          <w:rFonts w:hint="eastAsia" w:ascii="宋体" w:hAnsi="宋体" w:cs="宋体"/>
          <w:sz w:val="24"/>
          <w:lang w:val="zh-CN"/>
        </w:rPr>
        <w:t>日</w:t>
      </w:r>
    </w:p>
    <w:p>
      <w:pPr>
        <w:autoSpaceDE w:val="0"/>
        <w:autoSpaceDN w:val="0"/>
        <w:adjustRightInd w:val="0"/>
        <w:spacing w:line="360" w:lineRule="auto"/>
        <w:ind w:firstLine="720" w:firstLineChars="200"/>
        <w:jc w:val="center"/>
        <w:rPr>
          <w:rFonts w:ascii="宋体" w:hAnsi="宋体"/>
        </w:rPr>
      </w:pPr>
      <w:r>
        <w:rPr>
          <w:rFonts w:ascii="宋体" w:hAnsi="宋体"/>
          <w:sz w:val="36"/>
          <w:szCs w:val="36"/>
        </w:rPr>
        <w:br w:type="page"/>
      </w:r>
      <w:bookmarkStart w:id="2" w:name="_Toc8163748"/>
      <w:r>
        <w:rPr>
          <w:rFonts w:hint="eastAsia" w:ascii="宋体" w:hAnsi="宋体"/>
          <w:sz w:val="36"/>
          <w:szCs w:val="36"/>
        </w:rPr>
        <w:t>第二部分 磋商须知</w:t>
      </w:r>
      <w:bookmarkEnd w:id="2"/>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一、磋商文件由采购人解释。</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1.供应商下载磋商文件后，应仔细检查磋商文件的所有内容，如对政府采购活动事项有疑问的，</w:t>
      </w:r>
      <w:r>
        <w:rPr>
          <w:rFonts w:hint="eastAsia" w:ascii="宋体" w:hAnsi="宋体" w:cs="宋体"/>
          <w:b/>
          <w:sz w:val="24"/>
          <w:lang w:val="zh-CN"/>
        </w:rPr>
        <w:t>应在下载磋商文件开始之日起3日内以书面形式向代理单位提出询问或疑问</w:t>
      </w:r>
      <w:r>
        <w:rPr>
          <w:rFonts w:hint="eastAsia" w:ascii="宋体" w:hAnsi="宋体" w:cs="宋体"/>
          <w:sz w:val="24"/>
          <w:lang w:val="zh-CN"/>
        </w:rPr>
        <w:t>，未在规定的3日内提出询问或疑问的，视同供应商理解并接受本磋商文件所有内容，并由此引起的损失自负。</w:t>
      </w:r>
      <w:r>
        <w:rPr>
          <w:rFonts w:hint="eastAsia" w:ascii="宋体" w:hAnsi="宋体" w:cs="宋体"/>
          <w:b/>
          <w:sz w:val="24"/>
        </w:rPr>
        <w:t>非书面形式的不作为日后质疑提出的依据。</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2.供应商应认真审阅磋商文件中所有的事项、格式、条款和规范要求等，如果供应商没有按照磋商文件要求提交响应文件，或者响应文件没有对磋商文件做出实质性响应，其投标将被拒绝，供应商自行承担责任。</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二、磋商文件的澄清、修改、答疑</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1.采购人有权对发出的磋商文件进行必要的澄清或修改或补充。</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w:t>
      </w:r>
      <w:r>
        <w:rPr>
          <w:rFonts w:hint="eastAsia" w:ascii="宋体" w:hAnsi="宋体" w:cs="宋体"/>
          <w:sz w:val="24"/>
        </w:rPr>
        <w:t>磋商文件的澄清、修改、补充等内容均以书面明确的形式发布，并以南通市交通运输局—公共资源交易栏目发布的信息为准。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3.采购人对磋商文件的澄清、修改将构成磋商文件的一部分，对供应商具有约束力。</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lang w:val="zh-CN"/>
        </w:rPr>
        <w:t>4.</w:t>
      </w:r>
      <w:r>
        <w:rPr>
          <w:rFonts w:hint="eastAsia" w:ascii="宋体" w:hAnsi="宋体" w:cs="宋体"/>
          <w:sz w:val="24"/>
        </w:rPr>
        <w:t>澄清或者修改的内容可能影响到响应文件编制的，代理机构将在提交响应文件接收截止之日5日前，发布澄清或者修改公告，不足5日的，当顺延提交响应文件接收截止时间。</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供应商由于对磋商文件的任何推论和误解以及采购人对有关问题的口头解释所造成的后果，均由供应商自负。</w:t>
      </w:r>
    </w:p>
    <w:p>
      <w:pPr>
        <w:snapToGrid w:val="0"/>
        <w:spacing w:line="480" w:lineRule="exact"/>
        <w:ind w:firstLine="482" w:firstLineChars="200"/>
        <w:outlineLvl w:val="1"/>
        <w:rPr>
          <w:rFonts w:ascii="宋体" w:hAnsi="宋体" w:cs="宋体"/>
          <w:b/>
          <w:sz w:val="24"/>
        </w:rPr>
      </w:pPr>
      <w:r>
        <w:rPr>
          <w:rFonts w:hint="eastAsia" w:ascii="宋体" w:hAnsi="宋体" w:cs="宋体"/>
          <w:b/>
          <w:sz w:val="24"/>
        </w:rPr>
        <w:t>三、磋商项目涉及到的现场勘察</w:t>
      </w:r>
    </w:p>
    <w:p>
      <w:pPr>
        <w:spacing w:line="480" w:lineRule="exact"/>
        <w:ind w:firstLine="484" w:firstLineChars="202"/>
        <w:rPr>
          <w:rFonts w:ascii="宋体" w:hAnsi="宋体" w:cs="宋体"/>
          <w:sz w:val="24"/>
        </w:rPr>
      </w:pPr>
      <w:r>
        <w:rPr>
          <w:rFonts w:hint="eastAsia" w:ascii="宋体" w:hAnsi="宋体" w:cs="宋体"/>
          <w:sz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pacing w:line="480" w:lineRule="exact"/>
        <w:ind w:firstLine="484" w:firstLineChars="202"/>
        <w:rPr>
          <w:rFonts w:ascii="宋体" w:hAnsi="宋体" w:cs="宋体"/>
          <w:sz w:val="24"/>
        </w:rPr>
      </w:pPr>
      <w:r>
        <w:rPr>
          <w:rFonts w:hint="eastAsia" w:ascii="宋体" w:hAnsi="宋体" w:cs="宋体"/>
          <w:sz w:val="24"/>
        </w:rPr>
        <w:t>2．采购人向供应商提供的有关现场的资料和数据，是采购人现有的并认为能使供应商可利用的资料。采购人对供应商由此而做出的推论、理解和结论概不负责。</w:t>
      </w:r>
    </w:p>
    <w:p>
      <w:pPr>
        <w:spacing w:line="480" w:lineRule="exact"/>
        <w:ind w:firstLine="484" w:firstLineChars="202"/>
        <w:rPr>
          <w:rFonts w:ascii="宋体" w:hAnsi="宋体" w:cs="宋体"/>
          <w:sz w:val="24"/>
        </w:rPr>
      </w:pPr>
      <w:r>
        <w:rPr>
          <w:rFonts w:hint="eastAsia" w:ascii="宋体" w:hAnsi="宋体" w:cs="宋体"/>
          <w:sz w:val="24"/>
        </w:rPr>
        <w:t>3．经采购人允许，供应商可为勘察目的进入采购人的项目现场，但供应商不得因此使采购人承担有关的责任和蒙受损失。供应商应承担勘察现场的责任和风险。</w:t>
      </w:r>
    </w:p>
    <w:p>
      <w:pPr>
        <w:spacing w:line="480" w:lineRule="exact"/>
        <w:ind w:firstLine="484" w:firstLineChars="202"/>
        <w:rPr>
          <w:rFonts w:ascii="宋体" w:hAnsi="宋体" w:cs="宋体"/>
          <w:sz w:val="24"/>
        </w:rPr>
      </w:pPr>
      <w:r>
        <w:rPr>
          <w:rFonts w:hint="eastAsia" w:ascii="宋体" w:hAnsi="宋体" w:cs="宋体"/>
          <w:sz w:val="24"/>
        </w:rPr>
        <w:t>4．供应商应认真踏勘现场。在现场勘察时，熟悉供货及安装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四、响应文件的编写及装订</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供应商按第七部分“投标文件组成”编写响应文件。响应文件规格幅面A4纸（图纸等除外）；按照磋商文件所规定的内容顺序，统一编制目录，逐页编码，由于编排混乱导致投标文件被误读或查找不到，其责任应当由供应商承担；牢固装订成册，不允许使用活页夹、拉杆夹、文件夹、塑料方便式书脊（插入式或穿孔式）装订；投标文件不得行间插字、涂改、增删，如修补错漏处，须经响应文件签署人签字并加盖公章。</w:t>
      </w:r>
    </w:p>
    <w:p>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五、响应文件的份数和签署</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zh-CN"/>
        </w:rPr>
        <w:t>.响应文件</w:t>
      </w:r>
      <w:r>
        <w:rPr>
          <w:rFonts w:hint="eastAsia" w:ascii="宋体" w:hAnsi="宋体" w:cs="宋体"/>
          <w:sz w:val="24"/>
        </w:rPr>
        <w:t>由：</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资格审查文件、</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商务技术响应文件、③报价响应文件共3部分组成（以下由文件序号代称）。</w:t>
      </w:r>
    </w:p>
    <w:p>
      <w:pPr>
        <w:autoSpaceDE w:val="0"/>
        <w:autoSpaceDN w:val="0"/>
        <w:adjustRightInd w:val="0"/>
        <w:spacing w:line="360" w:lineRule="auto"/>
        <w:ind w:firstLine="480" w:firstLineChars="200"/>
        <w:rPr>
          <w:rFonts w:ascii="宋体" w:hAnsi="宋体" w:cs="宋体"/>
          <w:b/>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 xml:space="preserve">响应文件均为一式 </w:t>
      </w:r>
      <w:r>
        <w:rPr>
          <w:rFonts w:hint="eastAsia" w:ascii="宋体" w:hAnsi="宋体" w:cs="宋体"/>
          <w:b/>
          <w:sz w:val="24"/>
          <w:lang w:val="zh-CN"/>
        </w:rPr>
        <w:t xml:space="preserve">3 </w:t>
      </w:r>
      <w:r>
        <w:rPr>
          <w:rFonts w:hint="eastAsia" w:ascii="宋体" w:hAnsi="宋体" w:cs="宋体"/>
          <w:sz w:val="24"/>
          <w:lang w:val="zh-CN"/>
        </w:rPr>
        <w:t>份</w:t>
      </w:r>
      <w:r>
        <w:rPr>
          <w:rFonts w:hint="eastAsia" w:ascii="宋体" w:hAnsi="宋体" w:cs="宋体"/>
          <w:sz w:val="24"/>
        </w:rPr>
        <w:t>，其中：</w:t>
      </w:r>
      <w:r>
        <w:rPr>
          <w:rFonts w:hint="eastAsia" w:ascii="宋体" w:hAnsi="宋体" w:cs="宋体"/>
          <w:b/>
          <w:sz w:val="24"/>
          <w:lang w:val="zh-CN"/>
        </w:rPr>
        <w:t>正本份数：1份，副本份数：2份。</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3.</w:t>
      </w:r>
      <w:r>
        <w:rPr>
          <w:rFonts w:hint="eastAsia" w:ascii="宋体" w:hAnsi="宋体" w:cs="宋体"/>
          <w:sz w:val="24"/>
        </w:rPr>
        <w:t>在每份响应文件上要明确标注项目名称、对应的响应文件名称、供应商的全称、日期、“正本”、“副本”字样。“正本”和“副本”若有差异，概以“正本”为准。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4.响应文件正本须打印并由供应商法定代表人或授权人签字并加盖单位印章。副本可复印，但须加盖单位印章。</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六、响应文件的密封及标记</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1.供应商应将商务技术</w:t>
      </w:r>
      <w:r>
        <w:rPr>
          <w:rFonts w:hint="eastAsia" w:ascii="宋体" w:hAnsi="宋体" w:cs="宋体"/>
          <w:sz w:val="24"/>
        </w:rPr>
        <w:t>响应文件</w:t>
      </w:r>
      <w:r>
        <w:rPr>
          <w:rFonts w:hint="eastAsia" w:ascii="宋体" w:hAnsi="宋体" w:cs="宋体"/>
          <w:sz w:val="24"/>
          <w:lang w:val="zh-CN"/>
        </w:rPr>
        <w:t>正本、副本及图纸类等（如需提供图纸等其它资料的话）合并密封，统一装在一个密封袋或密封箱内（如有A3大小的图纸类，可单独密封）。</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2.供应商应将</w:t>
      </w:r>
      <w:r>
        <w:rPr>
          <w:rFonts w:hint="eastAsia" w:ascii="宋体" w:hAnsi="宋体" w:cs="宋体"/>
          <w:sz w:val="24"/>
        </w:rPr>
        <w:t>资格审查文件</w:t>
      </w:r>
      <w:r>
        <w:rPr>
          <w:rFonts w:hint="eastAsia" w:ascii="宋体" w:hAnsi="宋体" w:cs="宋体"/>
          <w:sz w:val="24"/>
          <w:lang w:val="zh-CN"/>
        </w:rPr>
        <w:t>正本、副本合并密封，统一装在一个密封袋内。</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3.报价</w:t>
      </w:r>
      <w:r>
        <w:rPr>
          <w:rFonts w:hint="eastAsia" w:ascii="宋体" w:hAnsi="宋体" w:cs="宋体"/>
          <w:sz w:val="24"/>
        </w:rPr>
        <w:t>响应文件</w:t>
      </w:r>
      <w:r>
        <w:rPr>
          <w:rFonts w:hint="eastAsia" w:ascii="宋体" w:hAnsi="宋体" w:cs="宋体"/>
          <w:sz w:val="24"/>
          <w:lang w:val="zh-CN"/>
        </w:rPr>
        <w:t>正本、副本合并密封，统一装在一个密封袋内。</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4.</w:t>
      </w:r>
      <w:r>
        <w:rPr>
          <w:rFonts w:hint="eastAsia" w:ascii="宋体" w:hAnsi="宋体" w:cs="宋体"/>
          <w:sz w:val="24"/>
        </w:rPr>
        <w:t>密封后，应在每一密封的响应文件上明确标注磋商项目名称、项目编号、响应文件各自对应的名称、供应商的全称及日期，并在</w:t>
      </w:r>
      <w:r>
        <w:rPr>
          <w:rFonts w:hint="eastAsia" w:ascii="宋体" w:hAnsi="宋体" w:cs="宋体"/>
          <w:sz w:val="24"/>
          <w:lang w:val="zh-CN"/>
        </w:rPr>
        <w:t>边缝处加盖单位公章或骑缝签字，并注明于开标前不得启封。</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5.采购人将拒绝接收未按照磋商文件要求密封的响应文件。</w:t>
      </w:r>
    </w:p>
    <w:p>
      <w:pPr>
        <w:autoSpaceDE w:val="0"/>
        <w:autoSpaceDN w:val="0"/>
        <w:adjustRightInd w:val="0"/>
        <w:spacing w:line="360" w:lineRule="auto"/>
        <w:ind w:firstLine="482" w:firstLineChars="200"/>
        <w:rPr>
          <w:rFonts w:ascii="宋体" w:hAnsi="宋体" w:cs="宋体"/>
          <w:b/>
          <w:sz w:val="24"/>
          <w:lang w:val="zh-CN"/>
        </w:rPr>
      </w:pPr>
      <w:r>
        <w:rPr>
          <w:rFonts w:hint="eastAsia" w:ascii="宋体" w:hAnsi="宋体" w:cs="宋体"/>
          <w:b/>
          <w:sz w:val="24"/>
        </w:rPr>
        <w:t>【</w:t>
      </w:r>
      <w:r>
        <w:rPr>
          <w:rFonts w:hint="eastAsia" w:ascii="宋体" w:hAnsi="宋体" w:cs="宋体"/>
          <w:b/>
          <w:sz w:val="24"/>
          <w:lang w:val="zh-CN"/>
        </w:rPr>
        <w:t>特别提醒】响应文件中的</w:t>
      </w:r>
      <w:r>
        <w:rPr>
          <w:rFonts w:hint="eastAsia" w:ascii="宋体" w:hAnsi="宋体" w:cs="宋体"/>
          <w:b/>
          <w:sz w:val="24"/>
          <w:lang w:val="zh-CN"/>
        </w:rPr>
        <w:fldChar w:fldCharType="begin"/>
      </w:r>
      <w:r>
        <w:rPr>
          <w:rFonts w:hint="eastAsia" w:ascii="宋体" w:hAnsi="宋体" w:cs="宋体"/>
          <w:b/>
          <w:sz w:val="24"/>
          <w:lang w:val="zh-CN"/>
        </w:rPr>
        <w:instrText xml:space="preserve"> = 1 \* GB3 </w:instrText>
      </w:r>
      <w:r>
        <w:rPr>
          <w:rFonts w:hint="eastAsia" w:ascii="宋体" w:hAnsi="宋体" w:cs="宋体"/>
          <w:b/>
          <w:sz w:val="24"/>
          <w:lang w:val="zh-CN"/>
        </w:rPr>
        <w:fldChar w:fldCharType="separate"/>
      </w:r>
      <w:r>
        <w:rPr>
          <w:rFonts w:hint="eastAsia" w:ascii="宋体" w:hAnsi="宋体" w:cs="宋体"/>
          <w:b/>
          <w:sz w:val="24"/>
          <w:lang w:val="zh-CN"/>
        </w:rPr>
        <w:t>①</w:t>
      </w:r>
      <w:r>
        <w:rPr>
          <w:rFonts w:hint="eastAsia" w:ascii="宋体" w:hAnsi="宋体" w:cs="宋体"/>
          <w:b/>
          <w:sz w:val="24"/>
          <w:lang w:val="zh-CN"/>
        </w:rPr>
        <w:fldChar w:fldCharType="end"/>
      </w:r>
      <w:r>
        <w:rPr>
          <w:rFonts w:hint="eastAsia" w:ascii="宋体" w:hAnsi="宋体" w:cs="宋体"/>
          <w:b/>
          <w:sz w:val="24"/>
          <w:lang w:val="zh-CN"/>
        </w:rPr>
        <w:t>和</w:t>
      </w:r>
      <w:r>
        <w:rPr>
          <w:rFonts w:hint="eastAsia" w:ascii="宋体" w:hAnsi="宋体" w:cs="宋体"/>
          <w:b/>
          <w:sz w:val="24"/>
          <w:lang w:val="zh-CN"/>
        </w:rPr>
        <w:fldChar w:fldCharType="begin"/>
      </w:r>
      <w:r>
        <w:rPr>
          <w:rFonts w:hint="eastAsia" w:ascii="宋体" w:hAnsi="宋体" w:cs="宋体"/>
          <w:b/>
          <w:sz w:val="24"/>
          <w:lang w:val="zh-CN"/>
        </w:rPr>
        <w:instrText xml:space="preserve"> = 2 \* GB3 </w:instrText>
      </w:r>
      <w:r>
        <w:rPr>
          <w:rFonts w:hint="eastAsia" w:ascii="宋体" w:hAnsi="宋体" w:cs="宋体"/>
          <w:b/>
          <w:sz w:val="24"/>
          <w:lang w:val="zh-CN"/>
        </w:rPr>
        <w:fldChar w:fldCharType="separate"/>
      </w:r>
      <w:r>
        <w:rPr>
          <w:rFonts w:hint="eastAsia" w:ascii="宋体" w:hAnsi="宋体" w:cs="宋体"/>
          <w:b/>
          <w:sz w:val="24"/>
          <w:lang w:val="zh-CN"/>
        </w:rPr>
        <w:t>②</w:t>
      </w:r>
      <w:r>
        <w:rPr>
          <w:rFonts w:hint="eastAsia" w:ascii="宋体" w:hAnsi="宋体" w:cs="宋体"/>
          <w:b/>
          <w:sz w:val="24"/>
          <w:lang w:val="zh-CN"/>
        </w:rPr>
        <w:fldChar w:fldCharType="end"/>
      </w:r>
      <w:r>
        <w:rPr>
          <w:rFonts w:hint="eastAsia" w:ascii="宋体" w:hAnsi="宋体" w:cs="宋体"/>
          <w:b/>
          <w:sz w:val="24"/>
          <w:lang w:val="zh-CN"/>
        </w:rPr>
        <w:t>的“正本”或“副本”中，均不得含有报价响应文件中报价表（报价单）内的任何项目价格，否则作无效响应处理。</w:t>
      </w:r>
    </w:p>
    <w:p>
      <w:pPr>
        <w:autoSpaceDE w:val="0"/>
        <w:autoSpaceDN w:val="0"/>
        <w:adjustRightInd w:val="0"/>
        <w:spacing w:line="360" w:lineRule="auto"/>
        <w:ind w:firstLine="482" w:firstLineChars="200"/>
        <w:rPr>
          <w:rFonts w:ascii="宋体" w:hAnsi="宋体" w:cs="宋体"/>
          <w:b/>
          <w:sz w:val="24"/>
          <w:lang w:val="zh-CN"/>
        </w:rPr>
      </w:pPr>
      <w:r>
        <w:rPr>
          <w:rFonts w:hint="eastAsia" w:ascii="宋体" w:hAnsi="宋体" w:cs="宋体"/>
          <w:b/>
          <w:sz w:val="24"/>
          <w:lang w:val="zh-CN"/>
        </w:rPr>
        <w:t>七、磋商报价</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1.本项目不接受任何有选择的报价。</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2.磋商报价均以人民币为报价的币种。</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autoSpaceDE w:val="0"/>
        <w:autoSpaceDN w:val="0"/>
        <w:adjustRightInd w:val="0"/>
        <w:spacing w:line="360" w:lineRule="auto"/>
        <w:ind w:firstLine="482" w:firstLineChars="200"/>
        <w:rPr>
          <w:rFonts w:ascii="宋体" w:hAnsi="宋体" w:cs="宋体"/>
          <w:b/>
          <w:sz w:val="24"/>
          <w:lang w:val="zh-CN"/>
        </w:rPr>
      </w:pPr>
      <w:r>
        <w:rPr>
          <w:rFonts w:hint="eastAsia" w:ascii="宋体" w:hAnsi="宋体" w:cs="宋体"/>
          <w:b/>
          <w:sz w:val="24"/>
          <w:lang w:val="zh-CN"/>
        </w:rPr>
        <w:t>4. 磋商报价为供应商</w:t>
      </w:r>
      <w:r>
        <w:rPr>
          <w:rFonts w:ascii="宋体" w:hAnsi="宋体" w:cs="宋体"/>
          <w:b/>
          <w:sz w:val="24"/>
          <w:lang w:val="zh-CN"/>
        </w:rPr>
        <w:t>完成</w:t>
      </w:r>
      <w:r>
        <w:rPr>
          <w:rFonts w:hint="eastAsia" w:ascii="宋体" w:hAnsi="宋体" w:cs="宋体"/>
          <w:b/>
          <w:sz w:val="24"/>
          <w:lang w:val="zh-CN"/>
        </w:rPr>
        <w:t>本项目准备阶段、实施阶段、验收全过程服务全部费用。本项目采用总价报价。</w:t>
      </w:r>
      <w:r>
        <w:rPr>
          <w:rFonts w:hint="eastAsia" w:ascii="宋体" w:hAnsi="宋体" w:cs="宋体"/>
          <w:sz w:val="24"/>
          <w:lang w:val="zh-CN"/>
        </w:rPr>
        <w:t>供应商在编制磋商报价时应考虑以下因素：</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w:t>
      </w:r>
      <w:r>
        <w:rPr>
          <w:rFonts w:ascii="宋体" w:hAnsi="宋体" w:cs="宋体"/>
          <w:sz w:val="24"/>
          <w:lang w:val="zh-CN"/>
        </w:rPr>
        <w:t>1</w:t>
      </w:r>
      <w:r>
        <w:rPr>
          <w:rFonts w:hint="eastAsia" w:ascii="宋体" w:hAnsi="宋体" w:cs="宋体"/>
          <w:sz w:val="24"/>
          <w:lang w:val="zh-CN"/>
        </w:rPr>
        <w:t>）在合同执行期间，采购人不提供完成本合同所需的其它任何生活、办公设施、及交通、通讯工具等，相关费用供应商（软件单位）在报价时应充分考虑到相关报价中；</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w:t>
      </w:r>
      <w:r>
        <w:rPr>
          <w:rFonts w:ascii="宋体" w:hAnsi="宋体" w:cs="宋体"/>
          <w:sz w:val="24"/>
          <w:lang w:val="zh-CN"/>
        </w:rPr>
        <w:t>2</w:t>
      </w:r>
      <w:r>
        <w:rPr>
          <w:rFonts w:hint="eastAsia" w:ascii="宋体" w:hAnsi="宋体" w:cs="宋体"/>
          <w:sz w:val="24"/>
          <w:lang w:val="zh-CN"/>
        </w:rPr>
        <w:t>）本项目营业税、城市维护建设费和教育费附加等应由供应商（软件单位）承担的相关税费等均由供应商（软件单位）承担，并包含在相关报价中；</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w:t>
      </w:r>
      <w:r>
        <w:rPr>
          <w:rFonts w:ascii="宋体" w:hAnsi="宋体" w:cs="宋体"/>
          <w:sz w:val="24"/>
          <w:lang w:val="zh-CN"/>
        </w:rPr>
        <w:t>3</w:t>
      </w:r>
      <w:r>
        <w:rPr>
          <w:rFonts w:hint="eastAsia" w:ascii="宋体" w:hAnsi="宋体" w:cs="宋体"/>
          <w:sz w:val="24"/>
          <w:lang w:val="zh-CN"/>
        </w:rPr>
        <w:t>）供应商（软件单位）还须按照相关的安全管理办法及合同条款的规定做好施工安全、环保的监理，该项费用包含在投标价中；</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w:t>
      </w:r>
      <w:r>
        <w:rPr>
          <w:rFonts w:ascii="宋体" w:hAnsi="宋体" w:cs="宋体"/>
          <w:sz w:val="24"/>
          <w:lang w:val="zh-CN"/>
        </w:rPr>
        <w:t>4</w:t>
      </w:r>
      <w:r>
        <w:rPr>
          <w:rFonts w:hint="eastAsia" w:ascii="宋体" w:hAnsi="宋体" w:cs="宋体"/>
          <w:sz w:val="24"/>
          <w:lang w:val="zh-CN"/>
        </w:rPr>
        <w:t>）供应商（软件单位）应主动查阅本项目的有关设计文件、技术经济等资料。作为一个有经验的供应商（软件单位），应充分考虑到采购人提供的相关资料和数据与合同实施过程中存有偏差，供应商（软件单位）应综合考虑到报价中；</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5.竞争性磋商的最终报价为成交价，同时，成交供应商的成交价在合同实施期间不因市场变化因素而变动。</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6.最低的磋商报价是成交的重要条件，但不是成交的唯一条件。</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7.投标供应商应详细阅读磋商文件的全部内容，根据采购项目需求，准确制定相关工作方案等，必须对本采购项目全部进行报价，如有漏项，视同对本项目的优惠。不按磋商文件的要求提供响应文件，导致报价无效，按无效响应处理。 </w:t>
      </w:r>
    </w:p>
    <w:p>
      <w:pPr>
        <w:snapToGrid w:val="0"/>
        <w:spacing w:line="480" w:lineRule="exact"/>
        <w:ind w:firstLine="482" w:firstLineChars="200"/>
        <w:outlineLvl w:val="1"/>
        <w:rPr>
          <w:rFonts w:eastAsia="仿宋_GB2312"/>
          <w:b/>
          <w:bCs/>
          <w:sz w:val="24"/>
          <w:lang w:val="zh-CN"/>
        </w:rPr>
      </w:pPr>
      <w:r>
        <w:rPr>
          <w:rFonts w:hint="eastAsia" w:ascii="宋体" w:hAnsi="宋体" w:cs="宋体"/>
          <w:b/>
          <w:sz w:val="24"/>
          <w:lang w:val="zh-CN"/>
        </w:rPr>
        <w:t>八、</w:t>
      </w:r>
      <w:r>
        <w:rPr>
          <w:rFonts w:hint="eastAsia" w:ascii="宋体" w:hAnsi="宋体" w:cs="宋体"/>
          <w:b/>
          <w:bCs/>
          <w:sz w:val="24"/>
        </w:rPr>
        <w:t>磋商</w:t>
      </w:r>
      <w:r>
        <w:rPr>
          <w:rFonts w:hint="eastAsia" w:ascii="宋体" w:hAnsi="宋体" w:cs="宋体"/>
          <w:b/>
          <w:bCs/>
          <w:sz w:val="24"/>
          <w:lang w:val="zh-CN"/>
        </w:rPr>
        <w:t>保证金退还</w:t>
      </w:r>
    </w:p>
    <w:p>
      <w:pPr>
        <w:snapToGrid w:val="0"/>
        <w:spacing w:line="480" w:lineRule="exact"/>
        <w:ind w:firstLine="494" w:firstLineChars="206"/>
        <w:rPr>
          <w:rFonts w:ascii="宋体" w:hAnsi="宋体" w:cs="宋体"/>
          <w:sz w:val="24"/>
        </w:rPr>
      </w:pPr>
      <w:r>
        <w:rPr>
          <w:rFonts w:hint="eastAsia" w:ascii="宋体" w:hAnsi="宋体" w:cs="宋体"/>
          <w:sz w:val="24"/>
        </w:rPr>
        <w:t>1.未成交的供应商的磋商保证金，当场退还，成交的供应商（以下称为成交供应商）的磋商保证金将在采购单位与成交供应商签订的合同生效后</w:t>
      </w:r>
      <w:r>
        <w:rPr>
          <w:rFonts w:hint="eastAsia" w:ascii="宋体" w:hAnsi="宋体" w:cs="宋体"/>
          <w:b/>
          <w:sz w:val="24"/>
          <w:u w:val="single"/>
        </w:rPr>
        <w:t xml:space="preserve"> 5个工作日内</w:t>
      </w:r>
      <w:r>
        <w:rPr>
          <w:rFonts w:hint="eastAsia" w:ascii="宋体" w:hAnsi="宋体" w:cs="宋体"/>
          <w:sz w:val="24"/>
        </w:rPr>
        <w:t xml:space="preserve"> ，予以退还（无息）。 </w:t>
      </w:r>
    </w:p>
    <w:p>
      <w:pPr>
        <w:snapToGrid w:val="0"/>
        <w:spacing w:line="480" w:lineRule="exact"/>
        <w:ind w:firstLine="460" w:firstLineChars="192"/>
        <w:rPr>
          <w:rFonts w:ascii="宋体" w:hAnsi="宋体" w:cs="宋体"/>
          <w:sz w:val="24"/>
        </w:rPr>
      </w:pPr>
      <w:r>
        <w:rPr>
          <w:rFonts w:hint="eastAsia" w:ascii="宋体" w:hAnsi="宋体" w:cs="宋体"/>
          <w:sz w:val="24"/>
        </w:rPr>
        <w:t>2.发生下列情况之一，磋商保证金将不予退还。</w:t>
      </w:r>
    </w:p>
    <w:p>
      <w:pPr>
        <w:snapToGrid w:val="0"/>
        <w:spacing w:line="480" w:lineRule="exact"/>
        <w:ind w:firstLine="460" w:firstLineChars="192"/>
        <w:rPr>
          <w:rFonts w:ascii="宋体" w:hAnsi="宋体" w:cs="宋体"/>
          <w:sz w:val="24"/>
        </w:rPr>
      </w:pPr>
      <w:r>
        <w:rPr>
          <w:rFonts w:hint="eastAsia" w:ascii="宋体" w:hAnsi="宋体" w:cs="宋体"/>
          <w:sz w:val="24"/>
        </w:rPr>
        <w:t>（1）</w:t>
      </w:r>
      <w:r>
        <w:rPr>
          <w:rFonts w:hint="eastAsia" w:ascii="宋体" w:hAnsi="宋体" w:cs="宋体"/>
          <w:kern w:val="0"/>
          <w:sz w:val="24"/>
        </w:rPr>
        <w:t>供应商在提交响应文件截止时间后撤回响应文件的；</w:t>
      </w:r>
    </w:p>
    <w:p>
      <w:pPr>
        <w:snapToGrid w:val="0"/>
        <w:spacing w:line="480" w:lineRule="exact"/>
        <w:ind w:firstLine="460" w:firstLineChars="192"/>
        <w:rPr>
          <w:rFonts w:ascii="宋体" w:hAnsi="宋体" w:cs="宋体"/>
          <w:kern w:val="0"/>
          <w:sz w:val="24"/>
        </w:rPr>
      </w:pPr>
      <w:r>
        <w:rPr>
          <w:rFonts w:hint="eastAsia" w:ascii="宋体" w:hAnsi="宋体" w:cs="宋体"/>
          <w:sz w:val="24"/>
        </w:rPr>
        <w:t>（2）</w:t>
      </w:r>
      <w:r>
        <w:rPr>
          <w:rFonts w:hint="eastAsia" w:ascii="宋体" w:hAnsi="宋体" w:cs="宋体"/>
          <w:kern w:val="0"/>
          <w:sz w:val="24"/>
        </w:rPr>
        <w:t>供应商在响应文件中提供虚假材料的；</w:t>
      </w:r>
    </w:p>
    <w:p>
      <w:pPr>
        <w:snapToGrid w:val="0"/>
        <w:spacing w:line="480" w:lineRule="exact"/>
        <w:ind w:firstLine="460" w:firstLineChars="192"/>
        <w:rPr>
          <w:rFonts w:ascii="宋体" w:hAnsi="宋体" w:cs="宋体"/>
          <w:sz w:val="24"/>
        </w:rPr>
      </w:pPr>
      <w:r>
        <w:rPr>
          <w:rFonts w:hint="eastAsia" w:ascii="宋体" w:hAnsi="宋体" w:cs="宋体"/>
          <w:sz w:val="24"/>
        </w:rPr>
        <w:t>（3）除因不可抗力或磋商文件认可的情形以外</w:t>
      </w:r>
      <w:r>
        <w:rPr>
          <w:rFonts w:hint="eastAsia" w:ascii="宋体" w:hAnsi="宋体" w:cs="宋体"/>
          <w:kern w:val="0"/>
          <w:sz w:val="24"/>
        </w:rPr>
        <w:t>，中标人不与采购人签订合同的；</w:t>
      </w:r>
    </w:p>
    <w:p>
      <w:pPr>
        <w:snapToGrid w:val="0"/>
        <w:spacing w:line="480" w:lineRule="exact"/>
        <w:ind w:firstLine="460" w:firstLineChars="192"/>
        <w:rPr>
          <w:rFonts w:ascii="宋体" w:hAnsi="宋体" w:cs="宋体"/>
          <w:kern w:val="0"/>
          <w:sz w:val="24"/>
        </w:rPr>
      </w:pPr>
      <w:r>
        <w:rPr>
          <w:rFonts w:hint="eastAsia" w:ascii="宋体" w:hAnsi="宋体" w:cs="宋体"/>
          <w:sz w:val="24"/>
        </w:rPr>
        <w:t>（4）</w:t>
      </w:r>
      <w:r>
        <w:rPr>
          <w:rFonts w:hint="eastAsia" w:ascii="宋体" w:hAnsi="宋体" w:cs="宋体"/>
          <w:kern w:val="0"/>
          <w:sz w:val="24"/>
        </w:rPr>
        <w:t>供应商与采购人、其他供应商或者代理机构恶意串通的；</w:t>
      </w:r>
    </w:p>
    <w:p>
      <w:pPr>
        <w:snapToGrid w:val="0"/>
        <w:spacing w:line="480" w:lineRule="exact"/>
        <w:ind w:firstLine="460" w:firstLineChars="192"/>
        <w:rPr>
          <w:rFonts w:ascii="宋体" w:hAnsi="宋体" w:cs="宋体"/>
          <w:kern w:val="0"/>
          <w:sz w:val="24"/>
        </w:rPr>
      </w:pPr>
      <w:r>
        <w:rPr>
          <w:rFonts w:hint="eastAsia" w:ascii="宋体" w:hAnsi="宋体" w:cs="宋体"/>
          <w:sz w:val="24"/>
        </w:rPr>
        <w:t>（5）供应商在磋商过程中有违反有关法律法规的行为；</w:t>
      </w:r>
    </w:p>
    <w:p>
      <w:pPr>
        <w:snapToGrid w:val="0"/>
        <w:spacing w:line="480" w:lineRule="exact"/>
        <w:ind w:firstLine="460" w:firstLineChars="192"/>
        <w:rPr>
          <w:rFonts w:ascii="宋体" w:hAnsi="宋体" w:cs="宋体"/>
          <w:sz w:val="24"/>
        </w:rPr>
      </w:pPr>
      <w:r>
        <w:rPr>
          <w:rFonts w:hint="eastAsia" w:ascii="宋体" w:hAnsi="宋体" w:cs="宋体"/>
          <w:sz w:val="24"/>
        </w:rPr>
        <w:t>（6）磋商文件规定的其他情形的。</w:t>
      </w:r>
    </w:p>
    <w:p>
      <w:pPr>
        <w:snapToGrid w:val="0"/>
        <w:spacing w:line="480" w:lineRule="exact"/>
        <w:ind w:firstLine="460" w:firstLineChars="192"/>
        <w:rPr>
          <w:rFonts w:ascii="宋体" w:hAnsi="宋体" w:cs="宋体"/>
          <w:sz w:val="24"/>
        </w:rPr>
      </w:pPr>
      <w:r>
        <w:rPr>
          <w:rFonts w:hint="eastAsia" w:ascii="宋体" w:hAnsi="宋体" w:cs="宋体"/>
          <w:sz w:val="24"/>
        </w:rPr>
        <w:t>3.对于在磋商顺利开始后至开标结束前，根据磋商情况退出磋商的供应商，须以书面形式说明退出磋商的原因，经磋商小组同意可以退还其缴纳的磋商保证金。</w:t>
      </w:r>
    </w:p>
    <w:p>
      <w:pPr>
        <w:snapToGrid w:val="0"/>
        <w:spacing w:line="480" w:lineRule="exact"/>
        <w:ind w:firstLine="463" w:firstLineChars="192"/>
        <w:rPr>
          <w:rFonts w:ascii="宋体" w:hAnsi="宋体" w:cs="宋体"/>
          <w:b/>
          <w:sz w:val="24"/>
        </w:rPr>
      </w:pPr>
      <w:r>
        <w:rPr>
          <w:rFonts w:hint="eastAsia" w:ascii="宋体" w:hAnsi="宋体" w:cs="宋体"/>
          <w:b/>
          <w:sz w:val="24"/>
        </w:rPr>
        <w:t>九、响应文件及磋商费用</w:t>
      </w:r>
    </w:p>
    <w:p>
      <w:pPr>
        <w:snapToGrid w:val="0"/>
        <w:spacing w:line="480" w:lineRule="exact"/>
        <w:ind w:firstLine="460" w:firstLineChars="192"/>
        <w:rPr>
          <w:rFonts w:ascii="宋体" w:hAnsi="宋体" w:cs="宋体"/>
          <w:sz w:val="24"/>
        </w:rPr>
      </w:pPr>
      <w:r>
        <w:rPr>
          <w:rFonts w:hint="eastAsia" w:ascii="宋体" w:hAnsi="宋体" w:cs="宋体"/>
          <w:sz w:val="24"/>
        </w:rPr>
        <w:t>1、磋商文件每套售价400元（现金，请自备零钱），在递交磋商响应文件的同时提交给代理单位。</w:t>
      </w:r>
    </w:p>
    <w:p>
      <w:pPr>
        <w:snapToGrid w:val="0"/>
        <w:spacing w:line="480" w:lineRule="exact"/>
        <w:ind w:firstLine="460" w:firstLineChars="192"/>
        <w:rPr>
          <w:rFonts w:ascii="宋体" w:hAnsi="宋体" w:cs="宋体"/>
          <w:sz w:val="24"/>
        </w:rPr>
      </w:pPr>
      <w:r>
        <w:rPr>
          <w:rFonts w:hint="eastAsia" w:ascii="宋体" w:hAnsi="宋体" w:cs="宋体"/>
          <w:sz w:val="24"/>
        </w:rPr>
        <w:t>2、磋商程序顺利进行后，除供应商的原件可退回外，其余所有的响应文件都将作为档案保存，不论成交与否，代理机构均不退回（未拆封的除外）。</w:t>
      </w:r>
    </w:p>
    <w:p>
      <w:pPr>
        <w:snapToGrid w:val="0"/>
        <w:spacing w:line="480" w:lineRule="exact"/>
        <w:ind w:firstLine="460" w:firstLineChars="192"/>
        <w:rPr>
          <w:rFonts w:ascii="宋体" w:hAnsi="宋体" w:cs="宋体"/>
          <w:sz w:val="24"/>
        </w:rPr>
      </w:pPr>
      <w:r>
        <w:rPr>
          <w:rFonts w:hint="eastAsia" w:ascii="宋体" w:hAnsi="宋体" w:cs="宋体"/>
          <w:sz w:val="24"/>
        </w:rPr>
        <w:t>3、无论磋商过程和结果如何，参加项目磋商的供应商自行承担与本次项目磋商有关的全部费用。</w:t>
      </w:r>
    </w:p>
    <w:p>
      <w:pPr>
        <w:snapToGrid w:val="0"/>
        <w:spacing w:line="480" w:lineRule="exact"/>
        <w:ind w:firstLine="463" w:firstLineChars="192"/>
        <w:rPr>
          <w:rFonts w:ascii="宋体" w:hAnsi="宋体" w:cs="宋体"/>
          <w:b/>
          <w:sz w:val="24"/>
        </w:rPr>
      </w:pPr>
      <w:r>
        <w:rPr>
          <w:rFonts w:hint="eastAsia" w:ascii="宋体" w:hAnsi="宋体" w:cs="宋体"/>
          <w:b/>
          <w:sz w:val="24"/>
        </w:rPr>
        <w:t>十、履约保证金</w:t>
      </w:r>
    </w:p>
    <w:p>
      <w:pPr>
        <w:snapToGrid w:val="0"/>
        <w:spacing w:line="480" w:lineRule="exact"/>
        <w:ind w:firstLine="460" w:firstLineChars="192"/>
        <w:rPr>
          <w:rFonts w:ascii="宋体" w:hAnsi="宋体" w:cs="宋体"/>
          <w:sz w:val="24"/>
        </w:rPr>
      </w:pPr>
      <w:r>
        <w:rPr>
          <w:rFonts w:hint="eastAsia" w:ascii="宋体" w:hAnsi="宋体" w:cs="宋体"/>
          <w:sz w:val="24"/>
        </w:rPr>
        <w:t>1、本项目成交后的履约保证金为人民币壹万伍仟元整（</w:t>
      </w:r>
      <w:r>
        <w:rPr>
          <w:rFonts w:hint="eastAsia" w:ascii="宋体" w:hAnsi="宋体" w:cs="宋体"/>
          <w:bCs/>
          <w:sz w:val="24"/>
        </w:rPr>
        <w:t>¥15000元）</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2、履约保证金必须选择下列一种形式</w:t>
      </w:r>
      <w:r>
        <w:rPr>
          <w:rFonts w:ascii="宋体" w:hAnsi="宋体" w:cs="宋体"/>
          <w:sz w:val="24"/>
        </w:rPr>
        <w:t>：</w:t>
      </w:r>
      <w:r>
        <w:rPr>
          <w:rFonts w:hint="eastAsia" w:ascii="宋体" w:hAnsi="宋体" w:cs="宋体"/>
          <w:sz w:val="24"/>
        </w:rPr>
        <w:t>电汇、银行汇票或银行本票或银行保函。</w:t>
      </w:r>
    </w:p>
    <w:p>
      <w:pPr>
        <w:spacing w:line="360" w:lineRule="auto"/>
        <w:ind w:firstLine="480" w:firstLineChars="200"/>
        <w:rPr>
          <w:rFonts w:ascii="宋体" w:hAnsi="宋体" w:cs="宋体"/>
          <w:sz w:val="24"/>
        </w:rPr>
      </w:pPr>
      <w:r>
        <w:rPr>
          <w:rFonts w:hint="eastAsia" w:ascii="宋体" w:hAnsi="宋体" w:cs="宋体"/>
          <w:sz w:val="24"/>
        </w:rPr>
        <w:t>（1）若采用电汇，成交</w:t>
      </w:r>
      <w:r>
        <w:rPr>
          <w:rFonts w:hint="eastAsia" w:ascii="宋体" w:hAnsi="宋体" w:cs="宋体"/>
          <w:sz w:val="24"/>
          <w:lang w:val="zh-CN"/>
        </w:rPr>
        <w:t>供应商</w:t>
      </w:r>
      <w:r>
        <w:rPr>
          <w:rFonts w:hint="eastAsia" w:ascii="宋体" w:hAnsi="宋体" w:cs="宋体"/>
          <w:sz w:val="24"/>
        </w:rPr>
        <w:t>应在合同签订前将履约保证金由成交</w:t>
      </w:r>
      <w:r>
        <w:rPr>
          <w:rFonts w:hint="eastAsia" w:ascii="宋体" w:hAnsi="宋体" w:cs="宋体"/>
          <w:b/>
          <w:sz w:val="24"/>
        </w:rPr>
        <w:t>供应商基本帐户一次性汇入</w:t>
      </w:r>
      <w:r>
        <w:rPr>
          <w:rFonts w:hint="eastAsia" w:ascii="宋体" w:hAnsi="宋体" w:cs="宋体"/>
          <w:sz w:val="24"/>
        </w:rPr>
        <w:t>采购人指定账户。</w:t>
      </w:r>
    </w:p>
    <w:p>
      <w:pPr>
        <w:spacing w:line="360" w:lineRule="auto"/>
        <w:ind w:firstLine="480" w:firstLineChars="200"/>
        <w:rPr>
          <w:rFonts w:ascii="宋体" w:hAnsi="宋体" w:cs="宋体"/>
          <w:sz w:val="24"/>
        </w:rPr>
      </w:pPr>
      <w:r>
        <w:rPr>
          <w:rFonts w:hint="eastAsia" w:ascii="宋体" w:hAnsi="宋体" w:cs="宋体"/>
          <w:sz w:val="24"/>
        </w:rPr>
        <w:t>（2）若采用</w:t>
      </w:r>
      <w:r>
        <w:rPr>
          <w:rFonts w:ascii="宋体" w:hAnsi="宋体" w:cs="宋体"/>
          <w:sz w:val="24"/>
        </w:rPr>
        <w:t>银</w:t>
      </w:r>
      <w:r>
        <w:rPr>
          <w:rFonts w:hint="eastAsia" w:ascii="宋体" w:hAnsi="宋体" w:cs="宋体"/>
          <w:sz w:val="24"/>
        </w:rPr>
        <w:t>行</w:t>
      </w:r>
      <w:r>
        <w:rPr>
          <w:rFonts w:ascii="宋体" w:hAnsi="宋体" w:cs="宋体"/>
          <w:sz w:val="24"/>
        </w:rPr>
        <w:t>汇</w:t>
      </w:r>
      <w:r>
        <w:rPr>
          <w:rFonts w:hint="eastAsia" w:ascii="宋体" w:hAnsi="宋体" w:cs="宋体"/>
          <w:sz w:val="24"/>
        </w:rPr>
        <w:t>票或银行本票（若</w:t>
      </w:r>
      <w:r>
        <w:rPr>
          <w:rFonts w:hint="eastAsia" w:ascii="宋体" w:hAnsi="宋体" w:cs="宋体"/>
          <w:sz w:val="24"/>
          <w:lang w:val="zh-CN"/>
        </w:rPr>
        <w:t>供应商</w:t>
      </w:r>
      <w:r>
        <w:rPr>
          <w:rFonts w:hint="eastAsia" w:ascii="宋体" w:hAnsi="宋体" w:cs="宋体"/>
          <w:sz w:val="24"/>
        </w:rPr>
        <w:t>基本开户行在南通，则可递交银行本票），成交</w:t>
      </w:r>
      <w:r>
        <w:rPr>
          <w:rFonts w:hint="eastAsia" w:ascii="宋体" w:hAnsi="宋体" w:cs="宋体"/>
          <w:sz w:val="24"/>
          <w:lang w:val="zh-CN"/>
        </w:rPr>
        <w:t>供应商</w:t>
      </w:r>
      <w:r>
        <w:rPr>
          <w:rFonts w:hint="eastAsia" w:ascii="宋体" w:hAnsi="宋体" w:cs="宋体"/>
          <w:sz w:val="24"/>
        </w:rPr>
        <w:t>应在在合同签订前将</w:t>
      </w:r>
      <w:r>
        <w:rPr>
          <w:rFonts w:ascii="宋体" w:hAnsi="宋体" w:cs="宋体"/>
          <w:sz w:val="24"/>
        </w:rPr>
        <w:t>银</w:t>
      </w:r>
      <w:r>
        <w:rPr>
          <w:rFonts w:hint="eastAsia" w:ascii="宋体" w:hAnsi="宋体" w:cs="宋体"/>
          <w:sz w:val="24"/>
        </w:rPr>
        <w:t>行</w:t>
      </w:r>
      <w:r>
        <w:rPr>
          <w:rFonts w:ascii="宋体" w:hAnsi="宋体" w:cs="宋体"/>
          <w:sz w:val="24"/>
        </w:rPr>
        <w:t>汇</w:t>
      </w:r>
      <w:r>
        <w:rPr>
          <w:rFonts w:hint="eastAsia" w:ascii="宋体" w:hAnsi="宋体" w:cs="宋体"/>
          <w:sz w:val="24"/>
        </w:rPr>
        <w:t>票或银行本票原件递交给采购人。</w:t>
      </w:r>
    </w:p>
    <w:p>
      <w:pPr>
        <w:spacing w:line="360" w:lineRule="auto"/>
        <w:ind w:firstLine="480" w:firstLineChars="200"/>
        <w:rPr>
          <w:rFonts w:ascii="宋体" w:hAnsi="宋体" w:cs="宋体"/>
          <w:sz w:val="24"/>
        </w:rPr>
      </w:pPr>
      <w:r>
        <w:rPr>
          <w:rFonts w:hint="eastAsia" w:ascii="宋体" w:hAnsi="宋体" w:cs="宋体"/>
          <w:sz w:val="24"/>
        </w:rPr>
        <w:t>（3）若采用银行保函，银行保函应采用采购人认可的格式，且应在合同期内保持有效，采购人如果延长了合同期，则履约保函的有效期也相应延长。</w:t>
      </w:r>
    </w:p>
    <w:p>
      <w:pPr>
        <w:spacing w:line="360" w:lineRule="auto"/>
        <w:ind w:firstLine="480" w:firstLineChars="200"/>
        <w:rPr>
          <w:rFonts w:ascii="宋体" w:hAnsi="宋体" w:cs="宋体"/>
          <w:sz w:val="24"/>
        </w:rPr>
      </w:pPr>
      <w:r>
        <w:rPr>
          <w:rFonts w:hint="eastAsia" w:ascii="宋体" w:hAnsi="宋体" w:cs="宋体"/>
          <w:sz w:val="24"/>
        </w:rPr>
        <w:t>采购人的开户银行及账号如下：</w:t>
      </w:r>
    </w:p>
    <w:p>
      <w:pPr>
        <w:spacing w:line="360" w:lineRule="auto"/>
        <w:ind w:firstLine="480" w:firstLineChars="200"/>
        <w:rPr>
          <w:rFonts w:ascii="宋体" w:hAnsi="宋体" w:cs="宋体"/>
          <w:sz w:val="24"/>
        </w:rPr>
      </w:pPr>
      <w:r>
        <w:rPr>
          <w:rFonts w:hint="eastAsia" w:ascii="宋体" w:hAnsi="宋体" w:cs="宋体"/>
          <w:sz w:val="24"/>
        </w:rPr>
        <w:t>开户名称：南通市公路事业发展中心</w:t>
      </w:r>
    </w:p>
    <w:p>
      <w:pPr>
        <w:spacing w:line="360" w:lineRule="auto"/>
        <w:ind w:firstLine="480" w:firstLineChars="200"/>
        <w:rPr>
          <w:rFonts w:ascii="宋体" w:hAnsi="宋体" w:cs="宋体"/>
          <w:sz w:val="24"/>
        </w:rPr>
      </w:pPr>
      <w:r>
        <w:rPr>
          <w:rFonts w:hint="eastAsia" w:ascii="宋体" w:hAnsi="宋体" w:cs="宋体"/>
          <w:sz w:val="24"/>
        </w:rPr>
        <w:t>开户银行：交通银行南通城西支行</w:t>
      </w:r>
    </w:p>
    <w:p>
      <w:pPr>
        <w:spacing w:line="360" w:lineRule="auto"/>
        <w:ind w:firstLine="480" w:firstLineChars="200"/>
        <w:rPr>
          <w:rFonts w:ascii="宋体" w:hAnsi="宋体" w:cs="宋体"/>
          <w:sz w:val="24"/>
        </w:rPr>
      </w:pPr>
      <w:r>
        <w:rPr>
          <w:rFonts w:hint="eastAsia" w:ascii="宋体" w:hAnsi="宋体" w:cs="宋体"/>
          <w:sz w:val="24"/>
        </w:rPr>
        <w:t>开户账号：</w:t>
      </w:r>
      <w:r>
        <w:rPr>
          <w:rFonts w:ascii="宋体" w:hAnsi="宋体" w:cs="宋体"/>
          <w:sz w:val="24"/>
        </w:rPr>
        <w:t xml:space="preserve">326008601010149036016 </w:t>
      </w:r>
    </w:p>
    <w:p>
      <w:pPr>
        <w:tabs>
          <w:tab w:val="left" w:pos="260"/>
        </w:tabs>
        <w:spacing w:line="360" w:lineRule="auto"/>
        <w:ind w:firstLine="480" w:firstLineChars="200"/>
        <w:rPr>
          <w:rFonts w:ascii="宋体" w:hAnsi="宋体" w:cs="宋体"/>
          <w:kern w:val="0"/>
          <w:sz w:val="24"/>
        </w:rPr>
      </w:pPr>
      <w:r>
        <w:rPr>
          <w:rFonts w:hint="eastAsia" w:ascii="宋体" w:hAnsi="宋体" w:cs="宋体"/>
          <w:sz w:val="24"/>
        </w:rPr>
        <w:t>采用银行保函时，出具保函的银行级别：成交</w:t>
      </w:r>
      <w:r>
        <w:rPr>
          <w:rFonts w:hint="eastAsia" w:ascii="宋体" w:hAnsi="宋体" w:cs="宋体"/>
          <w:b/>
          <w:sz w:val="24"/>
        </w:rPr>
        <w:t>供应商基本账户所在国有或股份制商业银行的分行及以上级别</w:t>
      </w:r>
      <w:r>
        <w:rPr>
          <w:rFonts w:hint="eastAsia" w:ascii="宋体" w:hAnsi="宋体" w:cs="宋体"/>
          <w:sz w:val="24"/>
        </w:rPr>
        <w:t>（不限于基本账户所在银行具体分支机构）。</w:t>
      </w:r>
    </w:p>
    <w:p>
      <w:pPr>
        <w:snapToGrid w:val="0"/>
        <w:spacing w:line="480" w:lineRule="exact"/>
        <w:ind w:firstLine="460" w:firstLineChars="192"/>
        <w:rPr>
          <w:rFonts w:ascii="宋体" w:hAnsi="宋体" w:cs="宋体"/>
          <w:sz w:val="24"/>
        </w:rPr>
      </w:pPr>
      <w:r>
        <w:rPr>
          <w:rFonts w:hint="eastAsia" w:ascii="宋体" w:hAnsi="宋体" w:cs="宋体"/>
          <w:sz w:val="24"/>
        </w:rPr>
        <w:t>3、成交供应商在按要求保质保量的完成该项目合同并通过验收后，采购人凭成交供应商提交的申请，一次性无息退还该合同项目的履约保证金。</w:t>
      </w:r>
    </w:p>
    <w:p>
      <w:pPr>
        <w:snapToGrid w:val="0"/>
        <w:spacing w:line="480" w:lineRule="exact"/>
        <w:ind w:firstLine="460" w:firstLineChars="192"/>
        <w:rPr>
          <w:rFonts w:ascii="宋体" w:hAnsi="宋体" w:cs="宋体"/>
          <w:sz w:val="24"/>
        </w:rPr>
      </w:pPr>
      <w:r>
        <w:rPr>
          <w:rFonts w:hint="eastAsia" w:ascii="宋体" w:hAnsi="宋体" w:cs="宋体"/>
          <w:sz w:val="24"/>
        </w:rPr>
        <w:t>4、由于成交供应商原因，在签订合同后出现不按合同履行的情况，采购单位有权将履约保证金作为违约金，全额不予退还，同时采购单位亦有权终止合同，成交供应商还须承担相应的法律赔偿责任。</w:t>
      </w:r>
    </w:p>
    <w:p>
      <w:pPr>
        <w:snapToGrid w:val="0"/>
        <w:spacing w:line="480" w:lineRule="exact"/>
        <w:ind w:firstLine="463" w:firstLineChars="192"/>
        <w:rPr>
          <w:rFonts w:ascii="宋体" w:hAnsi="宋体" w:cs="宋体"/>
          <w:b/>
          <w:sz w:val="24"/>
        </w:rPr>
      </w:pPr>
      <w:r>
        <w:rPr>
          <w:rFonts w:hint="eastAsia" w:ascii="宋体" w:hAnsi="宋体" w:cs="宋体"/>
          <w:b/>
          <w:sz w:val="24"/>
        </w:rPr>
        <w:t>十一、未尽事宜</w:t>
      </w:r>
    </w:p>
    <w:p>
      <w:pPr>
        <w:snapToGrid w:val="0"/>
        <w:spacing w:line="480" w:lineRule="exact"/>
        <w:ind w:firstLine="460" w:firstLineChars="192"/>
        <w:rPr>
          <w:rFonts w:ascii="宋体" w:hAnsi="宋体" w:cs="宋体"/>
          <w:sz w:val="24"/>
        </w:rPr>
      </w:pPr>
      <w:r>
        <w:rPr>
          <w:rFonts w:hint="eastAsia" w:ascii="宋体" w:hAnsi="宋体" w:cs="宋体"/>
          <w:sz w:val="24"/>
        </w:rPr>
        <w:t>按《中华人民共和国政府采购法》、《政府采购竞争性磋商采购方式管理暂行办法》及其他有关法律法规的规定执行。</w:t>
      </w:r>
    </w:p>
    <w:p>
      <w:pPr>
        <w:pStyle w:val="2"/>
        <w:spacing w:before="0" w:after="0" w:line="360" w:lineRule="auto"/>
        <w:jc w:val="center"/>
        <w:rPr>
          <w:rFonts w:ascii="宋体" w:hAnsi="宋体"/>
          <w:sz w:val="36"/>
          <w:szCs w:val="36"/>
        </w:rPr>
      </w:pPr>
      <w:r>
        <w:rPr>
          <w:rFonts w:hint="eastAsia" w:ascii="宋体" w:hAnsi="宋体" w:cs="宋体"/>
          <w:sz w:val="24"/>
          <w:szCs w:val="24"/>
        </w:rPr>
        <w:br w:type="page"/>
      </w:r>
      <w:bookmarkStart w:id="3" w:name="_Toc8163749"/>
      <w:r>
        <w:rPr>
          <w:rFonts w:hint="eastAsia" w:ascii="宋体" w:hAnsi="宋体"/>
          <w:sz w:val="36"/>
          <w:szCs w:val="36"/>
        </w:rPr>
        <w:t>第三部分 项目需求说明</w:t>
      </w:r>
      <w:bookmarkEnd w:id="3"/>
    </w:p>
    <w:p>
      <w:pPr>
        <w:pStyle w:val="27"/>
        <w:spacing w:before="0" w:beforeAutospacing="0" w:after="0" w:afterAutospacing="0" w:line="360" w:lineRule="auto"/>
        <w:ind w:firstLine="472" w:firstLineChars="196"/>
        <w:jc w:val="both"/>
        <w:textAlignment w:val="baseline"/>
        <w:rPr>
          <w:rFonts w:cs="宋体"/>
          <w:color w:val="auto"/>
          <w:kern w:val="2"/>
          <w:lang w:val="zh-CN"/>
        </w:rPr>
      </w:pPr>
      <w:bookmarkStart w:id="4" w:name="OLE_LINK4"/>
      <w:bookmarkStart w:id="5" w:name="OLE_LINK3"/>
      <w:r>
        <w:rPr>
          <w:rFonts w:hint="eastAsia" w:cs="宋体"/>
          <w:b/>
          <w:color w:val="auto"/>
          <w:lang w:val="zh-CN"/>
        </w:rPr>
        <w:t>请供应商在报名前和制作响应文件时仔细研究项目需求说明。</w:t>
      </w:r>
      <w:r>
        <w:rPr>
          <w:rFonts w:hint="eastAsia" w:cs="宋体"/>
          <w:color w:val="auto"/>
          <w:lang w:val="zh-CN"/>
        </w:rPr>
        <w:t>供应商（软件单位，下同）不能简单照搬照抄采购人（业主，下同）项目需求说明中的技术、商务要求，必须作实事求是的响应。如照搬照抄项目需求说明中的技术、商务要求的，中标后供应商在同采购单位签订合同和履约环节中不得提出异议，一切后果和损失由成交供应商承担。如供应商提供的货物和服务同采</w:t>
      </w:r>
      <w:r>
        <w:rPr>
          <w:rFonts w:hint="eastAsia" w:cs="宋体"/>
          <w:color w:val="auto"/>
          <w:kern w:val="2"/>
          <w:lang w:val="zh-CN"/>
        </w:rPr>
        <w:t>购单位提出的项目需求说明中的技术、商务要求不同的，必须在《商务部分正负偏离表》和《技术部分正负偏离表》上明示，如不明示的视同完全响应。</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一、建设背景</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公路养护巡查是及时掌握公路养护质量的一项基础性工作。目前，普通公路日常养护巡查主要依靠“车载人走”的方式开展人工排查，不仅效率低，且判断路面病害受人为因素影响较大。同时巡查结果缺乏可量化、直观化的管理及呈现方式，造成路面巡查数据无法有效积累和沉淀。针对此现状，交通运输部《公路技术状况评定标准》中着重强调了需“加强公路技术状况检测工作”，同时“推进检测自动化和智能化”，鼓励在既有多功能路况检测装备的基础上，应用路面及沿线设施等公路病害智能化自动识别技术，不断提升公路技术状况检测专业化和自动化水平。</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结合日常公路养护巡查及《公路技术状况评定标准》相关工作要求，2019年，南通市公路事业发展中心组织开展了基于机器视觉的路面养护智能快检系统（以下简称“快检系统”）研发工作，利用机器视觉图像识别技术，针对普通国省干线公路沥青路面的常见病害进行自动识别，提升日常养护巡查工作的专业化和自动化水平。</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在识别病害对象方面，整体上遵循“从易到难”、“从主要到全面”、“从定性到定量”的原则，项目一期针对日常养护巡查中关注的主要病害（横向裂缝、纵向裂缝、块状裂缝、坑槽、龟裂、修补，约占所有病害中87%）予以自动定性识别，平均识别率达到80%。并计划项目进行深化改造,进一步提升识别率至90%以上，在定性识别基础上开展定量识别、业务功能拓展等相关研发工作。</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目前，系统一期功能开发及验收已完成，并在如东、通州、海门分中心开展试点应用。</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目前，系统中各业务功能运行稳定，系统功能与路面日常巡查需求契合，能够有效提升巡查效率。结合以下原因，现拟开展快检系统深化改造开发，进一步扩充系统功能，更好地服务于智能养护业务工作的开展。</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1）目前系统仅支持GPS定位，为积极响应国家北斗战略，系统需完成北斗支持深化改造；</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2）如东、通州分中心在试用过程中，提出一些很好的建议，希望在深化改造开发时进一步对系统进行完善，以更好地辅助日常养护业务的开展。</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3）根据一期规划，拟进一步提升算法模型识别率，提升识别效果。</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二、总体建设目标</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基于一期系统开发情况，结合实际试用过程中试用单位反馈意见，项目深化改造建设规划实施内容建议如下：</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（一）完成系统北斗定位支持，契合国家战略</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为落实国家创新驱动发展战略和《交通强国建设纲要》，进一步提升公路工程技术创新能力和技术水平，支撑公路行业转型升级和高质量发展，交通运输部组织起草了《关于深入推进公路工程技术创新工作的意见（征求意见稿）》（以下简称“意见”），并对外发布征求意见。明确加快推动智能感知、北斗系统、5G通信等技术在公路工程技术中的深入应用。</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快检系统作为公路基础设施的巡检系统，为契合国家北斗战略，拟在系统深化改造过程中完成从数据采集、数据分析到分析结果呈现过程中涉及GPS定位的功能改造，使得系统支持GPS/北斗双定位。</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经调研，市面上的所有运动相机均不支持北斗定位系统。北斗定位模块需单独集成研发，再将采集北斗数据结合系统后台进行算法转换。同时，双定位后，系统中相关功能也需做适应性调整。</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（二）进一步提升系统算法检测精度</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对于病害个体的识别精度，目前平均在80%，且存在不同路面识别精度时有不稳定性的情况，计划在深化改造开发中进一步提升算法稳定性和精度，使得识别率稳定保持在90%以上。</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（三）结合业务进一步扩充系统功能</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结合通州、如东分中心试点应用反馈的如下问题，在深化改造开发中对系统功能予以扩充完善。包括：</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1）整体问题识别准确度较高，但针对坑槽、龟裂问题的识别精度还有不足（如路面污染易被误识别为坑槽），需要进一步提高；</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2）对横向裂缝、纵向裂缝等问题，希望能自动计算出其影响面积，方便针对以上问题的小修工程进行成本估算；同时识别完成后，对于需及时修复的重要病害（如坑槽），通过系统及时提醒业务人员处理；</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3）对系统基础数据处理、权限定制化配置等功能进行标准化深化改造开发，将GIS底图与桩号叠加融合，强化分析结果的快速复核、分析报告自动生成、数据及分析报告导出、多期报告对比、路面病害历史变迁管理等功能开发。通过功能扩展使得基于巡查检测结果能够更好地辅助养护工程方案建议、计量统计等实施，辅助一线养护业务工作基于巡查结果开展。</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（四）完成与现有协同巡查系统的数据对接</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制定与协同巡查系统的数据对接接口标准，并实施数据对接。通过与业务系统的对接，将系统日常巡查养护数据自动推送至协同巡查系统，提升养护管理工作效率。</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（五）扩展应用范围</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购置3套采集设备，扩展应用范围至其余3个县区分中心，实现全系统应用，并做好技术支持和服务。</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（六）其他研究内容</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针对各分中心需求调研中提到的，硬件采集装置时有固定不稳，以及巡查过程中安全性需提升等问题，本项目开展过程中将对硬件采集装置的固定位置、固定方式进行进一步研究及测试，确保采集过程中硬件装置的稳定性。同时，为提升巡查作业安全性，拟研究调查经济便捷实用、可加装在巡查车辆上的安全警示标志，以提升外业巡查作业的安全性。</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三、需求方案</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（一）具体需求</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1．检测结果一张图</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（1）业务描述</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用户登录系统后，在地图上显示最近一次快检分析结果，可通过日期和病害类型对问题进行筛选，地图上根据筛选条件，显示对应的筛选结果。</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（2）功能点</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在一期系统的基础上，增加以下内容：</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①　在GIS底图上叠加桩号信息</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②　点击识别结果的道路轨迹时，可以查看本次识别的基本信息</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③　在地图上，通过鼠标选择，可以显示当前选择路段的得分情况及路段评价等级</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④　路面病害历史变迁展示，通过时间漫游方式，对同一路段的历史检测数据进行展示分析，直观掌握路面病害状况的历史变迁情况及发展趋势。</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⑤　识别结束后，可快速抓取识别结果中重要度紧急度高的病害，提醒业务人员尽快处置。</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2．识别列表</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（1）业务描述</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对全部识别任务进行管理，可新增、查询、编辑、查看、删除、重新分析识别任务。</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通过智能分析，得出问题图片并按病害类型进行分类，每张病害图片可自动获得其对应桩号位置信息。</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（2）功能点</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①　列表分布显示全部识别任务</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②　可按病害类型、道路名称、桩号对任务进行筛选</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③　可对识别任务进行清理，然后重新识别本次任务</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④　通过FTP工具，可以将图片等信息上传至服务器，上传文件支持单点续传</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⑤　可查看任务对应的全部道路图片</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⑥　现有算法精度约80%，仍存在部分误识别和漏识别的病害。为提升识别结果的准确性，使得业务人员可以更方便快速的完成数据复核可对识别结果图片进行复核操作，可按识别任务批次，对同一任务中的全部图片进行复核操作，即对图片中的识别结果进行人工确认，问题标识范围不正确的，可进行标识范围修改；对标识错误及误识别的问题，可进行删除操作；对漏识别问题，可重新进行标注。</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3．PCI统计分析</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（1）业务描述</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基于智能分析出的病害数据，通过长期、大量的数据积累，对病害从各维度进行分析。</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同时，可以根据检测结果，对各横向裂缝、纵向裂缝等病害问题影响面积进行测算，得出每公里乃至单次检测数据中，各病害类型的长度、面积等，并基于小修工程相关规范，换算为实际要处理的工程量，辅助养护部门进行小修工程工作量的估算。</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（2）功能点</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在一期系统的基础上，增加以下内容：</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①　基于单次检测，测算对应道路小修工程工作量估算。</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②　可以导出选中识别任务检测报告，设计标准化路面病害分析报告模板，针对每批次路面的分析结果数据，按模板自动生成病害分析报告。养护管理人员可通过分析报告，快速掌握检测目标路段的整体情况、病害分布、相关量化指标。对报告可快速导出成word、pdf格式文件。</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③　多期报告分析对比，针对同一路段的多个批次分析结果，可任选2批次结果，对两个批次结果进行分析对比，快速找出差异部分，从而直观快速地把握病害问题的发展情况。</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4．基础数据管理</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（1）业务描述</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基础数据主要是指道路轨迹和道路桩号。</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在一期系统中，道路轨迹及道路桩号是由人工采集、处理、导入系统数据库中，存在着效率低、处理复杂度高、处理时间长等问题。</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在本期项目，将针对这一问题进行优化调整。</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（2）功能点</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①　针对道路轨迹，将采用利用路面病害识别时的道路路面照片信息，通过系统进行统一处理，生成道路轨迹。同时，还将考虑，与其它业务系统中将道路轨迹数据进行对接，通过坐标系统转换、数据处理等方法，生成轨迹数据，供系统使用，同时也可通过对接数据，明确各分中心道路管辖范围，更好的服务于业务功能。</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②　针对道路桩号，将采用实地拍摄桩号所在位置照片，将采集来的桩号照片导入系统，生成桩号数据。同时，也会与其它业务系统进行数据对接，将道路桩号数据导入到系统中，供系统使用。</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5．系统管理</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（1）业务描述</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对系统中各级组织机构、人员、角色等进行管理，以便更好的适应南通市公路事业发展中心及各分中心业务及数据权限。</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（2）功能点</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组织机构可实现多级管理，每个分中心用户只能查看本分中心下辖道路识别结果，市中心可查看全部数据。</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6．其它功能</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（1）支持GPS/北斗双定位</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完成从数据采集、数据分析到分析结果呈现过程中涉及GPS定位的功能改造，使得系统支持GPS/北斗双定位，契合国家战略。</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经调研，市面上的所有运动相机均不支持北斗定位系统。北斗定位模块需单独集成研发，再将采集北斗数据结合系统后台进行算法转换。同时，双定位后，系统中相关功能也需做适应性调整。</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（2）提升算法检测精度</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对于病害个体的识别精度，目前平均在80%范围，且存在不同路面识别精度时有不稳定性的情况，计划在深化改造开发中进一步提升算法稳定性和精度，使得识别率稳定保持在90%以上。</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目前识别检测精度不稳定性的情况，经过研究，主要原因在于样本和算法两个方面：</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样本：部分病害问题如坑槽、龟裂，样本数据较少，需要增加样本数量；</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算法：将优化算法模型，提升识别分析的能力，以达到更好的识别精度。</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（3）支持与其它业务系统数据对接</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制定与协同巡查系统的数据对接接口标准，并实施数据对接。通过与业务系统的对接，将系统日常巡查养护数据自动推送至协同巡查系统，提高养护管理工作效率。</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四、维护服务</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提供完善的维护服务，保障南通市公路事业发展中心基于机器视觉的路面养护智能快检系统安全稳定的运行。维护服务应包括对软件系统维护、服务器硬件维护、服务器操作系统维护和数据库系统维护。</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1.自验收合格之日起一年以内，提供软件免费升级、维护等技术支持服务；</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2.自验收合格之日起一年后，提供系统维护、扩充、升级等方面的有偿技术服务。</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3.系统故障报修的响应，提供全天候无间断的远程技术服务，4小时内对问题做出响应。若远程无法解决，在3个工作日内到达现场进行解决。</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4.派专人对使用人员进行软件安装、功能使用的业务培训，并提供软件的操作手册。</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五、开发计划</w:t>
      </w:r>
    </w:p>
    <w:p>
      <w:pPr>
        <w:pStyle w:val="27"/>
        <w:spacing w:before="0" w:beforeAutospacing="0" w:after="0" w:afterAutospacing="0" w:line="360" w:lineRule="auto"/>
        <w:ind w:firstLine="480" w:firstLineChars="200"/>
        <w:jc w:val="both"/>
        <w:textAlignment w:val="baseline"/>
        <w:rPr>
          <w:rFonts w:cs="宋体"/>
          <w:bCs/>
          <w:color w:val="auto"/>
          <w:kern w:val="2"/>
          <w:lang w:val="zh-CN"/>
        </w:rPr>
      </w:pPr>
      <w:r>
        <w:rPr>
          <w:rFonts w:hint="eastAsia" w:cs="宋体"/>
          <w:bCs/>
          <w:color w:val="auto"/>
          <w:kern w:val="2"/>
          <w:lang w:val="zh-CN"/>
        </w:rPr>
        <w:t>1、建设期：2020年12月15日前完成系统开发、安装调试，开展系统试运行。2021年4月前通过验收。</w:t>
      </w:r>
    </w:p>
    <w:p>
      <w:pPr>
        <w:pStyle w:val="27"/>
        <w:spacing w:before="0" w:beforeAutospacing="0" w:after="0" w:afterAutospacing="0" w:line="360" w:lineRule="auto"/>
        <w:ind w:firstLine="480" w:firstLineChars="200"/>
        <w:jc w:val="both"/>
        <w:textAlignment w:val="baseline"/>
        <w:rPr>
          <w:rFonts w:cs="宋体"/>
          <w:b/>
          <w:color w:val="auto"/>
          <w:kern w:val="2"/>
          <w:lang w:val="zh-CN"/>
        </w:rPr>
      </w:pPr>
      <w:r>
        <w:rPr>
          <w:rFonts w:hint="eastAsia" w:cs="宋体"/>
          <w:bCs/>
          <w:color w:val="auto"/>
          <w:kern w:val="2"/>
          <w:lang w:val="zh-CN"/>
        </w:rPr>
        <w:t>2、售后服务期：系统通过验收后1年免费维护。</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六、费用的支付</w:t>
      </w:r>
    </w:p>
    <w:p>
      <w:pPr>
        <w:autoSpaceDE w:val="0"/>
        <w:autoSpaceDN w:val="0"/>
        <w:adjustRightInd w:val="0"/>
        <w:spacing w:line="360" w:lineRule="auto"/>
        <w:ind w:firstLine="480" w:firstLineChars="200"/>
        <w:outlineLvl w:val="1"/>
        <w:rPr>
          <w:rFonts w:ascii="宋体" w:hAnsi="宋体" w:cs="宋体"/>
          <w:sz w:val="24"/>
          <w:lang w:val="zh-CN"/>
        </w:rPr>
      </w:pPr>
      <w:r>
        <w:rPr>
          <w:rFonts w:hint="eastAsia" w:ascii="宋体" w:hAnsi="宋体" w:cs="宋体"/>
          <w:sz w:val="24"/>
          <w:lang w:val="zh-CN"/>
        </w:rPr>
        <w:t>合同签订后支付合同总价的20%，完成系统开发、安装调试后支付至合同总价的80%,通过系统试运行审查后支付至合同总价的90%，系统验收合格后支付合同总价的95%，维护期满一年后付清余款（以上付款均不计利息）。</w:t>
      </w:r>
    </w:p>
    <w:bookmarkEnd w:id="4"/>
    <w:bookmarkEnd w:id="5"/>
    <w:p>
      <w:pPr>
        <w:pStyle w:val="2"/>
        <w:spacing w:before="0" w:after="0" w:line="360" w:lineRule="auto"/>
        <w:jc w:val="center"/>
        <w:rPr>
          <w:rFonts w:ascii="宋体" w:hAnsi="宋体"/>
        </w:rPr>
      </w:pPr>
      <w:r>
        <w:rPr>
          <w:rFonts w:ascii="宋体" w:hAnsi="宋体" w:cs="宋体"/>
          <w:b w:val="0"/>
          <w:bCs w:val="0"/>
          <w:kern w:val="2"/>
          <w:sz w:val="24"/>
          <w:szCs w:val="24"/>
          <w:lang w:val="zh-CN"/>
        </w:rPr>
        <w:br w:type="page"/>
      </w:r>
      <w:bookmarkStart w:id="6" w:name="_Toc8163750"/>
      <w:r>
        <w:rPr>
          <w:rFonts w:hint="eastAsia" w:ascii="宋体" w:hAnsi="宋体"/>
          <w:sz w:val="36"/>
          <w:szCs w:val="36"/>
        </w:rPr>
        <w:t>第四部分 磋商程序和内容</w:t>
      </w:r>
      <w:bookmarkEnd w:id="6"/>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一、代理机构组织磋商活动</w:t>
      </w:r>
    </w:p>
    <w:p>
      <w:pPr>
        <w:autoSpaceDE w:val="0"/>
        <w:autoSpaceDN w:val="0"/>
        <w:adjustRightInd w:val="0"/>
        <w:spacing w:line="360" w:lineRule="auto"/>
        <w:ind w:firstLine="482" w:firstLineChars="200"/>
        <w:rPr>
          <w:rFonts w:ascii="宋体" w:hAnsi="宋体" w:cs="宋体"/>
          <w:sz w:val="24"/>
          <w:lang w:val="zh-CN"/>
        </w:rPr>
      </w:pPr>
      <w:r>
        <w:rPr>
          <w:rFonts w:hint="eastAsia" w:ascii="宋体" w:hAnsi="宋体" w:cs="宋体"/>
          <w:b/>
          <w:sz w:val="24"/>
          <w:lang w:val="zh-CN"/>
        </w:rPr>
        <w:t>1</w:t>
      </w:r>
      <w:r>
        <w:rPr>
          <w:rFonts w:hint="eastAsia" w:ascii="宋体" w:hAnsi="宋体" w:cs="宋体"/>
          <w:sz w:val="24"/>
          <w:lang w:val="zh-CN"/>
        </w:rPr>
        <w:t>.</w:t>
      </w:r>
      <w:r>
        <w:rPr>
          <w:rFonts w:hint="eastAsia" w:ascii="宋体" w:hAnsi="宋体" w:cs="宋体"/>
          <w:b/>
          <w:sz w:val="24"/>
          <w:lang w:val="zh-CN"/>
        </w:rPr>
        <w:t>成立竞争性磋商小组。</w:t>
      </w:r>
      <w:r>
        <w:rPr>
          <w:rFonts w:hint="eastAsia" w:ascii="宋体" w:hAnsi="宋体" w:cs="宋体"/>
          <w:sz w:val="24"/>
          <w:lang w:val="zh-CN"/>
        </w:rPr>
        <w:t>竞争性磋商小组由3人</w:t>
      </w:r>
      <w:r>
        <w:rPr>
          <w:rFonts w:hint="eastAsia" w:ascii="宋体" w:hAnsi="宋体" w:cs="宋体"/>
          <w:sz w:val="24"/>
        </w:rPr>
        <w:t>或以上</w:t>
      </w:r>
      <w:r>
        <w:rPr>
          <w:rFonts w:hint="eastAsia" w:ascii="宋体" w:hAnsi="宋体" w:cs="宋体"/>
          <w:sz w:val="24"/>
          <w:lang w:val="zh-CN"/>
        </w:rPr>
        <w:t>单数的评审专家共组成。</w:t>
      </w:r>
    </w:p>
    <w:p>
      <w:pPr>
        <w:autoSpaceDE w:val="0"/>
        <w:autoSpaceDN w:val="0"/>
        <w:adjustRightInd w:val="0"/>
        <w:spacing w:line="360" w:lineRule="auto"/>
        <w:ind w:firstLine="482" w:firstLineChars="200"/>
        <w:rPr>
          <w:rFonts w:ascii="宋体" w:hAnsi="宋体" w:cs="宋体"/>
          <w:b/>
          <w:sz w:val="24"/>
          <w:lang w:val="zh-CN"/>
        </w:rPr>
      </w:pPr>
      <w:r>
        <w:rPr>
          <w:rFonts w:hint="eastAsia" w:ascii="宋体" w:hAnsi="宋体" w:cs="宋体"/>
          <w:b/>
          <w:sz w:val="24"/>
          <w:lang w:val="zh-CN"/>
        </w:rPr>
        <w:t>2</w:t>
      </w:r>
      <w:r>
        <w:rPr>
          <w:rFonts w:hint="eastAsia" w:ascii="宋体" w:hAnsi="宋体" w:cs="宋体"/>
          <w:sz w:val="24"/>
          <w:lang w:val="zh-CN"/>
        </w:rPr>
        <w:t>.</w:t>
      </w:r>
      <w:r>
        <w:rPr>
          <w:rFonts w:hint="eastAsia" w:ascii="宋体" w:hAnsi="宋体" w:cs="宋体"/>
          <w:b/>
          <w:sz w:val="24"/>
          <w:lang w:val="zh-CN"/>
        </w:rPr>
        <w:t>竞争性磋商小组的职责：</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评审专家应当遵守评审工作纪律，不得泄露评审情况和评审中获悉的商业秘密。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磋商小组在评审过程中发现供应商有行贿、提供虚假材料或者串通等违法行为的，应当及时向财政部门报告。</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评审专家在评审过程中受到非法干涉的，应当及时向财政、监察等部门举报。</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磋商文件内容违反国家有关强制性规定的，磋商小组应当停止评审并向采购人或者采购代理机构说明情况。</w:t>
      </w:r>
    </w:p>
    <w:p>
      <w:pPr>
        <w:autoSpaceDE w:val="0"/>
        <w:autoSpaceDN w:val="0"/>
        <w:adjustRightInd w:val="0"/>
        <w:spacing w:line="360" w:lineRule="auto"/>
        <w:ind w:firstLine="482" w:firstLineChars="200"/>
        <w:rPr>
          <w:rFonts w:ascii="宋体" w:hAnsi="宋体" w:cs="宋体"/>
          <w:b/>
          <w:sz w:val="24"/>
          <w:lang w:val="zh-CN"/>
        </w:rPr>
      </w:pPr>
      <w:r>
        <w:rPr>
          <w:rFonts w:hint="eastAsia" w:ascii="宋体" w:hAnsi="宋体" w:cs="宋体"/>
          <w:b/>
          <w:sz w:val="24"/>
          <w:lang w:val="zh-CN"/>
        </w:rPr>
        <w:t>3</w:t>
      </w:r>
      <w:r>
        <w:rPr>
          <w:rFonts w:hint="eastAsia" w:ascii="宋体" w:hAnsi="宋体" w:cs="宋体"/>
          <w:sz w:val="24"/>
          <w:lang w:val="zh-CN"/>
        </w:rPr>
        <w:t>.</w:t>
      </w:r>
      <w:r>
        <w:rPr>
          <w:rFonts w:hint="eastAsia" w:ascii="宋体" w:hAnsi="宋体" w:cs="宋体"/>
          <w:b/>
          <w:sz w:val="24"/>
          <w:lang w:val="zh-CN"/>
        </w:rPr>
        <w:t>竞争性磋商小组成员的义务：</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遵纪守法，客观、公正、廉洁地履行职责；根据采购文件的规定独立进行评审，对个人的评审意见承担法律责任；参与评审报告的起草；配合采购人、采购人答复供应商提出的质疑；配合财政部门的投诉处理和监督检查工作。</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二、供应商的法定代表人或授权人须持身份证准时参加磋商。</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三、评审程序、内容</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2.磋商小组所有成员应当集中与单一供应商分别进行磋商，并给予所有参加磋商的供应商平等的磋商机会。</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对磋商文件作出的实质性变动是磋商文件的有效组成部分，磋商小组应当及时以书面形式同时通知所有参加磋商的供应商。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autoSpaceDE w:val="0"/>
        <w:autoSpaceDN w:val="0"/>
        <w:adjustRightInd w:val="0"/>
        <w:spacing w:line="360" w:lineRule="auto"/>
        <w:ind w:firstLine="480" w:firstLineChars="200"/>
        <w:rPr>
          <w:rFonts w:ascii="宋体" w:hAnsi="宋体" w:cs="宋体"/>
          <w:color w:val="FF0000"/>
          <w:sz w:val="24"/>
          <w:lang w:val="zh-CN"/>
        </w:rPr>
      </w:pPr>
      <w:r>
        <w:rPr>
          <w:rFonts w:hint="eastAsia" w:ascii="宋体" w:hAnsi="宋体" w:cs="宋体"/>
          <w:sz w:val="24"/>
          <w:lang w:val="zh-CN"/>
        </w:rPr>
        <w:t>4.磋商文件能够详细列明采购标的技术、服务要求的，磋商结束后，磋商小组应当要求所有实质性响应的供应商在规定时间内提交最后报价</w:t>
      </w:r>
      <w:r>
        <w:rPr>
          <w:rFonts w:hint="eastAsia" w:ascii="宋体" w:hAnsi="宋体" w:cs="宋体"/>
          <w:color w:val="FF0000"/>
          <w:sz w:val="24"/>
          <w:lang w:val="zh-CN"/>
        </w:rPr>
        <w:t>。</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lang w:val="zh-CN"/>
        </w:rPr>
        <w:t>磋商文件不能详细列明采购标的技术、服务要求，需经磋商由供应商提供最终设计方案或解决方案的，磋商结束后，磋商小组应当按照少数服从多数的原则投票推荐供应商的设计方案或者解决方案，并要求其在规定时间内提交最后报价。</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5.最后报价是供应商响应文件的有效组成部分。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磋商时间由磋商小组掌握。</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四、评审方法-综合评分法</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经磋商确定最终采购需求和提交最后报价的供应商后，由磋商小组采用综合评分法对提交最后报价的供应商的响应文件和最后报价进行综合评分。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综合评分法，是指响应文件满足磋商文件全部实质性要求且按评审因素的量化指标评审得分最高的供应商为成交候选供应商的评审方法。</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评审时，磋商小组各成员应当独立对每个有效响应的文件进行评价、打分，然后汇总每个供应商每项评分因素的得分</w:t>
      </w:r>
      <w:r>
        <w:rPr>
          <w:rFonts w:hint="eastAsia" w:ascii="宋体" w:hAnsi="宋体" w:cs="宋体"/>
          <w:sz w:val="24"/>
        </w:rPr>
        <w:t>（计算结果均四舍五入保留两位小数，下同）</w:t>
      </w:r>
      <w:r>
        <w:rPr>
          <w:rFonts w:hint="eastAsia" w:ascii="宋体" w:hAnsi="宋体" w:cs="宋体"/>
          <w:sz w:val="24"/>
          <w:lang w:val="zh-CN"/>
        </w:rPr>
        <w:t>。</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（一）审查响应文件的有效性、完整性、响应程度</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1.供应商资格是否符合;</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2.响应文件是否完整；</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3.响应文件是否恰当地签署；</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4.是否作出实质性响应（是否有实质性响应，只根据响应文件本身，而不寻求外部证据）；</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5.是否有计算错误。</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（二）误差纠正</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1.如果单价汇总金额与总价金额有出入，以单价金额计算结果为准；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2.单价金额小数点有明显错位的，应以总价为准；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3.正本与副本有矛盾的，以正本为准；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4.若文件大写表示的数据与数字表示的有差别，以大写表示的数据为准。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（三）出现下列情形之一的，作无效响应处理：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1.未按照磋商文件规定要求装订、密封、签署、盖章的；</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2.不具备磋商文件中规定的资格要求的；</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3.响应报价超出预算的；</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4.不符合法律、法规和磋商文件中规定的其他实质性要求的。</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（四）出现下列情形之一的，磋商失败</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1.符合条件的供应商或者对磋商文件作实质响应的供应商不足3家的；</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2.出现影响采购公正的违法违规行为的；</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3.供应商的最后报价均超过了采购预算，采购人不能支付的；</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4.因重大变故，采购任务取消的。</w:t>
      </w:r>
    </w:p>
    <w:p>
      <w:pPr>
        <w:autoSpaceDE w:val="0"/>
        <w:autoSpaceDN w:val="0"/>
        <w:adjustRightInd w:val="0"/>
        <w:spacing w:line="360" w:lineRule="auto"/>
        <w:ind w:firstLine="480" w:firstLineChars="200"/>
        <w:rPr>
          <w:rFonts w:ascii="宋体" w:hAnsi="宋体" w:cs="宋体"/>
          <w:sz w:val="28"/>
          <w:szCs w:val="28"/>
          <w:lang w:val="zh-CN"/>
        </w:rPr>
      </w:pPr>
      <w:r>
        <w:rPr>
          <w:rFonts w:hint="eastAsia" w:ascii="宋体" w:hAnsi="宋体" w:cs="宋体"/>
          <w:sz w:val="24"/>
          <w:lang w:val="zh-CN"/>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五、评审标准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商务技术部分评审结束后，再开启最后报价计算分值。总分值为100分，加分和减分因素除外。</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如果磋商小组由3人或5人组成，供应商得分为磋商小组3个或5个成员的平均分；如果磋商小组由5人以上组成，供应商得分为磋商小组成员评分中去除一个最高分和一个最低分后的平均分。</w:t>
      </w:r>
    </w:p>
    <w:p>
      <w:pPr>
        <w:autoSpaceDE w:val="0"/>
        <w:autoSpaceDN w:val="0"/>
        <w:adjustRightInd w:val="0"/>
        <w:spacing w:line="360" w:lineRule="auto"/>
        <w:ind w:firstLine="480" w:firstLineChars="200"/>
        <w:rPr>
          <w:rFonts w:ascii="宋体" w:hAnsi="宋体" w:cs="宋体"/>
          <w:sz w:val="24"/>
          <w:lang w:val="zh-CN"/>
        </w:rPr>
      </w:pPr>
    </w:p>
    <w:p>
      <w:pPr>
        <w:autoSpaceDE w:val="0"/>
        <w:autoSpaceDN w:val="0"/>
        <w:adjustRightInd w:val="0"/>
        <w:spacing w:line="360" w:lineRule="auto"/>
        <w:ind w:firstLine="480" w:firstLineChars="200"/>
        <w:rPr>
          <w:rFonts w:ascii="宋体" w:hAnsi="宋体" w:cs="宋体"/>
          <w:sz w:val="24"/>
          <w:lang w:val="zh-CN"/>
        </w:rPr>
      </w:pPr>
    </w:p>
    <w:p>
      <w:pPr>
        <w:autoSpaceDE w:val="0"/>
        <w:autoSpaceDN w:val="0"/>
        <w:adjustRightInd w:val="0"/>
        <w:spacing w:line="360" w:lineRule="auto"/>
        <w:ind w:firstLine="480" w:firstLineChars="200"/>
        <w:rPr>
          <w:rFonts w:ascii="宋体" w:hAnsi="宋体" w:cs="宋体"/>
          <w:sz w:val="24"/>
          <w:lang w:val="zh-CN"/>
        </w:rPr>
      </w:pPr>
    </w:p>
    <w:p>
      <w:pPr>
        <w:autoSpaceDE w:val="0"/>
        <w:autoSpaceDN w:val="0"/>
        <w:adjustRightInd w:val="0"/>
        <w:spacing w:line="360" w:lineRule="auto"/>
        <w:ind w:firstLine="482" w:firstLineChars="200"/>
        <w:rPr>
          <w:rFonts w:ascii="宋体" w:hAnsi="宋体" w:cs="宋体"/>
          <w:b/>
          <w:sz w:val="24"/>
          <w:lang w:val="zh-CN"/>
        </w:rPr>
      </w:pPr>
      <w:r>
        <w:rPr>
          <w:rFonts w:hint="eastAsia" w:ascii="宋体" w:hAnsi="宋体" w:cs="宋体"/>
          <w:b/>
          <w:sz w:val="24"/>
          <w:lang w:val="zh-CN"/>
        </w:rPr>
        <w:t>（一）商务技术</w:t>
      </w:r>
      <w:r>
        <w:rPr>
          <w:rFonts w:hint="eastAsia" w:ascii="宋体" w:hAnsi="宋体" w:cs="宋体"/>
          <w:b/>
          <w:sz w:val="24"/>
        </w:rPr>
        <w:t>部</w:t>
      </w:r>
      <w:r>
        <w:rPr>
          <w:rFonts w:hint="eastAsia" w:ascii="宋体" w:hAnsi="宋体" w:cs="宋体"/>
          <w:b/>
          <w:sz w:val="24"/>
          <w:lang w:val="zh-CN"/>
        </w:rPr>
        <w:t>分：</w:t>
      </w:r>
      <w:r>
        <w:rPr>
          <w:rFonts w:hint="eastAsia" w:ascii="宋体" w:hAnsi="宋体" w:cs="宋体"/>
          <w:b/>
          <w:sz w:val="24"/>
        </w:rPr>
        <w:t>7</w:t>
      </w:r>
      <w:r>
        <w:rPr>
          <w:rFonts w:ascii="宋体" w:hAnsi="宋体" w:cs="宋体"/>
          <w:b/>
          <w:sz w:val="24"/>
          <w:lang w:val="zh-CN"/>
        </w:rPr>
        <w:t>0</w:t>
      </w:r>
      <w:r>
        <w:rPr>
          <w:rFonts w:hint="eastAsia" w:ascii="宋体" w:hAnsi="宋体" w:cs="宋体"/>
          <w:b/>
          <w:sz w:val="24"/>
          <w:lang w:val="zh-CN"/>
        </w:rPr>
        <w:t>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89"/>
        <w:gridCol w:w="1278"/>
        <w:gridCol w:w="659"/>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atLeast"/>
          <w:jc w:val="center"/>
        </w:trPr>
        <w:tc>
          <w:tcPr>
            <w:tcW w:w="1089"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类别</w:t>
            </w:r>
          </w:p>
        </w:tc>
        <w:tc>
          <w:tcPr>
            <w:tcW w:w="1278"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评审项目</w:t>
            </w:r>
          </w:p>
        </w:tc>
        <w:tc>
          <w:tcPr>
            <w:tcW w:w="659"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分值</w:t>
            </w:r>
          </w:p>
        </w:tc>
        <w:tc>
          <w:tcPr>
            <w:tcW w:w="5207"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9" w:type="dxa"/>
            <w:vMerge w:val="restart"/>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商务技术部分（70分）</w:t>
            </w:r>
          </w:p>
        </w:tc>
        <w:tc>
          <w:tcPr>
            <w:tcW w:w="1278"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供应商资质及实力</w:t>
            </w:r>
          </w:p>
        </w:tc>
        <w:tc>
          <w:tcPr>
            <w:tcW w:w="659"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20</w:t>
            </w:r>
          </w:p>
        </w:tc>
        <w:tc>
          <w:tcPr>
            <w:tcW w:w="5207"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供应商获得“软件企业证书”得6分，没有不得分，</w:t>
            </w: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供应商获得软件或算法相关的发明专利证书每项得3分，最高得6分，没有不得分；</w:t>
            </w: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供应商研发交通行业相关软件获得“软件著作权”证书每项1分，最高得8分，没有不得分；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9" w:type="dxa"/>
            <w:vMerge w:val="continue"/>
            <w:noWrap/>
            <w:vAlign w:val="center"/>
          </w:tcPr>
          <w:p>
            <w:pPr>
              <w:autoSpaceDE w:val="0"/>
              <w:autoSpaceDN w:val="0"/>
              <w:adjustRightInd w:val="0"/>
              <w:spacing w:line="360" w:lineRule="auto"/>
              <w:rPr>
                <w:rFonts w:ascii="宋体" w:hAnsi="宋体" w:cs="宋体"/>
                <w:sz w:val="24"/>
                <w:lang w:val="zh-CN"/>
              </w:rPr>
            </w:pPr>
          </w:p>
        </w:tc>
        <w:tc>
          <w:tcPr>
            <w:tcW w:w="1278"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人员资质</w:t>
            </w:r>
          </w:p>
        </w:tc>
        <w:tc>
          <w:tcPr>
            <w:tcW w:w="659"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12</w:t>
            </w:r>
          </w:p>
        </w:tc>
        <w:tc>
          <w:tcPr>
            <w:tcW w:w="5207"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项目负责人及项目组成员具有高级工程师职称的每名得3分；具有中级工程师职称的每名得2分。最高12分。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9" w:type="dxa"/>
            <w:vMerge w:val="continue"/>
            <w:noWrap/>
            <w:vAlign w:val="center"/>
          </w:tcPr>
          <w:p>
            <w:pPr>
              <w:autoSpaceDE w:val="0"/>
              <w:autoSpaceDN w:val="0"/>
              <w:adjustRightInd w:val="0"/>
              <w:spacing w:line="360" w:lineRule="auto"/>
              <w:rPr>
                <w:rFonts w:ascii="宋体" w:hAnsi="宋体" w:cs="宋体"/>
                <w:sz w:val="24"/>
                <w:lang w:val="zh-CN"/>
              </w:rPr>
            </w:pPr>
          </w:p>
        </w:tc>
        <w:tc>
          <w:tcPr>
            <w:tcW w:w="1278"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业绩</w:t>
            </w:r>
          </w:p>
        </w:tc>
        <w:tc>
          <w:tcPr>
            <w:tcW w:w="659"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10</w:t>
            </w:r>
          </w:p>
        </w:tc>
        <w:tc>
          <w:tcPr>
            <w:tcW w:w="5207"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投标人提供交通行业信息化研究或软件开发项目案例，每一个得2分，最高得10分；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9" w:type="dxa"/>
            <w:vMerge w:val="continue"/>
            <w:noWrap/>
            <w:vAlign w:val="center"/>
          </w:tcPr>
          <w:p>
            <w:pPr>
              <w:autoSpaceDE w:val="0"/>
              <w:autoSpaceDN w:val="0"/>
              <w:adjustRightInd w:val="0"/>
              <w:spacing w:line="360" w:lineRule="auto"/>
              <w:rPr>
                <w:rFonts w:ascii="宋体" w:hAnsi="宋体" w:cs="宋体"/>
                <w:sz w:val="24"/>
                <w:lang w:val="zh-CN"/>
              </w:rPr>
            </w:pPr>
          </w:p>
        </w:tc>
        <w:tc>
          <w:tcPr>
            <w:tcW w:w="1278"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方案及服务</w:t>
            </w:r>
          </w:p>
        </w:tc>
        <w:tc>
          <w:tcPr>
            <w:tcW w:w="659"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28</w:t>
            </w:r>
          </w:p>
        </w:tc>
        <w:tc>
          <w:tcPr>
            <w:tcW w:w="5207" w:type="dxa"/>
            <w:noWrap/>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1.项目理解：对用户项目建设要求的理解，对项目现状分析、需求分析是否合理，理解是否透彻。根据方案优劣，酌情打分,最高得5分；</w:t>
            </w: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2.技术方案：针对投标人就本次项目的要求所提供技术方案贴合用户需求程度及方案的完整性、可靠性、可行性综合评价，酌情打分,最高得15分；</w:t>
            </w:r>
          </w:p>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3.售后响应服务方案，投标企业需配备不低于3人的运维支持团队（团队人员的从业经验、履历情况），对方案的可行性、合理性进行横向比较，综合打分，酌情打分,最高得8分。</w:t>
            </w:r>
          </w:p>
        </w:tc>
      </w:tr>
    </w:tbl>
    <w:p>
      <w:pPr>
        <w:autoSpaceDE w:val="0"/>
        <w:autoSpaceDN w:val="0"/>
        <w:adjustRightInd w:val="0"/>
        <w:spacing w:line="360" w:lineRule="auto"/>
        <w:rPr>
          <w:rFonts w:ascii="宋体" w:hAnsi="宋体" w:cs="宋体"/>
          <w:b/>
          <w:szCs w:val="21"/>
          <w:lang w:val="zh-CN"/>
        </w:rPr>
      </w:pPr>
      <w:r>
        <w:rPr>
          <w:rFonts w:hint="eastAsia" w:ascii="宋体" w:hAnsi="宋体" w:cs="宋体"/>
          <w:b/>
          <w:szCs w:val="21"/>
          <w:lang w:val="zh-CN"/>
        </w:rPr>
        <w:t>备注：上述涉及人员证书、业绩等证明材料，须提供原件的扫描件或复印件并加盖供应商公章。因磋商响应文件中证明材料模糊不清或存在疑问的，三分之二评委认为需要供应商提供原件核对的，若供应商无法提供原件则该项不得分。</w:t>
      </w:r>
    </w:p>
    <w:p>
      <w:pPr>
        <w:autoSpaceDE w:val="0"/>
        <w:autoSpaceDN w:val="0"/>
        <w:adjustRightInd w:val="0"/>
        <w:spacing w:line="360" w:lineRule="auto"/>
        <w:ind w:firstLine="482" w:firstLineChars="200"/>
        <w:rPr>
          <w:rFonts w:ascii="宋体" w:hAnsi="宋体" w:cs="宋体"/>
          <w:b/>
          <w:sz w:val="24"/>
          <w:lang w:val="zh-CN"/>
        </w:rPr>
      </w:pPr>
      <w:r>
        <w:rPr>
          <w:rFonts w:hint="eastAsia" w:ascii="宋体" w:hAnsi="宋体" w:cs="宋体"/>
          <w:b/>
          <w:sz w:val="24"/>
          <w:lang w:val="zh-CN"/>
        </w:rPr>
        <w:t>(二）价格分：</w:t>
      </w:r>
      <w:r>
        <w:rPr>
          <w:rFonts w:hint="eastAsia" w:ascii="宋体" w:hAnsi="宋体" w:cs="宋体"/>
          <w:b/>
          <w:sz w:val="24"/>
        </w:rPr>
        <w:t>3</w:t>
      </w:r>
      <w:r>
        <w:rPr>
          <w:rFonts w:ascii="宋体" w:hAnsi="宋体" w:cs="宋体"/>
          <w:b/>
          <w:sz w:val="24"/>
          <w:lang w:val="zh-CN"/>
        </w:rPr>
        <w:t>0</w:t>
      </w:r>
      <w:r>
        <w:rPr>
          <w:rFonts w:hint="eastAsia" w:ascii="宋体" w:hAnsi="宋体" w:cs="宋体"/>
          <w:b/>
          <w:sz w:val="24"/>
          <w:lang w:val="zh-CN"/>
        </w:rPr>
        <w:t>分</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综合评分法中的价格分统一采用低价优先法计算，即满足磋商文件要求且最后报价最低的供应商的价格为磋商基准价，其价格分为满分。其他供应商的价格分统一按照下列公式计算：</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磋商报价得分=（磋商基准价/最后磋商报价）×</w:t>
      </w:r>
      <w:r>
        <w:rPr>
          <w:rFonts w:hint="eastAsia" w:ascii="宋体" w:hAnsi="宋体" w:cs="宋体"/>
          <w:sz w:val="24"/>
        </w:rPr>
        <w:t>3</w:t>
      </w:r>
      <w:r>
        <w:rPr>
          <w:rFonts w:hint="eastAsia" w:ascii="宋体" w:hAnsi="宋体" w:cs="宋体"/>
          <w:sz w:val="24"/>
          <w:lang w:val="zh-CN"/>
        </w:rPr>
        <w:t>0×100%</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项目评审过程中，不得去掉最后报价中的最高报价和最低报价。</w:t>
      </w:r>
    </w:p>
    <w:p>
      <w:pPr>
        <w:autoSpaceDE w:val="0"/>
        <w:autoSpaceDN w:val="0"/>
        <w:adjustRightInd w:val="0"/>
        <w:spacing w:line="360" w:lineRule="auto"/>
        <w:ind w:firstLine="482" w:firstLineChars="200"/>
        <w:rPr>
          <w:rFonts w:ascii="宋体" w:hAnsi="宋体" w:cs="宋体"/>
          <w:b/>
          <w:sz w:val="24"/>
          <w:lang w:val="zh-CN"/>
        </w:rPr>
      </w:pPr>
      <w:r>
        <w:rPr>
          <w:rFonts w:hint="eastAsia" w:ascii="宋体" w:hAnsi="宋体" w:cs="宋体"/>
          <w:b/>
          <w:sz w:val="24"/>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六、变更为其他方式采购的情形</w:t>
      </w:r>
    </w:p>
    <w:p>
      <w:pPr>
        <w:autoSpaceDE w:val="0"/>
        <w:autoSpaceDN w:val="0"/>
        <w:adjustRightInd w:val="0"/>
        <w:spacing w:line="360" w:lineRule="auto"/>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提交响应文件截止时间时参加磋商的供应商不足3家的，除采购任务取消外，磋商人视情况采取其他方式采购。磋商文件中对供应商资质、技术等要求，将作为其他方式采购的基本要求和依据。原已经参加磋商并符合要求的供应商，根据自愿原则，参加其他方式采购。</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七、出现下列情形之一的，竞争性磋商采购活动终止，发布项目终止公告并说明原因，重新开展采购活动：</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（一）因情况变化，不再符合规定的竞争性磋商采购方式适用情形的；</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（二）出现影响采购公正的违法、违规行为的；</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八、成交通知</w:t>
      </w:r>
    </w:p>
    <w:p>
      <w:pPr>
        <w:spacing w:line="480" w:lineRule="exact"/>
        <w:ind w:firstLine="484" w:firstLineChars="202"/>
        <w:rPr>
          <w:rFonts w:ascii="宋体" w:hAnsi="宋体" w:cs="宋体"/>
          <w:kern w:val="0"/>
          <w:sz w:val="24"/>
        </w:rPr>
      </w:pPr>
      <w:r>
        <w:rPr>
          <w:rFonts w:hint="eastAsia" w:ascii="宋体" w:hAnsi="宋体" w:cs="宋体"/>
          <w:kern w:val="0"/>
          <w:sz w:val="24"/>
        </w:rPr>
        <w:t>成交结果在南通市交通运输局—公共资源交易栏目公示</w:t>
      </w:r>
      <w:r>
        <w:rPr>
          <w:rFonts w:hint="eastAsia" w:ascii="宋体" w:hAnsi="宋体" w:cs="宋体"/>
          <w:b/>
          <w:kern w:val="0"/>
          <w:sz w:val="24"/>
          <w:u w:val="single"/>
        </w:rPr>
        <w:t>3</w:t>
      </w:r>
      <w:r>
        <w:rPr>
          <w:rFonts w:hint="eastAsia" w:ascii="宋体" w:hAnsi="宋体" w:cs="宋体"/>
          <w:kern w:val="0"/>
          <w:sz w:val="24"/>
        </w:rPr>
        <w:t>个工作日。《成交通知书》一经发出，采购单位改变成交结果，或者成交供应商放弃成交的，各自承担相应的法律责任。《成交通知书》是采购合同的组成部分。</w:t>
      </w:r>
    </w:p>
    <w:p>
      <w:pPr>
        <w:pStyle w:val="2"/>
        <w:spacing w:before="0" w:after="0" w:line="360" w:lineRule="auto"/>
        <w:jc w:val="center"/>
        <w:rPr>
          <w:rFonts w:ascii="宋体" w:hAnsi="宋体"/>
        </w:rPr>
      </w:pPr>
      <w:r>
        <w:rPr>
          <w:rFonts w:hint="eastAsia" w:ascii="宋体" w:hAnsi="宋体" w:cs="宋体"/>
          <w:sz w:val="28"/>
          <w:szCs w:val="28"/>
          <w:lang w:val="zh-CN"/>
        </w:rPr>
        <w:br w:type="page"/>
      </w:r>
      <w:bookmarkStart w:id="7" w:name="_Toc8163751"/>
      <w:r>
        <w:rPr>
          <w:rFonts w:hint="eastAsia" w:ascii="宋体" w:hAnsi="宋体"/>
          <w:sz w:val="36"/>
          <w:szCs w:val="36"/>
        </w:rPr>
        <w:t>第五部分 合同签订与验收付款</w:t>
      </w:r>
      <w:bookmarkEnd w:id="7"/>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一、成交供应商和采购单位在接到《中标通知书》后三十日内签订合同。合同签订后成交供应商方可履约，否则引起的一切后果由中标人自行承担。所签合同不得对采购文件作实质性修改。采购单位不得向成交供应商提出不合理的要求作为签订合同的条件，不得与成交供应商私下订立背离采购文件实质性内容的协议。</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二、</w:t>
      </w:r>
      <w:bookmarkStart w:id="8" w:name="OLE_LINK2"/>
      <w:bookmarkStart w:id="9" w:name="OLE_LINK1"/>
      <w:r>
        <w:rPr>
          <w:rFonts w:hint="eastAsia" w:ascii="宋体" w:hAnsi="宋体" w:cs="宋体"/>
          <w:sz w:val="24"/>
          <w:lang w:val="zh-CN"/>
        </w:rPr>
        <w:t>采购单位按合同约定积极配合成交供应商履约，成交供应商履约到位后，请以书面形式向采购单位提出验收申请，采购单位接到申请后原则上在5个工作日内及时组织相关专业技术人员，必要时邀请采购人、质检等部门共同参与验收，并出具验收报告，验收合格的原则上5个工作日内支付相应款项。</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三、采购单位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四、成交供应商出现违约情形，应当及时纠正或补偿；造成损失的，按合同约定追究违约责任；发现有假冒、伪劣、走私产品、商业贿赂等违法情形的，应由采购单位移交工商、质监、公安等行政执法部门依法查处。</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五、不响应付款方式的，视同无效投标处理。</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lang w:val="zh-CN"/>
        </w:rPr>
        <w:t>六、</w:t>
      </w:r>
      <w:r>
        <w:rPr>
          <w:rFonts w:hint="eastAsia" w:ascii="宋体" w:hAnsi="宋体" w:cs="宋体"/>
          <w:sz w:val="24"/>
        </w:rPr>
        <w:t>付款方式详见磋商文件第三章。</w:t>
      </w:r>
    </w:p>
    <w:p>
      <w:pPr>
        <w:autoSpaceDE w:val="0"/>
        <w:autoSpaceDN w:val="0"/>
        <w:adjustRightInd w:val="0"/>
        <w:spacing w:line="360" w:lineRule="auto"/>
        <w:ind w:firstLine="480" w:firstLineChars="200"/>
        <w:rPr>
          <w:rFonts w:ascii="宋体" w:hAnsi="宋体" w:cs="宋体"/>
          <w:sz w:val="24"/>
        </w:rPr>
      </w:pPr>
    </w:p>
    <w:p>
      <w:pPr>
        <w:autoSpaceDE w:val="0"/>
        <w:autoSpaceDN w:val="0"/>
        <w:adjustRightInd w:val="0"/>
        <w:spacing w:line="360" w:lineRule="auto"/>
        <w:ind w:firstLine="480" w:firstLineChars="200"/>
        <w:rPr>
          <w:rFonts w:ascii="宋体" w:hAnsi="宋体" w:cs="宋体"/>
          <w:sz w:val="24"/>
        </w:rPr>
      </w:pPr>
    </w:p>
    <w:p>
      <w:pPr>
        <w:rPr>
          <w:rFonts w:ascii="宋体" w:hAnsi="宋体" w:cs="宋体"/>
          <w:sz w:val="24"/>
        </w:rPr>
      </w:pPr>
      <w:r>
        <w:rPr>
          <w:rFonts w:hint="eastAsia" w:ascii="宋体" w:hAnsi="宋体" w:cs="宋体"/>
          <w:sz w:val="24"/>
        </w:rPr>
        <w:br w:type="page"/>
      </w:r>
    </w:p>
    <w:p>
      <w:pPr>
        <w:pStyle w:val="2"/>
        <w:spacing w:before="0" w:after="0" w:line="360" w:lineRule="auto"/>
        <w:jc w:val="center"/>
        <w:rPr>
          <w:rFonts w:ascii="宋体" w:hAnsi="宋体"/>
          <w:sz w:val="36"/>
          <w:szCs w:val="36"/>
        </w:rPr>
      </w:pPr>
      <w:r>
        <w:rPr>
          <w:rFonts w:hint="eastAsia" w:ascii="宋体" w:hAnsi="宋体"/>
          <w:sz w:val="36"/>
          <w:szCs w:val="36"/>
        </w:rPr>
        <w:t>合同条款:</w:t>
      </w:r>
    </w:p>
    <w:p>
      <w:pPr>
        <w:spacing w:line="360" w:lineRule="auto"/>
        <w:ind w:firstLine="422" w:firstLineChars="200"/>
        <w:jc w:val="center"/>
        <w:textAlignment w:val="bottom"/>
        <w:outlineLvl w:val="0"/>
        <w:rPr>
          <w:b/>
          <w:bCs/>
          <w:szCs w:val="21"/>
        </w:rPr>
      </w:pPr>
      <w:r>
        <w:rPr>
          <w:rFonts w:hint="eastAsia"/>
          <w:b/>
          <w:bCs/>
          <w:szCs w:val="21"/>
        </w:rPr>
        <w:t>一、 定义和解释</w:t>
      </w:r>
    </w:p>
    <w:p>
      <w:pPr>
        <w:pStyle w:val="5"/>
        <w:keepLines/>
        <w:tabs>
          <w:tab w:val="left" w:pos="1391"/>
        </w:tabs>
        <w:spacing w:before="160" w:after="120" w:line="360" w:lineRule="auto"/>
        <w:jc w:val="both"/>
        <w:rPr>
          <w:rFonts w:ascii="宋体" w:hAnsi="宋体" w:eastAsia="宋体"/>
          <w:b/>
          <w:bCs/>
          <w:sz w:val="21"/>
        </w:rPr>
      </w:pPr>
      <w:bookmarkStart w:id="10" w:name="_Toc7867447"/>
      <w:r>
        <w:rPr>
          <w:rFonts w:hint="eastAsia" w:ascii="宋体" w:hAnsi="宋体" w:eastAsia="宋体"/>
          <w:b/>
          <w:bCs/>
          <w:sz w:val="21"/>
        </w:rPr>
        <w:t>1、定义与解释</w:t>
      </w:r>
      <w:bookmarkEnd w:id="10"/>
    </w:p>
    <w:p>
      <w:pPr>
        <w:spacing w:line="360" w:lineRule="auto"/>
        <w:ind w:firstLine="420" w:firstLineChars="200"/>
        <w:rPr>
          <w:szCs w:val="21"/>
        </w:rPr>
      </w:pPr>
      <w:r>
        <w:rPr>
          <w:rFonts w:hint="eastAsia" w:hAnsi="宋体"/>
        </w:rPr>
        <w:t>另有说明外，下列名词的含义如下</w:t>
      </w:r>
      <w:r>
        <w:rPr>
          <w:rFonts w:hint="eastAsia"/>
          <w:szCs w:val="21"/>
        </w:rPr>
        <w:t>：</w:t>
      </w:r>
    </w:p>
    <w:p>
      <w:pPr>
        <w:spacing w:line="360" w:lineRule="auto"/>
        <w:ind w:firstLine="420" w:firstLineChars="200"/>
        <w:rPr>
          <w:szCs w:val="21"/>
        </w:rPr>
      </w:pPr>
      <w:r>
        <w:rPr>
          <w:rFonts w:hint="eastAsia"/>
          <w:szCs w:val="21"/>
        </w:rPr>
        <w:t>1.1 业主：即合同书中的“甲方”，是指本合同条款中指明的执行本项目投资计划的单位，或其指定的负责管理建设项目的代表机构</w:t>
      </w:r>
      <w:r>
        <w:rPr>
          <w:szCs w:val="21"/>
        </w:rPr>
        <w:t>。</w:t>
      </w:r>
    </w:p>
    <w:p>
      <w:pPr>
        <w:spacing w:line="360" w:lineRule="auto"/>
        <w:ind w:firstLine="420" w:firstLineChars="200"/>
        <w:rPr>
          <w:szCs w:val="21"/>
        </w:rPr>
      </w:pPr>
      <w:r>
        <w:rPr>
          <w:rFonts w:hint="eastAsia"/>
          <w:szCs w:val="21"/>
        </w:rPr>
        <w:t>1.2 承包人：即合同书中的“乙方”，是指其投标书已为业主所接受，并与业主签订了合同书承担本项目开发工作的企业。</w:t>
      </w:r>
    </w:p>
    <w:p>
      <w:pPr>
        <w:spacing w:line="360" w:lineRule="auto"/>
        <w:ind w:firstLine="420" w:firstLineChars="200"/>
        <w:textAlignment w:val="bottom"/>
        <w:rPr>
          <w:szCs w:val="21"/>
        </w:rPr>
      </w:pPr>
      <w:r>
        <w:rPr>
          <w:rFonts w:hint="eastAsia"/>
          <w:szCs w:val="21"/>
        </w:rPr>
        <w:t>1.3 项目负责人：是指由承包人书面委任的负责本项目开发和设计工作的组织管理者</w:t>
      </w:r>
      <w:r>
        <w:rPr>
          <w:szCs w:val="21"/>
        </w:rPr>
        <w:t>。</w:t>
      </w:r>
    </w:p>
    <w:p>
      <w:pPr>
        <w:spacing w:line="360" w:lineRule="auto"/>
        <w:ind w:firstLine="420" w:firstLineChars="200"/>
        <w:textAlignment w:val="bottom"/>
        <w:rPr>
          <w:szCs w:val="21"/>
        </w:rPr>
      </w:pPr>
      <w:r>
        <w:rPr>
          <w:rFonts w:hint="eastAsia"/>
          <w:szCs w:val="21"/>
        </w:rPr>
        <w:t>1.4 技术负责人：是指由承包人书面委托并承诺负责本项目开发和设计技术工作的负责人。</w:t>
      </w:r>
    </w:p>
    <w:p>
      <w:pPr>
        <w:spacing w:line="360" w:lineRule="auto"/>
        <w:ind w:firstLine="420" w:firstLineChars="200"/>
        <w:textAlignment w:val="bottom"/>
        <w:rPr>
          <w:szCs w:val="21"/>
        </w:rPr>
      </w:pPr>
      <w:r>
        <w:rPr>
          <w:rFonts w:hint="eastAsia"/>
          <w:szCs w:val="21"/>
        </w:rPr>
        <w:t>1.5 分项负责人：是指由项目负责人提名，承包人批准的各分项工作的负责人</w:t>
      </w:r>
      <w:r>
        <w:rPr>
          <w:szCs w:val="21"/>
        </w:rPr>
        <w:t>。</w:t>
      </w:r>
    </w:p>
    <w:p>
      <w:pPr>
        <w:spacing w:line="360" w:lineRule="auto"/>
        <w:ind w:firstLine="420" w:firstLineChars="200"/>
        <w:textAlignment w:val="bottom"/>
        <w:rPr>
          <w:szCs w:val="21"/>
        </w:rPr>
      </w:pPr>
      <w:r>
        <w:rPr>
          <w:rFonts w:hint="eastAsia"/>
          <w:szCs w:val="21"/>
        </w:rPr>
        <w:t>1.6监理人：是指受业主委托对合同履行实施管理的法人或其他组织。本项目的监理人及其职责在承包人进场后书面通知承包人。</w:t>
      </w:r>
    </w:p>
    <w:p>
      <w:pPr>
        <w:spacing w:line="360" w:lineRule="auto"/>
        <w:ind w:firstLine="420" w:firstLineChars="200"/>
        <w:textAlignment w:val="bottom"/>
        <w:rPr>
          <w:szCs w:val="21"/>
        </w:rPr>
      </w:pPr>
      <w:r>
        <w:rPr>
          <w:rFonts w:hint="eastAsia"/>
          <w:szCs w:val="21"/>
        </w:rPr>
        <w:t>1.7总监理工程师：是指由监理人委派现场对合同履行实施管理的全权负责人，本项目的总监理工程师在承包人进场后书面通知承包人。</w:t>
      </w:r>
    </w:p>
    <w:p>
      <w:pPr>
        <w:spacing w:line="360" w:lineRule="auto"/>
        <w:ind w:firstLine="420" w:firstLineChars="200"/>
        <w:textAlignment w:val="bottom"/>
        <w:rPr>
          <w:szCs w:val="21"/>
        </w:rPr>
      </w:pPr>
      <w:r>
        <w:rPr>
          <w:rFonts w:hint="eastAsia"/>
          <w:szCs w:val="21"/>
        </w:rPr>
        <w:t>1.8 项目成果：是指承包人按本合同的规定，为本开发项目而完成的方案设计</w:t>
      </w:r>
      <w:r>
        <w:rPr>
          <w:szCs w:val="21"/>
        </w:rPr>
        <w:t>、</w:t>
      </w:r>
      <w:r>
        <w:rPr>
          <w:rFonts w:hint="eastAsia"/>
          <w:szCs w:val="21"/>
        </w:rPr>
        <w:t>专题报告</w:t>
      </w:r>
      <w:r>
        <w:rPr>
          <w:szCs w:val="21"/>
        </w:rPr>
        <w:t>、</w:t>
      </w:r>
      <w:r>
        <w:rPr>
          <w:rFonts w:hint="eastAsia"/>
          <w:szCs w:val="21"/>
        </w:rPr>
        <w:t>软件开发应用和文件编制全部工作</w:t>
      </w:r>
      <w:r>
        <w:rPr>
          <w:szCs w:val="21"/>
        </w:rPr>
        <w:t>。</w:t>
      </w:r>
    </w:p>
    <w:p>
      <w:pPr>
        <w:spacing w:line="360" w:lineRule="auto"/>
        <w:ind w:firstLine="420" w:firstLineChars="200"/>
        <w:textAlignment w:val="bottom"/>
        <w:rPr>
          <w:szCs w:val="21"/>
        </w:rPr>
      </w:pPr>
      <w:r>
        <w:rPr>
          <w:rFonts w:hint="eastAsia"/>
          <w:szCs w:val="21"/>
        </w:rPr>
        <w:t>1</w:t>
      </w:r>
      <w:r>
        <w:rPr>
          <w:szCs w:val="21"/>
        </w:rPr>
        <w:t>.</w:t>
      </w:r>
      <w:r>
        <w:rPr>
          <w:rFonts w:hint="eastAsia"/>
          <w:szCs w:val="21"/>
        </w:rPr>
        <w:t>9 事故：</w:t>
      </w:r>
    </w:p>
    <w:p>
      <w:pPr>
        <w:spacing w:line="360" w:lineRule="auto"/>
        <w:ind w:firstLine="420" w:firstLineChars="200"/>
        <w:textAlignment w:val="bottom"/>
        <w:rPr>
          <w:szCs w:val="21"/>
        </w:rPr>
      </w:pPr>
      <w:r>
        <w:rPr>
          <w:rFonts w:hint="eastAsia"/>
          <w:szCs w:val="21"/>
        </w:rPr>
        <w:t>(1) 质量事故：是指由于</w:t>
      </w:r>
      <w:r>
        <w:rPr>
          <w:szCs w:val="21"/>
        </w:rPr>
        <w:t>设计</w:t>
      </w:r>
      <w:r>
        <w:rPr>
          <w:rFonts w:hint="eastAsia"/>
          <w:szCs w:val="21"/>
        </w:rPr>
        <w:t>、开发</w:t>
      </w:r>
      <w:r>
        <w:rPr>
          <w:szCs w:val="21"/>
        </w:rPr>
        <w:t>、</w:t>
      </w:r>
      <w:r>
        <w:rPr>
          <w:rFonts w:hint="eastAsia"/>
          <w:szCs w:val="21"/>
        </w:rPr>
        <w:t>系统集成、</w:t>
      </w:r>
      <w:r>
        <w:rPr>
          <w:szCs w:val="21"/>
        </w:rPr>
        <w:t>安装、调试</w:t>
      </w:r>
      <w:r>
        <w:rPr>
          <w:rFonts w:hint="eastAsia"/>
          <w:szCs w:val="21"/>
        </w:rPr>
        <w:t>、维护等责任过失而使系统在设计使用年限内遭受损毁或产生不可弥补的本质缺陷，而需要更新、返工修复的事故。</w:t>
      </w:r>
    </w:p>
    <w:p>
      <w:pPr>
        <w:spacing w:line="360" w:lineRule="auto"/>
        <w:ind w:firstLine="420" w:firstLineChars="200"/>
        <w:textAlignment w:val="bottom"/>
        <w:rPr>
          <w:szCs w:val="21"/>
        </w:rPr>
      </w:pPr>
      <w:r>
        <w:rPr>
          <w:rFonts w:hint="eastAsia"/>
          <w:szCs w:val="21"/>
        </w:rPr>
        <w:t>(2) 一般质量事故：由于设计开发原因造成管理系统运行不良，导致直接经济损失</w:t>
      </w:r>
      <w:r>
        <w:rPr>
          <w:szCs w:val="21"/>
        </w:rPr>
        <w:t>(</w:t>
      </w:r>
      <w:r>
        <w:rPr>
          <w:rFonts w:hint="eastAsia"/>
          <w:szCs w:val="21"/>
        </w:rPr>
        <w:t>包括修复费用</w:t>
      </w:r>
      <w:r>
        <w:rPr>
          <w:szCs w:val="21"/>
        </w:rPr>
        <w:t>)</w:t>
      </w:r>
      <w:r>
        <w:rPr>
          <w:rFonts w:hint="eastAsia"/>
          <w:szCs w:val="21"/>
        </w:rPr>
        <w:t>在2～30万元之间的事故。</w:t>
      </w:r>
    </w:p>
    <w:p>
      <w:pPr>
        <w:spacing w:line="360" w:lineRule="auto"/>
        <w:ind w:firstLine="420" w:firstLineChars="200"/>
        <w:textAlignment w:val="bottom"/>
        <w:rPr>
          <w:szCs w:val="21"/>
        </w:rPr>
      </w:pPr>
      <w:r>
        <w:rPr>
          <w:rFonts w:hint="eastAsia"/>
          <w:szCs w:val="21"/>
        </w:rPr>
        <w:t>(3) 重大质量事故：由于管理系统设计开发责任过失造成工程系统瘫痪、或者重大经济损失的事故。</w:t>
      </w:r>
    </w:p>
    <w:p>
      <w:pPr>
        <w:spacing w:line="360" w:lineRule="auto"/>
        <w:ind w:firstLine="420" w:firstLineChars="200"/>
        <w:textAlignment w:val="bottom"/>
        <w:rPr>
          <w:szCs w:val="21"/>
        </w:rPr>
      </w:pPr>
      <w:r>
        <w:rPr>
          <w:szCs w:val="21"/>
        </w:rPr>
        <w:t>1.</w:t>
      </w:r>
      <w:r>
        <w:rPr>
          <w:rFonts w:hint="eastAsia"/>
          <w:szCs w:val="21"/>
        </w:rPr>
        <w:t>10 不可抗力：指业主与承包人不能预见、或不能采取措施避免并不能克服的自然灾害或社会政治因素等。</w:t>
      </w:r>
    </w:p>
    <w:p>
      <w:pPr>
        <w:spacing w:line="360" w:lineRule="auto"/>
        <w:ind w:firstLine="420" w:firstLineChars="200"/>
        <w:textAlignment w:val="bottom"/>
        <w:rPr>
          <w:szCs w:val="21"/>
        </w:rPr>
      </w:pPr>
      <w:r>
        <w:rPr>
          <w:szCs w:val="21"/>
        </w:rPr>
        <w:t>1.</w:t>
      </w:r>
      <w:r>
        <w:rPr>
          <w:rFonts w:hint="eastAsia"/>
          <w:szCs w:val="21"/>
        </w:rPr>
        <w:t>11业主风险：因不可抗力或应由业主单方承担责任而产生的风险。</w:t>
      </w:r>
    </w:p>
    <w:p>
      <w:pPr>
        <w:spacing w:line="360" w:lineRule="auto"/>
        <w:ind w:firstLine="420" w:firstLineChars="200"/>
        <w:textAlignment w:val="bottom"/>
        <w:rPr>
          <w:szCs w:val="21"/>
        </w:rPr>
      </w:pPr>
      <w:r>
        <w:rPr>
          <w:szCs w:val="21"/>
        </w:rPr>
        <w:t>1.</w:t>
      </w:r>
      <w:r>
        <w:rPr>
          <w:rFonts w:hint="eastAsia"/>
          <w:szCs w:val="21"/>
        </w:rPr>
        <w:t>12天：指日历日</w:t>
      </w:r>
      <w:r>
        <w:rPr>
          <w:szCs w:val="21"/>
        </w:rPr>
        <w:t>。</w:t>
      </w:r>
      <w:r>
        <w:rPr>
          <w:rFonts w:hint="eastAsia"/>
          <w:szCs w:val="21"/>
        </w:rPr>
        <w:t>年、月、日按公历计算。</w:t>
      </w:r>
    </w:p>
    <w:p>
      <w:pPr>
        <w:spacing w:line="360" w:lineRule="auto"/>
        <w:ind w:firstLine="420" w:firstLineChars="200"/>
        <w:textAlignment w:val="bottom"/>
        <w:rPr>
          <w:b/>
          <w:bCs/>
          <w:szCs w:val="21"/>
        </w:rPr>
      </w:pPr>
      <w:r>
        <w:rPr>
          <w:szCs w:val="21"/>
        </w:rPr>
        <w:t>1</w:t>
      </w:r>
      <w:r>
        <w:rPr>
          <w:rFonts w:hint="eastAsia"/>
          <w:szCs w:val="21"/>
        </w:rPr>
        <w:t>.13 时间：本招标文件所指时间均为北京时间。</w:t>
      </w:r>
    </w:p>
    <w:p>
      <w:pPr>
        <w:spacing w:line="360" w:lineRule="auto"/>
        <w:ind w:firstLine="422" w:firstLineChars="200"/>
        <w:jc w:val="center"/>
        <w:textAlignment w:val="bottom"/>
        <w:outlineLvl w:val="0"/>
        <w:rPr>
          <w:szCs w:val="21"/>
        </w:rPr>
      </w:pPr>
      <w:r>
        <w:rPr>
          <w:rFonts w:hint="eastAsia"/>
          <w:b/>
          <w:bCs/>
          <w:szCs w:val="21"/>
        </w:rPr>
        <w:t>二、 合同的主要事项</w:t>
      </w:r>
    </w:p>
    <w:p>
      <w:pPr>
        <w:pStyle w:val="5"/>
        <w:keepLines/>
        <w:tabs>
          <w:tab w:val="left" w:pos="1391"/>
        </w:tabs>
        <w:spacing w:before="160" w:after="120" w:line="360" w:lineRule="auto"/>
        <w:jc w:val="both"/>
        <w:rPr>
          <w:rFonts w:ascii="宋体" w:hAnsi="宋体" w:eastAsia="等线"/>
          <w:b/>
          <w:bCs/>
          <w:sz w:val="21"/>
        </w:rPr>
      </w:pPr>
      <w:bookmarkStart w:id="11" w:name="_Toc524495506"/>
      <w:bookmarkStart w:id="12" w:name="_Toc524689536"/>
      <w:bookmarkStart w:id="13" w:name="_Toc6311277"/>
      <w:bookmarkStart w:id="14" w:name="_Toc524847230"/>
      <w:bookmarkStart w:id="15" w:name="_Toc524495983"/>
      <w:bookmarkStart w:id="16" w:name="_Toc524747390"/>
      <w:bookmarkStart w:id="17" w:name="_Toc524439686"/>
      <w:bookmarkStart w:id="18" w:name="_Toc524494156"/>
      <w:bookmarkStart w:id="19" w:name="_Toc524342513"/>
      <w:bookmarkStart w:id="20" w:name="_Toc524516413"/>
      <w:bookmarkStart w:id="21" w:name="_Toc524452519"/>
      <w:bookmarkStart w:id="22" w:name="_Toc524494378"/>
      <w:bookmarkStart w:id="23" w:name="_Toc524404068"/>
      <w:bookmarkStart w:id="24" w:name="_Toc524486443"/>
      <w:bookmarkStart w:id="25" w:name="_Toc524458584"/>
      <w:bookmarkStart w:id="26" w:name="_Toc524491066"/>
      <w:bookmarkStart w:id="27" w:name="_Toc524516261"/>
      <w:bookmarkStart w:id="28" w:name="_Toc524457334"/>
      <w:bookmarkStart w:id="29" w:name="_Toc524847416"/>
      <w:bookmarkStart w:id="30" w:name="_Toc524746506"/>
      <w:bookmarkStart w:id="31" w:name="_Toc524439524"/>
      <w:bookmarkStart w:id="32" w:name="_Toc524342618"/>
      <w:bookmarkStart w:id="33" w:name="_Toc524494772"/>
      <w:bookmarkStart w:id="34" w:name="_Toc3795959"/>
      <w:bookmarkStart w:id="35" w:name="_Toc7600015"/>
      <w:bookmarkStart w:id="36" w:name="_Toc524404327"/>
      <w:bookmarkStart w:id="37" w:name="_Toc525011365"/>
      <w:bookmarkStart w:id="38" w:name="_Toc7867451"/>
      <w:bookmarkStart w:id="39" w:name="_Toc525376781"/>
      <w:bookmarkStart w:id="40" w:name="_Toc525200399"/>
      <w:bookmarkStart w:id="41" w:name="_Toc524332388"/>
      <w:bookmarkStart w:id="42" w:name="_Toc524493381"/>
      <w:bookmarkStart w:id="43" w:name="_Toc524342309"/>
      <w:bookmarkStart w:id="44" w:name="_Toc3796817"/>
      <w:bookmarkStart w:id="45" w:name="_Toc524333032"/>
      <w:bookmarkStart w:id="46" w:name="_Toc7599784"/>
      <w:bookmarkStart w:id="47" w:name="_Toc524341746"/>
      <w:bookmarkStart w:id="48" w:name="_Toc3795444"/>
      <w:bookmarkStart w:id="49" w:name="_Toc525397563"/>
      <w:r>
        <w:rPr>
          <w:rFonts w:hint="eastAsia" w:ascii="宋体" w:hAnsi="宋体" w:eastAsia="等线"/>
          <w:b/>
          <w:bCs/>
          <w:sz w:val="21"/>
        </w:rPr>
        <w:t>2、 合同范围</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116"/>
        <w:widowControl w:val="0"/>
        <w:tabs>
          <w:tab w:val="clear" w:pos="0"/>
        </w:tabs>
        <w:snapToGrid w:val="0"/>
        <w:spacing w:before="0"/>
        <w:ind w:firstLine="420"/>
        <w:rPr>
          <w:rFonts w:hAnsi="宋体"/>
          <w:sz w:val="21"/>
        </w:rPr>
      </w:pPr>
      <w:r>
        <w:rPr>
          <w:rFonts w:hint="eastAsia" w:hAnsi="宋体"/>
          <w:sz w:val="21"/>
        </w:rPr>
        <w:t>2.1合同内容：</w:t>
      </w:r>
    </w:p>
    <w:p>
      <w:pPr>
        <w:pStyle w:val="116"/>
        <w:widowControl w:val="0"/>
        <w:tabs>
          <w:tab w:val="clear" w:pos="0"/>
        </w:tabs>
        <w:snapToGrid w:val="0"/>
        <w:spacing w:before="0"/>
        <w:ind w:firstLine="420"/>
        <w:rPr>
          <w:snapToGrid/>
          <w:kern w:val="2"/>
          <w:sz w:val="21"/>
          <w:szCs w:val="21"/>
        </w:rPr>
      </w:pPr>
      <w:r>
        <w:rPr>
          <w:rFonts w:hint="eastAsia"/>
          <w:snapToGrid/>
          <w:kern w:val="2"/>
          <w:sz w:val="21"/>
          <w:szCs w:val="21"/>
        </w:rPr>
        <w:t>1.完成系统北斗定位支持，契合国家战略</w:t>
      </w:r>
    </w:p>
    <w:p>
      <w:pPr>
        <w:pStyle w:val="116"/>
        <w:widowControl w:val="0"/>
        <w:tabs>
          <w:tab w:val="clear" w:pos="0"/>
        </w:tabs>
        <w:snapToGrid w:val="0"/>
        <w:spacing w:before="0"/>
        <w:ind w:firstLine="420"/>
        <w:rPr>
          <w:snapToGrid/>
          <w:kern w:val="2"/>
          <w:sz w:val="21"/>
          <w:szCs w:val="21"/>
        </w:rPr>
      </w:pPr>
      <w:r>
        <w:rPr>
          <w:rFonts w:hint="eastAsia"/>
          <w:snapToGrid/>
          <w:kern w:val="2"/>
          <w:sz w:val="21"/>
          <w:szCs w:val="21"/>
        </w:rPr>
        <w:t>2.进一步提升系统算法检测精度,识别率稳定保持在90%以上。</w:t>
      </w:r>
    </w:p>
    <w:p>
      <w:pPr>
        <w:pStyle w:val="116"/>
        <w:widowControl w:val="0"/>
        <w:tabs>
          <w:tab w:val="clear" w:pos="0"/>
        </w:tabs>
        <w:snapToGrid w:val="0"/>
        <w:spacing w:before="0"/>
        <w:ind w:firstLine="420"/>
        <w:rPr>
          <w:snapToGrid/>
          <w:kern w:val="2"/>
          <w:sz w:val="21"/>
          <w:szCs w:val="21"/>
        </w:rPr>
      </w:pPr>
      <w:r>
        <w:rPr>
          <w:rFonts w:hint="eastAsia"/>
          <w:snapToGrid/>
          <w:kern w:val="2"/>
          <w:sz w:val="21"/>
          <w:szCs w:val="21"/>
        </w:rPr>
        <w:t>3.结合业务进一步扩充系统功能</w:t>
      </w:r>
    </w:p>
    <w:p>
      <w:pPr>
        <w:pStyle w:val="116"/>
        <w:widowControl w:val="0"/>
        <w:tabs>
          <w:tab w:val="clear" w:pos="0"/>
        </w:tabs>
        <w:snapToGrid w:val="0"/>
        <w:spacing w:before="0"/>
        <w:ind w:firstLine="420"/>
        <w:rPr>
          <w:snapToGrid/>
          <w:kern w:val="2"/>
          <w:sz w:val="21"/>
          <w:szCs w:val="21"/>
        </w:rPr>
      </w:pPr>
      <w:r>
        <w:rPr>
          <w:rFonts w:hint="eastAsia"/>
          <w:snapToGrid/>
          <w:kern w:val="2"/>
          <w:sz w:val="21"/>
          <w:szCs w:val="21"/>
        </w:rPr>
        <w:t>包括：对横向裂缝、纵向裂缝等病害，自动计算影响面积，以便针对以上问题的小修工程进行成本估算；识别完成后，对于需及时修复的重要病害（如坑槽），通过系统及时提醒业务人员处理；对系统基础数据处理、权限定制化配置等功能进行标准化深化改造开发，将GIS底图与桩号叠加融合，强化分析结果的快速复核、分析报告自动生成、数据及分析报告导出、多期报告对比、路面病害历史变迁管理等功能开发。通过功能扩展使得基于巡查检测结果能够更好地辅助养护工程方案建议、计量统计等实施，辅助一线养护业务工作基于巡查结果开展。</w:t>
      </w:r>
    </w:p>
    <w:p>
      <w:pPr>
        <w:pStyle w:val="116"/>
        <w:widowControl w:val="0"/>
        <w:tabs>
          <w:tab w:val="clear" w:pos="0"/>
        </w:tabs>
        <w:snapToGrid w:val="0"/>
        <w:spacing w:before="0"/>
        <w:ind w:firstLine="420"/>
        <w:rPr>
          <w:snapToGrid/>
          <w:kern w:val="2"/>
          <w:sz w:val="21"/>
          <w:szCs w:val="21"/>
        </w:rPr>
      </w:pPr>
      <w:r>
        <w:rPr>
          <w:rFonts w:hint="eastAsia"/>
          <w:snapToGrid/>
          <w:kern w:val="2"/>
          <w:sz w:val="21"/>
          <w:szCs w:val="21"/>
        </w:rPr>
        <w:t>4.完成与现有协同巡查系统的数据对接</w:t>
      </w:r>
    </w:p>
    <w:p>
      <w:pPr>
        <w:pStyle w:val="116"/>
        <w:widowControl w:val="0"/>
        <w:tabs>
          <w:tab w:val="clear" w:pos="0"/>
        </w:tabs>
        <w:snapToGrid w:val="0"/>
        <w:spacing w:before="0"/>
        <w:ind w:firstLine="420"/>
        <w:rPr>
          <w:snapToGrid/>
          <w:kern w:val="2"/>
          <w:sz w:val="21"/>
          <w:szCs w:val="21"/>
        </w:rPr>
      </w:pPr>
      <w:r>
        <w:rPr>
          <w:rFonts w:hint="eastAsia"/>
          <w:snapToGrid/>
          <w:kern w:val="2"/>
          <w:sz w:val="21"/>
          <w:szCs w:val="21"/>
        </w:rPr>
        <w:t>5.扩展应用范围;购置3套采集设备，扩展应用范围至其余3个县区分中心。</w:t>
      </w:r>
    </w:p>
    <w:p>
      <w:pPr>
        <w:pStyle w:val="116"/>
        <w:widowControl w:val="0"/>
        <w:tabs>
          <w:tab w:val="clear" w:pos="0"/>
        </w:tabs>
        <w:snapToGrid w:val="0"/>
        <w:spacing w:before="0"/>
        <w:ind w:firstLine="420"/>
        <w:rPr>
          <w:snapToGrid/>
          <w:kern w:val="2"/>
          <w:sz w:val="21"/>
          <w:szCs w:val="21"/>
        </w:rPr>
      </w:pPr>
      <w:r>
        <w:rPr>
          <w:rFonts w:hint="eastAsia"/>
          <w:snapToGrid/>
          <w:kern w:val="2"/>
          <w:sz w:val="21"/>
          <w:szCs w:val="21"/>
        </w:rPr>
        <w:t>6.在深化改造开展过程中对巡查用硬件采集装置、安全警示标志等进行进一步研究及测试。</w:t>
      </w:r>
    </w:p>
    <w:p>
      <w:pPr>
        <w:pStyle w:val="116"/>
        <w:widowControl w:val="0"/>
        <w:tabs>
          <w:tab w:val="clear" w:pos="0"/>
        </w:tabs>
        <w:snapToGrid w:val="0"/>
        <w:spacing w:before="0"/>
        <w:ind w:firstLine="420"/>
        <w:rPr>
          <w:snapToGrid/>
          <w:kern w:val="2"/>
          <w:sz w:val="21"/>
          <w:szCs w:val="21"/>
        </w:rPr>
      </w:pPr>
      <w:r>
        <w:rPr>
          <w:rFonts w:hint="eastAsia"/>
          <w:snapToGrid/>
          <w:kern w:val="2"/>
          <w:sz w:val="21"/>
          <w:szCs w:val="21"/>
        </w:rPr>
        <w:t>主要工作任务有：</w:t>
      </w:r>
    </w:p>
    <w:p>
      <w:pPr>
        <w:snapToGrid w:val="0"/>
        <w:spacing w:line="360" w:lineRule="auto"/>
        <w:ind w:firstLine="420" w:firstLineChars="200"/>
        <w:rPr>
          <w:szCs w:val="21"/>
          <w:shd w:val="clear" w:color="auto" w:fill="FFFFFF"/>
        </w:rPr>
      </w:pPr>
      <w:r>
        <w:rPr>
          <w:rFonts w:hint="eastAsia"/>
          <w:szCs w:val="21"/>
          <w:shd w:val="clear" w:color="auto" w:fill="FFFFFF"/>
        </w:rPr>
        <w:t>详见项目需求。</w:t>
      </w:r>
    </w:p>
    <w:p>
      <w:pPr>
        <w:pStyle w:val="17"/>
        <w:ind w:left="1" w:firstLine="464" w:firstLineChars="221"/>
        <w:rPr>
          <w:rFonts w:hAnsi="宋体"/>
        </w:rPr>
      </w:pPr>
      <w:r>
        <w:rPr>
          <w:rFonts w:hint="eastAsia" w:hAnsi="宋体"/>
        </w:rPr>
        <w:t>2.2磋商报价为供应商完成本项目准备阶段、实施阶段、验收全过程服务全部费用。本项目采用总价报价。</w:t>
      </w:r>
    </w:p>
    <w:p>
      <w:pPr>
        <w:pStyle w:val="5"/>
        <w:keepLines/>
        <w:tabs>
          <w:tab w:val="left" w:pos="1391"/>
        </w:tabs>
        <w:spacing w:before="160" w:after="120" w:line="360" w:lineRule="auto"/>
        <w:jc w:val="both"/>
        <w:rPr>
          <w:rFonts w:ascii="宋体" w:hAnsi="宋体" w:eastAsia="宋体"/>
          <w:b/>
          <w:bCs/>
          <w:sz w:val="21"/>
        </w:rPr>
      </w:pPr>
      <w:bookmarkStart w:id="50" w:name="_Toc524516262"/>
      <w:bookmarkStart w:id="51" w:name="_Toc524332389"/>
      <w:bookmarkStart w:id="52" w:name="_Toc524495984"/>
      <w:bookmarkStart w:id="53" w:name="_Toc524847231"/>
      <w:bookmarkStart w:id="54" w:name="_Toc524486444"/>
      <w:bookmarkStart w:id="55" w:name="_Toc524404069"/>
      <w:bookmarkStart w:id="56" w:name="_Toc524516414"/>
      <w:bookmarkStart w:id="57" w:name="_Toc524747391"/>
      <w:bookmarkStart w:id="58" w:name="_Toc525011366"/>
      <w:bookmarkStart w:id="59" w:name="_Toc7599785"/>
      <w:bookmarkStart w:id="60" w:name="_Toc525200400"/>
      <w:bookmarkStart w:id="61" w:name="_Toc524452520"/>
      <w:bookmarkStart w:id="62" w:name="_Toc524342310"/>
      <w:bookmarkStart w:id="63" w:name="_Toc524495507"/>
      <w:bookmarkStart w:id="64" w:name="_Toc524439687"/>
      <w:bookmarkStart w:id="65" w:name="_Toc524493382"/>
      <w:bookmarkStart w:id="66" w:name="_Toc3795445"/>
      <w:bookmarkStart w:id="67" w:name="_Toc524404328"/>
      <w:bookmarkStart w:id="68" w:name="_Toc524458585"/>
      <w:bookmarkStart w:id="69" w:name="_Toc524342514"/>
      <w:bookmarkStart w:id="70" w:name="_Toc524746507"/>
      <w:bookmarkStart w:id="71" w:name="_Toc524689537"/>
      <w:bookmarkStart w:id="72" w:name="_Toc524847417"/>
      <w:bookmarkStart w:id="73" w:name="_Toc524494773"/>
      <w:bookmarkStart w:id="74" w:name="_Toc3795960"/>
      <w:bookmarkStart w:id="75" w:name="_Toc524494379"/>
      <w:bookmarkStart w:id="76" w:name="_Toc3796818"/>
      <w:bookmarkStart w:id="77" w:name="_Toc524342619"/>
      <w:bookmarkStart w:id="78" w:name="_Toc524457335"/>
      <w:bookmarkStart w:id="79" w:name="_Toc525376782"/>
      <w:bookmarkStart w:id="80" w:name="_Toc524491067"/>
      <w:bookmarkStart w:id="81" w:name="_Toc524494157"/>
      <w:bookmarkStart w:id="82" w:name="_Toc524341747"/>
      <w:bookmarkStart w:id="83" w:name="_Toc525397564"/>
      <w:bookmarkStart w:id="84" w:name="_Toc7600016"/>
      <w:bookmarkStart w:id="85" w:name="_Toc524439525"/>
      <w:bookmarkStart w:id="86" w:name="_Toc7867452"/>
      <w:bookmarkStart w:id="87" w:name="_Toc524333033"/>
      <w:bookmarkStart w:id="88" w:name="_Toc6311278"/>
      <w:r>
        <w:rPr>
          <w:rFonts w:hint="eastAsia" w:ascii="宋体" w:hAnsi="宋体" w:eastAsia="宋体"/>
          <w:b/>
          <w:bCs/>
          <w:sz w:val="21"/>
        </w:rPr>
        <w:t>3、 合同文件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17"/>
        <w:ind w:firstLine="420" w:firstLineChars="200"/>
        <w:rPr>
          <w:rFonts w:hAnsi="宋体"/>
        </w:rPr>
      </w:pPr>
      <w:r>
        <w:rPr>
          <w:rFonts w:hint="eastAsia" w:hAnsi="宋体"/>
        </w:rPr>
        <w:t>3.1 下列文件是本合同组成部分，具有经济合同的法律效力。</w:t>
      </w:r>
    </w:p>
    <w:p>
      <w:pPr>
        <w:spacing w:line="360" w:lineRule="auto"/>
        <w:ind w:firstLine="439"/>
        <w:rPr>
          <w:rFonts w:ascii="宋体" w:hAnsi="宋体"/>
          <w:szCs w:val="21"/>
        </w:rPr>
      </w:pPr>
      <w:bookmarkStart w:id="89" w:name="_Toc3795446"/>
      <w:bookmarkStart w:id="90" w:name="_Toc524491068"/>
      <w:bookmarkStart w:id="91" w:name="_Toc524458586"/>
      <w:bookmarkStart w:id="92" w:name="_Toc524493383"/>
      <w:bookmarkStart w:id="93" w:name="_Toc524747392"/>
      <w:bookmarkStart w:id="94" w:name="_Toc524439688"/>
      <w:bookmarkStart w:id="95" w:name="_Toc524689538"/>
      <w:bookmarkStart w:id="96" w:name="_Toc3795961"/>
      <w:bookmarkStart w:id="97" w:name="_Toc524342515"/>
      <w:bookmarkStart w:id="98" w:name="_Toc524333034"/>
      <w:bookmarkStart w:id="99" w:name="_Toc3796819"/>
      <w:bookmarkStart w:id="100" w:name="_Toc524332390"/>
      <w:bookmarkStart w:id="101" w:name="_Toc525011367"/>
      <w:bookmarkStart w:id="102" w:name="_Toc525397565"/>
      <w:bookmarkStart w:id="103" w:name="_Toc524516263"/>
      <w:bookmarkStart w:id="104" w:name="_Toc525376783"/>
      <w:bookmarkStart w:id="105" w:name="_Toc524847418"/>
      <w:bookmarkStart w:id="106" w:name="_Toc524495985"/>
      <w:bookmarkStart w:id="107" w:name="_Toc524452521"/>
      <w:bookmarkStart w:id="108" w:name="_Toc524494380"/>
      <w:bookmarkStart w:id="109" w:name="_Toc524342620"/>
      <w:bookmarkStart w:id="110" w:name="_Toc524847232"/>
      <w:bookmarkStart w:id="111" w:name="_Toc524516415"/>
      <w:bookmarkStart w:id="112" w:name="_Toc524341748"/>
      <w:bookmarkStart w:id="113" w:name="_Toc525200401"/>
      <w:bookmarkStart w:id="114" w:name="_Toc524746508"/>
      <w:bookmarkStart w:id="115" w:name="_Toc524404329"/>
      <w:bookmarkStart w:id="116" w:name="_Toc524342311"/>
      <w:bookmarkStart w:id="117" w:name="_Toc524494158"/>
      <w:bookmarkStart w:id="118" w:name="_Toc524457336"/>
      <w:bookmarkStart w:id="119" w:name="_Toc524494774"/>
      <w:bookmarkStart w:id="120" w:name="_Toc524439526"/>
      <w:bookmarkStart w:id="121" w:name="_Toc524404070"/>
      <w:bookmarkStart w:id="122" w:name="_Toc524486445"/>
      <w:bookmarkStart w:id="123" w:name="_Toc524495508"/>
      <w:r>
        <w:rPr>
          <w:rFonts w:hint="eastAsia" w:ascii="宋体" w:hAnsi="宋体"/>
          <w:szCs w:val="21"/>
        </w:rPr>
        <w:t>（1）本协议书及各种合同附件（含评标期间和合同谈判过程中的澄清文件和补充资料）；</w:t>
      </w:r>
    </w:p>
    <w:p>
      <w:pPr>
        <w:spacing w:line="360" w:lineRule="auto"/>
        <w:ind w:firstLine="439"/>
        <w:rPr>
          <w:rFonts w:ascii="宋体" w:hAnsi="宋体"/>
          <w:szCs w:val="21"/>
        </w:rPr>
      </w:pPr>
      <w:r>
        <w:rPr>
          <w:rFonts w:hint="eastAsia" w:ascii="宋体" w:hAnsi="宋体"/>
          <w:szCs w:val="21"/>
        </w:rPr>
        <w:t>（2）中标通知书；</w:t>
      </w:r>
    </w:p>
    <w:p>
      <w:pPr>
        <w:spacing w:line="360" w:lineRule="auto"/>
        <w:ind w:firstLine="439"/>
        <w:rPr>
          <w:rFonts w:ascii="宋体" w:hAnsi="宋体"/>
          <w:szCs w:val="21"/>
        </w:rPr>
      </w:pPr>
      <w:r>
        <w:rPr>
          <w:rFonts w:hint="eastAsia" w:ascii="宋体" w:hAnsi="宋体"/>
          <w:szCs w:val="21"/>
        </w:rPr>
        <w:t>（3）投标函；</w:t>
      </w:r>
    </w:p>
    <w:p>
      <w:pPr>
        <w:spacing w:line="360" w:lineRule="auto"/>
        <w:ind w:firstLine="439"/>
        <w:rPr>
          <w:rFonts w:ascii="宋体" w:hAnsi="宋体"/>
          <w:szCs w:val="21"/>
        </w:rPr>
      </w:pPr>
      <w:r>
        <w:rPr>
          <w:rFonts w:hint="eastAsia" w:ascii="宋体" w:hAnsi="宋体"/>
          <w:szCs w:val="21"/>
        </w:rPr>
        <w:t>（4）合同条款；</w:t>
      </w:r>
    </w:p>
    <w:p>
      <w:pPr>
        <w:spacing w:line="360" w:lineRule="auto"/>
        <w:ind w:firstLine="439"/>
        <w:rPr>
          <w:rFonts w:ascii="宋体" w:hAnsi="宋体"/>
          <w:szCs w:val="21"/>
        </w:rPr>
      </w:pPr>
      <w:r>
        <w:rPr>
          <w:rFonts w:hint="eastAsia" w:ascii="宋体" w:hAnsi="宋体"/>
          <w:szCs w:val="21"/>
        </w:rPr>
        <w:t>（5）技术需求；</w:t>
      </w:r>
    </w:p>
    <w:p>
      <w:pPr>
        <w:spacing w:line="360" w:lineRule="auto"/>
        <w:ind w:firstLine="439"/>
        <w:rPr>
          <w:rFonts w:ascii="宋体" w:hAnsi="宋体"/>
          <w:szCs w:val="21"/>
        </w:rPr>
      </w:pPr>
      <w:r>
        <w:rPr>
          <w:rFonts w:hint="eastAsia" w:ascii="宋体" w:hAnsi="宋体"/>
          <w:szCs w:val="21"/>
        </w:rPr>
        <w:t>（6）工程量清单；</w:t>
      </w:r>
    </w:p>
    <w:p>
      <w:pPr>
        <w:spacing w:line="360" w:lineRule="auto"/>
        <w:ind w:firstLine="439"/>
        <w:rPr>
          <w:rFonts w:ascii="宋体" w:hAnsi="宋体"/>
          <w:szCs w:val="21"/>
        </w:rPr>
      </w:pPr>
      <w:r>
        <w:rPr>
          <w:rFonts w:hint="eastAsia" w:ascii="宋体" w:hAnsi="宋体"/>
          <w:szCs w:val="21"/>
        </w:rPr>
        <w:t>（7）投标文件其他部分；</w:t>
      </w:r>
    </w:p>
    <w:p>
      <w:pPr>
        <w:spacing w:line="360" w:lineRule="auto"/>
        <w:ind w:firstLine="439"/>
        <w:rPr>
          <w:rFonts w:ascii="宋体" w:hAnsi="宋体"/>
          <w:szCs w:val="21"/>
        </w:rPr>
      </w:pPr>
      <w:r>
        <w:rPr>
          <w:rFonts w:hint="eastAsia" w:ascii="宋体" w:hAnsi="宋体"/>
          <w:szCs w:val="21"/>
        </w:rPr>
        <w:t>（8）其他构成合同的相关文件。</w:t>
      </w:r>
    </w:p>
    <w:p>
      <w:pPr>
        <w:spacing w:line="360" w:lineRule="auto"/>
        <w:ind w:firstLine="439"/>
        <w:rPr>
          <w:rFonts w:ascii="宋体" w:hAnsi="宋体"/>
          <w:szCs w:val="21"/>
        </w:rPr>
      </w:pPr>
      <w:r>
        <w:rPr>
          <w:rFonts w:hint="eastAsia" w:hAnsi="宋体"/>
        </w:rPr>
        <w:t>3.2  组成合同的各个文件应被认为是一个整体，彼此互相解释，互相补充，如果出现相互矛盾的情况，组成合同的各个文件的优先支配地位的次序按上款所列顺序为准。</w:t>
      </w:r>
    </w:p>
    <w:p>
      <w:pPr>
        <w:pStyle w:val="5"/>
        <w:keepLines/>
        <w:tabs>
          <w:tab w:val="left" w:pos="1391"/>
        </w:tabs>
        <w:spacing w:before="160" w:after="120" w:line="360" w:lineRule="auto"/>
        <w:jc w:val="both"/>
        <w:rPr>
          <w:rFonts w:ascii="宋体" w:hAnsi="宋体" w:eastAsia="宋体"/>
          <w:b/>
          <w:bCs/>
          <w:sz w:val="21"/>
        </w:rPr>
      </w:pPr>
      <w:bookmarkStart w:id="124" w:name="_Toc7867453"/>
      <w:bookmarkStart w:id="125" w:name="_Toc6311279"/>
      <w:bookmarkStart w:id="126" w:name="_Toc7599786"/>
      <w:bookmarkStart w:id="127" w:name="_Toc7600017"/>
      <w:r>
        <w:rPr>
          <w:rFonts w:hint="eastAsia" w:ascii="宋体" w:hAnsi="宋体" w:eastAsia="宋体"/>
          <w:b/>
          <w:bCs/>
          <w:sz w:val="21"/>
        </w:rPr>
        <w:t>4、 书面通知</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17"/>
        <w:ind w:firstLine="420" w:firstLineChars="200"/>
        <w:rPr>
          <w:rFonts w:hAnsi="宋体"/>
        </w:rPr>
      </w:pPr>
      <w:r>
        <w:rPr>
          <w:rFonts w:hint="eastAsia" w:hAnsi="宋体"/>
        </w:rPr>
        <w:t>4.1  合同文件是一个整体，其内容互为补充。图纸和文字发生矛盾时以文字说明为准。如有意义不明确，则由业主指定的技术人员或总监理工程师负责解释。在合同实施过程中，合同双方的一切联系、通知，均应以书面为准。</w:t>
      </w:r>
    </w:p>
    <w:p>
      <w:pPr>
        <w:pStyle w:val="17"/>
        <w:ind w:firstLine="420" w:firstLineChars="200"/>
        <w:rPr>
          <w:rFonts w:hAnsi="宋体"/>
        </w:rPr>
      </w:pPr>
      <w:r>
        <w:rPr>
          <w:rFonts w:hint="eastAsia" w:hAnsi="宋体"/>
        </w:rPr>
        <w:t>4.2  业主签署的方案修改通知、验收证书以及业主和承包人共同签署的其他文件，都属于合同的补充文件。</w:t>
      </w:r>
    </w:p>
    <w:p>
      <w:pPr>
        <w:pStyle w:val="5"/>
        <w:keepLines/>
        <w:tabs>
          <w:tab w:val="left" w:pos="1391"/>
        </w:tabs>
        <w:spacing w:before="160" w:after="120" w:line="360" w:lineRule="auto"/>
        <w:jc w:val="both"/>
        <w:rPr>
          <w:rFonts w:ascii="宋体" w:hAnsi="宋体" w:eastAsia="宋体"/>
          <w:b/>
          <w:bCs/>
          <w:sz w:val="21"/>
        </w:rPr>
      </w:pPr>
      <w:r>
        <w:rPr>
          <w:rFonts w:hint="eastAsia" w:ascii="宋体" w:hAnsi="宋体" w:eastAsia="宋体"/>
          <w:b/>
          <w:bCs/>
          <w:sz w:val="21"/>
        </w:rPr>
        <w:t>5、 转让和分包</w:t>
      </w:r>
    </w:p>
    <w:p>
      <w:pPr>
        <w:pStyle w:val="17"/>
        <w:ind w:left="210" w:leftChars="100" w:firstLine="210" w:firstLineChars="100"/>
        <w:rPr>
          <w:rFonts w:hAnsi="宋体"/>
        </w:rPr>
      </w:pPr>
      <w:r>
        <w:rPr>
          <w:rFonts w:hint="eastAsia" w:hAnsi="宋体"/>
        </w:rPr>
        <w:t>5.1 非经业主批准，承包人不得将本合同擅自转让或分包。</w:t>
      </w:r>
    </w:p>
    <w:p>
      <w:pPr>
        <w:pStyle w:val="5"/>
        <w:tabs>
          <w:tab w:val="left" w:pos="1391"/>
        </w:tabs>
        <w:spacing w:line="360" w:lineRule="auto"/>
        <w:jc w:val="left"/>
        <w:rPr>
          <w:rFonts w:ascii="宋体" w:hAnsi="宋体"/>
          <w:sz w:val="21"/>
        </w:rPr>
      </w:pPr>
      <w:r>
        <w:rPr>
          <w:rFonts w:hint="eastAsia" w:ascii="宋体" w:hAnsi="宋体" w:eastAsia="宋体"/>
          <w:b/>
          <w:bCs/>
          <w:sz w:val="21"/>
        </w:rPr>
        <w:t>6、业主的责任与义务</w:t>
      </w:r>
    </w:p>
    <w:p>
      <w:pPr>
        <w:spacing w:line="360" w:lineRule="auto"/>
        <w:ind w:firstLine="420" w:firstLineChars="200"/>
        <w:textAlignment w:val="bottom"/>
        <w:rPr>
          <w:szCs w:val="21"/>
        </w:rPr>
      </w:pPr>
      <w:r>
        <w:rPr>
          <w:rFonts w:hint="eastAsia" w:ascii="宋体" w:hAnsi="宋体"/>
          <w:szCs w:val="21"/>
        </w:rPr>
        <w:t xml:space="preserve">6.1 </w:t>
      </w:r>
      <w:r>
        <w:rPr>
          <w:rFonts w:hint="eastAsia"/>
          <w:szCs w:val="21"/>
        </w:rPr>
        <w:t>业主应严格履行合同有关规定，及时支付项目经费</w:t>
      </w:r>
      <w:r>
        <w:rPr>
          <w:szCs w:val="21"/>
        </w:rPr>
        <w:t>。</w:t>
      </w:r>
    </w:p>
    <w:p>
      <w:pPr>
        <w:spacing w:line="360" w:lineRule="auto"/>
        <w:ind w:firstLine="420" w:firstLineChars="200"/>
        <w:textAlignment w:val="bottom"/>
        <w:rPr>
          <w:szCs w:val="21"/>
        </w:rPr>
      </w:pPr>
      <w:r>
        <w:rPr>
          <w:rFonts w:hint="eastAsia" w:ascii="宋体" w:hAnsi="宋体"/>
          <w:szCs w:val="21"/>
        </w:rPr>
        <w:t xml:space="preserve">6.2 </w:t>
      </w:r>
      <w:r>
        <w:rPr>
          <w:rFonts w:hint="eastAsia"/>
          <w:szCs w:val="21"/>
        </w:rPr>
        <w:t>业主应向承包人提供开展项目工作所需要的资料、文件及原始数据等，并对提供的原始资料的可靠性负责</w:t>
      </w:r>
      <w:r>
        <w:rPr>
          <w:szCs w:val="21"/>
        </w:rPr>
        <w:t>。</w:t>
      </w:r>
    </w:p>
    <w:p>
      <w:pPr>
        <w:spacing w:line="360" w:lineRule="auto"/>
        <w:ind w:firstLine="420" w:firstLineChars="200"/>
        <w:textAlignment w:val="bottom"/>
        <w:rPr>
          <w:szCs w:val="21"/>
        </w:rPr>
      </w:pPr>
      <w:r>
        <w:rPr>
          <w:rFonts w:hint="eastAsia" w:ascii="宋体" w:hAnsi="宋体"/>
          <w:szCs w:val="21"/>
        </w:rPr>
        <w:t xml:space="preserve">6.3 </w:t>
      </w:r>
      <w:r>
        <w:rPr>
          <w:rFonts w:hint="eastAsia"/>
          <w:szCs w:val="21"/>
        </w:rPr>
        <w:t>在承包人员进入现场进行调试作业时，业主应予以配合，并提供必要的协助</w:t>
      </w:r>
      <w:r>
        <w:rPr>
          <w:szCs w:val="21"/>
        </w:rPr>
        <w:t>，</w:t>
      </w:r>
      <w:r>
        <w:rPr>
          <w:rFonts w:hint="eastAsia"/>
          <w:szCs w:val="21"/>
        </w:rPr>
        <w:t>但并不免除承包人根据本合同规定应负的责任。</w:t>
      </w:r>
    </w:p>
    <w:p>
      <w:pPr>
        <w:pStyle w:val="17"/>
        <w:ind w:firstLine="420" w:firstLineChars="200"/>
        <w:rPr>
          <w:rFonts w:hAnsi="宋体"/>
        </w:rPr>
      </w:pPr>
      <w:r>
        <w:rPr>
          <w:rFonts w:hint="eastAsia" w:hAnsi="宋体"/>
        </w:rPr>
        <w:t>6.4 在履行本合同过程中，业主有权在技术问题上作出履行本合同规定的决定，有权为此签署证书和发布通知，对此，承包人不得拒绝。</w:t>
      </w:r>
    </w:p>
    <w:p>
      <w:pPr>
        <w:pStyle w:val="17"/>
        <w:ind w:firstLine="420" w:firstLineChars="200"/>
        <w:rPr>
          <w:rFonts w:hAnsi="宋体"/>
        </w:rPr>
      </w:pPr>
      <w:r>
        <w:rPr>
          <w:rFonts w:hint="eastAsia" w:hAnsi="宋体"/>
        </w:rPr>
        <w:t xml:space="preserve">6.5  </w:t>
      </w:r>
      <w:r>
        <w:rPr>
          <w:rFonts w:hint="eastAsia"/>
        </w:rPr>
        <w:t>总监理工程师受</w:t>
      </w:r>
      <w:r>
        <w:rPr>
          <w:rFonts w:hint="eastAsia" w:hAnsi="宋体"/>
        </w:rPr>
        <w:t>业主指派负责监督项目的实施、检查所有用于项目的设备及采用技术是否符合技术规范或设计要求。</w:t>
      </w:r>
    </w:p>
    <w:p>
      <w:pPr>
        <w:pStyle w:val="17"/>
        <w:ind w:firstLine="420" w:firstLineChars="200"/>
        <w:rPr>
          <w:rFonts w:hAnsi="宋体"/>
        </w:rPr>
      </w:pPr>
      <w:r>
        <w:rPr>
          <w:rFonts w:hint="eastAsia" w:hAnsi="宋体"/>
        </w:rPr>
        <w:t>6.6  业主或监理人有权要求承包人撤换不胜任的或干扰本项目顺利进行的任何人员、直至项目负责人，承包人不得拒绝。</w:t>
      </w:r>
    </w:p>
    <w:p>
      <w:pPr>
        <w:spacing w:line="360" w:lineRule="auto"/>
        <w:ind w:firstLine="420" w:firstLineChars="200"/>
        <w:textAlignment w:val="bottom"/>
        <w:rPr>
          <w:szCs w:val="21"/>
        </w:rPr>
      </w:pPr>
      <w:r>
        <w:rPr>
          <w:rFonts w:hint="eastAsia" w:ascii="宋体" w:hAnsi="宋体"/>
          <w:szCs w:val="21"/>
        </w:rPr>
        <w:t xml:space="preserve">6.7 </w:t>
      </w:r>
      <w:r>
        <w:rPr>
          <w:rFonts w:hint="eastAsia"/>
          <w:szCs w:val="21"/>
        </w:rPr>
        <w:t>业主应认真组织专家或委托咨询审查单位分阶段对需求分析文件、设计文件、开发成果进行审查，并负责向承包人提供审查意见</w:t>
      </w:r>
      <w:r>
        <w:rPr>
          <w:szCs w:val="21"/>
        </w:rPr>
        <w:t>，</w:t>
      </w:r>
      <w:r>
        <w:rPr>
          <w:rFonts w:hint="eastAsia"/>
          <w:szCs w:val="21"/>
        </w:rPr>
        <w:t>对在贯彻落实审查意见时提出的有关问题应及时认真予以解答</w:t>
      </w:r>
      <w:r>
        <w:rPr>
          <w:szCs w:val="21"/>
        </w:rPr>
        <w:t>。</w:t>
      </w:r>
    </w:p>
    <w:p>
      <w:pPr>
        <w:spacing w:line="360" w:lineRule="auto"/>
        <w:ind w:firstLine="420" w:firstLineChars="200"/>
        <w:textAlignment w:val="bottom"/>
        <w:rPr>
          <w:szCs w:val="21"/>
        </w:rPr>
      </w:pPr>
      <w:r>
        <w:rPr>
          <w:rFonts w:hint="eastAsia" w:ascii="宋体" w:hAnsi="宋体"/>
          <w:szCs w:val="21"/>
        </w:rPr>
        <w:t xml:space="preserve">6.8 </w:t>
      </w:r>
      <w:r>
        <w:rPr>
          <w:rFonts w:hint="eastAsia"/>
          <w:szCs w:val="21"/>
        </w:rPr>
        <w:t>由于执行业主的书面指令而造成质量事故应由业主承担责任，但不免除承包人的责任。</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7、承包人的责任与义务</w:t>
      </w:r>
    </w:p>
    <w:p>
      <w:pPr>
        <w:spacing w:line="360" w:lineRule="auto"/>
        <w:ind w:firstLine="420" w:firstLineChars="200"/>
        <w:textAlignment w:val="bottom"/>
        <w:rPr>
          <w:szCs w:val="21"/>
        </w:rPr>
      </w:pPr>
      <w:r>
        <w:rPr>
          <w:rFonts w:hint="eastAsia" w:ascii="宋体" w:hAnsi="宋体"/>
          <w:szCs w:val="21"/>
        </w:rPr>
        <w:t xml:space="preserve">7.1 </w:t>
      </w:r>
      <w:r>
        <w:rPr>
          <w:rFonts w:hint="eastAsia"/>
          <w:szCs w:val="21"/>
        </w:rPr>
        <w:t>承包人应按文件的要求，提供技术支持服务。并按招标文件要求，提供相应成果文件。</w:t>
      </w:r>
    </w:p>
    <w:p>
      <w:pPr>
        <w:spacing w:line="360" w:lineRule="auto"/>
        <w:ind w:firstLine="420" w:firstLineChars="200"/>
        <w:textAlignment w:val="bottom"/>
        <w:rPr>
          <w:szCs w:val="21"/>
        </w:rPr>
      </w:pPr>
      <w:r>
        <w:rPr>
          <w:rFonts w:hint="eastAsia"/>
          <w:szCs w:val="21"/>
        </w:rPr>
        <w:t>对项目具体的技术要求详见“第3章 项目需求”。</w:t>
      </w:r>
    </w:p>
    <w:p>
      <w:pPr>
        <w:spacing w:line="360" w:lineRule="auto"/>
        <w:ind w:firstLine="420" w:firstLineChars="200"/>
        <w:textAlignment w:val="bottom"/>
        <w:rPr>
          <w:szCs w:val="21"/>
        </w:rPr>
      </w:pPr>
      <w:r>
        <w:rPr>
          <w:rFonts w:hint="eastAsia" w:ascii="宋体" w:hAnsi="宋体"/>
          <w:szCs w:val="21"/>
        </w:rPr>
        <w:t>7</w:t>
      </w:r>
      <w:r>
        <w:rPr>
          <w:rFonts w:ascii="宋体" w:hAnsi="宋体"/>
          <w:szCs w:val="21"/>
        </w:rPr>
        <w:t>.</w:t>
      </w:r>
      <w:r>
        <w:rPr>
          <w:rFonts w:hint="eastAsia" w:ascii="宋体" w:hAnsi="宋体"/>
          <w:szCs w:val="21"/>
        </w:rPr>
        <w:t>2</w:t>
      </w:r>
      <w:r>
        <w:rPr>
          <w:rFonts w:hint="eastAsia"/>
          <w:szCs w:val="21"/>
        </w:rPr>
        <w:t>承包人应按业主要求的数量提供所有必需阶段性或成果性报告，接受业主组织的审查，并对相关问题作出澄清和解答，并根据审查结果进行相应的修改。</w:t>
      </w:r>
    </w:p>
    <w:p>
      <w:pPr>
        <w:spacing w:line="360" w:lineRule="auto"/>
        <w:ind w:firstLine="420" w:firstLineChars="200"/>
        <w:textAlignment w:val="bottom"/>
        <w:rPr>
          <w:rFonts w:ascii="宋体" w:hAnsi="宋体"/>
          <w:szCs w:val="21"/>
        </w:rPr>
      </w:pPr>
      <w:r>
        <w:rPr>
          <w:rFonts w:hint="eastAsia" w:ascii="宋体" w:hAnsi="宋体"/>
          <w:szCs w:val="21"/>
        </w:rPr>
        <w:t>7.3 人员保证与变更</w:t>
      </w:r>
    </w:p>
    <w:p>
      <w:pPr>
        <w:spacing w:line="360" w:lineRule="auto"/>
        <w:ind w:firstLine="420" w:firstLineChars="200"/>
        <w:textAlignment w:val="bottom"/>
        <w:rPr>
          <w:szCs w:val="21"/>
        </w:rPr>
      </w:pPr>
      <w:r>
        <w:rPr>
          <w:rFonts w:hint="eastAsia"/>
          <w:szCs w:val="21"/>
        </w:rPr>
        <w:t>（1）承包人应安排投标书中承诺的人员投入工作，并在过程中和服务期内保持人员的相对稳定</w:t>
      </w:r>
      <w:r>
        <w:rPr>
          <w:szCs w:val="21"/>
        </w:rPr>
        <w:t>。</w:t>
      </w:r>
    </w:p>
    <w:p>
      <w:pPr>
        <w:spacing w:line="360" w:lineRule="auto"/>
        <w:ind w:firstLine="420" w:firstLineChars="200"/>
        <w:textAlignment w:val="bottom"/>
        <w:rPr>
          <w:szCs w:val="21"/>
        </w:rPr>
      </w:pPr>
      <w:r>
        <w:rPr>
          <w:szCs w:val="21"/>
        </w:rPr>
        <w:t xml:space="preserve">（2） </w:t>
      </w:r>
      <w:r>
        <w:rPr>
          <w:rFonts w:hint="eastAsia"/>
          <w:szCs w:val="21"/>
        </w:rPr>
        <w:t>如果承包人的人员不能胜任工作、渎职或从事其他违法活动，业主有权以书面形式提出更换要求，承包人应立即派出具有同等资历的人员替换；若非因上述原因，承包人有权拒绝</w:t>
      </w:r>
      <w:r>
        <w:rPr>
          <w:szCs w:val="21"/>
        </w:rPr>
        <w:t>。</w:t>
      </w:r>
      <w:r>
        <w:rPr>
          <w:rFonts w:hint="eastAsia"/>
          <w:szCs w:val="21"/>
        </w:rPr>
        <w:t>承包人在事先取得业主的同意后可以更换他所派人员，但应符合合同规定的资历要求，否则，业主有权拒绝</w:t>
      </w:r>
      <w:r>
        <w:rPr>
          <w:szCs w:val="21"/>
        </w:rPr>
        <w:t>。</w:t>
      </w:r>
    </w:p>
    <w:p>
      <w:pPr>
        <w:spacing w:line="360" w:lineRule="auto"/>
        <w:ind w:firstLine="420" w:firstLineChars="200"/>
        <w:textAlignment w:val="bottom"/>
        <w:rPr>
          <w:szCs w:val="21"/>
        </w:rPr>
      </w:pPr>
      <w:r>
        <w:rPr>
          <w:rFonts w:hint="eastAsia"/>
          <w:szCs w:val="21"/>
        </w:rPr>
        <w:t>（3）承包人的工作进度没有达到投标书中承诺的进度计划时，业主有权提出要求增加研究人员，承包人应立即安排，其费用被认为已包含在合同价格之中</w:t>
      </w:r>
      <w:r>
        <w:rPr>
          <w:szCs w:val="21"/>
        </w:rPr>
        <w:t>。</w:t>
      </w:r>
    </w:p>
    <w:p>
      <w:pPr>
        <w:spacing w:line="360" w:lineRule="auto"/>
        <w:ind w:firstLine="420" w:firstLineChars="200"/>
        <w:textAlignment w:val="bottom"/>
        <w:rPr>
          <w:szCs w:val="21"/>
        </w:rPr>
      </w:pPr>
      <w:r>
        <w:rPr>
          <w:rFonts w:hint="eastAsia"/>
          <w:szCs w:val="21"/>
        </w:rPr>
        <w:t>（4） 由于业主提出加快工作进度，提前完成本项工作而增加人员时，其费用应另外计列</w:t>
      </w:r>
      <w:r>
        <w:rPr>
          <w:szCs w:val="21"/>
        </w:rPr>
        <w:t>。</w:t>
      </w:r>
    </w:p>
    <w:p>
      <w:pPr>
        <w:spacing w:line="360" w:lineRule="auto"/>
        <w:ind w:firstLine="420" w:firstLineChars="200"/>
        <w:textAlignment w:val="bottom"/>
        <w:rPr>
          <w:szCs w:val="21"/>
        </w:rPr>
      </w:pPr>
      <w:r>
        <w:rPr>
          <w:rFonts w:hint="eastAsia" w:ascii="宋体" w:hAnsi="宋体"/>
          <w:szCs w:val="21"/>
        </w:rPr>
        <w:t>7</w:t>
      </w:r>
      <w:r>
        <w:rPr>
          <w:rFonts w:ascii="宋体" w:hAnsi="宋体"/>
          <w:szCs w:val="21"/>
        </w:rPr>
        <w:t>.</w:t>
      </w:r>
      <w:r>
        <w:rPr>
          <w:rFonts w:hint="eastAsia" w:ascii="宋体" w:hAnsi="宋体"/>
          <w:szCs w:val="21"/>
        </w:rPr>
        <w:t xml:space="preserve">4 </w:t>
      </w:r>
      <w:r>
        <w:rPr>
          <w:rFonts w:hint="eastAsia"/>
          <w:szCs w:val="21"/>
        </w:rPr>
        <w:t>承包人在项目建设过程中，如果因其采用的技术方案等方面发生侵犯专利权的行为而引起索赔或诉讼，则承包人应承担全部责任，并保障业主免于承担由此造成的一切损害和损失。承包人采用其它未中标人投标文件中技术方案的应当征得未中标人的书面同意，并支付合理的使用费。</w:t>
      </w:r>
    </w:p>
    <w:p>
      <w:pPr>
        <w:spacing w:line="360" w:lineRule="auto"/>
        <w:ind w:firstLine="420" w:firstLineChars="200"/>
        <w:textAlignment w:val="bottom"/>
        <w:rPr>
          <w:szCs w:val="21"/>
        </w:rPr>
      </w:pPr>
      <w:r>
        <w:rPr>
          <w:rFonts w:hint="eastAsia" w:ascii="宋体" w:hAnsi="宋体"/>
          <w:szCs w:val="21"/>
        </w:rPr>
        <w:t>7</w:t>
      </w:r>
      <w:r>
        <w:rPr>
          <w:rFonts w:ascii="宋体" w:hAnsi="宋体"/>
          <w:szCs w:val="21"/>
        </w:rPr>
        <w:t>.</w:t>
      </w:r>
      <w:r>
        <w:rPr>
          <w:rFonts w:hint="eastAsia" w:ascii="宋体" w:hAnsi="宋体"/>
          <w:szCs w:val="21"/>
        </w:rPr>
        <w:t>5</w:t>
      </w:r>
      <w:r>
        <w:rPr>
          <w:rFonts w:hint="eastAsia"/>
          <w:szCs w:val="21"/>
        </w:rPr>
        <w:t xml:space="preserve"> 除在工作过程中做出决策和指导需承担责任外，承包人对其工作范围外的工作或工程不承担任何责任。</w:t>
      </w:r>
    </w:p>
    <w:p>
      <w:pPr>
        <w:spacing w:line="360" w:lineRule="auto"/>
        <w:ind w:firstLine="420" w:firstLineChars="200"/>
        <w:textAlignment w:val="bottom"/>
        <w:rPr>
          <w:szCs w:val="21"/>
        </w:rPr>
      </w:pPr>
      <w:r>
        <w:rPr>
          <w:rFonts w:hint="eastAsia" w:ascii="宋体" w:hAnsi="宋体"/>
          <w:szCs w:val="21"/>
        </w:rPr>
        <w:t>7</w:t>
      </w:r>
      <w:r>
        <w:rPr>
          <w:rFonts w:ascii="宋体" w:hAnsi="宋体"/>
          <w:szCs w:val="21"/>
        </w:rPr>
        <w:t>.</w:t>
      </w:r>
      <w:r>
        <w:rPr>
          <w:rFonts w:hint="eastAsia" w:ascii="宋体" w:hAnsi="宋体"/>
          <w:szCs w:val="21"/>
        </w:rPr>
        <w:t xml:space="preserve">6 </w:t>
      </w:r>
      <w:r>
        <w:rPr>
          <w:rFonts w:hint="eastAsia"/>
          <w:szCs w:val="21"/>
        </w:rPr>
        <w:t>对于承包人在工作过程中发生的人员伤亡或财产损失，或者造成第三方的人员伤亡或财产损失或由此而引起的其他一切损害和损失，业主均不承担责任。</w:t>
      </w:r>
    </w:p>
    <w:p>
      <w:pPr>
        <w:pStyle w:val="4"/>
        <w:rPr>
          <w:rFonts w:ascii="宋体" w:hAnsi="宋体"/>
          <w:sz w:val="21"/>
          <w:szCs w:val="21"/>
        </w:rPr>
      </w:pPr>
      <w:bookmarkStart w:id="128" w:name="_Toc37246799"/>
      <w:bookmarkStart w:id="129" w:name="_Toc6311280"/>
      <w:bookmarkStart w:id="130" w:name="_Toc7599787"/>
      <w:bookmarkStart w:id="131" w:name="_Toc7600018"/>
      <w:bookmarkStart w:id="132" w:name="_Toc7867454"/>
      <w:r>
        <w:rPr>
          <w:rFonts w:hint="eastAsia" w:ascii="宋体" w:hAnsi="宋体"/>
          <w:sz w:val="21"/>
          <w:szCs w:val="21"/>
        </w:rPr>
        <w:t>三、合同的实施</w:t>
      </w:r>
      <w:bookmarkEnd w:id="128"/>
      <w:bookmarkEnd w:id="129"/>
      <w:bookmarkEnd w:id="130"/>
      <w:bookmarkEnd w:id="131"/>
      <w:bookmarkEnd w:id="132"/>
    </w:p>
    <w:p>
      <w:pPr>
        <w:pStyle w:val="5"/>
        <w:tabs>
          <w:tab w:val="left" w:pos="1391"/>
        </w:tabs>
        <w:spacing w:line="360" w:lineRule="auto"/>
        <w:jc w:val="left"/>
        <w:rPr>
          <w:rFonts w:ascii="宋体" w:hAnsi="宋体" w:eastAsia="宋体"/>
          <w:b/>
          <w:bCs/>
          <w:sz w:val="21"/>
        </w:rPr>
      </w:pPr>
      <w:bookmarkStart w:id="133" w:name="_Toc524457339"/>
      <w:bookmarkStart w:id="134" w:name="_Toc524341751"/>
      <w:bookmarkStart w:id="135" w:name="_Toc524404332"/>
      <w:bookmarkStart w:id="136" w:name="_Toc3796820"/>
      <w:bookmarkStart w:id="137" w:name="_Toc524332393"/>
      <w:bookmarkStart w:id="138" w:name="_Toc7867455"/>
      <w:bookmarkStart w:id="139" w:name="_Toc524342623"/>
      <w:bookmarkStart w:id="140" w:name="_Toc524342314"/>
      <w:bookmarkStart w:id="141" w:name="_Toc524494161"/>
      <w:bookmarkStart w:id="142" w:name="_Toc524746511"/>
      <w:bookmarkStart w:id="143" w:name="_Toc524493386"/>
      <w:bookmarkStart w:id="144" w:name="_Toc524439691"/>
      <w:bookmarkStart w:id="145" w:name="_Toc525376786"/>
      <w:bookmarkStart w:id="146" w:name="_Toc525200404"/>
      <w:bookmarkStart w:id="147" w:name="_Toc524458589"/>
      <w:bookmarkStart w:id="148" w:name="_Toc524439529"/>
      <w:bookmarkStart w:id="149" w:name="_Toc524491071"/>
      <w:bookmarkStart w:id="150" w:name="_Toc3795962"/>
      <w:bookmarkStart w:id="151" w:name="_Toc524494777"/>
      <w:bookmarkStart w:id="152" w:name="_Toc524342518"/>
      <w:bookmarkStart w:id="153" w:name="_Toc524847421"/>
      <w:bookmarkStart w:id="154" w:name="_Toc3795447"/>
      <w:bookmarkStart w:id="155" w:name="_Toc524847235"/>
      <w:bookmarkStart w:id="156" w:name="_Toc524516266"/>
      <w:bookmarkStart w:id="157" w:name="_Toc524404073"/>
      <w:bookmarkStart w:id="158" w:name="_Toc524516418"/>
      <w:bookmarkStart w:id="159" w:name="_Toc524495988"/>
      <w:bookmarkStart w:id="160" w:name="_Toc524747395"/>
      <w:bookmarkStart w:id="161" w:name="_Toc7599788"/>
      <w:bookmarkStart w:id="162" w:name="_Toc524689541"/>
      <w:bookmarkStart w:id="163" w:name="_Toc525011370"/>
      <w:bookmarkStart w:id="164" w:name="_Toc524486448"/>
      <w:bookmarkStart w:id="165" w:name="_Toc7600019"/>
      <w:bookmarkStart w:id="166" w:name="_Toc6311281"/>
      <w:bookmarkStart w:id="167" w:name="_Toc524495511"/>
      <w:bookmarkStart w:id="168" w:name="_Toc524494383"/>
      <w:bookmarkStart w:id="169" w:name="_Toc525397568"/>
      <w:bookmarkStart w:id="170" w:name="_Toc524452524"/>
      <w:bookmarkStart w:id="171" w:name="_Toc524333037"/>
      <w:r>
        <w:rPr>
          <w:rFonts w:hint="eastAsia" w:ascii="宋体" w:hAnsi="宋体" w:eastAsia="宋体"/>
          <w:b/>
          <w:bCs/>
          <w:sz w:val="21"/>
        </w:rPr>
        <w:t>8、 踏勘现场</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17"/>
        <w:ind w:firstLine="420" w:firstLineChars="200"/>
        <w:rPr>
          <w:rFonts w:hAnsi="宋体"/>
        </w:rPr>
      </w:pPr>
      <w:r>
        <w:rPr>
          <w:rFonts w:hint="eastAsia" w:hAnsi="宋体"/>
        </w:rPr>
        <w:t>8.1  承包人对了解到的各种情况和业主在参观现场中提供的资料，可以做出自己的判断。但是，业主对承包人由此做出的推论、解释和结论概不承担任何责任，也不接受任何附加条件。</w:t>
      </w:r>
      <w:bookmarkStart w:id="172" w:name="_Toc3796821"/>
      <w:bookmarkStart w:id="173" w:name="_Toc3795448"/>
      <w:bookmarkStart w:id="174" w:name="_Toc525397569"/>
      <w:bookmarkStart w:id="175" w:name="_Toc3795963"/>
      <w:bookmarkStart w:id="176" w:name="_Toc525376787"/>
    </w:p>
    <w:p>
      <w:pPr>
        <w:pStyle w:val="17"/>
        <w:ind w:left="210" w:leftChars="100" w:firstLine="210" w:firstLineChars="100"/>
        <w:rPr>
          <w:rFonts w:hAnsi="宋体"/>
        </w:rPr>
      </w:pPr>
      <w:r>
        <w:rPr>
          <w:rFonts w:hint="eastAsia" w:hAnsi="宋体"/>
        </w:rPr>
        <w:t>8.2  承包人踏勘现场所发生的一切费用由承包人自行负责。</w:t>
      </w:r>
    </w:p>
    <w:p>
      <w:pPr>
        <w:pStyle w:val="5"/>
        <w:tabs>
          <w:tab w:val="left" w:pos="1391"/>
        </w:tabs>
        <w:spacing w:line="360" w:lineRule="auto"/>
        <w:jc w:val="left"/>
        <w:rPr>
          <w:rFonts w:ascii="宋体" w:hAnsi="宋体" w:eastAsia="宋体"/>
          <w:b/>
          <w:bCs/>
          <w:sz w:val="21"/>
        </w:rPr>
      </w:pPr>
      <w:bookmarkStart w:id="177" w:name="_Toc7599789"/>
      <w:bookmarkStart w:id="178" w:name="_Toc7867456"/>
      <w:bookmarkStart w:id="179" w:name="_Toc6311282"/>
      <w:bookmarkStart w:id="180" w:name="_Toc7600020"/>
      <w:r>
        <w:rPr>
          <w:rFonts w:hint="eastAsia" w:ascii="宋体" w:hAnsi="宋体" w:eastAsia="宋体"/>
          <w:b/>
          <w:bCs/>
          <w:sz w:val="21"/>
        </w:rPr>
        <w:t>9、 联合设计</w:t>
      </w:r>
      <w:bookmarkEnd w:id="172"/>
      <w:bookmarkEnd w:id="173"/>
      <w:bookmarkEnd w:id="174"/>
      <w:bookmarkEnd w:id="175"/>
      <w:bookmarkEnd w:id="176"/>
      <w:bookmarkEnd w:id="177"/>
      <w:bookmarkEnd w:id="178"/>
      <w:bookmarkEnd w:id="179"/>
      <w:bookmarkEnd w:id="180"/>
    </w:p>
    <w:p>
      <w:pPr>
        <w:pStyle w:val="17"/>
        <w:ind w:firstLine="420" w:firstLineChars="200"/>
        <w:rPr>
          <w:rFonts w:hAnsi="宋体"/>
        </w:rPr>
      </w:pPr>
      <w:r>
        <w:rPr>
          <w:rFonts w:hint="eastAsia" w:hAnsi="宋体"/>
        </w:rPr>
        <w:t>9.1  接到最终中标通知书的投标人，应在3天内派出项目负责人及技术负责人会同业主、总监理工程师进行一次联合设计，时间为不少于7天。</w:t>
      </w:r>
    </w:p>
    <w:p>
      <w:pPr>
        <w:pStyle w:val="17"/>
        <w:ind w:firstLine="420" w:firstLineChars="200"/>
        <w:rPr>
          <w:rFonts w:hAnsi="宋体"/>
        </w:rPr>
      </w:pPr>
      <w:r>
        <w:rPr>
          <w:rFonts w:hint="eastAsia" w:hAnsi="宋体"/>
        </w:rPr>
        <w:t>9.2  联合设计以承包人投标书中所提供的方案设计为基础，业主有权要求投标人根据业主实际情况及需要作修改，并最终经业主签字确认。</w:t>
      </w:r>
    </w:p>
    <w:p>
      <w:pPr>
        <w:pStyle w:val="5"/>
        <w:tabs>
          <w:tab w:val="left" w:pos="1391"/>
        </w:tabs>
        <w:spacing w:line="360" w:lineRule="auto"/>
        <w:jc w:val="left"/>
        <w:rPr>
          <w:rFonts w:ascii="宋体" w:hAnsi="宋体" w:eastAsia="宋体"/>
          <w:b/>
          <w:bCs/>
          <w:sz w:val="21"/>
        </w:rPr>
      </w:pPr>
      <w:bookmarkStart w:id="181" w:name="_Toc525397570"/>
      <w:bookmarkStart w:id="182" w:name="_Toc524491072"/>
      <w:bookmarkStart w:id="183" w:name="_Toc524457340"/>
      <w:bookmarkStart w:id="184" w:name="_Toc524747396"/>
      <w:bookmarkStart w:id="185" w:name="_Toc524495512"/>
      <w:bookmarkStart w:id="186" w:name="_Toc524332394"/>
      <w:bookmarkStart w:id="187" w:name="_Toc524516419"/>
      <w:bookmarkStart w:id="188" w:name="_Toc524689542"/>
      <w:bookmarkStart w:id="189" w:name="_Toc524439692"/>
      <w:bookmarkStart w:id="190" w:name="_Toc524494384"/>
      <w:bookmarkStart w:id="191" w:name="_Toc524439530"/>
      <w:bookmarkStart w:id="192" w:name="_Toc524847422"/>
      <w:bookmarkStart w:id="193" w:name="_Toc3796822"/>
      <w:bookmarkStart w:id="194" w:name="_Toc3795964"/>
      <w:bookmarkStart w:id="195" w:name="_Toc524452525"/>
      <w:bookmarkStart w:id="196" w:name="_Toc7599790"/>
      <w:bookmarkStart w:id="197" w:name="_Toc524404074"/>
      <w:bookmarkStart w:id="198" w:name="_Toc524342519"/>
      <w:bookmarkStart w:id="199" w:name="_Toc6311283"/>
      <w:bookmarkStart w:id="200" w:name="_Toc524746512"/>
      <w:bookmarkStart w:id="201" w:name="_Toc524516267"/>
      <w:bookmarkStart w:id="202" w:name="_Toc524341752"/>
      <w:bookmarkStart w:id="203" w:name="_Toc524494162"/>
      <w:bookmarkStart w:id="204" w:name="_Toc524333038"/>
      <w:bookmarkStart w:id="205" w:name="_Toc524847236"/>
      <w:bookmarkStart w:id="206" w:name="_Toc524458590"/>
      <w:bookmarkStart w:id="207" w:name="_Toc7600021"/>
      <w:bookmarkStart w:id="208" w:name="_Toc524494778"/>
      <w:bookmarkStart w:id="209" w:name="_Toc524493387"/>
      <w:bookmarkStart w:id="210" w:name="_Toc3795449"/>
      <w:bookmarkStart w:id="211" w:name="_Toc525376788"/>
      <w:bookmarkStart w:id="212" w:name="_Toc525011371"/>
      <w:bookmarkStart w:id="213" w:name="_Toc524342624"/>
      <w:bookmarkStart w:id="214" w:name="_Toc524404333"/>
      <w:bookmarkStart w:id="215" w:name="_Toc524486449"/>
      <w:bookmarkStart w:id="216" w:name="_Toc524342315"/>
      <w:bookmarkStart w:id="217" w:name="_Toc7867457"/>
      <w:bookmarkStart w:id="218" w:name="_Toc524495989"/>
      <w:bookmarkStart w:id="219" w:name="_Toc525200405"/>
      <w:r>
        <w:rPr>
          <w:rFonts w:hint="eastAsia" w:ascii="宋体" w:hAnsi="宋体" w:eastAsia="宋体"/>
          <w:b/>
          <w:bCs/>
          <w:sz w:val="21"/>
        </w:rPr>
        <w:t>10、 方案修改</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pStyle w:val="17"/>
        <w:ind w:left="210" w:leftChars="100" w:firstLine="210" w:firstLineChars="100"/>
        <w:rPr>
          <w:rFonts w:hAnsi="宋体"/>
        </w:rPr>
      </w:pPr>
      <w:r>
        <w:rPr>
          <w:rFonts w:hint="eastAsia" w:hAnsi="宋体"/>
        </w:rPr>
        <w:t>10.1  项目实施期间，业主签署的方案修改通知是合同的补充和完善，承包人不得拒绝。</w:t>
      </w:r>
    </w:p>
    <w:p>
      <w:pPr>
        <w:pStyle w:val="17"/>
        <w:ind w:firstLine="420" w:firstLineChars="200"/>
        <w:rPr>
          <w:rFonts w:hAnsi="宋体"/>
        </w:rPr>
      </w:pPr>
      <w:r>
        <w:rPr>
          <w:rFonts w:hint="eastAsia" w:hAnsi="宋体"/>
        </w:rPr>
        <w:t>10.2  除合同另有约定外，由于方案修改而引起本合同工作量清单中出现追加项目，或未增加工作项目只是工作数量增减时，均不调价，仍按合同总价予以计量。</w:t>
      </w:r>
    </w:p>
    <w:p>
      <w:pPr>
        <w:pStyle w:val="17"/>
        <w:ind w:left="210" w:leftChars="100" w:firstLine="210" w:firstLineChars="100"/>
        <w:rPr>
          <w:rFonts w:hAnsi="宋体"/>
        </w:rPr>
      </w:pPr>
      <w:r>
        <w:rPr>
          <w:rFonts w:hint="eastAsia" w:hAnsi="宋体"/>
        </w:rPr>
        <w:t>10.3  承包人不得以方案修改或工作量变化为理由，解除或修改其对合同规定的其他责任或义务。</w:t>
      </w:r>
    </w:p>
    <w:p>
      <w:pPr>
        <w:pStyle w:val="5"/>
        <w:tabs>
          <w:tab w:val="left" w:pos="1391"/>
        </w:tabs>
        <w:spacing w:line="360" w:lineRule="auto"/>
        <w:jc w:val="left"/>
        <w:rPr>
          <w:rFonts w:ascii="宋体" w:hAnsi="宋体" w:eastAsia="宋体"/>
          <w:b/>
          <w:bCs/>
          <w:sz w:val="21"/>
        </w:rPr>
      </w:pPr>
      <w:bookmarkStart w:id="220" w:name="_Toc524494388"/>
      <w:bookmarkStart w:id="221" w:name="_Toc524439534"/>
      <w:bookmarkStart w:id="222" w:name="_Toc524404337"/>
      <w:bookmarkStart w:id="223" w:name="_Toc524495993"/>
      <w:bookmarkStart w:id="224" w:name="_Toc524439696"/>
      <w:bookmarkStart w:id="225" w:name="_Toc7600022"/>
      <w:bookmarkStart w:id="226" w:name="_Toc524847240"/>
      <w:bookmarkStart w:id="227" w:name="_Toc524746516"/>
      <w:bookmarkStart w:id="228" w:name="_Toc524333042"/>
      <w:bookmarkStart w:id="229" w:name="_Toc3796823"/>
      <w:bookmarkStart w:id="230" w:name="_Toc525200409"/>
      <w:bookmarkStart w:id="231" w:name="_Toc524332398"/>
      <w:bookmarkStart w:id="232" w:name="_Toc524847426"/>
      <w:bookmarkStart w:id="233" w:name="_Toc7867458"/>
      <w:bookmarkStart w:id="234" w:name="_Toc524342523"/>
      <w:bookmarkStart w:id="235" w:name="_Toc524747400"/>
      <w:bookmarkStart w:id="236" w:name="_Toc524342628"/>
      <w:bookmarkStart w:id="237" w:name="_Toc524341756"/>
      <w:bookmarkStart w:id="238" w:name="_Toc7599791"/>
      <w:bookmarkStart w:id="239" w:name="_Toc525376792"/>
      <w:bookmarkStart w:id="240" w:name="_Toc524342319"/>
      <w:bookmarkStart w:id="241" w:name="_Toc3795450"/>
      <w:bookmarkStart w:id="242" w:name="_Toc524452529"/>
      <w:bookmarkStart w:id="243" w:name="_Toc524494166"/>
      <w:bookmarkStart w:id="244" w:name="_Toc6311284"/>
      <w:bookmarkStart w:id="245" w:name="_Toc524516271"/>
      <w:bookmarkStart w:id="246" w:name="_Toc525011375"/>
      <w:bookmarkStart w:id="247" w:name="_Toc524404078"/>
      <w:bookmarkStart w:id="248" w:name="_Toc3795965"/>
      <w:bookmarkStart w:id="249" w:name="_Toc524457344"/>
      <w:bookmarkStart w:id="250" w:name="_Toc524486453"/>
      <w:bookmarkStart w:id="251" w:name="_Toc524458594"/>
      <w:bookmarkStart w:id="252" w:name="_Toc524689546"/>
      <w:bookmarkStart w:id="253" w:name="_Toc525397574"/>
      <w:bookmarkStart w:id="254" w:name="_Toc524495516"/>
      <w:bookmarkStart w:id="255" w:name="_Toc524491076"/>
      <w:bookmarkStart w:id="256" w:name="_Toc524493391"/>
      <w:bookmarkStart w:id="257" w:name="_Toc524494782"/>
      <w:bookmarkStart w:id="258" w:name="_Toc524516423"/>
      <w:r>
        <w:rPr>
          <w:rFonts w:hint="eastAsia" w:ascii="宋体" w:hAnsi="宋体" w:eastAsia="宋体"/>
          <w:b/>
          <w:bCs/>
          <w:sz w:val="21"/>
        </w:rPr>
        <w:t>11、 交付使用期限</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snapToGrid w:val="0"/>
        <w:spacing w:line="360" w:lineRule="auto"/>
        <w:ind w:firstLine="420" w:firstLineChars="200"/>
        <w:rPr>
          <w:rFonts w:hAnsi="宋体"/>
        </w:rPr>
      </w:pPr>
      <w:r>
        <w:rPr>
          <w:rFonts w:hint="eastAsia" w:hAnsi="宋体"/>
        </w:rPr>
        <w:t>11.12020年12月15日前完成系统开发、安装调试，开展系统试运行。2021年4月前通过验收。</w:t>
      </w:r>
    </w:p>
    <w:p>
      <w:pPr>
        <w:snapToGrid w:val="0"/>
        <w:spacing w:line="360" w:lineRule="auto"/>
        <w:ind w:firstLine="420" w:firstLineChars="200"/>
        <w:rPr>
          <w:szCs w:val="21"/>
          <w:shd w:val="clear" w:color="auto" w:fill="FFFFFF"/>
        </w:rPr>
      </w:pPr>
      <w:r>
        <w:rPr>
          <w:rFonts w:hint="eastAsia" w:hAnsi="宋体"/>
        </w:rPr>
        <w:t>售后服务期：系统通过验收后1年免费维护</w:t>
      </w:r>
      <w:r>
        <w:rPr>
          <w:rFonts w:hint="eastAsia"/>
          <w:szCs w:val="21"/>
          <w:shd w:val="clear" w:color="auto" w:fill="FFFFFF"/>
        </w:rPr>
        <w:t>。</w:t>
      </w:r>
    </w:p>
    <w:p>
      <w:pPr>
        <w:pStyle w:val="17"/>
        <w:ind w:firstLine="420" w:firstLineChars="200"/>
        <w:rPr>
          <w:rFonts w:hAnsi="宋体"/>
        </w:rPr>
      </w:pPr>
      <w:r>
        <w:rPr>
          <w:rFonts w:hint="eastAsia" w:hAnsi="宋体"/>
        </w:rPr>
        <w:t>11.2由于承包人的过失，推迟了各阶段的期限，承包人应向业主交纳逾期违约金，各阶段每延长工期一天，日违约金款额按合同总标价的0.05%计算。但违约金的最高限额合同价的</w:t>
      </w:r>
      <w:r>
        <w:rPr>
          <w:rFonts w:hAnsi="宋体"/>
        </w:rPr>
        <w:t>10%</w:t>
      </w:r>
      <w:r>
        <w:rPr>
          <w:rFonts w:hint="eastAsia" w:hAnsi="宋体"/>
        </w:rPr>
        <w:t>。如果达到最高限额，业主可终止合同。</w:t>
      </w:r>
    </w:p>
    <w:p>
      <w:pPr>
        <w:pStyle w:val="5"/>
        <w:tabs>
          <w:tab w:val="left" w:pos="1391"/>
        </w:tabs>
        <w:spacing w:line="360" w:lineRule="auto"/>
        <w:jc w:val="left"/>
        <w:rPr>
          <w:rFonts w:ascii="宋体" w:hAnsi="宋体" w:eastAsia="宋体"/>
          <w:b/>
          <w:bCs/>
          <w:sz w:val="21"/>
        </w:rPr>
      </w:pPr>
      <w:bookmarkStart w:id="259" w:name="_Toc524746518"/>
      <w:bookmarkStart w:id="260" w:name="_Toc524491078"/>
      <w:bookmarkStart w:id="261" w:name="_Toc524847242"/>
      <w:bookmarkStart w:id="262" w:name="_Toc524342630"/>
      <w:bookmarkStart w:id="263" w:name="_Toc524747402"/>
      <w:bookmarkStart w:id="264" w:name="_Toc524439698"/>
      <w:bookmarkStart w:id="265" w:name="_Toc524452531"/>
      <w:bookmarkStart w:id="266" w:name="_Toc524495518"/>
      <w:bookmarkStart w:id="267" w:name="_Toc524516273"/>
      <w:bookmarkStart w:id="268" w:name="_Toc524404339"/>
      <w:bookmarkStart w:id="269" w:name="_Toc524332400"/>
      <w:bookmarkStart w:id="270" w:name="_Toc524342525"/>
      <w:bookmarkStart w:id="271" w:name="_Toc524486455"/>
      <w:bookmarkStart w:id="272" w:name="_Toc524495995"/>
      <w:bookmarkStart w:id="273" w:name="_Toc525011377"/>
      <w:bookmarkStart w:id="274" w:name="_Toc524493393"/>
      <w:bookmarkStart w:id="275" w:name="_Toc524457346"/>
      <w:bookmarkStart w:id="276" w:name="_Toc524494784"/>
      <w:bookmarkStart w:id="277" w:name="_Toc524516425"/>
      <w:bookmarkStart w:id="278" w:name="_Toc524494168"/>
      <w:bookmarkStart w:id="279" w:name="_Toc524847428"/>
      <w:bookmarkStart w:id="280" w:name="_Toc3795966"/>
      <w:bookmarkStart w:id="281" w:name="_Toc524439536"/>
      <w:bookmarkStart w:id="282" w:name="_Toc525200411"/>
      <w:bookmarkStart w:id="283" w:name="_Toc7600023"/>
      <w:bookmarkStart w:id="284" w:name="_Toc524404080"/>
      <w:bookmarkStart w:id="285" w:name="_Toc524458596"/>
      <w:bookmarkStart w:id="286" w:name="_Toc525397576"/>
      <w:bookmarkStart w:id="287" w:name="_Toc3795451"/>
      <w:bookmarkStart w:id="288" w:name="_Toc525376794"/>
      <w:bookmarkStart w:id="289" w:name="_Toc524333044"/>
      <w:bookmarkStart w:id="290" w:name="_Toc524689548"/>
      <w:bookmarkStart w:id="291" w:name="_Toc524341758"/>
      <w:bookmarkStart w:id="292" w:name="_Toc7599792"/>
      <w:bookmarkStart w:id="293" w:name="_Toc6311285"/>
      <w:bookmarkStart w:id="294" w:name="_Toc3796824"/>
      <w:bookmarkStart w:id="295" w:name="_Toc524342321"/>
      <w:bookmarkStart w:id="296" w:name="_Toc7867459"/>
      <w:bookmarkStart w:id="297" w:name="_Toc524494390"/>
      <w:r>
        <w:rPr>
          <w:rFonts w:hint="eastAsia" w:ascii="宋体" w:hAnsi="宋体" w:eastAsia="宋体"/>
          <w:b/>
          <w:bCs/>
          <w:sz w:val="21"/>
        </w:rPr>
        <w:t>12、 项目暂停</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17"/>
        <w:ind w:firstLine="420" w:firstLineChars="200"/>
        <w:rPr>
          <w:rFonts w:hAnsi="宋体"/>
        </w:rPr>
      </w:pPr>
      <w:r>
        <w:rPr>
          <w:rFonts w:hint="eastAsia" w:hAnsi="宋体"/>
        </w:rPr>
        <w:t>12.1 由于承包人严重违反本合同规定，以致于继续进行将对本项目造成更严重损失，则业主有权下达“停工指令”。对此，承包人不得拒绝，并应采取有效措施，争取业主尽早发布同意复工的指令。这种停工引起的费用增加及对工期影响，应由承包人承担。</w:t>
      </w:r>
    </w:p>
    <w:p>
      <w:pPr>
        <w:pStyle w:val="17"/>
        <w:ind w:firstLine="420" w:firstLineChars="200"/>
        <w:rPr>
          <w:rFonts w:hAnsi="宋体"/>
        </w:rPr>
      </w:pPr>
      <w:r>
        <w:rPr>
          <w:rFonts w:hint="eastAsia" w:hAnsi="宋体"/>
        </w:rPr>
        <w:t>12.2 并非承包人的原因，在业主认为必要时，业主也可发布书面“停工命令”，对此，承包人也应对已停工作进行积极善后工作。但是，由于这种停工引起的费用增加和工期影响，承包人在15天内有权提出要求补偿书面申请，经业主批准并出具补偿证明，则可作为合同文件的补充文件执行。</w:t>
      </w:r>
    </w:p>
    <w:p>
      <w:pPr>
        <w:pStyle w:val="5"/>
        <w:tabs>
          <w:tab w:val="left" w:pos="1391"/>
        </w:tabs>
        <w:spacing w:line="360" w:lineRule="auto"/>
        <w:jc w:val="left"/>
        <w:rPr>
          <w:rFonts w:ascii="宋体" w:hAnsi="宋体" w:eastAsia="宋体"/>
          <w:b/>
          <w:bCs/>
          <w:sz w:val="21"/>
        </w:rPr>
      </w:pPr>
      <w:bookmarkStart w:id="298" w:name="_Toc524458597"/>
      <w:bookmarkStart w:id="299" w:name="_Toc524439537"/>
      <w:bookmarkStart w:id="300" w:name="_Toc524516426"/>
      <w:bookmarkStart w:id="301" w:name="_Toc525011378"/>
      <w:bookmarkStart w:id="302" w:name="_Toc524332401"/>
      <w:bookmarkStart w:id="303" w:name="_Toc524494391"/>
      <w:bookmarkStart w:id="304" w:name="_Toc524493394"/>
      <w:bookmarkStart w:id="305" w:name="_Toc524847243"/>
      <w:bookmarkStart w:id="306" w:name="_Toc7600024"/>
      <w:bookmarkStart w:id="307" w:name="_Toc524342631"/>
      <w:bookmarkStart w:id="308" w:name="_Toc524491079"/>
      <w:bookmarkStart w:id="309" w:name="_Toc524439699"/>
      <w:bookmarkStart w:id="310" w:name="_Toc524486456"/>
      <w:bookmarkStart w:id="311" w:name="_Toc524494169"/>
      <w:bookmarkStart w:id="312" w:name="_Toc524404340"/>
      <w:bookmarkStart w:id="313" w:name="_Toc524404081"/>
      <w:bookmarkStart w:id="314" w:name="_Toc524342526"/>
      <w:bookmarkStart w:id="315" w:name="_Toc524457347"/>
      <w:bookmarkStart w:id="316" w:name="_Toc525376795"/>
      <w:bookmarkStart w:id="317" w:name="_Toc524341759"/>
      <w:bookmarkStart w:id="318" w:name="_Toc524847429"/>
      <w:bookmarkStart w:id="319" w:name="_Toc524516274"/>
      <w:bookmarkStart w:id="320" w:name="_Toc525200412"/>
      <w:bookmarkStart w:id="321" w:name="_Toc524689549"/>
      <w:bookmarkStart w:id="322" w:name="_Toc524452532"/>
      <w:bookmarkStart w:id="323" w:name="_Toc524342322"/>
      <w:bookmarkStart w:id="324" w:name="_Toc524747403"/>
      <w:bookmarkStart w:id="325" w:name="_Toc7867460"/>
      <w:bookmarkStart w:id="326" w:name="_Toc524333045"/>
      <w:bookmarkStart w:id="327" w:name="_Toc524494785"/>
      <w:bookmarkStart w:id="328" w:name="_Toc6311286"/>
      <w:bookmarkStart w:id="329" w:name="_Toc524495519"/>
      <w:bookmarkStart w:id="330" w:name="_Toc3796825"/>
      <w:bookmarkStart w:id="331" w:name="_Toc524746519"/>
      <w:bookmarkStart w:id="332" w:name="_Toc7599793"/>
      <w:bookmarkStart w:id="333" w:name="_Toc3795967"/>
      <w:bookmarkStart w:id="334" w:name="_Toc524495996"/>
      <w:bookmarkStart w:id="335" w:name="_Toc525397577"/>
      <w:bookmarkStart w:id="336" w:name="_Toc3795452"/>
      <w:r>
        <w:rPr>
          <w:rFonts w:hint="eastAsia" w:ascii="宋体" w:hAnsi="宋体" w:eastAsia="宋体"/>
          <w:b/>
          <w:bCs/>
          <w:sz w:val="21"/>
        </w:rPr>
        <w:t>13、 质量检验</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pStyle w:val="17"/>
        <w:ind w:firstLine="420" w:firstLineChars="200"/>
        <w:rPr>
          <w:rFonts w:hAnsi="宋体"/>
        </w:rPr>
      </w:pPr>
      <w:r>
        <w:rPr>
          <w:rFonts w:hint="eastAsia" w:hAnsi="宋体"/>
        </w:rPr>
        <w:t>13.1 承包人必须按合同规定保证按《</w:t>
      </w:r>
      <w:r>
        <w:rPr>
          <w:rFonts w:hint="eastAsia"/>
        </w:rPr>
        <w:t>项目需求》的要求完成项目的全部工作，</w:t>
      </w:r>
      <w:r>
        <w:rPr>
          <w:rFonts w:hint="eastAsia" w:hAnsi="宋体"/>
        </w:rPr>
        <w:t>所开发的系统的质量完全符合业主的要求和规范的要求。承包人应积极配合业主指定的技术人员检查系统质量。</w:t>
      </w:r>
    </w:p>
    <w:p>
      <w:pPr>
        <w:pStyle w:val="17"/>
        <w:ind w:firstLine="420" w:firstLineChars="200"/>
        <w:rPr>
          <w:rFonts w:hAnsi="宋体"/>
        </w:rPr>
      </w:pPr>
      <w:r>
        <w:rPr>
          <w:rFonts w:hint="eastAsia" w:hAnsi="宋体"/>
        </w:rPr>
        <w:t>13.2根据业主要求，如本合同所交付的应用软件需通过第三方测评机构测试的，测试费用由承包人承担；测试结论将作为项目验收的重要依据。</w:t>
      </w:r>
    </w:p>
    <w:p>
      <w:pPr>
        <w:pStyle w:val="17"/>
        <w:ind w:firstLine="420" w:firstLineChars="200"/>
        <w:rPr>
          <w:rFonts w:hAnsi="宋体"/>
        </w:rPr>
      </w:pPr>
      <w:r>
        <w:rPr>
          <w:rFonts w:hint="eastAsia" w:hAnsi="宋体"/>
        </w:rPr>
        <w:t>13.3 方案认可与验收</w:t>
      </w:r>
    </w:p>
    <w:p>
      <w:pPr>
        <w:pStyle w:val="17"/>
        <w:ind w:firstLine="420" w:firstLineChars="200"/>
        <w:rPr>
          <w:rFonts w:hAnsi="宋体"/>
        </w:rPr>
      </w:pPr>
      <w:r>
        <w:rPr>
          <w:rFonts w:hint="eastAsia" w:hAnsi="宋体"/>
        </w:rPr>
        <w:t>13.3.1承包人依本合同约定向业主提交概要设计、详细设计等技术方案，业主应于14天内对其进行评审鉴定、签字认可。如业主在承包人提交上述方案后14天内不予答复，视为业主认可。</w:t>
      </w:r>
    </w:p>
    <w:p>
      <w:pPr>
        <w:pStyle w:val="17"/>
        <w:ind w:firstLine="420" w:firstLineChars="200"/>
        <w:rPr>
          <w:rFonts w:hAnsi="宋体"/>
        </w:rPr>
      </w:pPr>
      <w:r>
        <w:rPr>
          <w:rFonts w:hint="eastAsia" w:hAnsi="宋体"/>
        </w:rPr>
        <w:t>13.3.2业主接到承包人项目验收申请后，应在14天内组织有关专家考察论证是否具备验收条件，并根据论证结果与承包人联合进行验收，验收合格后对承包人提交的验收报告签署合格证书。</w:t>
      </w:r>
    </w:p>
    <w:p>
      <w:pPr>
        <w:pStyle w:val="17"/>
        <w:ind w:firstLine="420" w:firstLineChars="200"/>
        <w:rPr>
          <w:rFonts w:hAnsi="宋体"/>
        </w:rPr>
      </w:pPr>
      <w:r>
        <w:rPr>
          <w:rFonts w:hint="eastAsia" w:hAnsi="宋体"/>
        </w:rPr>
        <w:t>13.3.3验收不合格，承包人应立即进行重新调整，直至验收结果符合规定目标，所发生的全部相关费用由承包人承担。</w:t>
      </w:r>
    </w:p>
    <w:p>
      <w:pPr>
        <w:pStyle w:val="17"/>
        <w:ind w:firstLine="420" w:firstLineChars="200"/>
        <w:rPr>
          <w:rFonts w:hAnsi="宋体"/>
        </w:rPr>
      </w:pPr>
      <w:r>
        <w:rPr>
          <w:rFonts w:hint="eastAsia" w:hAnsi="宋体"/>
        </w:rPr>
        <w:t>13.3.4业主中途改变设计方案或其他原因导致时间延误的，进度相应顺延。</w:t>
      </w:r>
    </w:p>
    <w:p>
      <w:pPr>
        <w:pStyle w:val="17"/>
        <w:ind w:firstLine="420" w:firstLineChars="200"/>
        <w:rPr>
          <w:rFonts w:hAnsi="宋体"/>
        </w:rPr>
      </w:pPr>
      <w:r>
        <w:rPr>
          <w:rFonts w:hint="eastAsia" w:hAnsi="宋体"/>
        </w:rPr>
        <w:t>13.4 对不符合本合同规定的软件，业主有权拒绝接受，并不能免除承包人对项目应负的合同责任。</w:t>
      </w:r>
    </w:p>
    <w:p>
      <w:pPr>
        <w:pStyle w:val="17"/>
        <w:ind w:firstLine="420" w:firstLineChars="200"/>
        <w:rPr>
          <w:rFonts w:hAnsi="宋体"/>
        </w:rPr>
      </w:pPr>
      <w:r>
        <w:rPr>
          <w:rFonts w:hint="eastAsia" w:hAnsi="宋体"/>
        </w:rPr>
        <w:t>13.5承包人须遵守业主有关信息安全的规定；并且在系统上线后，对网站进行安全评估和针对性测试，之后提交评估和整改报告，符合国家等级保护二级的要求。</w:t>
      </w:r>
    </w:p>
    <w:p>
      <w:pPr>
        <w:pStyle w:val="5"/>
        <w:tabs>
          <w:tab w:val="left" w:pos="1391"/>
        </w:tabs>
        <w:spacing w:line="360" w:lineRule="auto"/>
        <w:jc w:val="left"/>
        <w:rPr>
          <w:rFonts w:ascii="宋体" w:hAnsi="宋体" w:eastAsia="宋体"/>
          <w:b/>
          <w:bCs/>
          <w:sz w:val="21"/>
        </w:rPr>
      </w:pPr>
      <w:bookmarkStart w:id="337" w:name="_Toc524342635"/>
      <w:bookmarkStart w:id="338" w:name="_Toc524342530"/>
      <w:bookmarkStart w:id="339" w:name="_Toc524458601"/>
      <w:bookmarkStart w:id="340" w:name="_Toc524689553"/>
      <w:bookmarkStart w:id="341" w:name="_Toc524516278"/>
      <w:bookmarkStart w:id="342" w:name="_Toc524495523"/>
      <w:bookmarkStart w:id="343" w:name="_Toc524404085"/>
      <w:bookmarkStart w:id="344" w:name="_Toc524332405"/>
      <w:bookmarkStart w:id="345" w:name="_Toc524494789"/>
      <w:bookmarkStart w:id="346" w:name="_Toc524342326"/>
      <w:bookmarkStart w:id="347" w:name="_Toc524439703"/>
      <w:bookmarkStart w:id="348" w:name="_Toc524457351"/>
      <w:bookmarkStart w:id="349" w:name="_Toc524404344"/>
      <w:bookmarkStart w:id="350" w:name="_Toc524439541"/>
      <w:bookmarkStart w:id="351" w:name="_Toc524847247"/>
      <w:bookmarkStart w:id="352" w:name="_Toc524746523"/>
      <w:bookmarkStart w:id="353" w:name="_Toc524452536"/>
      <w:bookmarkStart w:id="354" w:name="_Toc525397581"/>
      <w:bookmarkStart w:id="355" w:name="_Toc524847433"/>
      <w:bookmarkStart w:id="356" w:name="_Toc524341763"/>
      <w:bookmarkStart w:id="357" w:name="_Toc524493398"/>
      <w:bookmarkStart w:id="358" w:name="_Toc524491083"/>
      <w:bookmarkStart w:id="359" w:name="_Toc524494173"/>
      <w:bookmarkStart w:id="360" w:name="_Toc525376799"/>
      <w:bookmarkStart w:id="361" w:name="_Toc524333049"/>
      <w:bookmarkStart w:id="362" w:name="_Toc525011382"/>
      <w:bookmarkStart w:id="363" w:name="_Toc524494395"/>
      <w:bookmarkStart w:id="364" w:name="_Toc525200416"/>
      <w:bookmarkStart w:id="365" w:name="_Toc524516430"/>
      <w:bookmarkStart w:id="366" w:name="_Toc524496000"/>
      <w:bookmarkStart w:id="367" w:name="_Toc524747407"/>
      <w:bookmarkStart w:id="368" w:name="_Toc524486460"/>
      <w:bookmarkStart w:id="369" w:name="_Toc6311287"/>
      <w:bookmarkStart w:id="370" w:name="_Toc7599794"/>
      <w:bookmarkStart w:id="371" w:name="_Toc7867461"/>
      <w:bookmarkStart w:id="372" w:name="_Toc3796826"/>
      <w:bookmarkStart w:id="373" w:name="_Toc3795453"/>
      <w:bookmarkStart w:id="374" w:name="_Toc7600025"/>
      <w:bookmarkStart w:id="375" w:name="_Toc3795968"/>
      <w:r>
        <w:rPr>
          <w:rFonts w:hint="eastAsia" w:ascii="宋体" w:hAnsi="宋体" w:eastAsia="宋体"/>
          <w:b/>
          <w:bCs/>
          <w:sz w:val="21"/>
        </w:rPr>
        <w:t>14、 交付</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ascii="宋体" w:hAnsi="宋体" w:eastAsia="宋体"/>
          <w:b/>
          <w:bCs/>
          <w:sz w:val="21"/>
        </w:rPr>
        <w:t>使用</w:t>
      </w:r>
      <w:bookmarkEnd w:id="369"/>
      <w:bookmarkEnd w:id="370"/>
      <w:bookmarkEnd w:id="371"/>
      <w:bookmarkEnd w:id="372"/>
      <w:bookmarkEnd w:id="373"/>
      <w:bookmarkEnd w:id="374"/>
      <w:bookmarkEnd w:id="375"/>
    </w:p>
    <w:p>
      <w:pPr>
        <w:pStyle w:val="17"/>
        <w:ind w:firstLine="420" w:firstLineChars="200"/>
        <w:rPr>
          <w:rFonts w:hAnsi="宋体"/>
        </w:rPr>
      </w:pPr>
      <w:r>
        <w:rPr>
          <w:rFonts w:hint="eastAsia" w:hAnsi="宋体"/>
        </w:rPr>
        <w:t>14.1项目全部完成交付业主使用，并已按合同规定圆满地通过了各项检验，承包人可以向业主提出交付使用报告，要求验收。</w:t>
      </w:r>
    </w:p>
    <w:p>
      <w:pPr>
        <w:pStyle w:val="5"/>
        <w:tabs>
          <w:tab w:val="left" w:pos="1391"/>
        </w:tabs>
        <w:spacing w:line="360" w:lineRule="auto"/>
        <w:jc w:val="left"/>
        <w:rPr>
          <w:rFonts w:ascii="宋体" w:hAnsi="宋体" w:eastAsia="宋体"/>
          <w:b/>
          <w:bCs/>
          <w:sz w:val="21"/>
        </w:rPr>
      </w:pPr>
      <w:bookmarkStart w:id="376" w:name="_Toc525011383"/>
      <w:bookmarkStart w:id="377" w:name="_Toc524847248"/>
      <w:bookmarkStart w:id="378" w:name="_Toc524747408"/>
      <w:bookmarkStart w:id="379" w:name="_Toc524495524"/>
      <w:bookmarkStart w:id="380" w:name="_Toc524496001"/>
      <w:bookmarkStart w:id="381" w:name="_Toc524746524"/>
      <w:bookmarkStart w:id="382" w:name="_Toc524494790"/>
      <w:bookmarkStart w:id="383" w:name="_Toc524494174"/>
      <w:bookmarkStart w:id="384" w:name="_Toc524342531"/>
      <w:bookmarkStart w:id="385" w:name="_Toc524404345"/>
      <w:bookmarkStart w:id="386" w:name="_Toc524847434"/>
      <w:bookmarkStart w:id="387" w:name="_Toc524452537"/>
      <w:bookmarkStart w:id="388" w:name="_Toc524457352"/>
      <w:bookmarkStart w:id="389" w:name="_Toc524516431"/>
      <w:bookmarkStart w:id="390" w:name="_Toc524493399"/>
      <w:bookmarkStart w:id="391" w:name="_Toc524342636"/>
      <w:bookmarkStart w:id="392" w:name="_Toc524332406"/>
      <w:bookmarkStart w:id="393" w:name="_Toc524491084"/>
      <w:bookmarkStart w:id="394" w:name="_Toc524404086"/>
      <w:bookmarkStart w:id="395" w:name="_Toc524439704"/>
      <w:bookmarkStart w:id="396" w:name="_Toc524439542"/>
      <w:bookmarkStart w:id="397" w:name="_Toc524516279"/>
      <w:bookmarkStart w:id="398" w:name="_Toc524494396"/>
      <w:bookmarkStart w:id="399" w:name="_Toc524458602"/>
      <w:bookmarkStart w:id="400" w:name="_Toc6311288"/>
      <w:bookmarkStart w:id="401" w:name="_Toc525397582"/>
      <w:bookmarkStart w:id="402" w:name="_Toc7867462"/>
      <w:bookmarkStart w:id="403" w:name="_Toc3796827"/>
      <w:bookmarkStart w:id="404" w:name="_Toc3795969"/>
      <w:bookmarkStart w:id="405" w:name="_Toc7599795"/>
      <w:bookmarkStart w:id="406" w:name="_Toc524333050"/>
      <w:bookmarkStart w:id="407" w:name="_Toc524342327"/>
      <w:bookmarkStart w:id="408" w:name="_Toc7600026"/>
      <w:bookmarkStart w:id="409" w:name="_Toc524486461"/>
      <w:bookmarkStart w:id="410" w:name="_Toc524689554"/>
      <w:bookmarkStart w:id="411" w:name="_Toc525200417"/>
      <w:bookmarkStart w:id="412" w:name="_Toc524341764"/>
      <w:bookmarkStart w:id="413" w:name="_Toc3795454"/>
      <w:bookmarkStart w:id="414" w:name="_Toc525376800"/>
      <w:r>
        <w:rPr>
          <w:rFonts w:hint="eastAsia" w:ascii="宋体" w:hAnsi="宋体" w:eastAsia="宋体"/>
          <w:b/>
          <w:bCs/>
          <w:sz w:val="21"/>
        </w:rPr>
        <w:t>15、 系统建设期及售后服务期</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pStyle w:val="17"/>
        <w:ind w:firstLine="420" w:firstLineChars="200"/>
        <w:rPr>
          <w:rFonts w:hAnsi="宋体"/>
        </w:rPr>
      </w:pPr>
      <w:r>
        <w:rPr>
          <w:rFonts w:hint="eastAsia" w:hAnsi="宋体"/>
        </w:rPr>
        <w:t>建设期：2020年12月15日前完成系统开发、安装调试，开展系统试运行。2021年4月前通过验收。</w:t>
      </w:r>
    </w:p>
    <w:p>
      <w:pPr>
        <w:pStyle w:val="17"/>
        <w:ind w:firstLine="420" w:firstLineChars="200"/>
        <w:rPr>
          <w:rFonts w:hAnsi="宋体"/>
        </w:rPr>
      </w:pPr>
      <w:r>
        <w:rPr>
          <w:rFonts w:hint="eastAsia" w:hAnsi="宋体"/>
        </w:rPr>
        <w:t>售后服务期：系统通过验收后1年免费维护。</w:t>
      </w:r>
    </w:p>
    <w:p>
      <w:pPr>
        <w:pStyle w:val="5"/>
        <w:tabs>
          <w:tab w:val="left" w:pos="1391"/>
        </w:tabs>
        <w:spacing w:line="360" w:lineRule="auto"/>
        <w:jc w:val="left"/>
        <w:rPr>
          <w:rFonts w:ascii="宋体" w:hAnsi="宋体" w:eastAsia="宋体"/>
          <w:b/>
          <w:bCs/>
          <w:sz w:val="21"/>
        </w:rPr>
      </w:pPr>
      <w:bookmarkStart w:id="415" w:name="_Toc7599796"/>
      <w:bookmarkStart w:id="416" w:name="_Toc525200418"/>
      <w:bookmarkStart w:id="417" w:name="_Toc524457353"/>
      <w:bookmarkStart w:id="418" w:name="_Toc524494175"/>
      <w:bookmarkStart w:id="419" w:name="_Toc524747409"/>
      <w:bookmarkStart w:id="420" w:name="_Toc524341765"/>
      <w:bookmarkStart w:id="421" w:name="_Toc524493400"/>
      <w:bookmarkStart w:id="422" w:name="_Toc524342532"/>
      <w:bookmarkStart w:id="423" w:name="_Toc524516280"/>
      <w:bookmarkStart w:id="424" w:name="_Toc524516432"/>
      <w:bookmarkStart w:id="425" w:name="_Toc524333051"/>
      <w:bookmarkStart w:id="426" w:name="_Toc524404346"/>
      <w:bookmarkStart w:id="427" w:name="_Toc524494397"/>
      <w:bookmarkStart w:id="428" w:name="_Toc525376801"/>
      <w:bookmarkStart w:id="429" w:name="_Toc524847435"/>
      <w:bookmarkStart w:id="430" w:name="_Toc524496002"/>
      <w:bookmarkStart w:id="431" w:name="_Toc525011384"/>
      <w:bookmarkStart w:id="432" w:name="_Toc524404087"/>
      <w:bookmarkStart w:id="433" w:name="_Toc524439543"/>
      <w:bookmarkStart w:id="434" w:name="_Toc524746525"/>
      <w:bookmarkStart w:id="435" w:name="_Toc524847249"/>
      <w:bookmarkStart w:id="436" w:name="_Toc524458603"/>
      <w:bookmarkStart w:id="437" w:name="_Toc524452538"/>
      <w:bookmarkStart w:id="438" w:name="_Toc524332407"/>
      <w:bookmarkStart w:id="439" w:name="_Toc524689555"/>
      <w:bookmarkStart w:id="440" w:name="_Toc3796828"/>
      <w:bookmarkStart w:id="441" w:name="_Toc524495525"/>
      <w:bookmarkStart w:id="442" w:name="_Toc3795970"/>
      <w:bookmarkStart w:id="443" w:name="_Toc524486462"/>
      <w:bookmarkStart w:id="444" w:name="_Toc3795455"/>
      <w:bookmarkStart w:id="445" w:name="_Toc524439705"/>
      <w:bookmarkStart w:id="446" w:name="_Toc525397583"/>
      <w:bookmarkStart w:id="447" w:name="_Toc524342637"/>
      <w:bookmarkStart w:id="448" w:name="_Toc6311289"/>
      <w:bookmarkStart w:id="449" w:name="_Toc7600027"/>
      <w:bookmarkStart w:id="450" w:name="_Toc524491085"/>
      <w:bookmarkStart w:id="451" w:name="_Toc524494791"/>
      <w:bookmarkStart w:id="452" w:name="_Toc7867463"/>
      <w:bookmarkStart w:id="453" w:name="_Toc524342328"/>
      <w:r>
        <w:rPr>
          <w:rFonts w:hint="eastAsia" w:ascii="宋体" w:hAnsi="宋体" w:eastAsia="宋体"/>
          <w:b/>
          <w:bCs/>
          <w:sz w:val="21"/>
        </w:rPr>
        <w:t>16、 验收</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pStyle w:val="17"/>
        <w:ind w:firstLine="420" w:firstLineChars="200"/>
        <w:rPr>
          <w:rFonts w:hAnsi="宋体"/>
        </w:rPr>
      </w:pPr>
      <w:r>
        <w:rPr>
          <w:rFonts w:hint="eastAsia" w:hAnsi="宋体"/>
        </w:rPr>
        <w:t>16.1在系统的试运行期结束后，由业主组织进行验收，出具验收意见。验收不合格者，由承包人负责返工，费用由承包人自理，并赔偿由此给业主造成的损失。</w:t>
      </w:r>
    </w:p>
    <w:p>
      <w:pPr>
        <w:pStyle w:val="4"/>
        <w:rPr>
          <w:rFonts w:ascii="宋体" w:hAnsi="宋体"/>
          <w:sz w:val="21"/>
          <w:szCs w:val="21"/>
        </w:rPr>
      </w:pPr>
      <w:bookmarkStart w:id="454" w:name="_Toc37246800"/>
      <w:r>
        <w:rPr>
          <w:rFonts w:hint="eastAsia" w:ascii="宋体" w:hAnsi="宋体"/>
          <w:sz w:val="21"/>
          <w:szCs w:val="21"/>
        </w:rPr>
        <w:t>四、费用与支付</w:t>
      </w:r>
      <w:bookmarkEnd w:id="454"/>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17、费用</w:t>
      </w:r>
    </w:p>
    <w:p>
      <w:pPr>
        <w:spacing w:line="360" w:lineRule="auto"/>
        <w:ind w:firstLine="420" w:firstLineChars="200"/>
        <w:textAlignment w:val="bottom"/>
        <w:rPr>
          <w:szCs w:val="21"/>
        </w:rPr>
      </w:pPr>
      <w:r>
        <w:rPr>
          <w:rFonts w:hint="eastAsia"/>
          <w:szCs w:val="21"/>
        </w:rPr>
        <w:t>业主应按合同条款的有关规定，按时向承包人支付费用，以及承包人额外服务的费用</w:t>
      </w:r>
      <w:r>
        <w:rPr>
          <w:szCs w:val="21"/>
        </w:rPr>
        <w:t>。</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18、支付时间</w:t>
      </w:r>
    </w:p>
    <w:p>
      <w:pPr>
        <w:spacing w:line="360" w:lineRule="auto"/>
        <w:ind w:firstLine="420" w:firstLineChars="200"/>
        <w:textAlignment w:val="bottom"/>
        <w:rPr>
          <w:szCs w:val="21"/>
        </w:rPr>
      </w:pPr>
      <w:r>
        <w:rPr>
          <w:rFonts w:hint="eastAsia"/>
          <w:szCs w:val="21"/>
        </w:rPr>
        <w:t>合同签订后支付合同总价的20%，完成系统开发、安装调试后支付至合同总价的80%,通过系统试运行审查后支付至合同总价的90%，系统验收合格后支付合同总价的95%，维护期满一年后付清余款（以上付款均不计利息）。</w:t>
      </w:r>
    </w:p>
    <w:p>
      <w:pPr>
        <w:spacing w:line="360" w:lineRule="auto"/>
        <w:ind w:firstLine="420" w:firstLineChars="200"/>
        <w:textAlignment w:val="bottom"/>
        <w:rPr>
          <w:szCs w:val="21"/>
        </w:rPr>
      </w:pPr>
      <w:r>
        <w:rPr>
          <w:rFonts w:hint="eastAsia"/>
          <w:szCs w:val="21"/>
        </w:rPr>
        <w:t>以上付款均不计利息。</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19、有异议的支付</w:t>
      </w:r>
    </w:p>
    <w:p>
      <w:pPr>
        <w:spacing w:line="360" w:lineRule="auto"/>
        <w:ind w:firstLine="420" w:firstLineChars="200"/>
        <w:textAlignment w:val="bottom"/>
        <w:rPr>
          <w:szCs w:val="21"/>
        </w:rPr>
      </w:pPr>
      <w:r>
        <w:rPr>
          <w:rFonts w:hint="eastAsia"/>
          <w:szCs w:val="21"/>
        </w:rPr>
        <w:t>如果业主对承包人提交的付款申请有异议时，业主应立即发出书面通知要求承包人澄清，此时，应在收到承包人书面澄清</w:t>
      </w:r>
      <w:r>
        <w:rPr>
          <w:szCs w:val="21"/>
        </w:rPr>
        <w:t>(</w:t>
      </w:r>
      <w:r>
        <w:rPr>
          <w:rFonts w:hint="eastAsia"/>
          <w:szCs w:val="21"/>
        </w:rPr>
        <w:t>以承包人签发的日期为准</w:t>
      </w:r>
      <w:r>
        <w:rPr>
          <w:szCs w:val="21"/>
        </w:rPr>
        <w:t>)</w:t>
      </w:r>
      <w:r>
        <w:rPr>
          <w:rFonts w:hint="eastAsia"/>
          <w:szCs w:val="21"/>
        </w:rPr>
        <w:t>之日起30天内支付。如果承包人在收到业主要求书面澄清的通知后15天内</w:t>
      </w:r>
      <w:r>
        <w:rPr>
          <w:szCs w:val="21"/>
        </w:rPr>
        <w:t>(</w:t>
      </w:r>
      <w:r>
        <w:rPr>
          <w:rFonts w:hint="eastAsia"/>
          <w:szCs w:val="21"/>
        </w:rPr>
        <w:t>以业主签发通知的日期为准</w:t>
      </w:r>
      <w:r>
        <w:rPr>
          <w:szCs w:val="21"/>
        </w:rPr>
        <w:t>)</w:t>
      </w:r>
      <w:r>
        <w:rPr>
          <w:rFonts w:hint="eastAsia"/>
          <w:szCs w:val="21"/>
        </w:rPr>
        <w:t>未做任何书面答复，则业主不予支付，直到承包人作出书面澄清为止。</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20、审查</w:t>
      </w:r>
    </w:p>
    <w:p>
      <w:pPr>
        <w:spacing w:line="360" w:lineRule="auto"/>
        <w:ind w:left="2" w:leftChars="1" w:firstLine="420" w:firstLineChars="200"/>
        <w:textAlignment w:val="bottom"/>
        <w:rPr>
          <w:szCs w:val="21"/>
        </w:rPr>
      </w:pPr>
      <w:r>
        <w:rPr>
          <w:rFonts w:hint="eastAsia"/>
          <w:szCs w:val="21"/>
        </w:rPr>
        <w:t>承包人应保存能清楚证明有关项目工作时间和支付费用的记录，并在业主要求时允许业主指派的人员进行审查</w:t>
      </w:r>
      <w:r>
        <w:rPr>
          <w:szCs w:val="21"/>
        </w:rPr>
        <w:t>。</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21、合同费用的调整</w:t>
      </w:r>
    </w:p>
    <w:p>
      <w:pPr>
        <w:spacing w:line="360" w:lineRule="auto"/>
        <w:ind w:firstLine="420" w:firstLineChars="200"/>
        <w:textAlignment w:val="bottom"/>
        <w:rPr>
          <w:szCs w:val="21"/>
        </w:rPr>
      </w:pPr>
      <w:r>
        <w:rPr>
          <w:rFonts w:hint="eastAsia"/>
          <w:szCs w:val="21"/>
        </w:rPr>
        <w:t>在合同实施期间，不因国家颁布了新的政策、法规、标准而调整合同费用。</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22、 安全、保卫与环境保护</w:t>
      </w:r>
    </w:p>
    <w:p>
      <w:pPr>
        <w:spacing w:line="360" w:lineRule="auto"/>
        <w:ind w:firstLine="420" w:firstLineChars="200"/>
        <w:rPr>
          <w:szCs w:val="21"/>
        </w:rPr>
      </w:pPr>
      <w:r>
        <w:rPr>
          <w:rFonts w:hint="eastAsia"/>
          <w:szCs w:val="21"/>
        </w:rPr>
        <w:t>承包人在进行外业时，应采取相应的安全、保卫和环境保护措施，承包人未能采取有效的措施，而发生的与此有关的人身伤亡、罚款、索赔、损失赔偿、诉讼费用及其他一切责任应由承包人负责。</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23 、保险</w:t>
      </w:r>
    </w:p>
    <w:p>
      <w:pPr>
        <w:spacing w:line="360" w:lineRule="auto"/>
        <w:ind w:firstLine="420" w:firstLineChars="200"/>
        <w:rPr>
          <w:szCs w:val="21"/>
        </w:rPr>
      </w:pPr>
      <w:r>
        <w:rPr>
          <w:rFonts w:hint="eastAsia"/>
          <w:szCs w:val="21"/>
        </w:rPr>
        <w:t>承包人应为实施本项目，参加业主风险以外的其它有关的雇员责任保险，以使本项目顺利进行。</w:t>
      </w:r>
    </w:p>
    <w:p>
      <w:pPr>
        <w:pStyle w:val="4"/>
        <w:rPr>
          <w:rFonts w:ascii="宋体" w:hAnsi="宋体"/>
          <w:sz w:val="21"/>
          <w:szCs w:val="21"/>
        </w:rPr>
      </w:pPr>
      <w:bookmarkStart w:id="455" w:name="_Toc7599805"/>
      <w:bookmarkStart w:id="456" w:name="_Toc7867472"/>
      <w:bookmarkStart w:id="457" w:name="_Toc7600036"/>
      <w:bookmarkStart w:id="458" w:name="_Toc6311298"/>
      <w:bookmarkStart w:id="459" w:name="_Toc37246801"/>
      <w:r>
        <w:rPr>
          <w:rFonts w:hint="eastAsia" w:ascii="宋体" w:hAnsi="宋体"/>
          <w:sz w:val="21"/>
          <w:szCs w:val="21"/>
        </w:rPr>
        <w:t>五、</w:t>
      </w:r>
      <w:bookmarkEnd w:id="455"/>
      <w:bookmarkEnd w:id="456"/>
      <w:bookmarkEnd w:id="457"/>
      <w:bookmarkEnd w:id="458"/>
      <w:r>
        <w:rPr>
          <w:rFonts w:hint="eastAsia" w:ascii="宋体" w:hAnsi="宋体"/>
          <w:sz w:val="21"/>
          <w:szCs w:val="21"/>
        </w:rPr>
        <w:t>合同的生效</w:t>
      </w:r>
      <w:r>
        <w:rPr>
          <w:rFonts w:ascii="宋体" w:hAnsi="宋体"/>
          <w:sz w:val="21"/>
          <w:szCs w:val="21"/>
        </w:rPr>
        <w:t>、</w:t>
      </w:r>
      <w:r>
        <w:rPr>
          <w:rFonts w:hint="eastAsia" w:ascii="宋体" w:hAnsi="宋体"/>
          <w:sz w:val="21"/>
          <w:szCs w:val="21"/>
        </w:rPr>
        <w:t>变更与终止</w:t>
      </w:r>
      <w:bookmarkEnd w:id="459"/>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24、合同的生效</w:t>
      </w:r>
    </w:p>
    <w:p>
      <w:pPr>
        <w:spacing w:line="360" w:lineRule="auto"/>
        <w:ind w:firstLine="420" w:firstLineChars="200"/>
        <w:textAlignment w:val="bottom"/>
        <w:rPr>
          <w:szCs w:val="21"/>
        </w:rPr>
      </w:pPr>
      <w:r>
        <w:rPr>
          <w:rFonts w:hint="eastAsia"/>
          <w:szCs w:val="21"/>
        </w:rPr>
        <w:t>合同书自双方签字盖章后所有合同文件生效</w:t>
      </w:r>
      <w:r>
        <w:rPr>
          <w:szCs w:val="21"/>
        </w:rPr>
        <w:t>。</w:t>
      </w:r>
      <w:r>
        <w:rPr>
          <w:rFonts w:hint="eastAsia"/>
          <w:szCs w:val="21"/>
        </w:rPr>
        <w:t>承包人工作的开始和完成时间按照合同书的规定执行</w:t>
      </w:r>
      <w:r>
        <w:rPr>
          <w:szCs w:val="21"/>
        </w:rPr>
        <w:t>。</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25、延误</w:t>
      </w:r>
    </w:p>
    <w:p>
      <w:pPr>
        <w:spacing w:line="360" w:lineRule="auto"/>
        <w:ind w:firstLine="420" w:firstLineChars="200"/>
        <w:textAlignment w:val="bottom"/>
        <w:rPr>
          <w:szCs w:val="21"/>
        </w:rPr>
      </w:pPr>
      <w:r>
        <w:rPr>
          <w:rFonts w:hint="eastAsia"/>
          <w:szCs w:val="21"/>
        </w:rPr>
        <w:t>由于业主或不可抗力等因素，导致服务增加和时间延续则：</w:t>
      </w:r>
    </w:p>
    <w:p>
      <w:pPr>
        <w:spacing w:line="360" w:lineRule="auto"/>
        <w:ind w:firstLine="420" w:firstLineChars="200"/>
        <w:textAlignment w:val="bottom"/>
        <w:rPr>
          <w:szCs w:val="21"/>
        </w:rPr>
      </w:pPr>
      <w:r>
        <w:rPr>
          <w:rFonts w:hint="eastAsia"/>
          <w:szCs w:val="21"/>
        </w:rPr>
        <w:t>（1） 承包人应将此情况与可能产生的影响尽快通知业主，并采取合理措施使损失减少到最小；</w:t>
      </w:r>
    </w:p>
    <w:p>
      <w:pPr>
        <w:spacing w:line="360" w:lineRule="auto"/>
        <w:ind w:firstLine="420" w:firstLineChars="200"/>
        <w:textAlignment w:val="bottom"/>
        <w:rPr>
          <w:szCs w:val="21"/>
        </w:rPr>
      </w:pPr>
      <w:r>
        <w:rPr>
          <w:rFonts w:hint="eastAsia"/>
          <w:szCs w:val="21"/>
        </w:rPr>
        <w:t>（2）承包人应保持详细原始记录</w:t>
      </w:r>
      <w:r>
        <w:rPr>
          <w:szCs w:val="21"/>
        </w:rPr>
        <w:t>。</w:t>
      </w:r>
    </w:p>
    <w:p>
      <w:pPr>
        <w:spacing w:line="360" w:lineRule="auto"/>
        <w:ind w:firstLine="420" w:firstLineChars="200"/>
        <w:textAlignment w:val="bottom"/>
        <w:rPr>
          <w:szCs w:val="21"/>
        </w:rPr>
      </w:pPr>
      <w:r>
        <w:rPr>
          <w:rFonts w:hint="eastAsia"/>
          <w:szCs w:val="21"/>
        </w:rPr>
        <w:t>业主在与承包人协商后应相应地延长承包人的工作期限或增付费用。</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26、 变更</w:t>
      </w:r>
    </w:p>
    <w:p>
      <w:pPr>
        <w:spacing w:line="360" w:lineRule="auto"/>
        <w:ind w:firstLine="420" w:firstLineChars="200"/>
        <w:rPr>
          <w:szCs w:val="21"/>
        </w:rPr>
      </w:pPr>
      <w:r>
        <w:rPr>
          <w:rFonts w:hint="eastAsia"/>
          <w:szCs w:val="21"/>
        </w:rPr>
        <w:t>除合同另有规定外，承包人应提交变更工程设计建议书，此类建议书的准备和提交应视为已含入施工配合服务报价中</w:t>
      </w:r>
      <w:r>
        <w:rPr>
          <w:szCs w:val="21"/>
        </w:rPr>
        <w:t>，</w:t>
      </w:r>
      <w:r>
        <w:rPr>
          <w:rFonts w:hint="eastAsia"/>
          <w:szCs w:val="21"/>
        </w:rPr>
        <w:t>业主不再另行支付费用。</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27、 推迟与终止</w:t>
      </w:r>
    </w:p>
    <w:p>
      <w:pPr>
        <w:spacing w:line="360" w:lineRule="auto"/>
        <w:ind w:firstLine="420" w:firstLineChars="200"/>
        <w:textAlignment w:val="bottom"/>
        <w:rPr>
          <w:szCs w:val="21"/>
        </w:rPr>
      </w:pPr>
      <w:r>
        <w:rPr>
          <w:rFonts w:hint="eastAsia"/>
          <w:szCs w:val="21"/>
        </w:rPr>
        <w:t>27.1业主可以在至少28天以前以书面通知承包人暂停全部或部分开发工作或终止本合同书，一旦收到此类通知，承包人应立即安排停止计划并将开支减到最小</w:t>
      </w:r>
      <w:r>
        <w:rPr>
          <w:szCs w:val="21"/>
        </w:rPr>
        <w:t>。</w:t>
      </w:r>
    </w:p>
    <w:p>
      <w:pPr>
        <w:spacing w:line="360" w:lineRule="auto"/>
        <w:ind w:firstLine="420" w:firstLineChars="200"/>
        <w:textAlignment w:val="bottom"/>
        <w:rPr>
          <w:szCs w:val="21"/>
        </w:rPr>
      </w:pPr>
      <w:r>
        <w:rPr>
          <w:rFonts w:hint="eastAsia"/>
          <w:szCs w:val="21"/>
        </w:rPr>
        <w:t>27.2业主认为承包人无正当理由而未履行本合同规定的责任与义务时，应书面通知承包人，并说明理由</w:t>
      </w:r>
      <w:r>
        <w:rPr>
          <w:szCs w:val="21"/>
        </w:rPr>
        <w:t>。</w:t>
      </w:r>
      <w:r>
        <w:rPr>
          <w:rFonts w:hint="eastAsia"/>
          <w:szCs w:val="21"/>
        </w:rPr>
        <w:t>若业主在21天内没有收到满意的答复，业主可以发出进一步的通知终止本合同，但此进一步的通知必须在第一个通知发出28天后发出</w:t>
      </w:r>
      <w:r>
        <w:rPr>
          <w:szCs w:val="21"/>
        </w:rPr>
        <w:t>。</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28、 合同终止不影响权利和责任</w:t>
      </w:r>
    </w:p>
    <w:p>
      <w:pPr>
        <w:spacing w:line="360" w:lineRule="auto"/>
        <w:ind w:firstLine="420" w:firstLineChars="200"/>
        <w:textAlignment w:val="bottom"/>
        <w:rPr>
          <w:szCs w:val="21"/>
        </w:rPr>
      </w:pPr>
      <w:r>
        <w:rPr>
          <w:rFonts w:hint="eastAsia"/>
          <w:szCs w:val="21"/>
        </w:rPr>
        <w:t>本合同的终止，不应损害和影响各方应有的权利</w:t>
      </w:r>
      <w:r>
        <w:rPr>
          <w:szCs w:val="21"/>
        </w:rPr>
        <w:t>、</w:t>
      </w:r>
      <w:r>
        <w:rPr>
          <w:rFonts w:hint="eastAsia"/>
          <w:szCs w:val="21"/>
        </w:rPr>
        <w:t>索赔要求和应负的责任</w:t>
      </w:r>
      <w:r>
        <w:rPr>
          <w:szCs w:val="21"/>
        </w:rPr>
        <w:t>。</w:t>
      </w:r>
    </w:p>
    <w:p>
      <w:pPr>
        <w:pStyle w:val="4"/>
        <w:rPr>
          <w:rFonts w:ascii="宋体" w:hAnsi="宋体"/>
          <w:sz w:val="21"/>
          <w:szCs w:val="21"/>
        </w:rPr>
      </w:pPr>
      <w:bookmarkStart w:id="460" w:name="_Toc37246802"/>
      <w:r>
        <w:rPr>
          <w:rFonts w:hint="eastAsia" w:ascii="宋体" w:hAnsi="宋体"/>
          <w:sz w:val="21"/>
          <w:szCs w:val="21"/>
        </w:rPr>
        <w:t>六、违约与赔偿</w:t>
      </w:r>
      <w:bookmarkEnd w:id="460"/>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29、 业主的违约</w:t>
      </w:r>
    </w:p>
    <w:p>
      <w:pPr>
        <w:spacing w:line="360" w:lineRule="auto"/>
        <w:ind w:firstLine="420" w:firstLineChars="200"/>
        <w:textAlignment w:val="bottom"/>
        <w:rPr>
          <w:szCs w:val="21"/>
        </w:rPr>
      </w:pPr>
      <w:r>
        <w:rPr>
          <w:rFonts w:hint="eastAsia"/>
          <w:szCs w:val="21"/>
        </w:rPr>
        <w:t>29.1由于业主变更项目需求内容或提供的资料不准确</w:t>
      </w:r>
      <w:r>
        <w:rPr>
          <w:szCs w:val="21"/>
        </w:rPr>
        <w:t>，</w:t>
      </w:r>
      <w:r>
        <w:rPr>
          <w:rFonts w:hint="eastAsia"/>
          <w:szCs w:val="21"/>
        </w:rPr>
        <w:t>或所提交资料作较大修改</w:t>
      </w:r>
      <w:r>
        <w:rPr>
          <w:szCs w:val="21"/>
        </w:rPr>
        <w:t>，</w:t>
      </w:r>
      <w:r>
        <w:rPr>
          <w:rFonts w:hint="eastAsia"/>
          <w:szCs w:val="21"/>
        </w:rPr>
        <w:t>或未按期提供必需的资料或工作条件而造成承包人返工</w:t>
      </w:r>
      <w:r>
        <w:rPr>
          <w:szCs w:val="21"/>
        </w:rPr>
        <w:t>、</w:t>
      </w:r>
      <w:r>
        <w:rPr>
          <w:rFonts w:hint="eastAsia"/>
          <w:szCs w:val="21"/>
        </w:rPr>
        <w:t>停工</w:t>
      </w:r>
      <w:r>
        <w:rPr>
          <w:szCs w:val="21"/>
        </w:rPr>
        <w:t>、</w:t>
      </w:r>
      <w:r>
        <w:rPr>
          <w:rFonts w:hint="eastAsia"/>
          <w:szCs w:val="21"/>
        </w:rPr>
        <w:t>窝工，业主应按承包人增加的工作量增付费用；由于业主方要求加快项目进度提前完成设计和开发工作而增加人员导致费用的增加，应另行计列</w:t>
      </w:r>
      <w:r>
        <w:rPr>
          <w:szCs w:val="21"/>
        </w:rPr>
        <w:t>。</w:t>
      </w:r>
    </w:p>
    <w:p>
      <w:pPr>
        <w:spacing w:line="360" w:lineRule="auto"/>
        <w:ind w:firstLine="420" w:firstLineChars="200"/>
        <w:textAlignment w:val="bottom"/>
        <w:rPr>
          <w:szCs w:val="21"/>
        </w:rPr>
      </w:pPr>
      <w:r>
        <w:rPr>
          <w:rFonts w:hint="eastAsia"/>
          <w:szCs w:val="21"/>
        </w:rPr>
        <w:t>29.2业主超过合同规定的日期支付费用时，应偿付逾期的违约金</w:t>
      </w:r>
      <w:r>
        <w:rPr>
          <w:szCs w:val="21"/>
        </w:rPr>
        <w:t>。</w:t>
      </w:r>
      <w:r>
        <w:rPr>
          <w:rFonts w:hint="eastAsia"/>
          <w:szCs w:val="21"/>
        </w:rPr>
        <w:t>偿付办法与金额按合同条款的规定办理</w:t>
      </w:r>
      <w:r>
        <w:rPr>
          <w:szCs w:val="21"/>
        </w:rPr>
        <w:t>。</w:t>
      </w:r>
    </w:p>
    <w:p>
      <w:pPr>
        <w:spacing w:line="360" w:lineRule="auto"/>
        <w:ind w:firstLine="420" w:firstLineChars="200"/>
        <w:textAlignment w:val="bottom"/>
        <w:rPr>
          <w:szCs w:val="21"/>
        </w:rPr>
      </w:pPr>
      <w:r>
        <w:rPr>
          <w:rFonts w:hint="eastAsia"/>
          <w:szCs w:val="21"/>
        </w:rPr>
        <w:t>29.3在合同履行期间，业主要求终止或解除合同（由业主原因造成），业主除应按承包人完成的实际工作量支付费用外，还应按剩余合同价的5%~10%向承包人支付违约金。</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30、承包人的违约</w:t>
      </w:r>
    </w:p>
    <w:p>
      <w:pPr>
        <w:spacing w:line="360" w:lineRule="auto"/>
        <w:ind w:firstLine="420" w:firstLineChars="200"/>
        <w:textAlignment w:val="bottom"/>
        <w:rPr>
          <w:szCs w:val="21"/>
        </w:rPr>
      </w:pPr>
      <w:r>
        <w:rPr>
          <w:rFonts w:hint="eastAsia"/>
          <w:szCs w:val="21"/>
        </w:rPr>
        <w:t>30.1 如果承包人将本项目转让或者未经业主同意私自分包出去</w:t>
      </w:r>
      <w:r>
        <w:rPr>
          <w:szCs w:val="21"/>
        </w:rPr>
        <w:t>，</w:t>
      </w:r>
      <w:r>
        <w:rPr>
          <w:rFonts w:hint="eastAsia"/>
          <w:szCs w:val="21"/>
        </w:rPr>
        <w:t>业主将有权中止合同</w:t>
      </w:r>
      <w:r>
        <w:rPr>
          <w:szCs w:val="21"/>
        </w:rPr>
        <w:t>，</w:t>
      </w:r>
      <w:r>
        <w:rPr>
          <w:rFonts w:hint="eastAsia"/>
          <w:szCs w:val="21"/>
        </w:rPr>
        <w:t>并按合同价的5%~10%扣除承包人的违约金。</w:t>
      </w:r>
    </w:p>
    <w:p>
      <w:pPr>
        <w:spacing w:line="360" w:lineRule="auto"/>
        <w:ind w:firstLine="420" w:firstLineChars="200"/>
        <w:textAlignment w:val="bottom"/>
        <w:rPr>
          <w:szCs w:val="21"/>
        </w:rPr>
      </w:pPr>
      <w:r>
        <w:rPr>
          <w:rFonts w:hint="eastAsia"/>
          <w:szCs w:val="21"/>
        </w:rPr>
        <w:t>30.2承包人未按照国家相应的现行的强制性技术标准或规范、规程进行设计开发，业主将按合同价的5%~10%扣除承包人的违约金。</w:t>
      </w:r>
    </w:p>
    <w:p>
      <w:pPr>
        <w:spacing w:line="360" w:lineRule="auto"/>
        <w:ind w:firstLine="420" w:firstLineChars="200"/>
        <w:textAlignment w:val="bottom"/>
        <w:rPr>
          <w:szCs w:val="21"/>
        </w:rPr>
      </w:pPr>
      <w:r>
        <w:rPr>
          <w:rFonts w:hint="eastAsia"/>
          <w:szCs w:val="21"/>
        </w:rPr>
        <w:t>30.3若设计开发成果质量低劣或承包人工作不能达到业主满意的程度，业主可单方面终止合同，停止支付，而无须承担任何责任。因承包人的工作对工程造成损害的，承包人必须负责修复和赔偿。</w:t>
      </w:r>
    </w:p>
    <w:p>
      <w:pPr>
        <w:spacing w:line="360" w:lineRule="auto"/>
        <w:ind w:firstLine="420" w:firstLineChars="200"/>
        <w:textAlignment w:val="bottom"/>
        <w:rPr>
          <w:szCs w:val="21"/>
        </w:rPr>
      </w:pPr>
      <w:r>
        <w:rPr>
          <w:rFonts w:hint="eastAsia"/>
          <w:szCs w:val="21"/>
        </w:rPr>
        <w:t>30.4所有违约金或赔偿金均可在业主应付的任何费用或履约担保中扣除。</w:t>
      </w:r>
    </w:p>
    <w:p>
      <w:pPr>
        <w:pStyle w:val="4"/>
        <w:rPr>
          <w:rFonts w:ascii="宋体" w:hAnsi="宋体"/>
          <w:sz w:val="21"/>
          <w:szCs w:val="21"/>
        </w:rPr>
      </w:pPr>
      <w:bookmarkStart w:id="461" w:name="_Toc37246803"/>
      <w:r>
        <w:rPr>
          <w:rFonts w:hint="eastAsia" w:ascii="宋体" w:hAnsi="宋体"/>
          <w:sz w:val="21"/>
          <w:szCs w:val="21"/>
        </w:rPr>
        <w:t>七、其他</w:t>
      </w:r>
      <w:bookmarkEnd w:id="461"/>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31、 法律</w:t>
      </w:r>
    </w:p>
    <w:p>
      <w:pPr>
        <w:spacing w:line="360" w:lineRule="auto"/>
        <w:ind w:firstLine="420" w:firstLineChars="200"/>
        <w:rPr>
          <w:rFonts w:ascii="宋体" w:hAnsi="宋体"/>
          <w:szCs w:val="21"/>
        </w:rPr>
      </w:pPr>
      <w:r>
        <w:rPr>
          <w:rFonts w:hint="eastAsia"/>
          <w:szCs w:val="21"/>
        </w:rPr>
        <w:t>31.1</w:t>
      </w:r>
      <w:r>
        <w:rPr>
          <w:rFonts w:hint="eastAsia" w:ascii="宋体" w:hAnsi="宋体"/>
          <w:szCs w:val="21"/>
        </w:rPr>
        <w:t>承包人应遵守国家关于计算机软件开发和知识产权保护的法律法规，本合同条款未尽事宜，合同双方应参照有关法律法规执行。</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32、 知识产权</w:t>
      </w:r>
    </w:p>
    <w:p>
      <w:pPr>
        <w:spacing w:line="360" w:lineRule="auto"/>
        <w:ind w:firstLine="420" w:firstLineChars="200"/>
        <w:rPr>
          <w:rFonts w:ascii="宋体" w:hAnsi="宋体"/>
          <w:szCs w:val="21"/>
        </w:rPr>
      </w:pPr>
      <w:r>
        <w:rPr>
          <w:rFonts w:hint="eastAsia"/>
          <w:szCs w:val="21"/>
        </w:rPr>
        <w:t>32.1</w:t>
      </w:r>
      <w:r>
        <w:rPr>
          <w:rFonts w:hint="eastAsia" w:ascii="宋体" w:hAnsi="宋体"/>
          <w:szCs w:val="21"/>
        </w:rPr>
        <w:t xml:space="preserve"> 承包人应保证不会出现任何第三方对承包人所提供的所有软件（含因开发需要采购的中间件、操作系统等平台软件）提出知识产权争议。若出现上述争议，一律由承包方负责解决争议全部责任。由此发生的一切费用均由承包人承担。</w:t>
      </w:r>
    </w:p>
    <w:p>
      <w:pPr>
        <w:spacing w:line="360" w:lineRule="auto"/>
        <w:ind w:firstLine="420" w:firstLineChars="200"/>
        <w:rPr>
          <w:rFonts w:ascii="宋体" w:hAnsi="宋体"/>
          <w:szCs w:val="21"/>
        </w:rPr>
      </w:pPr>
      <w:r>
        <w:rPr>
          <w:rFonts w:hint="eastAsia"/>
          <w:szCs w:val="21"/>
        </w:rPr>
        <w:t xml:space="preserve">32.2 </w:t>
      </w:r>
      <w:r>
        <w:rPr>
          <w:rFonts w:hint="eastAsia" w:ascii="宋体" w:hAnsi="宋体"/>
          <w:szCs w:val="21"/>
        </w:rPr>
        <w:t>承包人承诺由承包人根据本合同所开发的系统软件的知识产权在交付使用时即归业主所有，因开发需要采购的中间件、操作系统等平台软件除外。承包人在其开发的应用软件交付使用时应将该软件的完整可执行代码、完整源代码及所有技术文档一并提供给业主。</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33、利益的冲突</w:t>
      </w:r>
    </w:p>
    <w:p>
      <w:pPr>
        <w:spacing w:line="360" w:lineRule="auto"/>
        <w:ind w:firstLine="420" w:firstLineChars="200"/>
        <w:textAlignment w:val="bottom"/>
        <w:rPr>
          <w:szCs w:val="21"/>
        </w:rPr>
      </w:pPr>
      <w:r>
        <w:rPr>
          <w:rFonts w:hint="eastAsia"/>
          <w:szCs w:val="21"/>
        </w:rPr>
        <w:t>33.1除合同另有规定外，承包人及其雇员不应接受本合同规定以外的与本项目有关的利益和报酬; 承包人不得参与与业主的利益相冲突的任何活动</w:t>
      </w:r>
      <w:r>
        <w:rPr>
          <w:szCs w:val="21"/>
        </w:rPr>
        <w:t>。</w:t>
      </w:r>
    </w:p>
    <w:p>
      <w:pPr>
        <w:pStyle w:val="5"/>
        <w:tabs>
          <w:tab w:val="left" w:pos="1391"/>
        </w:tabs>
        <w:spacing w:line="360" w:lineRule="auto"/>
        <w:jc w:val="left"/>
        <w:rPr>
          <w:rFonts w:ascii="宋体" w:hAnsi="宋体" w:eastAsia="宋体"/>
          <w:b/>
          <w:bCs/>
          <w:sz w:val="21"/>
        </w:rPr>
      </w:pPr>
      <w:r>
        <w:rPr>
          <w:rFonts w:hint="eastAsia" w:ascii="宋体" w:hAnsi="宋体" w:eastAsia="宋体"/>
          <w:b/>
          <w:bCs/>
          <w:sz w:val="21"/>
        </w:rPr>
        <w:t>34、争议解决</w:t>
      </w:r>
    </w:p>
    <w:p>
      <w:pPr>
        <w:spacing w:line="360" w:lineRule="auto"/>
        <w:ind w:firstLine="420" w:firstLineChars="200"/>
        <w:textAlignment w:val="bottom"/>
        <w:rPr>
          <w:szCs w:val="21"/>
        </w:rPr>
      </w:pPr>
      <w:r>
        <w:rPr>
          <w:rFonts w:hint="eastAsia"/>
          <w:szCs w:val="21"/>
        </w:rPr>
        <w:t>34.1本合同在执行过程中如有分歧，由双方协商解决。</w:t>
      </w:r>
    </w:p>
    <w:p>
      <w:pPr>
        <w:spacing w:line="360" w:lineRule="auto"/>
        <w:ind w:firstLine="420" w:firstLineChars="200"/>
        <w:textAlignment w:val="bottom"/>
        <w:rPr>
          <w:szCs w:val="21"/>
        </w:rPr>
      </w:pPr>
      <w:r>
        <w:rPr>
          <w:rFonts w:hint="eastAsia"/>
          <w:szCs w:val="21"/>
        </w:rPr>
        <w:t>34.2协商未果,可提请南通仲裁委员会仲裁。</w:t>
      </w:r>
    </w:p>
    <w:p>
      <w:pPr>
        <w:snapToGrid w:val="0"/>
        <w:spacing w:line="300" w:lineRule="auto"/>
        <w:contextualSpacing/>
        <w:rPr>
          <w:szCs w:val="21"/>
        </w:rPr>
      </w:pPr>
    </w:p>
    <w:p>
      <w:pPr>
        <w:snapToGrid w:val="0"/>
        <w:spacing w:line="300" w:lineRule="auto"/>
        <w:contextualSpacing/>
        <w:rPr>
          <w:szCs w:val="21"/>
        </w:rPr>
      </w:pPr>
    </w:p>
    <w:p>
      <w:pPr>
        <w:rPr>
          <w:rFonts w:ascii="宋体" w:hAnsi="宋体"/>
          <w:sz w:val="28"/>
          <w:szCs w:val="28"/>
        </w:rPr>
      </w:pPr>
      <w:r>
        <w:rPr>
          <w:rFonts w:ascii="宋体" w:hAnsi="宋体"/>
          <w:sz w:val="28"/>
          <w:szCs w:val="28"/>
        </w:rPr>
        <w:br w:type="page"/>
      </w:r>
      <w:r>
        <w:rPr>
          <w:rFonts w:ascii="宋体" w:hAnsi="宋体"/>
          <w:sz w:val="28"/>
          <w:szCs w:val="28"/>
        </w:rPr>
        <w:br w:type="page"/>
      </w:r>
    </w:p>
    <w:p>
      <w:pPr>
        <w:spacing w:line="500" w:lineRule="exact"/>
        <w:jc w:val="center"/>
        <w:outlineLvl w:val="2"/>
        <w:rPr>
          <w:b/>
          <w:bCs/>
          <w:sz w:val="30"/>
          <w:szCs w:val="21"/>
        </w:rPr>
      </w:pPr>
      <w:r>
        <w:rPr>
          <w:rFonts w:hint="eastAsia"/>
          <w:b/>
          <w:bCs/>
          <w:sz w:val="30"/>
        </w:rPr>
        <w:t>合同协议书</w:t>
      </w:r>
    </w:p>
    <w:p>
      <w:pPr>
        <w:spacing w:line="360" w:lineRule="auto"/>
        <w:rPr>
          <w:b/>
          <w:bCs/>
          <w:szCs w:val="21"/>
        </w:rPr>
      </w:pPr>
    </w:p>
    <w:p>
      <w:pPr>
        <w:adjustRightInd w:val="0"/>
        <w:snapToGrid w:val="0"/>
        <w:spacing w:line="360" w:lineRule="auto"/>
        <w:ind w:firstLine="420" w:firstLineChars="200"/>
        <w:rPr>
          <w:szCs w:val="21"/>
        </w:rPr>
      </w:pPr>
      <w:r>
        <w:rPr>
          <w:rFonts w:hint="eastAsia"/>
          <w:szCs w:val="21"/>
        </w:rPr>
        <w:t>本合同书由</w:t>
      </w:r>
      <w:r>
        <w:rPr>
          <w:rFonts w:hint="eastAsia"/>
          <w:szCs w:val="21"/>
          <w:u w:val="single"/>
        </w:rPr>
        <w:t>南通市公路事业发展中心</w:t>
      </w:r>
      <w:r>
        <w:rPr>
          <w:rFonts w:hint="eastAsia"/>
          <w:szCs w:val="21"/>
        </w:rPr>
        <w:t>（以下简称发包人）与（以下简称承包人）共同签署。</w:t>
      </w:r>
    </w:p>
    <w:p>
      <w:pPr>
        <w:adjustRightInd w:val="0"/>
        <w:snapToGrid w:val="0"/>
        <w:spacing w:line="360" w:lineRule="auto"/>
        <w:ind w:firstLine="420" w:firstLineChars="200"/>
        <w:rPr>
          <w:szCs w:val="21"/>
        </w:rPr>
      </w:pPr>
      <w:r>
        <w:rPr>
          <w:rFonts w:hint="eastAsia"/>
          <w:szCs w:val="21"/>
        </w:rPr>
        <w:t>鉴于发包人拟开展</w:t>
      </w:r>
      <w:r>
        <w:rPr>
          <w:rFonts w:hint="eastAsia"/>
          <w:szCs w:val="21"/>
          <w:u w:val="single"/>
        </w:rPr>
        <w:t>基于机器视觉的路面坑槽裂缝快检系统深化改造项目</w:t>
      </w:r>
      <w:r>
        <w:rPr>
          <w:rFonts w:hint="eastAsia"/>
          <w:szCs w:val="21"/>
        </w:rPr>
        <w:t>的研究，并通过中标通知书接受了承包人为</w:t>
      </w:r>
      <w:r>
        <w:rPr>
          <w:rFonts w:hint="eastAsia"/>
          <w:szCs w:val="21"/>
          <w:u w:val="single"/>
        </w:rPr>
        <w:t>基于机器视觉的路面坑槽裂缝快检系统深化改造项目</w:t>
      </w:r>
      <w:r>
        <w:rPr>
          <w:rFonts w:hint="eastAsia"/>
          <w:szCs w:val="21"/>
        </w:rPr>
        <w:t>所做的投标，双方达成如下协议：</w:t>
      </w:r>
    </w:p>
    <w:p>
      <w:pPr>
        <w:adjustRightInd w:val="0"/>
        <w:snapToGrid w:val="0"/>
        <w:spacing w:line="360" w:lineRule="auto"/>
        <w:ind w:firstLine="420" w:firstLineChars="200"/>
        <w:rPr>
          <w:szCs w:val="21"/>
        </w:rPr>
      </w:pPr>
      <w:r>
        <w:rPr>
          <w:rFonts w:hint="eastAsia"/>
          <w:szCs w:val="21"/>
        </w:rPr>
        <w:t>1、下列文件应作为本合同的组成部分：</w:t>
      </w:r>
    </w:p>
    <w:p>
      <w:pPr>
        <w:adjustRightInd w:val="0"/>
        <w:snapToGrid w:val="0"/>
        <w:spacing w:line="360" w:lineRule="auto"/>
        <w:ind w:firstLine="420" w:firstLineChars="200"/>
      </w:pPr>
      <w:r>
        <w:rPr>
          <w:rFonts w:hint="eastAsia"/>
        </w:rPr>
        <w:t>(</w:t>
      </w:r>
      <w:r>
        <w:t>1)</w:t>
      </w:r>
      <w:r>
        <w:rPr>
          <w:rFonts w:hint="eastAsia"/>
        </w:rPr>
        <w:t>合同协议书及附件（含补遗书等澄清文件，如果有）；</w:t>
      </w:r>
    </w:p>
    <w:p>
      <w:pPr>
        <w:adjustRightInd w:val="0"/>
        <w:snapToGrid w:val="0"/>
        <w:spacing w:line="360" w:lineRule="auto"/>
        <w:ind w:firstLine="420" w:firstLineChars="200"/>
      </w:pPr>
      <w:r>
        <w:t>(2)</w:t>
      </w:r>
      <w:r>
        <w:rPr>
          <w:rFonts w:hint="eastAsia"/>
        </w:rPr>
        <w:t>中标通知书；</w:t>
      </w:r>
    </w:p>
    <w:p>
      <w:pPr>
        <w:adjustRightInd w:val="0"/>
        <w:snapToGrid w:val="0"/>
        <w:spacing w:line="360" w:lineRule="auto"/>
        <w:ind w:firstLine="420" w:firstLineChars="200"/>
      </w:pPr>
      <w:r>
        <w:rPr>
          <w:rFonts w:hint="eastAsia"/>
        </w:rPr>
        <w:t>(</w:t>
      </w:r>
      <w:r>
        <w:t>3)</w:t>
      </w:r>
      <w:r>
        <w:rPr>
          <w:rFonts w:hint="eastAsia"/>
        </w:rPr>
        <w:t>投标书；</w:t>
      </w:r>
    </w:p>
    <w:p>
      <w:pPr>
        <w:adjustRightInd w:val="0"/>
        <w:snapToGrid w:val="0"/>
        <w:spacing w:line="360" w:lineRule="auto"/>
        <w:ind w:firstLine="420" w:firstLineChars="200"/>
      </w:pPr>
      <w:r>
        <w:rPr>
          <w:rFonts w:hint="eastAsia"/>
        </w:rPr>
        <w:t>(</w:t>
      </w:r>
      <w:r>
        <w:t>4)</w:t>
      </w:r>
      <w:r>
        <w:rPr>
          <w:rFonts w:hint="eastAsia"/>
        </w:rPr>
        <w:t>合同条款；</w:t>
      </w:r>
    </w:p>
    <w:p>
      <w:pPr>
        <w:adjustRightInd w:val="0"/>
        <w:snapToGrid w:val="0"/>
        <w:spacing w:line="360" w:lineRule="auto"/>
        <w:ind w:firstLine="420" w:firstLineChars="200"/>
      </w:pPr>
      <w:r>
        <w:rPr>
          <w:rFonts w:hint="eastAsia"/>
        </w:rPr>
        <w:t>(</w:t>
      </w:r>
      <w:r>
        <w:t>5)</w:t>
      </w:r>
      <w:r>
        <w:rPr>
          <w:rFonts w:hint="eastAsia"/>
        </w:rPr>
        <w:t>项目任务书；</w:t>
      </w:r>
    </w:p>
    <w:p>
      <w:pPr>
        <w:adjustRightInd w:val="0"/>
        <w:snapToGrid w:val="0"/>
        <w:spacing w:line="360" w:lineRule="auto"/>
        <w:ind w:firstLine="420" w:firstLineChars="200"/>
      </w:pPr>
      <w:r>
        <w:rPr>
          <w:rFonts w:hint="eastAsia"/>
        </w:rPr>
        <w:t>(</w:t>
      </w:r>
      <w:r>
        <w:t>6)</w:t>
      </w:r>
      <w:r>
        <w:rPr>
          <w:rFonts w:hint="eastAsia"/>
        </w:rPr>
        <w:t>技术标准与规范；</w:t>
      </w:r>
    </w:p>
    <w:p>
      <w:pPr>
        <w:adjustRightInd w:val="0"/>
        <w:snapToGrid w:val="0"/>
        <w:spacing w:line="360" w:lineRule="auto"/>
        <w:ind w:firstLine="420" w:firstLineChars="200"/>
      </w:pPr>
      <w:r>
        <w:rPr>
          <w:rFonts w:hint="eastAsia"/>
        </w:rPr>
        <w:t>(</w:t>
      </w:r>
      <w:r>
        <w:t>7)</w:t>
      </w:r>
      <w:r>
        <w:rPr>
          <w:rFonts w:hint="eastAsia"/>
        </w:rPr>
        <w:t>研究工作量及报价清单；</w:t>
      </w:r>
    </w:p>
    <w:p>
      <w:pPr>
        <w:adjustRightInd w:val="0"/>
        <w:snapToGrid w:val="0"/>
        <w:spacing w:line="360" w:lineRule="auto"/>
        <w:ind w:firstLine="420" w:firstLineChars="200"/>
      </w:pPr>
      <w:r>
        <w:rPr>
          <w:rFonts w:hint="eastAsia"/>
        </w:rPr>
        <w:t>(</w:t>
      </w:r>
      <w:r>
        <w:t>8)</w:t>
      </w:r>
      <w:r>
        <w:rPr>
          <w:rFonts w:hint="eastAsia"/>
        </w:rPr>
        <w:t>项目负责人及项目主要参与人员的基本情况；</w:t>
      </w:r>
    </w:p>
    <w:p>
      <w:pPr>
        <w:adjustRightInd w:val="0"/>
        <w:snapToGrid w:val="0"/>
        <w:spacing w:line="360" w:lineRule="auto"/>
        <w:ind w:firstLine="420" w:firstLineChars="200"/>
      </w:pPr>
      <w:r>
        <w:rPr>
          <w:rFonts w:hint="eastAsia"/>
        </w:rPr>
        <w:t>(</w:t>
      </w:r>
      <w:r>
        <w:t>9)</w:t>
      </w:r>
      <w:r>
        <w:rPr>
          <w:rFonts w:hint="eastAsia"/>
        </w:rPr>
        <w:t>工作大纲；</w:t>
      </w:r>
    </w:p>
    <w:p>
      <w:pPr>
        <w:adjustRightInd w:val="0"/>
        <w:snapToGrid w:val="0"/>
        <w:spacing w:line="360" w:lineRule="auto"/>
        <w:ind w:firstLine="420" w:firstLineChars="200"/>
      </w:pPr>
      <w:r>
        <w:rPr>
          <w:rFonts w:hint="eastAsia"/>
        </w:rPr>
        <w:t>(</w:t>
      </w:r>
      <w:r>
        <w:t>10)</w:t>
      </w:r>
      <w:r>
        <w:rPr>
          <w:rFonts w:hint="eastAsia"/>
        </w:rPr>
        <w:t>构成合同的其它文件。</w:t>
      </w:r>
    </w:p>
    <w:p>
      <w:pPr>
        <w:adjustRightInd w:val="0"/>
        <w:snapToGrid w:val="0"/>
        <w:spacing w:line="360" w:lineRule="auto"/>
        <w:ind w:firstLine="420" w:firstLineChars="200"/>
        <w:rPr>
          <w:szCs w:val="21"/>
        </w:rPr>
      </w:pPr>
      <w:r>
        <w:rPr>
          <w:rFonts w:hint="eastAsia"/>
          <w:szCs w:val="21"/>
        </w:rPr>
        <w:t>上述文件应认为是互为补充和解释的，但如有不明确或不一致之处，以上面所列顺序在前者为准。</w:t>
      </w:r>
    </w:p>
    <w:p>
      <w:pPr>
        <w:tabs>
          <w:tab w:val="left" w:pos="1260"/>
        </w:tabs>
        <w:adjustRightInd w:val="0"/>
        <w:snapToGrid w:val="0"/>
        <w:spacing w:line="360" w:lineRule="auto"/>
        <w:ind w:firstLine="420" w:firstLineChars="200"/>
      </w:pPr>
      <w:r>
        <w:rPr>
          <w:rFonts w:hint="eastAsia"/>
          <w:szCs w:val="21"/>
        </w:rPr>
        <w:t>2、本项目</w:t>
      </w:r>
      <w:r>
        <w:rPr>
          <w:rFonts w:hint="eastAsia" w:ascii="宋体" w:hAnsi="宋体"/>
        </w:rPr>
        <w:t>签约合同价：人民币（大写）：元（</w:t>
      </w:r>
      <w:r>
        <w:rPr>
          <w:rFonts w:ascii="宋体" w:hAnsi="宋体"/>
        </w:rPr>
        <w:t>¥</w:t>
      </w:r>
      <w:r>
        <w:rPr>
          <w:rFonts w:hint="eastAsia" w:ascii="宋体" w:hAnsi="宋体"/>
        </w:rPr>
        <w:t>：）。</w:t>
      </w:r>
    </w:p>
    <w:p>
      <w:pPr>
        <w:tabs>
          <w:tab w:val="left" w:pos="1800"/>
        </w:tabs>
        <w:snapToGrid w:val="0"/>
        <w:spacing w:line="360" w:lineRule="auto"/>
        <w:ind w:firstLine="426"/>
      </w:pPr>
      <w:r>
        <w:rPr>
          <w:rFonts w:hint="eastAsia"/>
        </w:rPr>
        <w:t>3、项目负责人为，主要人员名单详见附件。</w:t>
      </w:r>
    </w:p>
    <w:p>
      <w:pPr>
        <w:snapToGrid w:val="0"/>
        <w:spacing w:line="360" w:lineRule="auto"/>
        <w:ind w:firstLine="420" w:firstLineChars="200"/>
        <w:rPr>
          <w:szCs w:val="21"/>
        </w:rPr>
      </w:pPr>
      <w:r>
        <w:rPr>
          <w:szCs w:val="21"/>
        </w:rPr>
        <w:t>4</w:t>
      </w:r>
      <w:r>
        <w:rPr>
          <w:rFonts w:hint="eastAsia"/>
          <w:szCs w:val="21"/>
        </w:rPr>
        <w:t>、项目进度安排：</w:t>
      </w:r>
    </w:p>
    <w:p>
      <w:pPr>
        <w:snapToGrid w:val="0"/>
        <w:spacing w:line="360" w:lineRule="auto"/>
        <w:ind w:firstLine="420" w:firstLineChars="200"/>
        <w:rPr>
          <w:szCs w:val="21"/>
          <w:shd w:val="clear" w:color="auto" w:fill="FFFFFF"/>
        </w:rPr>
      </w:pPr>
      <w:r>
        <w:rPr>
          <w:rFonts w:hint="eastAsia"/>
          <w:szCs w:val="21"/>
          <w:shd w:val="clear" w:color="auto" w:fill="FFFFFF"/>
        </w:rPr>
        <w:t>建设期：2020年12月15日前完成系统开发、安装调试，开展系统试运行。2021年4月前通过验收。</w:t>
      </w:r>
    </w:p>
    <w:p>
      <w:pPr>
        <w:snapToGrid w:val="0"/>
        <w:spacing w:line="360" w:lineRule="auto"/>
        <w:ind w:firstLine="420" w:firstLineChars="200"/>
        <w:rPr>
          <w:szCs w:val="21"/>
          <w:shd w:val="clear" w:color="auto" w:fill="FFFFFF"/>
        </w:rPr>
      </w:pPr>
      <w:r>
        <w:rPr>
          <w:rFonts w:hint="eastAsia"/>
          <w:szCs w:val="21"/>
          <w:shd w:val="clear" w:color="auto" w:fill="FFFFFF"/>
        </w:rPr>
        <w:t>售后服务期：系统通过验收后1年免费维护</w:t>
      </w:r>
    </w:p>
    <w:p>
      <w:pPr>
        <w:snapToGrid w:val="0"/>
        <w:spacing w:line="360" w:lineRule="auto"/>
        <w:ind w:firstLine="420" w:firstLineChars="200"/>
        <w:rPr>
          <w:szCs w:val="21"/>
          <w:shd w:val="clear" w:color="auto" w:fill="FFFFFF"/>
        </w:rPr>
      </w:pPr>
      <w:r>
        <w:rPr>
          <w:rFonts w:hint="eastAsia"/>
          <w:szCs w:val="21"/>
          <w:shd w:val="clear" w:color="auto" w:fill="FFFFFF"/>
        </w:rPr>
        <w:t>5、质量要求：详见项目需求。</w:t>
      </w:r>
    </w:p>
    <w:p>
      <w:pPr>
        <w:adjustRightInd w:val="0"/>
        <w:snapToGrid w:val="0"/>
        <w:spacing w:line="360" w:lineRule="auto"/>
        <w:ind w:firstLine="420" w:firstLineChars="200"/>
        <w:rPr>
          <w:szCs w:val="21"/>
        </w:rPr>
      </w:pPr>
      <w:r>
        <w:rPr>
          <w:rFonts w:hint="eastAsia"/>
          <w:szCs w:val="21"/>
        </w:rPr>
        <w:t>6、支付：</w:t>
      </w:r>
    </w:p>
    <w:p>
      <w:pPr>
        <w:adjustRightInd w:val="0"/>
        <w:snapToGrid w:val="0"/>
        <w:spacing w:line="360" w:lineRule="auto"/>
        <w:ind w:firstLine="420" w:firstLineChars="200"/>
        <w:rPr>
          <w:szCs w:val="21"/>
        </w:rPr>
      </w:pPr>
      <w:r>
        <w:rPr>
          <w:rFonts w:hint="eastAsia"/>
          <w:szCs w:val="21"/>
        </w:rPr>
        <w:t>本项目为总价合同，合同价为元（大写元）</w:t>
      </w:r>
    </w:p>
    <w:p>
      <w:pPr>
        <w:adjustRightInd w:val="0"/>
        <w:snapToGrid w:val="0"/>
        <w:spacing w:line="360" w:lineRule="auto"/>
        <w:ind w:firstLine="420" w:firstLineChars="200"/>
        <w:jc w:val="left"/>
        <w:rPr>
          <w:szCs w:val="21"/>
        </w:rPr>
      </w:pPr>
      <w:r>
        <w:rPr>
          <w:rFonts w:hint="eastAsia"/>
          <w:szCs w:val="21"/>
        </w:rPr>
        <w:t>合同签订后支付合同总价的20%，完成系统开发、安装调试后支付至合同总价的80%,通过系统试运行审查后支付至合同总价的90%，系统验收合格后支付合同总价的95%，维护期满一年后付清余款（以上付款均不计利息）。</w:t>
      </w:r>
    </w:p>
    <w:p>
      <w:pPr>
        <w:adjustRightInd w:val="0"/>
        <w:snapToGrid w:val="0"/>
        <w:spacing w:line="360" w:lineRule="auto"/>
        <w:ind w:firstLine="420" w:firstLineChars="200"/>
        <w:jc w:val="left"/>
        <w:rPr>
          <w:szCs w:val="21"/>
        </w:rPr>
      </w:pPr>
      <w:r>
        <w:rPr>
          <w:rFonts w:hint="eastAsia"/>
          <w:szCs w:val="21"/>
        </w:rPr>
        <w:t>以上付款均不计利息。</w:t>
      </w:r>
    </w:p>
    <w:p>
      <w:pPr>
        <w:adjustRightInd w:val="0"/>
        <w:snapToGrid w:val="0"/>
        <w:spacing w:line="360" w:lineRule="auto"/>
        <w:ind w:firstLine="420" w:firstLineChars="200"/>
        <w:rPr>
          <w:szCs w:val="21"/>
        </w:rPr>
      </w:pPr>
      <w:r>
        <w:rPr>
          <w:rFonts w:hint="eastAsia"/>
          <w:szCs w:val="21"/>
        </w:rPr>
        <w:t>7</w:t>
      </w:r>
      <w:r>
        <w:rPr>
          <w:szCs w:val="21"/>
        </w:rPr>
        <w:t>、</w:t>
      </w:r>
      <w:r>
        <w:rPr>
          <w:rFonts w:hint="eastAsia"/>
          <w:szCs w:val="21"/>
        </w:rPr>
        <w:t>发包人和承包人双方的责任和义务及违约条款遵照合同条款的规定。</w:t>
      </w:r>
    </w:p>
    <w:p>
      <w:pPr>
        <w:spacing w:line="360" w:lineRule="auto"/>
        <w:ind w:firstLine="439"/>
      </w:pPr>
      <w:r>
        <w:rPr>
          <w:rFonts w:hint="eastAsia"/>
          <w:szCs w:val="21"/>
        </w:rPr>
        <w:t>8、</w:t>
      </w:r>
      <w:r>
        <w:rPr>
          <w:rFonts w:hint="eastAsia"/>
        </w:rPr>
        <w:t>承包人承诺按合同约定承担本项目的相关服务。</w:t>
      </w:r>
    </w:p>
    <w:p>
      <w:pPr>
        <w:spacing w:line="360" w:lineRule="auto"/>
        <w:ind w:firstLine="439"/>
      </w:pPr>
      <w:r>
        <w:rPr>
          <w:rFonts w:hint="eastAsia"/>
        </w:rPr>
        <w:t>9、作为完成本合同的报酬，业主在此立约，保证按照本合同规定的时间和方式向承包人支付合同价款。</w:t>
      </w:r>
    </w:p>
    <w:p>
      <w:pPr>
        <w:spacing w:line="360" w:lineRule="auto"/>
        <w:ind w:firstLine="439"/>
      </w:pPr>
      <w:r>
        <w:rPr>
          <w:rFonts w:hint="eastAsia"/>
        </w:rPr>
        <w:t>10、本协议书在承包人提供履约担保后，由双方法定代表人或其授权的代理人签字并加盖公章后生效，缺陷责任终止后失效。</w:t>
      </w:r>
    </w:p>
    <w:p>
      <w:pPr>
        <w:spacing w:line="360" w:lineRule="auto"/>
        <w:ind w:firstLine="439"/>
      </w:pPr>
      <w:r>
        <w:rPr>
          <w:rFonts w:hint="eastAsia"/>
        </w:rPr>
        <w:t>11、本协议书正本二份、副本四份，合同双方各执正本一份，副本贰份，当正本与副本内容不一致时，以正本为准。</w:t>
      </w:r>
    </w:p>
    <w:p>
      <w:pPr>
        <w:spacing w:line="360" w:lineRule="auto"/>
        <w:ind w:firstLine="439"/>
      </w:pPr>
      <w:r>
        <w:rPr>
          <w:rFonts w:hint="eastAsia"/>
        </w:rPr>
        <w:t>12、本合同协议书未尽事宜由双方协商解决。</w:t>
      </w:r>
    </w:p>
    <w:p>
      <w:pPr>
        <w:tabs>
          <w:tab w:val="left" w:pos="1260"/>
        </w:tabs>
      </w:pPr>
    </w:p>
    <w:p>
      <w:pPr>
        <w:tabs>
          <w:tab w:val="left" w:pos="1260"/>
        </w:tabs>
      </w:pPr>
    </w:p>
    <w:p>
      <w:pPr>
        <w:tabs>
          <w:tab w:val="left" w:pos="1260"/>
        </w:tabs>
      </w:pPr>
    </w:p>
    <w:p>
      <w:pPr>
        <w:tabs>
          <w:tab w:val="left" w:pos="1260"/>
        </w:tabs>
      </w:pPr>
    </w:p>
    <w:p>
      <w:pPr>
        <w:tabs>
          <w:tab w:val="left" w:pos="1260"/>
        </w:tabs>
      </w:pPr>
    </w:p>
    <w:p>
      <w:pPr>
        <w:tabs>
          <w:tab w:val="left" w:pos="1260"/>
        </w:tabs>
      </w:pPr>
    </w:p>
    <w:p>
      <w:pPr>
        <w:tabs>
          <w:tab w:val="left" w:pos="1260"/>
        </w:tabs>
      </w:pPr>
    </w:p>
    <w:p>
      <w:pPr>
        <w:spacing w:line="480" w:lineRule="auto"/>
        <w:rPr>
          <w:rFonts w:ascii="宋体" w:hAnsi="宋体"/>
          <w:szCs w:val="21"/>
        </w:rPr>
      </w:pPr>
      <w:r>
        <w:rPr>
          <w:rFonts w:hint="eastAsia" w:ascii="宋体" w:hAnsi="宋体"/>
          <w:szCs w:val="21"/>
        </w:rPr>
        <w:t>发包人：（盖单位章）          承包人：（盖单位章）</w:t>
      </w:r>
    </w:p>
    <w:p>
      <w:pPr>
        <w:spacing w:line="480" w:lineRule="auto"/>
        <w:rPr>
          <w:rFonts w:ascii="宋体" w:hAnsi="宋体"/>
          <w:szCs w:val="21"/>
        </w:rPr>
      </w:pPr>
      <w:r>
        <w:rPr>
          <w:rFonts w:hint="eastAsia" w:ascii="宋体" w:hAnsi="宋体"/>
          <w:szCs w:val="21"/>
        </w:rPr>
        <w:t>法定代表人或其委托代理人：（签字）        法定代表人或其委托代理人：（签字）</w:t>
      </w:r>
    </w:p>
    <w:p>
      <w:pPr>
        <w:spacing w:line="480" w:lineRule="auto"/>
        <w:ind w:firstLine="630" w:firstLineChars="300"/>
        <w:rPr>
          <w:rFonts w:ascii="宋体" w:hAnsi="宋体"/>
          <w:szCs w:val="21"/>
        </w:rPr>
      </w:pPr>
      <w:r>
        <w:rPr>
          <w:rFonts w:hint="eastAsia" w:ascii="宋体" w:hAnsi="宋体"/>
          <w:szCs w:val="21"/>
        </w:rPr>
        <w:t>年月日                          年月日</w:t>
      </w:r>
    </w:p>
    <w:p>
      <w:pPr>
        <w:tabs>
          <w:tab w:val="left" w:pos="4395"/>
          <w:tab w:val="left" w:pos="4678"/>
          <w:tab w:val="left" w:pos="4820"/>
        </w:tabs>
        <w:spacing w:line="460" w:lineRule="exact"/>
        <w:ind w:firstLine="360"/>
        <w:rPr>
          <w:b/>
          <w:spacing w:val="2"/>
          <w:sz w:val="24"/>
        </w:rPr>
        <w:sectPr>
          <w:pgSz w:w="11906" w:h="16838"/>
          <w:pgMar w:top="1440" w:right="1800" w:bottom="1440" w:left="1800" w:header="851" w:footer="992" w:gutter="0"/>
          <w:cols w:space="425" w:num="1"/>
          <w:docGrid w:type="lines" w:linePitch="312" w:charSpace="0"/>
        </w:sectPr>
      </w:pPr>
    </w:p>
    <w:p>
      <w:pPr>
        <w:spacing w:line="360" w:lineRule="auto"/>
        <w:jc w:val="center"/>
        <w:rPr>
          <w:b/>
          <w:bCs/>
          <w:sz w:val="28"/>
          <w:szCs w:val="28"/>
        </w:rPr>
      </w:pPr>
      <w:bookmarkStart w:id="462" w:name="_Toc43024026"/>
      <w:r>
        <w:rPr>
          <w:rFonts w:hint="eastAsia"/>
          <w:b/>
          <w:bCs/>
          <w:sz w:val="28"/>
          <w:szCs w:val="28"/>
        </w:rPr>
        <w:t>廉政合同</w:t>
      </w:r>
      <w:bookmarkEnd w:id="462"/>
      <w:r>
        <w:rPr>
          <w:rFonts w:hint="eastAsia"/>
          <w:b/>
          <w:bCs/>
          <w:sz w:val="28"/>
          <w:szCs w:val="28"/>
        </w:rPr>
        <w:t>协议书</w:t>
      </w:r>
    </w:p>
    <w:p>
      <w:pPr>
        <w:pStyle w:val="17"/>
        <w:adjustRightInd w:val="0"/>
        <w:snapToGrid w:val="0"/>
        <w:ind w:firstLine="420" w:firstLineChars="200"/>
        <w:rPr>
          <w:rFonts w:ascii="Times New Roman" w:hAnsi="Times New Roman"/>
          <w:snapToGrid w:val="0"/>
          <w:kern w:val="0"/>
        </w:rPr>
      </w:pPr>
      <w:r>
        <w:rPr>
          <w:rFonts w:hint="eastAsia" w:ascii="Times New Roman" w:hAnsi="Times New Roman"/>
        </w:rPr>
        <w:t>根据交通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Times New Roman" w:hAnsi="Times New Roman"/>
          <w:u w:val="single"/>
        </w:rPr>
        <w:t>南通市公路事业发展中心</w:t>
      </w:r>
      <w:r>
        <w:rPr>
          <w:rFonts w:hint="eastAsia" w:ascii="Times New Roman" w:hAnsi="Times New Roman"/>
        </w:rPr>
        <w:t>（以下称甲方）与（以下称乙方），特订立如下合同。</w:t>
      </w:r>
    </w:p>
    <w:p>
      <w:pPr>
        <w:adjustRightInd w:val="0"/>
        <w:snapToGrid w:val="0"/>
        <w:spacing w:beforeLines="15" w:afterLines="15" w:line="360" w:lineRule="auto"/>
        <w:ind w:firstLine="420" w:firstLineChars="200"/>
        <w:rPr>
          <w:szCs w:val="21"/>
        </w:rPr>
      </w:pPr>
      <w:r>
        <w:rPr>
          <w:rFonts w:hint="eastAsia"/>
          <w:szCs w:val="21"/>
        </w:rPr>
        <w:t>第一条甲方、乙方双方的权利和义务</w:t>
      </w:r>
    </w:p>
    <w:p>
      <w:pPr>
        <w:adjustRightInd w:val="0"/>
        <w:snapToGrid w:val="0"/>
        <w:spacing w:beforeLines="15" w:afterLines="15" w:line="360" w:lineRule="auto"/>
        <w:ind w:firstLine="420" w:firstLineChars="200"/>
        <w:rPr>
          <w:szCs w:val="21"/>
        </w:rPr>
      </w:pPr>
      <w:r>
        <w:rPr>
          <w:rFonts w:hint="eastAsia"/>
          <w:szCs w:val="21"/>
        </w:rPr>
        <w:t>（一）严格遵守党和国家有关法律法规及交通部的有关规定。</w:t>
      </w:r>
    </w:p>
    <w:p>
      <w:pPr>
        <w:adjustRightInd w:val="0"/>
        <w:snapToGrid w:val="0"/>
        <w:spacing w:beforeLines="15" w:afterLines="15" w:line="360" w:lineRule="auto"/>
        <w:ind w:firstLine="420" w:firstLineChars="200"/>
        <w:rPr>
          <w:szCs w:val="21"/>
        </w:rPr>
      </w:pPr>
      <w:r>
        <w:rPr>
          <w:rFonts w:hint="eastAsia"/>
          <w:szCs w:val="21"/>
        </w:rPr>
        <w:t>（二）严格遵守</w:t>
      </w:r>
      <w:r>
        <w:rPr>
          <w:rFonts w:hint="eastAsia"/>
          <w:szCs w:val="21"/>
          <w:u w:val="single"/>
        </w:rPr>
        <w:t>基于机器视觉的路面坑槽裂缝快检系统深化改造项目</w:t>
      </w:r>
      <w:r>
        <w:rPr>
          <w:rFonts w:hint="eastAsia"/>
          <w:szCs w:val="21"/>
        </w:rPr>
        <w:t>的合同文件，自觉按合同办事。</w:t>
      </w:r>
    </w:p>
    <w:p>
      <w:pPr>
        <w:adjustRightInd w:val="0"/>
        <w:snapToGrid w:val="0"/>
        <w:spacing w:beforeLines="15" w:afterLines="15" w:line="360" w:lineRule="auto"/>
        <w:ind w:firstLine="420" w:firstLineChars="200"/>
        <w:rPr>
          <w:szCs w:val="21"/>
        </w:rPr>
      </w:pPr>
      <w:r>
        <w:rPr>
          <w:rFonts w:hint="eastAsia"/>
          <w:szCs w:val="21"/>
        </w:rPr>
        <w:t>（三）双方的业务活动坚持公开、公正、诚信、透明的原则（除法律认定的商业秘密和合同文件另有规定之外），不得损害国家和集体利益，违反工程建设管理规章制度。</w:t>
      </w:r>
    </w:p>
    <w:p>
      <w:pPr>
        <w:adjustRightInd w:val="0"/>
        <w:snapToGrid w:val="0"/>
        <w:spacing w:beforeLines="15" w:afterLines="15" w:line="360" w:lineRule="auto"/>
        <w:ind w:firstLine="420" w:firstLineChars="200"/>
        <w:rPr>
          <w:szCs w:val="21"/>
        </w:rPr>
      </w:pPr>
      <w:r>
        <w:rPr>
          <w:rFonts w:hint="eastAsia"/>
          <w:szCs w:val="21"/>
        </w:rPr>
        <w:t>（四）建立健全廉政制度，开展廉政教育，设立廉政告示牌，公布举报电话，监督并认真查处违法违纪行为。</w:t>
      </w:r>
    </w:p>
    <w:p>
      <w:pPr>
        <w:adjustRightInd w:val="0"/>
        <w:snapToGrid w:val="0"/>
        <w:spacing w:beforeLines="15" w:afterLines="15" w:line="360" w:lineRule="auto"/>
        <w:ind w:firstLine="420" w:firstLineChars="200"/>
        <w:rPr>
          <w:szCs w:val="21"/>
        </w:rPr>
      </w:pPr>
      <w:r>
        <w:rPr>
          <w:rFonts w:hint="eastAsia"/>
          <w:szCs w:val="21"/>
        </w:rPr>
        <w:t>（五）发现对方在业务活动中有违反廉政规定的行为，有及时提醒对方纠正的权利和义务。</w:t>
      </w:r>
    </w:p>
    <w:p>
      <w:pPr>
        <w:adjustRightInd w:val="0"/>
        <w:snapToGrid w:val="0"/>
        <w:spacing w:beforeLines="15" w:afterLines="15" w:line="360" w:lineRule="auto"/>
        <w:ind w:firstLine="420" w:firstLineChars="200"/>
        <w:rPr>
          <w:szCs w:val="21"/>
        </w:rPr>
      </w:pPr>
      <w:r>
        <w:rPr>
          <w:rFonts w:hint="eastAsia"/>
          <w:szCs w:val="21"/>
        </w:rPr>
        <w:t>（六）发现对方严重违反本合同义务条款的行为，有向其上级有关部门举报、建议给予处理并要求告之处理结果的权利。</w:t>
      </w:r>
    </w:p>
    <w:p>
      <w:pPr>
        <w:adjustRightInd w:val="0"/>
        <w:snapToGrid w:val="0"/>
        <w:spacing w:beforeLines="15" w:afterLines="15" w:line="360" w:lineRule="auto"/>
        <w:ind w:firstLine="420" w:firstLineChars="200"/>
        <w:rPr>
          <w:szCs w:val="21"/>
        </w:rPr>
      </w:pPr>
      <w:r>
        <w:rPr>
          <w:rFonts w:hint="eastAsia"/>
          <w:szCs w:val="21"/>
        </w:rPr>
        <w:t>第二条甲方的义务</w:t>
      </w:r>
    </w:p>
    <w:p>
      <w:pPr>
        <w:adjustRightInd w:val="0"/>
        <w:snapToGrid w:val="0"/>
        <w:spacing w:beforeLines="15" w:afterLines="15" w:line="360" w:lineRule="auto"/>
        <w:ind w:firstLine="420" w:firstLineChars="200"/>
        <w:rPr>
          <w:szCs w:val="21"/>
        </w:rPr>
      </w:pPr>
      <w:r>
        <w:rPr>
          <w:rFonts w:hint="eastAsia"/>
          <w:szCs w:val="21"/>
        </w:rPr>
        <w:t>（一）甲方及其工作人员不得索要或接受乙方的礼金、有价证券和贵重物品，不得由乙方报销任何应由甲方或个人支付的费用等。</w:t>
      </w:r>
    </w:p>
    <w:p>
      <w:pPr>
        <w:adjustRightInd w:val="0"/>
        <w:snapToGrid w:val="0"/>
        <w:spacing w:beforeLines="15" w:afterLines="15" w:line="360" w:lineRule="auto"/>
        <w:ind w:firstLine="420" w:firstLineChars="200"/>
        <w:rPr>
          <w:szCs w:val="21"/>
        </w:rPr>
      </w:pPr>
      <w:r>
        <w:rPr>
          <w:rFonts w:hint="eastAsia"/>
          <w:szCs w:val="21"/>
        </w:rPr>
        <w:t>（二）甲方工作人员不得参加乙方安排的宴请和娱乐活动；不得接受乙方提供的通讯工具、交通工具和高档办公用品等。</w:t>
      </w:r>
    </w:p>
    <w:p>
      <w:pPr>
        <w:adjustRightInd w:val="0"/>
        <w:snapToGrid w:val="0"/>
        <w:spacing w:beforeLines="15" w:afterLines="15" w:line="360" w:lineRule="auto"/>
        <w:ind w:firstLine="420" w:firstLineChars="200"/>
        <w:rPr>
          <w:szCs w:val="21"/>
        </w:rPr>
      </w:pPr>
      <w:r>
        <w:rPr>
          <w:rFonts w:hint="eastAsia"/>
          <w:szCs w:val="21"/>
        </w:rPr>
        <w:t>（三）甲方及其工作人员不得要求或者接受乙方为其住房装修、婚丧嫁娶活动、配偶子女的工作安排和子女读书上学以及出国出境、旅游等提供方便等；不得要求或者接受乙方为其子女读书上学提供其所承担的费用等。</w:t>
      </w:r>
    </w:p>
    <w:p>
      <w:pPr>
        <w:adjustRightInd w:val="0"/>
        <w:snapToGrid w:val="0"/>
        <w:spacing w:beforeLines="15" w:afterLines="15" w:line="360" w:lineRule="auto"/>
        <w:ind w:firstLine="420" w:firstLineChars="200"/>
        <w:rPr>
          <w:szCs w:val="21"/>
        </w:rPr>
      </w:pPr>
      <w:r>
        <w:rPr>
          <w:rFonts w:hint="eastAsia"/>
          <w:szCs w:val="21"/>
        </w:rPr>
        <w:t>（四）甲方工作人员的配偶、子女不得从事与甲方工程有关的材料设备供应、工程分包、劳务等经济活动等。</w:t>
      </w:r>
    </w:p>
    <w:p>
      <w:pPr>
        <w:adjustRightInd w:val="0"/>
        <w:snapToGrid w:val="0"/>
        <w:spacing w:beforeLines="15" w:afterLines="15" w:line="360" w:lineRule="auto"/>
        <w:ind w:firstLine="420" w:firstLineChars="200"/>
        <w:rPr>
          <w:szCs w:val="21"/>
        </w:rPr>
      </w:pPr>
      <w:r>
        <w:rPr>
          <w:rFonts w:hint="eastAsia"/>
          <w:szCs w:val="21"/>
        </w:rPr>
        <w:t>（五）甲方及其工作人员不得以任何理由向乙方推荐分包单位，不得要求乙方购买合同规定外的材料和设备。</w:t>
      </w:r>
    </w:p>
    <w:p>
      <w:pPr>
        <w:adjustRightInd w:val="0"/>
        <w:snapToGrid w:val="0"/>
        <w:spacing w:beforeLines="15" w:afterLines="15" w:line="360" w:lineRule="auto"/>
        <w:ind w:firstLine="420" w:firstLineChars="200"/>
        <w:rPr>
          <w:szCs w:val="21"/>
        </w:rPr>
      </w:pPr>
      <w:r>
        <w:rPr>
          <w:rFonts w:hint="eastAsia"/>
          <w:szCs w:val="21"/>
        </w:rPr>
        <w:t>第三条乙方义务</w:t>
      </w:r>
    </w:p>
    <w:p>
      <w:pPr>
        <w:adjustRightInd w:val="0"/>
        <w:snapToGrid w:val="0"/>
        <w:spacing w:beforeLines="15" w:afterLines="15" w:line="360" w:lineRule="auto"/>
        <w:ind w:firstLine="420" w:firstLineChars="200"/>
        <w:rPr>
          <w:szCs w:val="21"/>
        </w:rPr>
      </w:pPr>
      <w:r>
        <w:rPr>
          <w:rFonts w:hint="eastAsia"/>
          <w:szCs w:val="21"/>
        </w:rPr>
        <w:t>（一）乙方不得以任何理由向甲方及其工作人员行贿或馈赠礼金、有价证券、贵重礼品。</w:t>
      </w:r>
    </w:p>
    <w:p>
      <w:pPr>
        <w:adjustRightInd w:val="0"/>
        <w:snapToGrid w:val="0"/>
        <w:spacing w:beforeLines="15" w:afterLines="15" w:line="360" w:lineRule="auto"/>
        <w:ind w:firstLine="420" w:firstLineChars="200"/>
        <w:rPr>
          <w:szCs w:val="21"/>
        </w:rPr>
      </w:pPr>
      <w:r>
        <w:rPr>
          <w:rFonts w:hint="eastAsia"/>
          <w:szCs w:val="21"/>
        </w:rPr>
        <w:t>（二）乙方不得以任何名义为甲方及其工作人员报销应由甲方单位或个人支付的任何费用。</w:t>
      </w:r>
    </w:p>
    <w:p>
      <w:pPr>
        <w:adjustRightInd w:val="0"/>
        <w:snapToGrid w:val="0"/>
        <w:spacing w:beforeLines="15" w:afterLines="15" w:line="360" w:lineRule="auto"/>
        <w:ind w:firstLine="420" w:firstLineChars="200"/>
        <w:rPr>
          <w:szCs w:val="21"/>
        </w:rPr>
      </w:pPr>
      <w:r>
        <w:rPr>
          <w:rFonts w:hint="eastAsia"/>
          <w:szCs w:val="21"/>
        </w:rPr>
        <w:t>（三）乙方不得以任何理由安排甲方工作人员参加宴请及娱乐活动。</w:t>
      </w:r>
    </w:p>
    <w:p>
      <w:pPr>
        <w:adjustRightInd w:val="0"/>
        <w:snapToGrid w:val="0"/>
        <w:spacing w:beforeLines="15" w:afterLines="15" w:line="360" w:lineRule="auto"/>
        <w:ind w:firstLine="420" w:firstLineChars="200"/>
        <w:rPr>
          <w:szCs w:val="21"/>
        </w:rPr>
      </w:pPr>
      <w:r>
        <w:rPr>
          <w:rFonts w:hint="eastAsia"/>
          <w:szCs w:val="21"/>
        </w:rPr>
        <w:t>（四）乙方不得为甲方单位和个人购置或提供通讯工具、交通工具和高档办公用品等。</w:t>
      </w:r>
    </w:p>
    <w:p>
      <w:pPr>
        <w:adjustRightInd w:val="0"/>
        <w:snapToGrid w:val="0"/>
        <w:spacing w:beforeLines="15" w:afterLines="15" w:line="360" w:lineRule="auto"/>
        <w:ind w:firstLine="420" w:firstLineChars="200"/>
        <w:rPr>
          <w:szCs w:val="21"/>
        </w:rPr>
      </w:pPr>
      <w:r>
        <w:rPr>
          <w:rFonts w:hint="eastAsia"/>
          <w:szCs w:val="21"/>
        </w:rPr>
        <w:t>第四条违约责任</w:t>
      </w:r>
    </w:p>
    <w:p>
      <w:pPr>
        <w:adjustRightInd w:val="0"/>
        <w:snapToGrid w:val="0"/>
        <w:spacing w:beforeLines="15" w:afterLines="15" w:line="360" w:lineRule="auto"/>
        <w:ind w:firstLine="420" w:firstLineChars="200"/>
        <w:rPr>
          <w:szCs w:val="21"/>
        </w:rPr>
      </w:pPr>
      <w:r>
        <w:rPr>
          <w:rFonts w:hint="eastAsia"/>
          <w:szCs w:val="21"/>
        </w:rPr>
        <w:t>（一）甲方及其工作人员违反本合同第一、二条，按管理权限，依据有关规定给予党纪、政纪或组织处理；涉嫌犯罪的，移交司法机关追究刑事责任；给乙方单位造成经济损失的，应予以赔偿。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beforeLines="15" w:afterLines="15" w:line="360" w:lineRule="auto"/>
        <w:ind w:firstLine="420" w:firstLineChars="200"/>
        <w:rPr>
          <w:szCs w:val="21"/>
        </w:rPr>
      </w:pPr>
      <w:r>
        <w:rPr>
          <w:rFonts w:hint="eastAsia"/>
          <w:szCs w:val="21"/>
        </w:rPr>
        <w:t>（二）乙方及其工作人员违反本合同第一、三条，按管理权限，依据有关规定给予党纪、政纪或组织处理；给甲方单位造成经济损失的，应予以赔偿；并按照违纪违法认定金额的双倍承担违约金。合同款项未完全支付的，违约金在支付时予以扣减；合同款已支付乙方或未支付款不足以支付违约金的，乙方另行支付违约金。情节严重的，发包人建议交通主管部门给予承包人一至三年内不得进入其主管的公路建设市场的处罚。</w:t>
      </w:r>
    </w:p>
    <w:p>
      <w:pPr>
        <w:adjustRightInd w:val="0"/>
        <w:snapToGrid w:val="0"/>
        <w:spacing w:beforeLines="15" w:afterLines="15" w:line="360" w:lineRule="auto"/>
        <w:ind w:firstLine="420" w:firstLineChars="200"/>
        <w:rPr>
          <w:szCs w:val="21"/>
        </w:rPr>
      </w:pPr>
      <w:r>
        <w:rPr>
          <w:rFonts w:hint="eastAsia"/>
          <w:szCs w:val="21"/>
        </w:rPr>
        <w:t>第五条本合同有效期为甲方、乙方双方签署的</w:t>
      </w:r>
      <w:r>
        <w:rPr>
          <w:rFonts w:hint="eastAsia"/>
          <w:szCs w:val="21"/>
          <w:u w:val="single"/>
        </w:rPr>
        <w:t>基于机器视觉的路面坑槽裂缝快检系统深化改造项目</w:t>
      </w:r>
      <w:r>
        <w:rPr>
          <w:rFonts w:hint="eastAsia"/>
          <w:szCs w:val="21"/>
        </w:rPr>
        <w:t>项目合同签订期限。</w:t>
      </w:r>
    </w:p>
    <w:p>
      <w:pPr>
        <w:adjustRightInd w:val="0"/>
        <w:snapToGrid w:val="0"/>
        <w:spacing w:beforeLines="15" w:afterLines="15" w:line="360" w:lineRule="auto"/>
        <w:ind w:firstLine="420" w:firstLineChars="200"/>
        <w:rPr>
          <w:szCs w:val="21"/>
        </w:rPr>
      </w:pPr>
      <w:r>
        <w:rPr>
          <w:rFonts w:hint="eastAsia"/>
          <w:szCs w:val="21"/>
        </w:rPr>
        <w:t>第六条  本合同作为</w:t>
      </w:r>
      <w:r>
        <w:rPr>
          <w:rFonts w:hint="eastAsia"/>
          <w:szCs w:val="21"/>
          <w:u w:val="single"/>
        </w:rPr>
        <w:t>基于机器视觉的路面坑槽裂缝快检系统深化改造项目</w:t>
      </w:r>
      <w:r>
        <w:rPr>
          <w:rFonts w:hint="eastAsia"/>
          <w:szCs w:val="21"/>
        </w:rPr>
        <w:t>项目合同的附件，与</w:t>
      </w:r>
      <w:r>
        <w:rPr>
          <w:rStyle w:val="38"/>
          <w:rFonts w:hint="eastAsia"/>
        </w:rPr>
        <w:t>该</w:t>
      </w:r>
      <w:r>
        <w:rPr>
          <w:rFonts w:hint="eastAsia"/>
          <w:szCs w:val="21"/>
        </w:rPr>
        <w:t>合同具有同等的法律效力，经合同双方签署立即生效。</w:t>
      </w:r>
    </w:p>
    <w:p>
      <w:pPr>
        <w:adjustRightInd w:val="0"/>
        <w:snapToGrid w:val="0"/>
        <w:spacing w:beforeLines="15" w:afterLines="15" w:line="360" w:lineRule="auto"/>
        <w:ind w:firstLine="420" w:firstLineChars="200"/>
        <w:rPr>
          <w:szCs w:val="21"/>
        </w:rPr>
      </w:pPr>
      <w:r>
        <w:rPr>
          <w:rFonts w:hint="eastAsia"/>
          <w:szCs w:val="21"/>
        </w:rPr>
        <w:t>第八条本合同共六份，双各执三份。</w:t>
      </w:r>
    </w:p>
    <w:p>
      <w:pPr>
        <w:adjustRightInd w:val="0"/>
        <w:snapToGrid w:val="0"/>
        <w:spacing w:beforeLines="15" w:afterLines="15" w:line="360" w:lineRule="auto"/>
        <w:ind w:firstLine="420" w:firstLineChars="200"/>
        <w:rPr>
          <w:szCs w:val="21"/>
        </w:rPr>
      </w:pPr>
    </w:p>
    <w:p>
      <w:pPr>
        <w:adjustRightInd w:val="0"/>
        <w:snapToGrid w:val="0"/>
        <w:spacing w:beforeLines="15" w:afterLines="15" w:line="360" w:lineRule="auto"/>
        <w:ind w:firstLine="420" w:firstLineChars="200"/>
        <w:rPr>
          <w:szCs w:val="21"/>
        </w:rPr>
      </w:pPr>
    </w:p>
    <w:p>
      <w:pPr>
        <w:adjustRightInd w:val="0"/>
        <w:snapToGrid w:val="0"/>
        <w:spacing w:beforeLines="15" w:afterLines="15" w:line="360" w:lineRule="auto"/>
        <w:ind w:firstLine="420" w:firstLineChars="200"/>
        <w:rPr>
          <w:szCs w:val="21"/>
        </w:rPr>
      </w:pPr>
      <w:r>
        <w:rPr>
          <w:rFonts w:hint="eastAsia"/>
          <w:szCs w:val="21"/>
        </w:rPr>
        <w:t>甲方：</w:t>
      </w:r>
      <w:r>
        <w:rPr>
          <w:szCs w:val="21"/>
          <w:u w:val="single"/>
        </w:rPr>
        <w:t xml:space="preserve">  (</w:t>
      </w:r>
      <w:r>
        <w:rPr>
          <w:rFonts w:hint="eastAsia"/>
          <w:szCs w:val="21"/>
          <w:u w:val="single"/>
        </w:rPr>
        <w:t>盖章</w:t>
      </w:r>
      <w:r>
        <w:rPr>
          <w:szCs w:val="21"/>
          <w:u w:val="single"/>
        </w:rPr>
        <w:t xml:space="preserve">)  </w:t>
      </w:r>
      <w:r>
        <w:rPr>
          <w:rFonts w:hint="eastAsia"/>
          <w:szCs w:val="21"/>
        </w:rPr>
        <w:t xml:space="preserve">                乙方：</w:t>
      </w:r>
      <w:r>
        <w:rPr>
          <w:szCs w:val="21"/>
          <w:u w:val="single"/>
        </w:rPr>
        <w:t xml:space="preserve">  (</w:t>
      </w:r>
      <w:r>
        <w:rPr>
          <w:rFonts w:hint="eastAsia"/>
          <w:szCs w:val="21"/>
          <w:u w:val="single"/>
        </w:rPr>
        <w:t>盖章</w:t>
      </w:r>
      <w:r>
        <w:rPr>
          <w:szCs w:val="21"/>
          <w:u w:val="single"/>
        </w:rPr>
        <w:t xml:space="preserve">)  </w:t>
      </w:r>
    </w:p>
    <w:p>
      <w:pPr>
        <w:pStyle w:val="17"/>
        <w:adjustRightInd w:val="0"/>
        <w:snapToGrid w:val="0"/>
        <w:spacing w:beforeLines="15" w:afterLines="15"/>
        <w:ind w:firstLine="420" w:firstLineChars="200"/>
        <w:rPr>
          <w:rFonts w:ascii="Times New Roman" w:hAnsi="Times New Roman"/>
        </w:rPr>
      </w:pPr>
      <w:r>
        <w:rPr>
          <w:rFonts w:hint="eastAsia" w:ascii="Times New Roman" w:hAnsi="Times New Roman"/>
        </w:rPr>
        <w:t>法定代表人          法定代表人</w:t>
      </w:r>
    </w:p>
    <w:p>
      <w:pPr>
        <w:pStyle w:val="17"/>
        <w:adjustRightInd w:val="0"/>
        <w:snapToGrid w:val="0"/>
        <w:spacing w:beforeLines="15" w:afterLines="15"/>
        <w:ind w:firstLine="420" w:firstLineChars="200"/>
        <w:rPr>
          <w:rFonts w:ascii="Times New Roman" w:hAnsi="Times New Roman"/>
        </w:rPr>
      </w:pPr>
      <w:r>
        <w:rPr>
          <w:rFonts w:hint="eastAsia" w:ascii="Times New Roman" w:hAnsi="Times New Roman"/>
        </w:rPr>
        <w:t>或其授权的代理人：          或其授权的代理人：</w:t>
      </w:r>
    </w:p>
    <w:p>
      <w:pPr>
        <w:spacing w:after="60" w:line="360" w:lineRule="auto"/>
        <w:rPr>
          <w:rFonts w:ascii="宋体" w:hAnsi="宋体"/>
          <w:sz w:val="28"/>
          <w:szCs w:val="28"/>
        </w:rPr>
      </w:pPr>
      <w:r>
        <w:rPr>
          <w:rFonts w:hint="eastAsia"/>
          <w:szCs w:val="21"/>
        </w:rPr>
        <w:t>日期：               日期：</w:t>
      </w:r>
    </w:p>
    <w:p>
      <w:pPr>
        <w:autoSpaceDE w:val="0"/>
        <w:autoSpaceDN w:val="0"/>
        <w:adjustRightInd w:val="0"/>
        <w:spacing w:line="360" w:lineRule="auto"/>
        <w:rPr>
          <w:rFonts w:ascii="宋体" w:hAnsi="宋体" w:cs="宋体"/>
          <w:sz w:val="24"/>
          <w:lang w:val="zh-CN"/>
        </w:rPr>
      </w:pPr>
    </w:p>
    <w:bookmarkEnd w:id="8"/>
    <w:bookmarkEnd w:id="9"/>
    <w:p>
      <w:pPr>
        <w:pStyle w:val="2"/>
        <w:spacing w:before="0" w:after="0" w:line="360" w:lineRule="auto"/>
        <w:jc w:val="center"/>
        <w:rPr>
          <w:rFonts w:ascii="宋体" w:hAnsi="宋体"/>
        </w:rPr>
      </w:pPr>
      <w:r>
        <w:rPr>
          <w:rFonts w:ascii="宋体" w:hAnsi="宋体"/>
          <w:sz w:val="40"/>
        </w:rPr>
        <w:br w:type="page"/>
      </w:r>
      <w:bookmarkStart w:id="463" w:name="_Toc8163752"/>
      <w:r>
        <w:rPr>
          <w:rFonts w:hint="eastAsia" w:ascii="宋体" w:hAnsi="宋体"/>
          <w:sz w:val="36"/>
          <w:szCs w:val="36"/>
        </w:rPr>
        <w:t>第六部分 质疑提出和处理</w:t>
      </w:r>
      <w:bookmarkEnd w:id="463"/>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一、质疑的提出</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1、质疑人必须是参与所质疑项目采购活动的供应商。</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2、领取招标文件的供应商应当在知道或者应知其权益受到损害之日起</w:t>
      </w:r>
      <w:r>
        <w:rPr>
          <w:rFonts w:hint="eastAsia" w:ascii="宋体" w:hAnsi="宋体" w:cs="宋体"/>
          <w:sz w:val="24"/>
          <w:szCs w:val="22"/>
        </w:rPr>
        <w:t>7个工作日内，以书面形式向采购代理机构提出质疑，联系部门、电话、地址等信息见本文件第一部分磋商公告第八条</w:t>
      </w:r>
      <w:r>
        <w:rPr>
          <w:rFonts w:hint="eastAsia" w:ascii="宋体" w:hAnsi="宋体" w:cs="宋体"/>
          <w:sz w:val="24"/>
          <w:szCs w:val="22"/>
          <w:lang w:val="zh-CN"/>
        </w:rPr>
        <w:t>；应知其权益受到损害之日见《中华人民共和国政府采购法实施条例》第五十三条。</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3、提出质疑时，必须坚持</w:t>
      </w:r>
      <w:r>
        <w:rPr>
          <w:rFonts w:hint="eastAsia" w:ascii="宋体" w:hAnsi="宋体" w:cs="宋体"/>
          <w:b/>
          <w:sz w:val="24"/>
          <w:szCs w:val="22"/>
          <w:lang w:val="zh-CN"/>
        </w:rPr>
        <w:t>“谁主张，谁举证”、“实事求是”的原则</w:t>
      </w:r>
      <w:r>
        <w:rPr>
          <w:rFonts w:hint="eastAsia" w:ascii="宋体" w:hAnsi="宋体" w:cs="宋体"/>
          <w:sz w:val="24"/>
          <w:szCs w:val="22"/>
          <w:lang w:val="zh-CN"/>
        </w:rPr>
        <w:t>，不能臆测。属于须由法定部门调查、侦查或先行作出相关认定的事项，质疑人应当依法申请具有法定职权的部门查清、认定，并将相关结果提供给采购人。采购人不具有法定调查、认定权限。</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4、对本次招标有质疑的，</w:t>
      </w:r>
      <w:r>
        <w:rPr>
          <w:rFonts w:hint="eastAsia" w:ascii="宋体" w:hAnsi="宋体" w:cs="宋体"/>
          <w:b/>
          <w:sz w:val="24"/>
          <w:szCs w:val="22"/>
          <w:lang w:val="zh-CN"/>
        </w:rPr>
        <w:t>实行实名制，</w:t>
      </w:r>
      <w:r>
        <w:rPr>
          <w:rFonts w:hint="eastAsia" w:ascii="宋体" w:hAnsi="宋体" w:cs="宋体"/>
          <w:sz w:val="24"/>
          <w:szCs w:val="22"/>
          <w:lang w:val="zh-CN"/>
        </w:rPr>
        <w:t>不得进行虚假、恶意质疑。质疑人应在质疑有效期内以书面形式提出《质疑函》（格式请下载），《质疑函》内容应符合《政府采购质疑和投诉办法》第十二条规定。同时，质疑人应保证其提出的质疑内容及相关佐证材料的真实性及来源的合法性，并承担相应的法律责任。</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相关佐证材料要具备客观性、关联性、合法性，无法查实的（如宣传册、媒体报道、猜测、推理等）不能作为佐证材料。</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采购人、采购代理单位不负责搜集相关佐证材料等工作。</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二、《质疑函》的受理和回复</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1、《质疑函》由质疑人的法定代表人或在授权有效期内的参加本次招标授权人送达采购代理单位。质疑人可以委托代理人进行质疑，代理人提出质疑的，应当提交质疑人签署的授权委托书，授权委托书内容应当符合《政府采购质疑和投诉办法》相关规定。</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2、对符合提出质疑要求的，采购代理单位予以受理。在处理过程中，发现需要质疑人进一步补充相关佐证材料的，请质疑人在规定的时间内提供，质疑回复时间相应顺延。质疑人不能按时提供相关佐证材料的，视同放弃质疑。</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3、对不符合提出质疑要求的，出具《质疑退回通知书》并提出相关补充材料要求，质疑人未在规定的时间内提供补充佐证材料的，视同放弃质疑。</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4、采购代理单位负责将质疑人提出的质疑相关材料提供给相关专家或评委审核，并将审核意见回复质疑人。</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三、质疑处理</w:t>
      </w:r>
    </w:p>
    <w:p>
      <w:pPr>
        <w:autoSpaceDE w:val="0"/>
        <w:autoSpaceDN w:val="0"/>
        <w:adjustRightIn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采购人、采购代理机构认为供应商质疑不成立，或者成立但未对中标、成交结果构成影响的，继续开展采购活动；认为供应商质疑成立且影响或者可能影响中标、成交结果的，按照下列情况处理：</w:t>
      </w:r>
    </w:p>
    <w:p>
      <w:pPr>
        <w:autoSpaceDE w:val="0"/>
        <w:autoSpaceDN w:val="0"/>
        <w:adjustRightIn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（一）对采购文件提出的质疑，依法通过澄清或者修改可以继续开展采购活动的，澄清或者修改采购文件后继续开展采购活动；否则应当修改采购文件后重新开展采购活动。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二）对采购过程、中标或者成交结果提出的质疑，合格供应商符合法定数量时，可以从合格的中标或者成交候选人中另行确定中标、成交供应商的，应当依法另行确定中标、成交供应商；否则应当重新开展采购活动。</w:t>
      </w:r>
    </w:p>
    <w:p>
      <w:pPr>
        <w:autoSpaceDE w:val="0"/>
        <w:autoSpaceDN w:val="0"/>
        <w:adjustRightIn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质疑答复导致中标、成交结果改变的，采购人或者采购代理机构应当将有关情况书面报告本级财政部门。</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en-US" w:eastAsia="zh-CN"/>
        </w:rPr>
        <w:t>注：</w:t>
      </w:r>
      <w:r>
        <w:rPr>
          <w:rFonts w:hint="eastAsia" w:ascii="宋体" w:hAnsi="宋体" w:cs="宋体"/>
          <w:sz w:val="24"/>
          <w:szCs w:val="22"/>
          <w:lang w:val="zh-CN"/>
        </w:rPr>
        <w:t>质疑人承担使用虚假材料或恶意方式质疑的法律责任。</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四、无佐证材料的举报作违约处理。</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供应商不得进行不提供相关佐证材料（含无法查实的如宣传册、媒体报道、猜测、推理等）向有关部门的举报，否则作违约处理。采购人有权取消其相应的会员资格，同时对其在1至3年内禁入由采购人组织的政府采购活动的违约处理。</w:t>
      </w:r>
    </w:p>
    <w:p>
      <w:pPr>
        <w:autoSpaceDE w:val="0"/>
        <w:autoSpaceDN w:val="0"/>
        <w:adjustRightInd w:val="0"/>
        <w:spacing w:line="360" w:lineRule="auto"/>
        <w:ind w:firstLine="482" w:firstLineChars="200"/>
        <w:outlineLvl w:val="1"/>
        <w:rPr>
          <w:rFonts w:ascii="宋体" w:hAnsi="宋体" w:cs="宋体"/>
          <w:b/>
          <w:sz w:val="24"/>
          <w:lang w:val="zh-CN"/>
        </w:rPr>
      </w:pPr>
      <w:r>
        <w:rPr>
          <w:rFonts w:hint="eastAsia" w:ascii="宋体" w:hAnsi="宋体" w:cs="宋体"/>
          <w:b/>
          <w:sz w:val="24"/>
          <w:lang w:val="zh-CN"/>
        </w:rPr>
        <w:t>五、投诉不成立的作违约处理。</w:t>
      </w:r>
    </w:p>
    <w:p>
      <w:pPr>
        <w:autoSpaceDE w:val="0"/>
        <w:autoSpaceDN w:val="0"/>
        <w:adjustRightInd w:val="0"/>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供应商进行质疑后，采购人回复质疑不成立，供应商仍进行投诉的，并最终投诉不成立的，作违约处理。采购人有权取消其相应的会员资格，同时对其在1至3年内禁入由采购人组织的政府采购活动的违约处理。</w:t>
      </w:r>
    </w:p>
    <w:p>
      <w:pPr>
        <w:autoSpaceDE w:val="0"/>
        <w:autoSpaceDN w:val="0"/>
        <w:adjustRightInd w:val="0"/>
        <w:spacing w:line="360" w:lineRule="auto"/>
        <w:ind w:firstLine="482" w:firstLineChars="200"/>
        <w:rPr>
          <w:rFonts w:ascii="宋体" w:hAnsi="宋体" w:cs="宋体"/>
          <w:b/>
          <w:sz w:val="24"/>
          <w:szCs w:val="22"/>
          <w:lang w:val="zh-CN"/>
        </w:rPr>
      </w:pPr>
      <w:r>
        <w:rPr>
          <w:rFonts w:hint="eastAsia" w:ascii="宋体" w:hAnsi="宋体" w:cs="宋体"/>
          <w:b/>
          <w:sz w:val="24"/>
          <w:szCs w:val="22"/>
          <w:lang w:val="zh-CN"/>
        </w:rPr>
        <w:t>六、《质疑函》、《质疑回复函》，质疑、举报、投诉不成立的等相关情况，视情在南通公共资源交易网、省、国家级等相关媒体予以披露。并建议相关政府采购机构对该供应商同步实施1至3年内禁入。</w:t>
      </w:r>
    </w:p>
    <w:p>
      <w:pPr>
        <w:pStyle w:val="2"/>
        <w:spacing w:before="0" w:after="0" w:line="360" w:lineRule="auto"/>
        <w:jc w:val="center"/>
        <w:rPr>
          <w:rFonts w:ascii="宋体" w:hAnsi="宋体"/>
        </w:rPr>
      </w:pPr>
      <w:r>
        <w:rPr>
          <w:rFonts w:ascii="宋体" w:hAnsi="宋体"/>
          <w:sz w:val="40"/>
        </w:rPr>
        <w:br w:type="page"/>
      </w:r>
      <w:bookmarkStart w:id="464" w:name="_Toc8163753"/>
      <w:r>
        <w:rPr>
          <w:rFonts w:hint="eastAsia" w:ascii="宋体" w:hAnsi="宋体"/>
          <w:sz w:val="36"/>
          <w:szCs w:val="36"/>
        </w:rPr>
        <w:t>第七部分 响应文件组成</w:t>
      </w:r>
      <w:bookmarkEnd w:id="464"/>
    </w:p>
    <w:p>
      <w:pPr>
        <w:adjustRightInd w:val="0"/>
        <w:snapToGrid w:val="0"/>
        <w:spacing w:line="360" w:lineRule="auto"/>
        <w:ind w:firstLine="482" w:firstLineChars="200"/>
        <w:jc w:val="left"/>
        <w:rPr>
          <w:rFonts w:ascii="宋体" w:hAnsi="宋体"/>
          <w:b/>
          <w:kern w:val="0"/>
          <w:sz w:val="24"/>
        </w:rPr>
      </w:pPr>
      <w:r>
        <w:rPr>
          <w:rFonts w:hint="eastAsia" w:ascii="宋体" w:hAnsi="宋体"/>
          <w:b/>
          <w:kern w:val="0"/>
          <w:sz w:val="24"/>
        </w:rPr>
        <w:t>响应文件由资格审查文件、商务技术响应文件、报价响应文件三部分组成。本次竞争性磋商采用资格后审方式，供应商须将资格审查文件作为响应文件组成部分，按磋商文件要求装订密封后一起递交。</w:t>
      </w:r>
    </w:p>
    <w:p>
      <w:pPr>
        <w:adjustRightInd w:val="0"/>
        <w:snapToGrid w:val="0"/>
        <w:spacing w:line="360" w:lineRule="auto"/>
        <w:ind w:firstLine="482" w:firstLineChars="200"/>
        <w:jc w:val="left"/>
        <w:rPr>
          <w:rFonts w:ascii="宋体" w:hAnsi="宋体"/>
          <w:b/>
          <w:kern w:val="0"/>
          <w:sz w:val="24"/>
        </w:rPr>
      </w:pPr>
      <w:r>
        <w:rPr>
          <w:rFonts w:hint="eastAsia" w:ascii="宋体" w:hAnsi="宋体"/>
          <w:b/>
          <w:kern w:val="0"/>
          <w:sz w:val="24"/>
        </w:rPr>
        <w:t>一、资格审查文件（不能出现报价，一正两副，单独密封并牢固装订）</w:t>
      </w:r>
    </w:p>
    <w:p>
      <w:pPr>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1、供应商</w:t>
      </w:r>
      <w:r>
        <w:rPr>
          <w:rFonts w:ascii="宋体" w:hAnsi="宋体"/>
          <w:kern w:val="0"/>
          <w:sz w:val="24"/>
        </w:rPr>
        <w:t>应为中国大陆境内合法注册的独立法人</w:t>
      </w:r>
      <w:r>
        <w:rPr>
          <w:rFonts w:hint="eastAsia" w:ascii="宋体" w:hAnsi="宋体"/>
          <w:kern w:val="0"/>
          <w:sz w:val="24"/>
        </w:rPr>
        <w:t>单位，提供有效的营业执照复印件。</w:t>
      </w:r>
    </w:p>
    <w:p>
      <w:pPr>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2、供应商具有2019年度</w:t>
      </w:r>
      <w:r>
        <w:rPr>
          <w:rFonts w:ascii="宋体" w:hAnsi="宋体"/>
          <w:kern w:val="0"/>
          <w:sz w:val="24"/>
        </w:rPr>
        <w:t>的</w:t>
      </w:r>
      <w:r>
        <w:rPr>
          <w:rFonts w:hint="eastAsia" w:ascii="宋体" w:hAnsi="宋体"/>
          <w:kern w:val="0"/>
          <w:sz w:val="24"/>
        </w:rPr>
        <w:t>经会计师事务所出具的</w:t>
      </w:r>
      <w:r>
        <w:rPr>
          <w:rFonts w:ascii="宋体" w:hAnsi="宋体"/>
          <w:kern w:val="0"/>
          <w:sz w:val="24"/>
        </w:rPr>
        <w:t>财务</w:t>
      </w:r>
      <w:r>
        <w:rPr>
          <w:rFonts w:hint="eastAsia" w:ascii="宋体" w:hAnsi="宋体"/>
          <w:kern w:val="0"/>
          <w:sz w:val="24"/>
        </w:rPr>
        <w:t>审计</w:t>
      </w:r>
      <w:r>
        <w:rPr>
          <w:rFonts w:ascii="宋体" w:hAnsi="宋体"/>
          <w:kern w:val="0"/>
          <w:sz w:val="24"/>
        </w:rPr>
        <w:t>报告（成立不满一年不需提供）</w:t>
      </w:r>
      <w:r>
        <w:rPr>
          <w:rFonts w:hint="eastAsia" w:ascii="宋体" w:hAnsi="宋体"/>
          <w:kern w:val="0"/>
          <w:sz w:val="24"/>
        </w:rPr>
        <w:t>，提供</w:t>
      </w:r>
      <w:r>
        <w:rPr>
          <w:rFonts w:ascii="宋体" w:hAnsi="宋体"/>
          <w:kern w:val="0"/>
          <w:sz w:val="24"/>
        </w:rPr>
        <w:t>财务</w:t>
      </w:r>
      <w:r>
        <w:rPr>
          <w:rFonts w:hint="eastAsia" w:ascii="宋体" w:hAnsi="宋体"/>
          <w:kern w:val="0"/>
          <w:sz w:val="24"/>
        </w:rPr>
        <w:t>审计</w:t>
      </w:r>
      <w:r>
        <w:rPr>
          <w:rFonts w:ascii="宋体" w:hAnsi="宋体"/>
          <w:kern w:val="0"/>
          <w:sz w:val="24"/>
        </w:rPr>
        <w:t>报告</w:t>
      </w:r>
      <w:r>
        <w:rPr>
          <w:rFonts w:hint="eastAsia" w:ascii="宋体" w:hAnsi="宋体"/>
          <w:kern w:val="0"/>
          <w:sz w:val="24"/>
        </w:rPr>
        <w:t>复印件。</w:t>
      </w:r>
    </w:p>
    <w:p>
      <w:pPr>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3、供应商须提供参与本次项目政府采购活动前三年内，在经营活动中没有重大违法记录的书面《资格声明函》（格式参见第八章）。</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kern w:val="0"/>
          <w:sz w:val="24"/>
        </w:rPr>
        <w:t>4、</w:t>
      </w:r>
      <w:r>
        <w:rPr>
          <w:rFonts w:hint="eastAsia" w:ascii="宋体" w:hAnsi="宋体" w:cs="宋体"/>
          <w:sz w:val="24"/>
          <w:lang w:val="zh-CN"/>
        </w:rPr>
        <w:t>供应商近三年内承担过应用软件开发项目的合同的</w:t>
      </w:r>
      <w:r>
        <w:rPr>
          <w:rFonts w:hint="eastAsia" w:ascii="宋体" w:hAnsi="宋体"/>
          <w:kern w:val="0"/>
          <w:sz w:val="24"/>
        </w:rPr>
        <w:t>复印件</w:t>
      </w:r>
      <w:r>
        <w:rPr>
          <w:rFonts w:hint="eastAsia" w:ascii="宋体" w:hAnsi="宋体" w:cs="宋体"/>
          <w:sz w:val="24"/>
          <w:lang w:val="zh-CN"/>
        </w:rPr>
        <w:t>，合同需反映项目的规模、内容、时间等。</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6、项目负责人的项目管理师（PMP）资格认证或中级工程师及以上资格证书的</w:t>
      </w:r>
      <w:r>
        <w:rPr>
          <w:rFonts w:hint="eastAsia" w:ascii="宋体" w:hAnsi="宋体"/>
          <w:kern w:val="0"/>
          <w:sz w:val="24"/>
        </w:rPr>
        <w:t>复印件</w:t>
      </w:r>
      <w:r>
        <w:rPr>
          <w:rFonts w:hint="eastAsia" w:ascii="宋体" w:hAnsi="宋体" w:cs="宋体"/>
          <w:sz w:val="24"/>
          <w:lang w:val="zh-CN"/>
        </w:rPr>
        <w:t>。</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7、未被“信用中国”网站（www.creditchina.gov.cn）列入失信被执行人、重大税收违法案件当事人名单、政府采购严重失信行为记录名单的截图。</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11、关于资格文件的声明函（格式参见第七章）。</w:t>
      </w:r>
    </w:p>
    <w:p>
      <w:pPr>
        <w:autoSpaceDE w:val="0"/>
        <w:autoSpaceDN w:val="0"/>
        <w:adjustRightInd w:val="0"/>
        <w:spacing w:line="360" w:lineRule="auto"/>
        <w:ind w:firstLine="482" w:firstLineChars="200"/>
        <w:rPr>
          <w:rFonts w:ascii="宋体" w:hAnsi="宋体" w:cs="宋体"/>
          <w:b/>
          <w:sz w:val="24"/>
          <w:lang w:val="zh-CN"/>
        </w:rPr>
      </w:pPr>
      <w:r>
        <w:rPr>
          <w:rFonts w:hint="eastAsia" w:ascii="宋体" w:hAnsi="宋体" w:cs="宋体"/>
          <w:b/>
          <w:sz w:val="24"/>
        </w:rPr>
        <w:t>上述复印件均需加盖供应商公章，</w:t>
      </w:r>
      <w:r>
        <w:rPr>
          <w:rFonts w:hint="eastAsia" w:ascii="宋体" w:hAnsi="宋体" w:cs="宋体"/>
          <w:b/>
          <w:sz w:val="24"/>
          <w:lang w:val="zh-CN"/>
        </w:rPr>
        <w:t>法定代表人授权委托书原件，投标代表本人身份证复印件（投标代表身份证原件随身备查）。</w:t>
      </w:r>
    </w:p>
    <w:p>
      <w:pPr>
        <w:adjustRightInd w:val="0"/>
        <w:snapToGrid w:val="0"/>
        <w:spacing w:line="480" w:lineRule="exact"/>
        <w:ind w:firstLine="472" w:firstLineChars="196"/>
        <w:jc w:val="left"/>
        <w:rPr>
          <w:rFonts w:ascii="宋体" w:hAnsi="宋体" w:cs="宋体"/>
          <w:bCs/>
          <w:sz w:val="24"/>
        </w:rPr>
      </w:pPr>
      <w:r>
        <w:rPr>
          <w:rFonts w:hint="eastAsia" w:ascii="宋体" w:hAnsi="宋体" w:cs="宋体"/>
          <w:b/>
          <w:sz w:val="24"/>
          <w:lang w:val="zh-CN"/>
        </w:rPr>
        <w:t>二、</w:t>
      </w:r>
      <w:r>
        <w:rPr>
          <w:rFonts w:hint="eastAsia" w:ascii="宋体" w:hAnsi="宋体" w:cs="宋体"/>
          <w:b/>
          <w:bCs/>
          <w:sz w:val="24"/>
        </w:rPr>
        <w:t>商务技术文件（单独密封）</w:t>
      </w:r>
    </w:p>
    <w:p>
      <w:pPr>
        <w:spacing w:line="480" w:lineRule="exact"/>
        <w:ind w:firstLine="480" w:firstLineChars="200"/>
        <w:rPr>
          <w:rFonts w:ascii="宋体" w:hAnsi="宋体" w:cs="宋体"/>
          <w:sz w:val="24"/>
        </w:rPr>
      </w:pPr>
      <w:r>
        <w:rPr>
          <w:rFonts w:hint="eastAsia" w:ascii="宋体" w:hAnsi="宋体" w:cs="宋体"/>
          <w:sz w:val="24"/>
        </w:rPr>
        <w:t>1、竞争性磋商响应函（格式参见第七章）。</w:t>
      </w:r>
    </w:p>
    <w:p>
      <w:pPr>
        <w:spacing w:line="480" w:lineRule="exact"/>
        <w:ind w:firstLine="480" w:firstLineChars="200"/>
        <w:rPr>
          <w:rFonts w:ascii="宋体" w:hAnsi="宋体" w:cs="宋体"/>
          <w:sz w:val="24"/>
        </w:rPr>
      </w:pPr>
      <w:r>
        <w:rPr>
          <w:rFonts w:hint="eastAsia" w:ascii="宋体" w:hAnsi="宋体" w:cs="宋体"/>
          <w:sz w:val="24"/>
        </w:rPr>
        <w:t>2、供应商一般情况表（格式参见第七章）。</w:t>
      </w:r>
    </w:p>
    <w:p>
      <w:pPr>
        <w:spacing w:line="480" w:lineRule="exact"/>
        <w:ind w:firstLine="480" w:firstLineChars="200"/>
        <w:rPr>
          <w:rFonts w:ascii="宋体" w:hAnsi="宋体" w:cs="宋体"/>
          <w:sz w:val="24"/>
        </w:rPr>
      </w:pPr>
      <w:r>
        <w:rPr>
          <w:rFonts w:hint="eastAsia" w:ascii="宋体" w:hAnsi="宋体" w:cs="宋体"/>
          <w:sz w:val="24"/>
        </w:rPr>
        <w:t>3、评标办法中所涉及的事项需提供的所有资料。</w:t>
      </w:r>
    </w:p>
    <w:p>
      <w:pPr>
        <w:spacing w:line="480" w:lineRule="exact"/>
        <w:ind w:firstLine="480" w:firstLineChars="200"/>
        <w:rPr>
          <w:rFonts w:ascii="宋体" w:hAnsi="宋体" w:cs="宋体"/>
          <w:sz w:val="24"/>
        </w:rPr>
      </w:pPr>
      <w:r>
        <w:rPr>
          <w:rFonts w:hint="eastAsia" w:ascii="宋体" w:hAnsi="宋体" w:cs="宋体"/>
          <w:sz w:val="24"/>
        </w:rPr>
        <w:t>4、评标办法中未涉及的事项，供应商认为需要提交的其他资料。</w:t>
      </w:r>
    </w:p>
    <w:p>
      <w:pPr>
        <w:snapToGrid w:val="0"/>
        <w:spacing w:line="480" w:lineRule="exact"/>
        <w:ind w:firstLine="480" w:firstLineChars="200"/>
        <w:rPr>
          <w:rFonts w:ascii="宋体" w:hAnsi="宋体" w:cs="宋体"/>
          <w:bCs/>
          <w:sz w:val="24"/>
        </w:rPr>
      </w:pPr>
      <w:r>
        <w:rPr>
          <w:rFonts w:hint="eastAsia" w:ascii="宋体" w:hAnsi="宋体" w:cs="宋体"/>
          <w:sz w:val="24"/>
        </w:rPr>
        <w:t>注：为方便评委评审，请供应商按评标办法中所涉及的事项顺序进行编制，可以补充相关材料。</w:t>
      </w:r>
    </w:p>
    <w:p>
      <w:pPr>
        <w:snapToGrid w:val="0"/>
        <w:spacing w:line="520" w:lineRule="exact"/>
        <w:ind w:firstLine="482" w:firstLineChars="200"/>
        <w:rPr>
          <w:rFonts w:ascii="宋体" w:hAnsi="宋体"/>
          <w:b/>
          <w:kern w:val="0"/>
          <w:sz w:val="24"/>
        </w:rPr>
      </w:pPr>
      <w:r>
        <w:rPr>
          <w:rFonts w:hint="eastAsia" w:ascii="宋体" w:hAnsi="宋体"/>
          <w:b/>
          <w:kern w:val="0"/>
          <w:sz w:val="24"/>
        </w:rPr>
        <w:t>特别提醒：“资格审查文件”、“商务技术文件”所须提供的材料（须加盖供应商公章）按磋商文件要求装订，密封，递交。“资格审查文件”、“商务技术文件”所涉及相关资料等证明材料原件请带至开标现场备查。未携带原件或因携带原件不全所引起的后果由供应商自行承担。</w:t>
      </w:r>
    </w:p>
    <w:p>
      <w:pPr>
        <w:autoSpaceDE w:val="0"/>
        <w:autoSpaceDN w:val="0"/>
        <w:adjustRightInd w:val="0"/>
        <w:spacing w:line="360" w:lineRule="auto"/>
        <w:ind w:firstLine="482" w:firstLineChars="200"/>
        <w:outlineLvl w:val="1"/>
        <w:rPr>
          <w:rFonts w:ascii="宋体" w:hAnsi="宋体"/>
          <w:b/>
          <w:kern w:val="0"/>
          <w:sz w:val="24"/>
        </w:rPr>
      </w:pPr>
      <w:r>
        <w:rPr>
          <w:rFonts w:hint="eastAsia" w:ascii="宋体" w:hAnsi="宋体"/>
          <w:b/>
          <w:kern w:val="0"/>
          <w:sz w:val="24"/>
        </w:rPr>
        <w:t>三、价格响应文件：一式两份（单独密封并牢固装订）</w:t>
      </w:r>
    </w:p>
    <w:p>
      <w:pPr>
        <w:adjustRightInd w:val="0"/>
        <w:snapToGrid w:val="0"/>
        <w:spacing w:line="480" w:lineRule="exact"/>
        <w:ind w:firstLine="480" w:firstLineChars="200"/>
        <w:jc w:val="left"/>
        <w:rPr>
          <w:rFonts w:ascii="宋体" w:hAnsi="宋体" w:cs="宋体"/>
          <w:bCs/>
          <w:sz w:val="24"/>
          <w:lang w:val="zh-CN"/>
        </w:rPr>
      </w:pPr>
      <w:r>
        <w:rPr>
          <w:rFonts w:hint="eastAsia" w:ascii="宋体" w:hAnsi="宋体" w:cs="宋体"/>
          <w:bCs/>
          <w:sz w:val="24"/>
          <w:lang w:val="zh-CN"/>
        </w:rPr>
        <w:t>1、</w:t>
      </w:r>
      <w:r>
        <w:rPr>
          <w:rFonts w:hint="eastAsia" w:ascii="宋体" w:hAnsi="宋体" w:cs="宋体"/>
          <w:sz w:val="24"/>
        </w:rPr>
        <w:t>磋商响应报价总表（格式参见第七章）。</w:t>
      </w:r>
    </w:p>
    <w:p>
      <w:pPr>
        <w:autoSpaceDE w:val="0"/>
        <w:autoSpaceDN w:val="0"/>
        <w:adjustRightInd w:val="0"/>
        <w:spacing w:line="360" w:lineRule="auto"/>
        <w:jc w:val="center"/>
        <w:outlineLvl w:val="1"/>
        <w:rPr>
          <w:rFonts w:ascii="宋体" w:hAnsi="宋体" w:cs="宋体"/>
          <w:sz w:val="24"/>
          <w:lang w:val="zh-CN"/>
        </w:rPr>
      </w:pPr>
    </w:p>
    <w:p>
      <w:pPr>
        <w:autoSpaceDE w:val="0"/>
        <w:autoSpaceDN w:val="0"/>
        <w:adjustRightInd w:val="0"/>
        <w:spacing w:line="360" w:lineRule="auto"/>
        <w:jc w:val="center"/>
        <w:outlineLvl w:val="1"/>
        <w:rPr>
          <w:rFonts w:ascii="宋体" w:hAnsi="宋体" w:cs="宋体"/>
          <w:sz w:val="24"/>
          <w:lang w:val="zh-CN"/>
        </w:rPr>
      </w:pPr>
    </w:p>
    <w:p>
      <w:pPr>
        <w:autoSpaceDE w:val="0"/>
        <w:autoSpaceDN w:val="0"/>
        <w:adjustRightInd w:val="0"/>
        <w:spacing w:line="360" w:lineRule="auto"/>
        <w:jc w:val="center"/>
        <w:outlineLvl w:val="1"/>
        <w:rPr>
          <w:rFonts w:ascii="宋体" w:hAnsi="宋体" w:cs="宋体"/>
          <w:sz w:val="24"/>
          <w:lang w:val="zh-CN"/>
        </w:rPr>
      </w:pPr>
    </w:p>
    <w:p>
      <w:pPr>
        <w:autoSpaceDE w:val="0"/>
        <w:autoSpaceDN w:val="0"/>
        <w:adjustRightInd w:val="0"/>
        <w:spacing w:line="360" w:lineRule="auto"/>
        <w:jc w:val="center"/>
        <w:outlineLvl w:val="1"/>
        <w:rPr>
          <w:rFonts w:ascii="宋体" w:hAnsi="宋体" w:cs="宋体"/>
          <w:sz w:val="24"/>
          <w:lang w:val="zh-CN"/>
        </w:rPr>
      </w:pPr>
    </w:p>
    <w:p>
      <w:pPr>
        <w:autoSpaceDE w:val="0"/>
        <w:autoSpaceDN w:val="0"/>
        <w:adjustRightInd w:val="0"/>
        <w:spacing w:line="360" w:lineRule="auto"/>
        <w:jc w:val="center"/>
        <w:outlineLvl w:val="1"/>
        <w:rPr>
          <w:rFonts w:ascii="宋体" w:hAnsi="宋体" w:cs="宋体"/>
          <w:sz w:val="24"/>
          <w:lang w:val="zh-CN"/>
        </w:rPr>
      </w:pPr>
    </w:p>
    <w:p>
      <w:pPr>
        <w:autoSpaceDE w:val="0"/>
        <w:autoSpaceDN w:val="0"/>
        <w:adjustRightInd w:val="0"/>
        <w:spacing w:line="360" w:lineRule="auto"/>
        <w:jc w:val="center"/>
        <w:outlineLvl w:val="1"/>
        <w:rPr>
          <w:rFonts w:ascii="宋体" w:hAnsi="宋体" w:cs="宋体"/>
          <w:sz w:val="24"/>
          <w:lang w:val="zh-CN"/>
        </w:rPr>
      </w:pPr>
    </w:p>
    <w:p>
      <w:pPr>
        <w:autoSpaceDE w:val="0"/>
        <w:autoSpaceDN w:val="0"/>
        <w:adjustRightInd w:val="0"/>
        <w:spacing w:line="360" w:lineRule="auto"/>
        <w:jc w:val="center"/>
        <w:outlineLvl w:val="1"/>
        <w:rPr>
          <w:rFonts w:ascii="宋体" w:hAnsi="宋体" w:cs="宋体"/>
          <w:sz w:val="24"/>
          <w:lang w:val="zh-CN"/>
        </w:rPr>
      </w:pPr>
    </w:p>
    <w:p>
      <w:pPr>
        <w:autoSpaceDE w:val="0"/>
        <w:autoSpaceDN w:val="0"/>
        <w:adjustRightInd w:val="0"/>
        <w:spacing w:line="360" w:lineRule="auto"/>
        <w:jc w:val="center"/>
        <w:outlineLvl w:val="1"/>
        <w:rPr>
          <w:rFonts w:ascii="宋体" w:hAnsi="宋体" w:cs="宋体"/>
          <w:sz w:val="24"/>
          <w:lang w:val="zh-CN"/>
        </w:rPr>
      </w:pPr>
    </w:p>
    <w:p>
      <w:pPr>
        <w:autoSpaceDE w:val="0"/>
        <w:autoSpaceDN w:val="0"/>
        <w:adjustRightInd w:val="0"/>
        <w:spacing w:line="360" w:lineRule="auto"/>
        <w:jc w:val="center"/>
        <w:outlineLvl w:val="1"/>
        <w:rPr>
          <w:rFonts w:ascii="宋体" w:hAnsi="宋体" w:cs="宋体"/>
          <w:sz w:val="24"/>
          <w:lang w:val="zh-CN"/>
        </w:rPr>
      </w:pPr>
    </w:p>
    <w:p>
      <w:pPr>
        <w:autoSpaceDE w:val="0"/>
        <w:autoSpaceDN w:val="0"/>
        <w:adjustRightInd w:val="0"/>
        <w:spacing w:line="360" w:lineRule="auto"/>
        <w:jc w:val="center"/>
        <w:outlineLvl w:val="1"/>
        <w:rPr>
          <w:rFonts w:ascii="宋体" w:hAnsi="宋体" w:cs="宋体"/>
          <w:sz w:val="24"/>
          <w:lang w:val="zh-CN"/>
        </w:rPr>
      </w:pPr>
    </w:p>
    <w:p>
      <w:pPr>
        <w:autoSpaceDE w:val="0"/>
        <w:autoSpaceDN w:val="0"/>
        <w:adjustRightInd w:val="0"/>
        <w:spacing w:line="360" w:lineRule="auto"/>
        <w:jc w:val="center"/>
        <w:outlineLvl w:val="1"/>
        <w:rPr>
          <w:rFonts w:ascii="宋体" w:hAnsi="宋体" w:cs="宋体"/>
          <w:sz w:val="24"/>
          <w:lang w:val="zh-CN"/>
        </w:rPr>
      </w:pPr>
    </w:p>
    <w:p>
      <w:pPr>
        <w:autoSpaceDE w:val="0"/>
        <w:autoSpaceDN w:val="0"/>
        <w:adjustRightInd w:val="0"/>
        <w:spacing w:line="360" w:lineRule="auto"/>
        <w:jc w:val="center"/>
        <w:outlineLvl w:val="1"/>
        <w:rPr>
          <w:rFonts w:ascii="宋体" w:hAnsi="宋体" w:cs="宋体"/>
          <w:sz w:val="24"/>
          <w:lang w:val="zh-CN"/>
        </w:rPr>
      </w:pPr>
    </w:p>
    <w:p>
      <w:pPr>
        <w:autoSpaceDE w:val="0"/>
        <w:autoSpaceDN w:val="0"/>
        <w:adjustRightInd w:val="0"/>
        <w:spacing w:line="360" w:lineRule="auto"/>
        <w:jc w:val="center"/>
        <w:outlineLvl w:val="1"/>
        <w:rPr>
          <w:rFonts w:ascii="宋体" w:hAnsi="宋体" w:cs="宋体"/>
          <w:sz w:val="24"/>
          <w:lang w:val="zh-CN"/>
        </w:rPr>
      </w:pPr>
    </w:p>
    <w:p>
      <w:pPr>
        <w:autoSpaceDE w:val="0"/>
        <w:autoSpaceDN w:val="0"/>
        <w:adjustRightInd w:val="0"/>
        <w:spacing w:line="360" w:lineRule="auto"/>
        <w:jc w:val="center"/>
        <w:outlineLvl w:val="1"/>
        <w:rPr>
          <w:rFonts w:ascii="宋体" w:hAnsi="宋体" w:cs="宋体"/>
          <w:sz w:val="24"/>
          <w:lang w:val="zh-CN"/>
        </w:rPr>
      </w:pPr>
    </w:p>
    <w:p>
      <w:pPr>
        <w:rPr>
          <w:rFonts w:ascii="宋体" w:hAnsi="宋体" w:cs="宋体"/>
          <w:b/>
          <w:sz w:val="28"/>
          <w:szCs w:val="28"/>
        </w:rPr>
      </w:pPr>
      <w:r>
        <w:rPr>
          <w:rFonts w:hint="eastAsia" w:ascii="宋体" w:hAnsi="宋体" w:cs="宋体"/>
          <w:b/>
          <w:sz w:val="28"/>
          <w:szCs w:val="28"/>
        </w:rPr>
        <w:br w:type="page"/>
      </w:r>
    </w:p>
    <w:p>
      <w:pPr>
        <w:snapToGrid w:val="0"/>
        <w:spacing w:line="520" w:lineRule="exact"/>
        <w:rPr>
          <w:rFonts w:ascii="宋体" w:hAnsi="宋体" w:cs="宋体"/>
          <w:b/>
          <w:bCs/>
          <w:sz w:val="28"/>
          <w:szCs w:val="28"/>
        </w:rPr>
      </w:pPr>
      <w:r>
        <w:rPr>
          <w:rFonts w:hint="eastAsia" w:ascii="宋体" w:hAnsi="宋体" w:cs="宋体"/>
          <w:b/>
          <w:sz w:val="28"/>
          <w:szCs w:val="28"/>
        </w:rPr>
        <w:t>附件：</w:t>
      </w:r>
    </w:p>
    <w:p>
      <w:pPr>
        <w:snapToGrid w:val="0"/>
        <w:spacing w:line="520" w:lineRule="exact"/>
        <w:jc w:val="center"/>
        <w:outlineLvl w:val="3"/>
        <w:rPr>
          <w:rFonts w:ascii="宋体" w:hAnsi="宋体" w:cs="宋体"/>
          <w:b/>
          <w:sz w:val="28"/>
          <w:szCs w:val="28"/>
        </w:rPr>
      </w:pPr>
      <w:r>
        <w:rPr>
          <w:rFonts w:hint="eastAsia" w:ascii="宋体" w:hAnsi="宋体" w:cs="宋体"/>
          <w:b/>
          <w:sz w:val="28"/>
          <w:szCs w:val="28"/>
        </w:rPr>
        <w:t>1、法定代表人身份证明</w:t>
      </w:r>
    </w:p>
    <w:p>
      <w:pPr>
        <w:snapToGrid w:val="0"/>
        <w:spacing w:line="520" w:lineRule="exact"/>
        <w:jc w:val="center"/>
        <w:rPr>
          <w:rFonts w:ascii="宋体" w:hAnsi="宋体" w:cs="宋体"/>
          <w:sz w:val="24"/>
        </w:rPr>
      </w:pPr>
      <w:r>
        <w:rPr>
          <w:rFonts w:hint="eastAsia" w:ascii="宋体" w:hAnsi="宋体" w:cs="宋体"/>
          <w:sz w:val="24"/>
        </w:rPr>
        <w:t>（如法定代表人参加磋商，须出示此证明）</w:t>
      </w:r>
    </w:p>
    <w:p>
      <w:pPr>
        <w:snapToGrid w:val="0"/>
        <w:spacing w:line="520" w:lineRule="exact"/>
        <w:jc w:val="center"/>
        <w:rPr>
          <w:rFonts w:ascii="宋体" w:hAnsi="宋体" w:cs="宋体"/>
          <w:sz w:val="24"/>
        </w:rPr>
      </w:pPr>
    </w:p>
    <w:p>
      <w:pPr>
        <w:snapToGrid w:val="0"/>
        <w:spacing w:line="520" w:lineRule="exact"/>
        <w:rPr>
          <w:rFonts w:ascii="宋体" w:hAnsi="宋体" w:cs="宋体"/>
          <w:sz w:val="24"/>
          <w:u w:val="single"/>
        </w:rPr>
      </w:pPr>
      <w:r>
        <w:rPr>
          <w:rFonts w:hint="eastAsia" w:ascii="宋体" w:hAnsi="宋体" w:cs="宋体"/>
          <w:sz w:val="24"/>
          <w:u w:val="single"/>
        </w:rPr>
        <w:t xml:space="preserve">南通市公路事业发展中心： </w:t>
      </w:r>
    </w:p>
    <w:p>
      <w:pPr>
        <w:snapToGrid w:val="0"/>
        <w:spacing w:line="520" w:lineRule="exact"/>
        <w:ind w:firstLine="480" w:firstLineChars="200"/>
        <w:rPr>
          <w:rFonts w:ascii="宋体" w:hAnsi="宋体" w:cs="宋体"/>
          <w:sz w:val="24"/>
        </w:rPr>
      </w:pPr>
      <w:r>
        <w:rPr>
          <w:rFonts w:hint="eastAsia" w:ascii="宋体" w:hAnsi="宋体" w:cs="宋体"/>
          <w:sz w:val="24"/>
        </w:rPr>
        <w:t>我公司法定代表人</w:t>
      </w:r>
      <w:r>
        <w:rPr>
          <w:rFonts w:hint="eastAsia" w:ascii="宋体" w:hAnsi="宋体" w:cs="宋体"/>
          <w:sz w:val="24"/>
          <w:u w:val="single"/>
        </w:rPr>
        <w:t xml:space="preserve">     　　　   </w:t>
      </w:r>
      <w:r>
        <w:rPr>
          <w:rFonts w:hint="eastAsia" w:ascii="宋体" w:hAnsi="宋体" w:cs="宋体"/>
          <w:sz w:val="24"/>
        </w:rPr>
        <w:t>参加贵单位组织的（竞争性磋商项目名称及项目编号)项目的磋商活动，全权代表我公司处理竞争性磋商的有关事宜。</w:t>
      </w:r>
    </w:p>
    <w:p>
      <w:pPr>
        <w:snapToGrid w:val="0"/>
        <w:spacing w:line="520" w:lineRule="exact"/>
        <w:rPr>
          <w:rFonts w:ascii="宋体" w:hAnsi="宋体" w:cs="宋体"/>
          <w:sz w:val="24"/>
        </w:rPr>
      </w:pPr>
    </w:p>
    <w:p>
      <w:pPr>
        <w:snapToGrid w:val="0"/>
        <w:spacing w:line="520" w:lineRule="exact"/>
        <w:rPr>
          <w:rFonts w:ascii="宋体" w:hAnsi="宋体" w:cs="宋体"/>
          <w:sz w:val="24"/>
        </w:rPr>
      </w:pPr>
      <w:r>
        <w:rPr>
          <w:rFonts w:hint="eastAsia" w:ascii="宋体" w:hAnsi="宋体" w:cs="宋体"/>
          <w:sz w:val="24"/>
        </w:rPr>
        <w:t>附：法定代表人情况：</w:t>
      </w:r>
    </w:p>
    <w:p>
      <w:pPr>
        <w:snapToGrid w:val="0"/>
        <w:spacing w:line="520" w:lineRule="exact"/>
        <w:rPr>
          <w:rFonts w:ascii="宋体" w:hAnsi="宋体" w:cs="宋体"/>
          <w:sz w:val="24"/>
          <w:u w:val="single"/>
        </w:rPr>
      </w:pPr>
      <w:r>
        <w:rPr>
          <w:rFonts w:hint="eastAsia" w:ascii="宋体" w:hAnsi="宋体" w:cs="宋体"/>
          <w:sz w:val="24"/>
        </w:rPr>
        <w:t>姓名：性别：年龄：职务：</w:t>
      </w:r>
    </w:p>
    <w:p>
      <w:pPr>
        <w:snapToGrid w:val="0"/>
        <w:spacing w:line="520" w:lineRule="exact"/>
        <w:rPr>
          <w:rFonts w:ascii="宋体" w:hAnsi="宋体" w:cs="宋体"/>
          <w:sz w:val="24"/>
        </w:rPr>
      </w:pPr>
      <w:r>
        <w:rPr>
          <w:rFonts w:hint="eastAsia" w:ascii="宋体" w:hAnsi="宋体" w:cs="宋体"/>
          <w:sz w:val="24"/>
        </w:rPr>
        <w:t>身份证号码：</w:t>
      </w:r>
    </w:p>
    <w:p>
      <w:pPr>
        <w:snapToGrid w:val="0"/>
        <w:spacing w:line="520" w:lineRule="exact"/>
        <w:rPr>
          <w:rFonts w:ascii="宋体" w:hAnsi="宋体" w:cs="宋体"/>
          <w:sz w:val="24"/>
          <w:u w:val="single"/>
        </w:rPr>
      </w:pPr>
      <w:r>
        <w:rPr>
          <w:rFonts w:hint="eastAsia" w:ascii="宋体" w:hAnsi="宋体" w:cs="宋体"/>
          <w:sz w:val="24"/>
        </w:rPr>
        <w:t>手机：传真：</w:t>
      </w:r>
    </w:p>
    <w:p>
      <w:pPr>
        <w:snapToGrid w:val="0"/>
        <w:spacing w:line="520" w:lineRule="exact"/>
        <w:rPr>
          <w:rFonts w:ascii="宋体" w:hAnsi="宋体" w:cs="宋体"/>
          <w:sz w:val="24"/>
        </w:rPr>
      </w:pPr>
      <w:r>
        <w:rPr>
          <w:rFonts w:hint="eastAsia" w:ascii="宋体" w:hAnsi="宋体" w:cs="宋体"/>
          <w:sz w:val="24"/>
        </w:rPr>
        <w:t> </w:t>
      </w:r>
    </w:p>
    <w:p>
      <w:pPr>
        <w:snapToGrid w:val="0"/>
        <w:spacing w:line="520" w:lineRule="exact"/>
        <w:rPr>
          <w:rFonts w:ascii="宋体" w:hAnsi="宋体" w:cs="宋体"/>
          <w:sz w:val="24"/>
        </w:rPr>
      </w:pPr>
    </w:p>
    <w:p>
      <w:pPr>
        <w:snapToGrid w:val="0"/>
        <w:spacing w:line="520" w:lineRule="exact"/>
        <w:rPr>
          <w:rFonts w:ascii="宋体" w:hAnsi="宋体" w:cs="宋体"/>
          <w:sz w:val="24"/>
        </w:rPr>
      </w:pPr>
      <w:r>
        <w:rPr>
          <w:rFonts w:hint="eastAsia" w:ascii="宋体" w:hAnsi="宋体" w:cs="宋体"/>
          <w:sz w:val="24"/>
        </w:rPr>
        <w:t>单位名称（公章）                  法定代表人（签字或盖章）</w:t>
      </w:r>
    </w:p>
    <w:p>
      <w:pPr>
        <w:snapToGrid w:val="0"/>
        <w:spacing w:line="520" w:lineRule="exact"/>
        <w:ind w:firstLine="1200" w:firstLineChars="500"/>
        <w:rPr>
          <w:rFonts w:ascii="宋体" w:hAnsi="宋体" w:cs="宋体"/>
          <w:sz w:val="24"/>
        </w:rPr>
      </w:pPr>
      <w:r>
        <w:rPr>
          <w:rFonts w:hint="eastAsia" w:ascii="宋体" w:hAnsi="宋体" w:cs="宋体"/>
          <w:sz w:val="24"/>
        </w:rPr>
        <w:t xml:space="preserve">年   月   日                 年   月    日  </w:t>
      </w:r>
    </w:p>
    <w:p>
      <w:pPr>
        <w:snapToGrid w:val="0"/>
        <w:spacing w:line="520" w:lineRule="exact"/>
        <w:rPr>
          <w:rFonts w:ascii="宋体" w:hAnsi="宋体" w:cs="宋体"/>
          <w:sz w:val="24"/>
        </w:rPr>
      </w:pPr>
    </w:p>
    <w:p>
      <w:pPr>
        <w:snapToGrid w:val="0"/>
        <w:spacing w:line="520" w:lineRule="exact"/>
        <w:rPr>
          <w:rFonts w:ascii="宋体" w:hAnsi="宋体" w:cs="宋体"/>
          <w:sz w:val="24"/>
        </w:rPr>
      </w:pPr>
      <w:r>
        <w:rPr>
          <w:rFonts w:hint="eastAsia" w:ascii="宋体" w:hAnsi="宋体" w:cs="宋体"/>
          <w:sz w:val="24"/>
        </w:rPr>
        <w:t>法定代表人身份证复印件</w:t>
      </w:r>
    </w:p>
    <w:p>
      <w:pPr>
        <w:snapToGrid w:val="0"/>
        <w:spacing w:line="520" w:lineRule="exact"/>
        <w:rPr>
          <w:rFonts w:ascii="宋体" w:hAnsi="宋体" w:cs="宋体"/>
          <w:sz w:val="24"/>
        </w:rPr>
      </w:pPr>
    </w:p>
    <w:p>
      <w:pPr>
        <w:snapToGrid w:val="0"/>
        <w:spacing w:line="520" w:lineRule="exact"/>
        <w:ind w:firstLine="2280" w:firstLineChars="950"/>
        <w:rPr>
          <w:rFonts w:ascii="宋体" w:hAnsi="宋体" w:cs="宋体"/>
          <w:sz w:val="24"/>
        </w:rPr>
      </w:pPr>
      <w:r>
        <w:rPr>
          <w:rFonts w:hint="eastAsia" w:ascii="宋体" w:hAnsi="宋体" w:cs="宋体"/>
          <w:sz w:val="24"/>
        </w:rPr>
        <w:t>（粘贴此处）</w:t>
      </w:r>
    </w:p>
    <w:p>
      <w:pPr>
        <w:snapToGrid w:val="0"/>
        <w:spacing w:line="520" w:lineRule="exact"/>
        <w:ind w:firstLine="482" w:firstLineChars="200"/>
        <w:rPr>
          <w:rFonts w:ascii="宋体" w:hAnsi="宋体" w:cs="宋体"/>
          <w:b/>
          <w:bCs/>
          <w:sz w:val="24"/>
        </w:rPr>
      </w:pPr>
      <w:r>
        <w:rPr>
          <w:rFonts w:hint="eastAsia" w:ascii="宋体" w:hAnsi="宋体" w:cs="宋体"/>
          <w:b/>
          <w:bCs/>
          <w:sz w:val="24"/>
        </w:rPr>
        <w:t>注:参加磋商时法定代表人将身份证原件带至磋商现场备查。</w:t>
      </w:r>
    </w:p>
    <w:p>
      <w:pPr>
        <w:snapToGrid w:val="0"/>
        <w:spacing w:line="520" w:lineRule="exact"/>
        <w:jc w:val="center"/>
        <w:outlineLvl w:val="3"/>
        <w:rPr>
          <w:rFonts w:ascii="宋体" w:hAnsi="宋体" w:cs="宋体"/>
          <w:b/>
          <w:sz w:val="28"/>
          <w:szCs w:val="28"/>
        </w:rPr>
      </w:pPr>
      <w:r>
        <w:rPr>
          <w:rFonts w:hint="eastAsia" w:ascii="宋体" w:hAnsi="宋体" w:cs="宋体"/>
          <w:b/>
          <w:sz w:val="24"/>
        </w:rPr>
        <w:br w:type="page"/>
      </w:r>
      <w:r>
        <w:rPr>
          <w:rFonts w:hint="eastAsia" w:ascii="宋体" w:hAnsi="宋体" w:cs="宋体"/>
          <w:b/>
          <w:sz w:val="28"/>
          <w:szCs w:val="28"/>
        </w:rPr>
        <w:t>2、授权委托书</w:t>
      </w:r>
    </w:p>
    <w:p>
      <w:pPr>
        <w:snapToGrid w:val="0"/>
        <w:spacing w:line="520" w:lineRule="exact"/>
        <w:jc w:val="center"/>
        <w:rPr>
          <w:rFonts w:ascii="宋体" w:hAnsi="宋体" w:cs="宋体"/>
          <w:bCs/>
          <w:sz w:val="24"/>
        </w:rPr>
      </w:pPr>
      <w:r>
        <w:rPr>
          <w:rFonts w:hint="eastAsia" w:ascii="宋体" w:hAnsi="宋体" w:cs="宋体"/>
          <w:bCs/>
          <w:sz w:val="24"/>
        </w:rPr>
        <w:t>（如被授权人参加磋商，须出示此证明）</w:t>
      </w:r>
    </w:p>
    <w:p>
      <w:pPr>
        <w:snapToGrid w:val="0"/>
        <w:spacing w:line="480" w:lineRule="exact"/>
        <w:rPr>
          <w:rFonts w:ascii="宋体" w:hAnsi="宋体" w:cs="宋体"/>
          <w:bCs/>
          <w:sz w:val="24"/>
        </w:rPr>
      </w:pPr>
    </w:p>
    <w:p>
      <w:pPr>
        <w:snapToGrid w:val="0"/>
        <w:spacing w:line="480" w:lineRule="exact"/>
        <w:rPr>
          <w:rFonts w:ascii="宋体" w:hAnsi="宋体" w:cs="宋体"/>
          <w:sz w:val="24"/>
          <w:u w:val="single"/>
        </w:rPr>
      </w:pPr>
      <w:r>
        <w:rPr>
          <w:rFonts w:hint="eastAsia" w:ascii="宋体" w:hAnsi="宋体" w:cs="宋体"/>
          <w:sz w:val="24"/>
          <w:u w:val="single"/>
        </w:rPr>
        <w:t>南通市公路事业发展中心：</w:t>
      </w:r>
    </w:p>
    <w:p>
      <w:pPr>
        <w:snapToGrid w:val="0"/>
        <w:spacing w:line="480" w:lineRule="exact"/>
        <w:ind w:firstLine="480" w:firstLineChars="200"/>
        <w:rPr>
          <w:rFonts w:hAnsi="宋体" w:cs="宋体"/>
          <w:sz w:val="24"/>
        </w:rPr>
      </w:pPr>
      <w:r>
        <w:rPr>
          <w:rFonts w:hint="eastAsia" w:hAnsi="宋体" w:cs="宋体"/>
          <w:sz w:val="24"/>
        </w:rPr>
        <w:t>兹授权</w:t>
      </w:r>
      <w:r>
        <w:rPr>
          <w:rFonts w:hint="eastAsia" w:hAnsi="宋体" w:cs="宋体"/>
          <w:sz w:val="24"/>
          <w:u w:val="single"/>
        </w:rPr>
        <w:t xml:space="preserve">               （</w:t>
      </w:r>
      <w:r>
        <w:rPr>
          <w:rFonts w:hint="eastAsia" w:hAnsi="宋体" w:cs="宋体"/>
          <w:sz w:val="24"/>
        </w:rPr>
        <w:t>被授权人的姓名）代表我公司参加（</w:t>
      </w:r>
      <w:r>
        <w:rPr>
          <w:rFonts w:hint="eastAsia" w:ascii="宋体" w:hAnsi="宋体" w:cs="宋体"/>
          <w:sz w:val="24"/>
        </w:rPr>
        <w:t>竞争性磋商项目名称及项目编号</w:t>
      </w:r>
      <w:r>
        <w:rPr>
          <w:rFonts w:hint="eastAsia" w:hAnsi="宋体" w:cs="宋体"/>
          <w:sz w:val="24"/>
        </w:rPr>
        <w:t>)项目的政府采购活动，全权处理一切与该项目招标有关的事务。其在办理上述事宜过程中所签署的所有文件我公司均予以承认。</w:t>
      </w:r>
    </w:p>
    <w:p>
      <w:pPr>
        <w:pStyle w:val="17"/>
        <w:adjustRightInd w:val="0"/>
        <w:snapToGrid w:val="0"/>
        <w:spacing w:line="500" w:lineRule="exact"/>
        <w:ind w:firstLine="480" w:firstLineChars="200"/>
        <w:jc w:val="left"/>
        <w:rPr>
          <w:rFonts w:hAnsi="宋体" w:cs="宋体"/>
          <w:kern w:val="0"/>
          <w:sz w:val="24"/>
          <w:szCs w:val="24"/>
        </w:rPr>
      </w:pPr>
    </w:p>
    <w:p>
      <w:pPr>
        <w:pStyle w:val="17"/>
        <w:adjustRightInd w:val="0"/>
        <w:snapToGrid w:val="0"/>
        <w:spacing w:line="500" w:lineRule="exact"/>
        <w:ind w:firstLine="480" w:firstLineChars="200"/>
        <w:jc w:val="left"/>
        <w:rPr>
          <w:rFonts w:hAnsi="宋体" w:cs="宋体"/>
          <w:kern w:val="0"/>
          <w:sz w:val="24"/>
          <w:szCs w:val="24"/>
        </w:rPr>
      </w:pPr>
      <w:r>
        <w:rPr>
          <w:rFonts w:hint="eastAsia" w:hAnsi="宋体" w:cs="宋体"/>
          <w:kern w:val="0"/>
          <w:sz w:val="24"/>
          <w:szCs w:val="24"/>
        </w:rPr>
        <w:t>被授权人无转委托权，特此委托。</w:t>
      </w:r>
    </w:p>
    <w:p>
      <w:pPr>
        <w:pStyle w:val="17"/>
        <w:adjustRightInd w:val="0"/>
        <w:snapToGrid w:val="0"/>
        <w:spacing w:line="500" w:lineRule="exact"/>
        <w:ind w:firstLine="480" w:firstLineChars="200"/>
        <w:jc w:val="left"/>
        <w:rPr>
          <w:rFonts w:hAnsi="宋体" w:cs="宋体"/>
          <w:kern w:val="0"/>
          <w:sz w:val="24"/>
          <w:szCs w:val="24"/>
        </w:rPr>
      </w:pPr>
    </w:p>
    <w:p>
      <w:pPr>
        <w:spacing w:line="480" w:lineRule="exact"/>
        <w:rPr>
          <w:rFonts w:hAnsi="宋体" w:cs="宋体"/>
          <w:sz w:val="24"/>
        </w:rPr>
      </w:pPr>
      <w:r>
        <w:rPr>
          <w:rFonts w:hint="eastAsia" w:hAnsi="宋体" w:cs="宋体"/>
          <w:sz w:val="24"/>
        </w:rPr>
        <w:t>附：被授权人情况：</w:t>
      </w:r>
    </w:p>
    <w:p>
      <w:pPr>
        <w:spacing w:line="480" w:lineRule="exact"/>
        <w:rPr>
          <w:rFonts w:hAnsi="宋体" w:cs="宋体"/>
          <w:sz w:val="24"/>
          <w:u w:val="single"/>
        </w:rPr>
      </w:pPr>
      <w:r>
        <w:rPr>
          <w:rFonts w:hint="eastAsia" w:hAnsi="宋体" w:cs="宋体"/>
          <w:sz w:val="24"/>
        </w:rPr>
        <w:t>姓名： 性别：年龄：职务：</w:t>
      </w:r>
    </w:p>
    <w:p>
      <w:pPr>
        <w:spacing w:line="480" w:lineRule="exact"/>
        <w:rPr>
          <w:rFonts w:hAnsi="宋体" w:cs="宋体"/>
          <w:sz w:val="24"/>
        </w:rPr>
      </w:pPr>
      <w:r>
        <w:rPr>
          <w:rFonts w:hint="eastAsia" w:hAnsi="宋体" w:cs="宋体"/>
          <w:sz w:val="24"/>
        </w:rPr>
        <w:t>身份证号码：</w:t>
      </w:r>
    </w:p>
    <w:p>
      <w:pPr>
        <w:spacing w:line="480" w:lineRule="exact"/>
        <w:rPr>
          <w:rFonts w:hAnsi="宋体" w:cs="宋体"/>
          <w:sz w:val="24"/>
        </w:rPr>
      </w:pPr>
      <w:r>
        <w:rPr>
          <w:rFonts w:hint="eastAsia" w:hAnsi="宋体" w:cs="宋体"/>
          <w:sz w:val="24"/>
        </w:rPr>
        <w:t>手机：传真：</w:t>
      </w:r>
    </w:p>
    <w:p>
      <w:pPr>
        <w:spacing w:line="480" w:lineRule="exact"/>
        <w:rPr>
          <w:rFonts w:hAnsi="宋体" w:cs="宋体"/>
          <w:sz w:val="24"/>
        </w:rPr>
      </w:pPr>
      <w:r>
        <w:rPr>
          <w:rFonts w:hint="eastAsia" w:hAnsi="宋体" w:cs="宋体"/>
          <w:sz w:val="24"/>
        </w:rPr>
        <w:t>单位名称（公章）             法定代表人（签字或盖章）</w:t>
      </w:r>
    </w:p>
    <w:p>
      <w:pPr>
        <w:spacing w:line="480" w:lineRule="exact"/>
        <w:ind w:firstLine="1200" w:firstLineChars="500"/>
        <w:rPr>
          <w:rFonts w:hAnsi="宋体" w:cs="宋体"/>
          <w:sz w:val="24"/>
        </w:rPr>
      </w:pPr>
      <w:r>
        <w:rPr>
          <w:rFonts w:hint="eastAsia" w:hAnsi="宋体" w:cs="宋体"/>
          <w:sz w:val="24"/>
        </w:rPr>
        <w:t xml:space="preserve">年   月   日                 年   月    日  </w:t>
      </w:r>
    </w:p>
    <w:p>
      <w:pPr>
        <w:spacing w:line="480" w:lineRule="exact"/>
        <w:rPr>
          <w:rFonts w:hAnsi="宋体" w:cs="宋体"/>
          <w:sz w:val="24"/>
        </w:rPr>
      </w:pPr>
    </w:p>
    <w:p>
      <w:pPr>
        <w:snapToGrid w:val="0"/>
        <w:spacing w:line="520" w:lineRule="exact"/>
        <w:rPr>
          <w:rFonts w:ascii="宋体" w:hAnsi="宋体" w:cs="宋体"/>
          <w:sz w:val="24"/>
        </w:rPr>
      </w:pPr>
      <w:r>
        <w:rPr>
          <w:rFonts w:hint="eastAsia" w:ascii="宋体" w:hAnsi="宋体" w:cs="宋体"/>
          <w:sz w:val="24"/>
        </w:rPr>
        <w:t>法定代表人身份证复印件</w:t>
      </w:r>
    </w:p>
    <w:p>
      <w:pPr>
        <w:snapToGrid w:val="0"/>
        <w:spacing w:line="520" w:lineRule="exact"/>
        <w:rPr>
          <w:rFonts w:ascii="宋体" w:hAnsi="宋体" w:cs="宋体"/>
          <w:sz w:val="24"/>
        </w:rPr>
      </w:pPr>
    </w:p>
    <w:p>
      <w:pPr>
        <w:snapToGrid w:val="0"/>
        <w:spacing w:line="520" w:lineRule="exact"/>
        <w:ind w:firstLine="2280" w:firstLineChars="950"/>
        <w:rPr>
          <w:rFonts w:ascii="宋体" w:hAnsi="宋体" w:cs="宋体"/>
          <w:sz w:val="24"/>
        </w:rPr>
      </w:pPr>
      <w:r>
        <w:rPr>
          <w:rFonts w:hint="eastAsia" w:ascii="宋体" w:hAnsi="宋体" w:cs="宋体"/>
          <w:sz w:val="24"/>
        </w:rPr>
        <w:t>（粘贴此处）</w:t>
      </w:r>
    </w:p>
    <w:p>
      <w:pPr>
        <w:spacing w:line="480" w:lineRule="exact"/>
        <w:rPr>
          <w:rFonts w:hAnsi="宋体" w:cs="宋体"/>
          <w:sz w:val="24"/>
        </w:rPr>
      </w:pPr>
    </w:p>
    <w:p>
      <w:pPr>
        <w:spacing w:line="480" w:lineRule="exact"/>
        <w:rPr>
          <w:rFonts w:hAnsi="宋体" w:cs="宋体"/>
          <w:sz w:val="24"/>
        </w:rPr>
      </w:pPr>
    </w:p>
    <w:p>
      <w:pPr>
        <w:spacing w:line="480" w:lineRule="exact"/>
        <w:rPr>
          <w:rFonts w:hAnsi="宋体" w:cs="宋体"/>
          <w:sz w:val="24"/>
        </w:rPr>
      </w:pPr>
      <w:r>
        <w:rPr>
          <w:rFonts w:hint="eastAsia" w:hAnsi="宋体" w:cs="宋体"/>
          <w:sz w:val="24"/>
        </w:rPr>
        <w:t>被授权人身份证复印件</w:t>
      </w:r>
    </w:p>
    <w:p>
      <w:pPr>
        <w:spacing w:line="480" w:lineRule="exact"/>
        <w:rPr>
          <w:rFonts w:hAnsi="宋体" w:cs="宋体"/>
          <w:sz w:val="24"/>
        </w:rPr>
      </w:pPr>
    </w:p>
    <w:p>
      <w:pPr>
        <w:spacing w:line="480" w:lineRule="exact"/>
        <w:ind w:firstLine="2280" w:firstLineChars="950"/>
        <w:rPr>
          <w:rFonts w:hAnsi="宋体" w:cs="宋体"/>
          <w:b/>
          <w:bCs/>
          <w:sz w:val="24"/>
        </w:rPr>
      </w:pPr>
      <w:r>
        <w:rPr>
          <w:rFonts w:hint="eastAsia" w:hAnsi="宋体" w:cs="宋体"/>
          <w:sz w:val="24"/>
        </w:rPr>
        <w:t>（粘贴此处）</w:t>
      </w:r>
    </w:p>
    <w:p>
      <w:pPr>
        <w:spacing w:line="480" w:lineRule="exact"/>
        <w:ind w:firstLine="482" w:firstLineChars="200"/>
        <w:rPr>
          <w:rFonts w:hAnsi="宋体" w:cs="宋体"/>
          <w:b/>
          <w:bCs/>
          <w:sz w:val="24"/>
        </w:rPr>
      </w:pPr>
      <w:r>
        <w:rPr>
          <w:rFonts w:hint="eastAsia" w:hAnsi="宋体" w:cs="宋体"/>
          <w:b/>
          <w:bCs/>
          <w:sz w:val="24"/>
        </w:rPr>
        <w:t>注:参加磋商时被授权人将身份证原件带至磋商现场备查。</w:t>
      </w:r>
    </w:p>
    <w:p>
      <w:pPr>
        <w:snapToGrid w:val="0"/>
        <w:spacing w:line="520" w:lineRule="exact"/>
        <w:jc w:val="center"/>
        <w:outlineLvl w:val="3"/>
        <w:rPr>
          <w:rFonts w:ascii="宋体" w:hAnsi="宋体" w:cs="宋体"/>
          <w:b/>
          <w:sz w:val="28"/>
          <w:szCs w:val="28"/>
        </w:rPr>
      </w:pPr>
    </w:p>
    <w:p>
      <w:pPr>
        <w:snapToGrid w:val="0"/>
        <w:spacing w:beforeLines="150" w:afterLines="50" w:line="420" w:lineRule="exact"/>
        <w:jc w:val="center"/>
        <w:outlineLvl w:val="4"/>
        <w:rPr>
          <w:rFonts w:ascii="宋体" w:hAnsi="宋体"/>
          <w:b/>
          <w:bCs/>
          <w:sz w:val="30"/>
          <w:szCs w:val="30"/>
        </w:rPr>
      </w:pPr>
      <w:r>
        <w:rPr>
          <w:rFonts w:hint="eastAsia" w:ascii="宋体" w:hAnsi="宋体"/>
          <w:b/>
          <w:bCs/>
          <w:sz w:val="30"/>
          <w:szCs w:val="30"/>
        </w:rPr>
        <w:t>3、资格声明函</w:t>
      </w:r>
    </w:p>
    <w:p>
      <w:pPr>
        <w:spacing w:line="560" w:lineRule="exact"/>
        <w:rPr>
          <w:rFonts w:ascii="宋体" w:hAnsi="宋体"/>
          <w:bCs/>
          <w:sz w:val="24"/>
          <w:u w:val="single"/>
        </w:rPr>
      </w:pPr>
      <w:r>
        <w:rPr>
          <w:rFonts w:hint="eastAsia" w:ascii="宋体" w:hAnsi="宋体"/>
          <w:bCs/>
          <w:sz w:val="24"/>
          <w:u w:val="single"/>
        </w:rPr>
        <w:t>南通市公路事业发展中心：</w:t>
      </w:r>
    </w:p>
    <w:p>
      <w:pPr>
        <w:spacing w:line="560" w:lineRule="exact"/>
        <w:rPr>
          <w:rFonts w:ascii="宋体" w:hAnsi="宋体"/>
          <w:sz w:val="24"/>
        </w:rPr>
      </w:pPr>
      <w:r>
        <w:rPr>
          <w:rFonts w:hint="eastAsia" w:ascii="宋体" w:hAnsi="宋体"/>
          <w:sz w:val="24"/>
        </w:rPr>
        <w:t xml:space="preserve">    我单位（供应商名称）郑重声明：</w:t>
      </w:r>
    </w:p>
    <w:p>
      <w:pPr>
        <w:spacing w:line="560" w:lineRule="exact"/>
        <w:ind w:firstLine="480"/>
        <w:rPr>
          <w:rFonts w:ascii="宋体" w:hAnsi="宋体" w:cs="宋体"/>
          <w:sz w:val="24"/>
        </w:rPr>
      </w:pPr>
      <w:r>
        <w:rPr>
          <w:rFonts w:hint="eastAsia" w:ascii="宋体" w:hAnsi="宋体"/>
          <w:sz w:val="24"/>
        </w:rPr>
        <w:t>我单位</w:t>
      </w:r>
      <w:r>
        <w:rPr>
          <w:rFonts w:hint="eastAsia" w:ascii="宋体" w:hAnsi="宋体" w:cs="宋体"/>
          <w:sz w:val="24"/>
        </w:rPr>
        <w:t>具有独立承担民事责任的能力；</w:t>
      </w:r>
    </w:p>
    <w:p>
      <w:pPr>
        <w:spacing w:line="560" w:lineRule="exact"/>
        <w:ind w:firstLine="480"/>
        <w:rPr>
          <w:rFonts w:ascii="宋体" w:hAnsi="宋体" w:cs="宋体"/>
          <w:sz w:val="24"/>
        </w:rPr>
      </w:pPr>
      <w:r>
        <w:rPr>
          <w:rFonts w:hint="eastAsia" w:ascii="宋体" w:hAnsi="宋体"/>
          <w:sz w:val="24"/>
        </w:rPr>
        <w:t>我单位</w:t>
      </w:r>
      <w:r>
        <w:rPr>
          <w:rFonts w:hint="eastAsia" w:ascii="宋体" w:hAnsi="宋体" w:cs="宋体"/>
          <w:sz w:val="24"/>
        </w:rPr>
        <w:t>具有良好的商业信誉和健全的财务会计制度；</w:t>
      </w:r>
    </w:p>
    <w:p>
      <w:pPr>
        <w:spacing w:line="560" w:lineRule="exact"/>
        <w:ind w:firstLine="480"/>
        <w:rPr>
          <w:rFonts w:ascii="宋体" w:hAnsi="宋体" w:cs="宋体"/>
          <w:sz w:val="24"/>
        </w:rPr>
      </w:pPr>
      <w:r>
        <w:rPr>
          <w:rFonts w:hint="eastAsia" w:ascii="宋体" w:hAnsi="宋体"/>
          <w:sz w:val="24"/>
        </w:rPr>
        <w:t>我单位</w:t>
      </w:r>
      <w:r>
        <w:rPr>
          <w:rFonts w:hint="eastAsia" w:ascii="宋体" w:hAnsi="宋体" w:cs="宋体"/>
          <w:sz w:val="24"/>
        </w:rPr>
        <w:t>具有履行合同所必需的设备和专业技术能力；</w:t>
      </w:r>
    </w:p>
    <w:p>
      <w:pPr>
        <w:spacing w:line="560" w:lineRule="exact"/>
        <w:ind w:firstLine="480"/>
        <w:rPr>
          <w:rFonts w:ascii="宋体" w:hAnsi="宋体" w:cs="宋体"/>
          <w:sz w:val="24"/>
        </w:rPr>
      </w:pPr>
      <w:r>
        <w:rPr>
          <w:rFonts w:hint="eastAsia" w:ascii="宋体" w:hAnsi="宋体"/>
          <w:sz w:val="24"/>
        </w:rPr>
        <w:t>我单位</w:t>
      </w:r>
      <w:r>
        <w:rPr>
          <w:rFonts w:hint="eastAsia" w:ascii="宋体" w:hAnsi="宋体" w:cs="宋体"/>
          <w:sz w:val="24"/>
        </w:rPr>
        <w:t>有依法缴纳税收和社会保障资金的良好记录；</w:t>
      </w:r>
    </w:p>
    <w:p>
      <w:pPr>
        <w:spacing w:line="560" w:lineRule="exact"/>
        <w:ind w:firstLine="480"/>
        <w:rPr>
          <w:rFonts w:ascii="宋体" w:hAnsi="宋体"/>
          <w:sz w:val="24"/>
        </w:rPr>
      </w:pPr>
      <w:r>
        <w:rPr>
          <w:rFonts w:hint="eastAsia" w:ascii="宋体" w:hAnsi="宋体"/>
          <w:sz w:val="24"/>
        </w:rPr>
        <w:t>我单位参加政府采购活动前3年内在经营活动中（在下划线上如实填写：有或没有）重大违法记录（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hAnsi="宋体"/>
          <w:sz w:val="24"/>
        </w:rPr>
      </w:pPr>
    </w:p>
    <w:p>
      <w:pPr>
        <w:spacing w:line="420" w:lineRule="exact"/>
        <w:ind w:firstLine="6360" w:firstLineChars="2650"/>
        <w:rPr>
          <w:rFonts w:ascii="宋体" w:hAnsi="宋体"/>
          <w:sz w:val="24"/>
        </w:rPr>
      </w:pPr>
      <w:r>
        <w:rPr>
          <w:rFonts w:hint="eastAsia" w:ascii="宋体" w:hAnsi="宋体"/>
          <w:sz w:val="24"/>
        </w:rPr>
        <w:t xml:space="preserve"> 声明人：（公章）</w:t>
      </w:r>
    </w:p>
    <w:p>
      <w:pPr>
        <w:spacing w:line="420" w:lineRule="exact"/>
        <w:jc w:val="right"/>
        <w:rPr>
          <w:rFonts w:ascii="宋体" w:hAnsi="宋体"/>
          <w:sz w:val="24"/>
        </w:rPr>
      </w:pPr>
      <w:r>
        <w:rPr>
          <w:rFonts w:hint="eastAsia" w:ascii="宋体" w:hAnsi="宋体"/>
          <w:sz w:val="24"/>
        </w:rPr>
        <w:t xml:space="preserve">                                                   年     月    日</w:t>
      </w:r>
    </w:p>
    <w:p>
      <w:pPr>
        <w:numPr>
          <w:ilvl w:val="0"/>
          <w:numId w:val="2"/>
        </w:numPr>
        <w:snapToGrid w:val="0"/>
        <w:spacing w:line="360" w:lineRule="auto"/>
        <w:jc w:val="center"/>
        <w:outlineLvl w:val="4"/>
        <w:rPr>
          <w:rFonts w:ascii="宋体" w:hAnsi="宋体" w:cs="宋体"/>
          <w:b/>
          <w:bCs/>
          <w:sz w:val="28"/>
          <w:szCs w:val="28"/>
        </w:rPr>
      </w:pPr>
      <w:r>
        <w:rPr>
          <w:rFonts w:ascii="宋体" w:hAnsi="宋体" w:cs="宋体"/>
          <w:b/>
          <w:sz w:val="28"/>
          <w:szCs w:val="28"/>
        </w:rPr>
        <w:br w:type="page"/>
      </w:r>
      <w:r>
        <w:rPr>
          <w:rFonts w:hint="eastAsia" w:ascii="宋体" w:hAnsi="宋体" w:cs="宋体"/>
          <w:b/>
          <w:bCs/>
          <w:sz w:val="28"/>
          <w:szCs w:val="28"/>
        </w:rPr>
        <w:t>关于资格文件的声明函</w:t>
      </w:r>
    </w:p>
    <w:p>
      <w:pPr>
        <w:pStyle w:val="30"/>
        <w:ind w:firstLine="0" w:firstLineChars="0"/>
      </w:pPr>
    </w:p>
    <w:p>
      <w:pPr>
        <w:snapToGrid w:val="0"/>
        <w:spacing w:line="360" w:lineRule="auto"/>
        <w:rPr>
          <w:rFonts w:ascii="宋体" w:hAnsi="宋体"/>
          <w:bCs/>
          <w:sz w:val="24"/>
          <w:u w:val="single"/>
        </w:rPr>
      </w:pPr>
      <w:r>
        <w:rPr>
          <w:rFonts w:hint="eastAsia" w:ascii="宋体" w:hAnsi="宋体" w:cs="宋体"/>
          <w:sz w:val="24"/>
          <w:u w:val="single"/>
        </w:rPr>
        <w:t>南通市公路事业发展中心：</w:t>
      </w:r>
    </w:p>
    <w:p>
      <w:pPr>
        <w:overflowPunct w:val="0"/>
        <w:adjustRightInd w:val="0"/>
        <w:spacing w:line="360" w:lineRule="auto"/>
        <w:ind w:firstLine="660"/>
        <w:jc w:val="left"/>
        <w:textAlignment w:val="baseline"/>
        <w:rPr>
          <w:rFonts w:ascii="宋体" w:hAnsi="宋体"/>
          <w:sz w:val="24"/>
        </w:rPr>
      </w:pPr>
      <w:r>
        <w:rPr>
          <w:rFonts w:hint="eastAsia" w:ascii="宋体" w:hAnsi="宋体"/>
          <w:sz w:val="24"/>
        </w:rPr>
        <w:t>本公司愿就由贵单位组织实施的（</w:t>
      </w:r>
      <w:r>
        <w:rPr>
          <w:rFonts w:hint="eastAsia" w:ascii="宋体" w:hAnsi="宋体" w:cs="宋体"/>
          <w:sz w:val="24"/>
        </w:rPr>
        <w:t>项目名称及项目编号</w:t>
      </w:r>
      <w:r>
        <w:rPr>
          <w:rFonts w:hint="eastAsia" w:ascii="宋体" w:hAnsi="宋体"/>
          <w:sz w:val="24"/>
        </w:rPr>
        <w:t>)的活动参与磋商</w:t>
      </w:r>
      <w:r>
        <w:rPr>
          <w:rFonts w:hint="eastAsia" w:ascii="宋体" w:hAnsi="宋体" w:cs="宋体"/>
          <w:sz w:val="24"/>
        </w:rPr>
        <w:t>。本公司所提交的磋商文件中所有关于资格的文件、证明和陈述均是真实的、准确的。若与真实情况不符，本公司愿意承担由此而产生的一切后果</w:t>
      </w:r>
      <w:r>
        <w:rPr>
          <w:rFonts w:hint="eastAsia" w:ascii="宋体" w:hAnsi="宋体"/>
          <w:sz w:val="24"/>
        </w:rPr>
        <w:t>。</w:t>
      </w:r>
    </w:p>
    <w:p>
      <w:pPr>
        <w:overflowPunct w:val="0"/>
        <w:adjustRightInd w:val="0"/>
        <w:spacing w:line="360" w:lineRule="auto"/>
        <w:ind w:firstLine="420"/>
        <w:jc w:val="left"/>
        <w:textAlignment w:val="baseline"/>
        <w:rPr>
          <w:rFonts w:ascii="宋体" w:hAnsi="宋体"/>
          <w:sz w:val="24"/>
        </w:rPr>
      </w:pPr>
    </w:p>
    <w:p>
      <w:pPr>
        <w:overflowPunct w:val="0"/>
        <w:adjustRightInd w:val="0"/>
        <w:spacing w:line="360" w:lineRule="auto"/>
        <w:ind w:firstLine="420"/>
        <w:jc w:val="left"/>
        <w:textAlignment w:val="baseline"/>
        <w:rPr>
          <w:rFonts w:ascii="宋体" w:hAnsi="宋体"/>
          <w:sz w:val="24"/>
        </w:rPr>
      </w:pPr>
    </w:p>
    <w:p>
      <w:pPr>
        <w:kinsoku w:val="0"/>
        <w:topLinePunct/>
        <w:snapToGrid w:val="0"/>
        <w:spacing w:line="560" w:lineRule="exact"/>
        <w:rPr>
          <w:rFonts w:ascii="宋体" w:hAnsi="宋体" w:cs="仿宋_GB2312"/>
          <w:sz w:val="24"/>
        </w:rPr>
      </w:pPr>
      <w:r>
        <w:rPr>
          <w:rFonts w:hint="eastAsia" w:ascii="宋体" w:hAnsi="宋体" w:cs="仿宋_GB2312"/>
          <w:sz w:val="24"/>
        </w:rPr>
        <w:t xml:space="preserve">参加磋商单位（盖章）：   </w:t>
      </w:r>
    </w:p>
    <w:p>
      <w:pPr>
        <w:kinsoku w:val="0"/>
        <w:topLinePunct/>
        <w:snapToGrid w:val="0"/>
        <w:spacing w:line="560" w:lineRule="exact"/>
        <w:rPr>
          <w:rFonts w:ascii="宋体" w:hAnsi="宋体" w:cs="仿宋_GB2312"/>
          <w:sz w:val="24"/>
        </w:rPr>
      </w:pPr>
      <w:r>
        <w:rPr>
          <w:rFonts w:hint="eastAsia" w:ascii="宋体" w:hAnsi="宋体" w:cs="仿宋_GB2312"/>
          <w:sz w:val="24"/>
        </w:rPr>
        <w:t>法定代表人或委托代理人（签字）：</w:t>
      </w:r>
    </w:p>
    <w:p>
      <w:pPr>
        <w:snapToGrid w:val="0"/>
        <w:spacing w:line="520" w:lineRule="exact"/>
        <w:jc w:val="right"/>
        <w:rPr>
          <w:rFonts w:ascii="宋体" w:hAnsi="宋体" w:cs="宋体"/>
          <w:sz w:val="24"/>
        </w:rPr>
      </w:pPr>
      <w:r>
        <w:rPr>
          <w:rFonts w:hint="eastAsia" w:ascii="宋体" w:hAnsi="宋体" w:cs="宋体"/>
          <w:sz w:val="24"/>
        </w:rPr>
        <w:t xml:space="preserve"> 年      月     日</w:t>
      </w:r>
    </w:p>
    <w:p>
      <w:pPr>
        <w:snapToGrid w:val="0"/>
        <w:spacing w:line="520" w:lineRule="exact"/>
        <w:jc w:val="center"/>
        <w:outlineLvl w:val="3"/>
        <w:rPr>
          <w:rFonts w:ascii="宋体" w:hAnsi="宋体" w:cs="宋体"/>
          <w:b/>
          <w:sz w:val="28"/>
          <w:szCs w:val="28"/>
        </w:rPr>
      </w:pPr>
    </w:p>
    <w:p>
      <w:pPr>
        <w:snapToGrid w:val="0"/>
        <w:spacing w:line="520" w:lineRule="exact"/>
        <w:jc w:val="center"/>
        <w:outlineLvl w:val="3"/>
        <w:rPr>
          <w:rFonts w:ascii="宋体" w:hAnsi="宋体" w:cs="宋体"/>
          <w:b/>
          <w:sz w:val="28"/>
          <w:szCs w:val="28"/>
        </w:rPr>
      </w:pPr>
    </w:p>
    <w:p>
      <w:pPr>
        <w:snapToGrid w:val="0"/>
        <w:spacing w:line="520" w:lineRule="exact"/>
        <w:jc w:val="center"/>
        <w:outlineLvl w:val="3"/>
        <w:rPr>
          <w:rFonts w:ascii="宋体" w:hAnsi="宋体" w:cs="宋体"/>
          <w:bCs/>
          <w:sz w:val="28"/>
          <w:szCs w:val="28"/>
        </w:rPr>
      </w:pPr>
      <w:r>
        <w:rPr>
          <w:rFonts w:ascii="宋体" w:hAnsi="宋体" w:cs="宋体"/>
          <w:b/>
          <w:sz w:val="28"/>
          <w:szCs w:val="28"/>
        </w:rPr>
        <w:br w:type="page"/>
      </w:r>
      <w:r>
        <w:rPr>
          <w:rFonts w:hint="eastAsia" w:ascii="宋体" w:hAnsi="宋体" w:cs="宋体"/>
          <w:b/>
          <w:bCs/>
          <w:sz w:val="28"/>
          <w:szCs w:val="28"/>
        </w:rPr>
        <w:t>5、竞争性磋商响应函</w:t>
      </w:r>
      <w:r>
        <w:rPr>
          <w:rFonts w:hint="eastAsia" w:ascii="宋体" w:hAnsi="宋体" w:cs="宋体"/>
          <w:bCs/>
          <w:sz w:val="28"/>
          <w:szCs w:val="28"/>
        </w:rPr>
        <w:t>（</w:t>
      </w:r>
      <w:r>
        <w:rPr>
          <w:rFonts w:hint="eastAsia" w:ascii="宋体" w:hAnsi="宋体" w:cs="宋体"/>
          <w:bCs/>
          <w:sz w:val="28"/>
          <w:szCs w:val="28"/>
          <w:u w:val="single"/>
        </w:rPr>
        <w:t>格式不得变动</w:t>
      </w:r>
      <w:r>
        <w:rPr>
          <w:rFonts w:hint="eastAsia" w:ascii="宋体" w:hAnsi="宋体" w:cs="宋体"/>
          <w:bCs/>
          <w:sz w:val="28"/>
          <w:szCs w:val="28"/>
        </w:rPr>
        <w:t>）</w:t>
      </w:r>
    </w:p>
    <w:p>
      <w:pPr>
        <w:pStyle w:val="30"/>
      </w:pPr>
    </w:p>
    <w:p>
      <w:pPr>
        <w:snapToGrid w:val="0"/>
        <w:spacing w:line="520" w:lineRule="exact"/>
        <w:rPr>
          <w:rFonts w:ascii="宋体" w:hAnsi="宋体" w:cs="宋体"/>
          <w:sz w:val="24"/>
          <w:u w:val="single"/>
        </w:rPr>
      </w:pPr>
      <w:r>
        <w:rPr>
          <w:rFonts w:hint="eastAsia" w:ascii="宋体" w:hAnsi="宋体" w:cs="宋体"/>
          <w:sz w:val="24"/>
          <w:u w:val="single"/>
        </w:rPr>
        <w:t>南通市公路事业发展中心：</w:t>
      </w:r>
    </w:p>
    <w:p>
      <w:pPr>
        <w:snapToGrid w:val="0"/>
        <w:spacing w:line="520" w:lineRule="exact"/>
        <w:ind w:firstLine="480" w:firstLineChars="200"/>
        <w:rPr>
          <w:rFonts w:ascii="宋体" w:hAnsi="宋体" w:cs="宋体"/>
          <w:sz w:val="24"/>
        </w:rPr>
      </w:pPr>
      <w:r>
        <w:rPr>
          <w:rFonts w:hint="eastAsia" w:ascii="宋体" w:hAnsi="宋体" w:cs="宋体"/>
          <w:sz w:val="24"/>
        </w:rPr>
        <w:t>依据贵单位委托代理机构组织的（磋商项目名称及项目编号)项目竞争性磋商的邀请，我方授权（姓名）（职务）为全权代表参加该项目的磋商工作，全权处理本次竞争性磋商的有关事宜。同时，我公司声明如下：</w:t>
      </w:r>
    </w:p>
    <w:p>
      <w:pPr>
        <w:snapToGrid w:val="0"/>
        <w:spacing w:line="520" w:lineRule="exact"/>
        <w:ind w:firstLine="480" w:firstLineChars="200"/>
        <w:rPr>
          <w:rFonts w:ascii="宋体" w:hAnsi="宋体" w:cs="宋体"/>
          <w:sz w:val="24"/>
        </w:rPr>
      </w:pPr>
      <w:r>
        <w:rPr>
          <w:rFonts w:hint="eastAsia" w:ascii="宋体" w:hAnsi="宋体" w:cs="宋体"/>
          <w:sz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cs="宋体"/>
          <w:sz w:val="24"/>
        </w:rPr>
      </w:pPr>
      <w:r>
        <w:rPr>
          <w:rFonts w:hint="eastAsia" w:ascii="宋体" w:hAnsi="宋体" w:cs="宋体"/>
          <w:sz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cs="宋体"/>
          <w:sz w:val="24"/>
        </w:rPr>
      </w:pPr>
      <w:r>
        <w:rPr>
          <w:rFonts w:hint="eastAsia" w:ascii="宋体" w:hAnsi="宋体" w:cs="宋体"/>
          <w:sz w:val="24"/>
        </w:rPr>
        <w:t>3、我公司已毫无保留地向贵方提供一切所需的证明材料。</w:t>
      </w:r>
    </w:p>
    <w:p>
      <w:pPr>
        <w:snapToGrid w:val="0"/>
        <w:spacing w:line="520" w:lineRule="exact"/>
        <w:ind w:firstLine="480" w:firstLineChars="200"/>
        <w:rPr>
          <w:rFonts w:ascii="宋体" w:hAnsi="宋体" w:cs="宋体"/>
          <w:sz w:val="24"/>
        </w:rPr>
      </w:pPr>
      <w:r>
        <w:rPr>
          <w:rFonts w:hint="eastAsia" w:ascii="宋体" w:hAnsi="宋体" w:cs="宋体"/>
          <w:sz w:val="24"/>
        </w:rPr>
        <w:t>4、我公司承诺在本次磋商响应中提供的一切文件，无论是原件还是复印件均真实有效，绝无任何虚假、伪造和夸大的成份。否则，愿承担相应的后果和法律责任。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hAnsi="宋体" w:cs="宋体"/>
          <w:sz w:val="24"/>
        </w:rPr>
      </w:pPr>
      <w:r>
        <w:rPr>
          <w:rFonts w:hint="eastAsia" w:ascii="宋体" w:hAnsi="宋体" w:cs="宋体"/>
          <w:sz w:val="24"/>
        </w:rPr>
        <w:t>5、一旦成交，我方承诺无正当理由拒绝签订合同，将被贵方取消成交资格，同意贵方将磋商保证金作为违约金全额不予退还的处理。</w:t>
      </w:r>
    </w:p>
    <w:p>
      <w:pPr>
        <w:snapToGrid w:val="0"/>
        <w:spacing w:line="520" w:lineRule="exact"/>
        <w:ind w:firstLine="480" w:firstLineChars="200"/>
        <w:rPr>
          <w:rFonts w:ascii="宋体" w:hAnsi="宋体" w:cs="宋体"/>
          <w:sz w:val="24"/>
        </w:rPr>
      </w:pPr>
      <w:r>
        <w:rPr>
          <w:rFonts w:hint="eastAsia" w:ascii="宋体" w:hAnsi="宋体" w:cs="宋体"/>
          <w:sz w:val="24"/>
        </w:rPr>
        <w:t>6、</w:t>
      </w:r>
      <w:r>
        <w:rPr>
          <w:rFonts w:hint="eastAsia" w:ascii="宋体" w:hAnsi="宋体" w:cs="宋体"/>
          <w:b/>
          <w:sz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cs="宋体"/>
          <w:sz w:val="24"/>
        </w:rPr>
      </w:pPr>
    </w:p>
    <w:p>
      <w:pPr>
        <w:kinsoku w:val="0"/>
        <w:topLinePunct/>
        <w:snapToGrid w:val="0"/>
        <w:spacing w:line="560" w:lineRule="exact"/>
        <w:rPr>
          <w:rFonts w:ascii="宋体" w:hAnsi="宋体" w:cs="仿宋_GB2312"/>
          <w:sz w:val="24"/>
        </w:rPr>
      </w:pPr>
      <w:r>
        <w:rPr>
          <w:rFonts w:hint="eastAsia" w:ascii="宋体" w:hAnsi="宋体" w:cs="仿宋_GB2312"/>
          <w:sz w:val="24"/>
        </w:rPr>
        <w:t xml:space="preserve">参加磋商单位（盖章）：   </w:t>
      </w:r>
    </w:p>
    <w:p>
      <w:pPr>
        <w:kinsoku w:val="0"/>
        <w:topLinePunct/>
        <w:snapToGrid w:val="0"/>
        <w:spacing w:line="560" w:lineRule="exact"/>
        <w:rPr>
          <w:rFonts w:ascii="宋体" w:hAnsi="宋体" w:cs="仿宋_GB2312"/>
          <w:sz w:val="24"/>
        </w:rPr>
      </w:pPr>
      <w:r>
        <w:rPr>
          <w:rFonts w:hint="eastAsia" w:ascii="宋体" w:hAnsi="宋体" w:cs="仿宋_GB2312"/>
          <w:sz w:val="24"/>
        </w:rPr>
        <w:t>法定代表人或委托代理人（签字）：</w:t>
      </w:r>
    </w:p>
    <w:p>
      <w:pPr>
        <w:kinsoku w:val="0"/>
        <w:topLinePunct/>
        <w:snapToGrid w:val="0"/>
        <w:spacing w:line="560" w:lineRule="exact"/>
        <w:rPr>
          <w:rFonts w:ascii="宋体" w:hAnsi="宋体" w:cs="仿宋_GB2312"/>
          <w:sz w:val="24"/>
        </w:rPr>
      </w:pPr>
      <w:r>
        <w:rPr>
          <w:rFonts w:hint="eastAsia" w:ascii="宋体" w:hAnsi="宋体" w:cs="宋体"/>
          <w:sz w:val="24"/>
        </w:rPr>
        <w:t xml:space="preserve"> 年      月     日</w:t>
      </w:r>
    </w:p>
    <w:p>
      <w:pPr>
        <w:snapToGrid w:val="0"/>
        <w:spacing w:line="520" w:lineRule="exact"/>
        <w:jc w:val="center"/>
        <w:outlineLvl w:val="3"/>
        <w:rPr>
          <w:rFonts w:ascii="宋体" w:hAnsi="宋体" w:cs="宋体"/>
          <w:b/>
          <w:sz w:val="28"/>
          <w:szCs w:val="28"/>
        </w:rPr>
      </w:pPr>
    </w:p>
    <w:p>
      <w:pPr>
        <w:snapToGrid w:val="0"/>
        <w:spacing w:line="520" w:lineRule="exact"/>
        <w:jc w:val="center"/>
        <w:outlineLvl w:val="3"/>
        <w:rPr>
          <w:rFonts w:ascii="宋体" w:hAnsi="宋体" w:cs="宋体"/>
          <w:b/>
          <w:sz w:val="28"/>
          <w:szCs w:val="28"/>
        </w:rPr>
      </w:pPr>
    </w:p>
    <w:p>
      <w:pPr>
        <w:spacing w:line="480" w:lineRule="exact"/>
        <w:jc w:val="center"/>
        <w:rPr>
          <w:rFonts w:ascii="宋体" w:hAnsi="宋体" w:cs="宋体"/>
          <w:b/>
          <w:sz w:val="28"/>
          <w:szCs w:val="28"/>
        </w:rPr>
      </w:pPr>
      <w:bookmarkStart w:id="465" w:name="_Toc425960671"/>
      <w:r>
        <w:rPr>
          <w:rFonts w:ascii="宋体" w:hAnsi="宋体"/>
          <w:b/>
          <w:bCs/>
          <w:sz w:val="28"/>
          <w:szCs w:val="28"/>
        </w:rPr>
        <w:br w:type="page"/>
      </w:r>
      <w:bookmarkEnd w:id="465"/>
      <w:r>
        <w:rPr>
          <w:rFonts w:hint="eastAsia" w:ascii="宋体" w:hAnsi="宋体"/>
          <w:b/>
          <w:bCs/>
          <w:sz w:val="28"/>
          <w:szCs w:val="28"/>
        </w:rPr>
        <w:t>6</w:t>
      </w:r>
      <w:r>
        <w:rPr>
          <w:rFonts w:hint="eastAsia" w:ascii="宋体" w:hAnsi="宋体" w:cs="宋体"/>
          <w:b/>
          <w:sz w:val="28"/>
          <w:szCs w:val="28"/>
        </w:rPr>
        <w:t>、供应商一般情况表</w:t>
      </w:r>
    </w:p>
    <w:tbl>
      <w:tblPr>
        <w:tblStyle w:val="31"/>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050"/>
        <w:gridCol w:w="945"/>
        <w:gridCol w:w="210"/>
        <w:gridCol w:w="735"/>
        <w:gridCol w:w="307"/>
        <w:gridCol w:w="743"/>
        <w:gridCol w:w="57"/>
        <w:gridCol w:w="258"/>
        <w:gridCol w:w="420"/>
        <w:gridCol w:w="687"/>
        <w:gridCol w:w="115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ind w:left="210" w:leftChars="100"/>
              <w:jc w:val="center"/>
              <w:rPr>
                <w:rFonts w:ascii="宋体" w:hAnsi="宋体"/>
              </w:rPr>
            </w:pPr>
            <w:r>
              <w:rPr>
                <w:rFonts w:hint="eastAsia" w:ascii="宋体" w:hAnsi="宋体" w:cs="宋体"/>
              </w:rPr>
              <w:t>单位全称</w:t>
            </w:r>
          </w:p>
        </w:tc>
        <w:tc>
          <w:tcPr>
            <w:tcW w:w="7706" w:type="dxa"/>
            <w:gridSpan w:val="12"/>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ind w:left="210" w:leftChars="100"/>
              <w:jc w:val="center"/>
              <w:rPr>
                <w:rFonts w:ascii="宋体" w:hAnsi="宋体"/>
              </w:rPr>
            </w:pPr>
            <w:r>
              <w:rPr>
                <w:rFonts w:hint="eastAsia" w:ascii="宋体" w:hAnsi="宋体" w:cs="宋体"/>
              </w:rPr>
              <w:t>主要业务</w:t>
            </w:r>
          </w:p>
        </w:tc>
        <w:tc>
          <w:tcPr>
            <w:tcW w:w="7706" w:type="dxa"/>
            <w:gridSpan w:val="12"/>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rPr>
            </w:pPr>
            <w:r>
              <w:rPr>
                <w:rFonts w:hint="eastAsia" w:ascii="宋体" w:hAnsi="宋体" w:cs="宋体"/>
              </w:rPr>
              <w:t>营业执照注册号</w:t>
            </w:r>
          </w:p>
        </w:tc>
        <w:tc>
          <w:tcPr>
            <w:tcW w:w="4047" w:type="dxa"/>
            <w:gridSpan w:val="7"/>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cs="宋体"/>
              </w:rPr>
            </w:pPr>
          </w:p>
        </w:tc>
        <w:tc>
          <w:tcPr>
            <w:tcW w:w="1365" w:type="dxa"/>
            <w:gridSpan w:val="3"/>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rPr>
            </w:pPr>
            <w:r>
              <w:rPr>
                <w:rFonts w:hint="eastAsia" w:ascii="宋体" w:hAnsi="宋体" w:cs="宋体"/>
              </w:rPr>
              <w:t>建立日期</w:t>
            </w:r>
          </w:p>
        </w:tc>
        <w:tc>
          <w:tcPr>
            <w:tcW w:w="2294" w:type="dxa"/>
            <w:gridSpan w:val="2"/>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spacing w:val="-12"/>
                <w:kern w:val="10"/>
              </w:rPr>
            </w:pPr>
            <w:r>
              <w:rPr>
                <w:rFonts w:hint="eastAsia" w:ascii="宋体" w:hAnsi="宋体" w:cs="宋体"/>
                <w:spacing w:val="-12"/>
                <w:kern w:val="10"/>
              </w:rPr>
              <w:t>现有职工情况</w:t>
            </w:r>
          </w:p>
        </w:tc>
        <w:tc>
          <w:tcPr>
            <w:tcW w:w="7706" w:type="dxa"/>
            <w:gridSpan w:val="12"/>
            <w:tcBorders>
              <w:top w:val="single" w:color="auto" w:sz="4" w:space="0"/>
              <w:left w:val="single" w:color="auto" w:sz="4" w:space="0"/>
              <w:bottom w:val="single" w:color="auto" w:sz="4" w:space="0"/>
              <w:right w:val="single" w:color="auto" w:sz="4" w:space="0"/>
            </w:tcBorders>
            <w:noWrap/>
          </w:tcPr>
          <w:p>
            <w:pPr>
              <w:spacing w:line="500" w:lineRule="exact"/>
              <w:rPr>
                <w:rFonts w:ascii="宋体" w:hAnsi="宋体"/>
              </w:rPr>
            </w:pPr>
            <w:r>
              <w:rPr>
                <w:rFonts w:hint="eastAsia" w:ascii="宋体" w:hAnsi="宋体" w:cs="宋体"/>
              </w:rPr>
              <w:t>现有人数         人，其中高级     人，中级    人，初级职称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cs="宋体"/>
                <w:spacing w:val="-12"/>
                <w:kern w:val="10"/>
              </w:rPr>
            </w:pPr>
            <w:r>
              <w:rPr>
                <w:rFonts w:hint="eastAsia" w:ascii="宋体" w:hAnsi="宋体" w:cs="宋体"/>
                <w:spacing w:val="-12"/>
                <w:kern w:val="10"/>
              </w:rPr>
              <w:t>办公地点</w:t>
            </w:r>
          </w:p>
        </w:tc>
        <w:tc>
          <w:tcPr>
            <w:tcW w:w="4047" w:type="dxa"/>
            <w:gridSpan w:val="7"/>
            <w:tcBorders>
              <w:top w:val="single" w:color="auto" w:sz="4" w:space="0"/>
              <w:left w:val="single" w:color="auto" w:sz="4" w:space="0"/>
              <w:right w:val="single" w:color="auto" w:sz="4" w:space="0"/>
            </w:tcBorders>
            <w:noWrap/>
          </w:tcPr>
          <w:p>
            <w:pPr>
              <w:spacing w:line="500" w:lineRule="exact"/>
              <w:rPr>
                <w:rFonts w:ascii="宋体" w:hAnsi="宋体" w:cs="宋体"/>
              </w:rPr>
            </w:pPr>
          </w:p>
        </w:tc>
        <w:tc>
          <w:tcPr>
            <w:tcW w:w="1365" w:type="dxa"/>
            <w:gridSpan w:val="3"/>
            <w:tcBorders>
              <w:top w:val="single" w:color="auto" w:sz="4" w:space="0"/>
              <w:left w:val="single" w:color="auto" w:sz="4" w:space="0"/>
              <w:right w:val="single" w:color="auto" w:sz="4" w:space="0"/>
            </w:tcBorders>
            <w:noWrap/>
          </w:tcPr>
          <w:p>
            <w:pPr>
              <w:spacing w:line="500" w:lineRule="exact"/>
              <w:rPr>
                <w:rFonts w:ascii="宋体" w:hAnsi="宋体" w:cs="宋体"/>
              </w:rPr>
            </w:pPr>
            <w:r>
              <w:rPr>
                <w:rFonts w:hint="eastAsia" w:ascii="宋体" w:hAnsi="宋体" w:cs="宋体"/>
              </w:rPr>
              <w:t>邮编</w:t>
            </w:r>
          </w:p>
        </w:tc>
        <w:tc>
          <w:tcPr>
            <w:tcW w:w="2294" w:type="dxa"/>
            <w:gridSpan w:val="2"/>
            <w:tcBorders>
              <w:top w:val="single" w:color="auto" w:sz="4" w:space="0"/>
              <w:left w:val="single" w:color="auto" w:sz="4" w:space="0"/>
              <w:right w:val="single" w:color="auto" w:sz="4" w:space="0"/>
            </w:tcBorders>
            <w:noWrap/>
          </w:tcPr>
          <w:p>
            <w:pPr>
              <w:spacing w:line="5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cs="宋体"/>
                <w:spacing w:val="-12"/>
                <w:kern w:val="10"/>
              </w:rPr>
            </w:pPr>
            <w:r>
              <w:rPr>
                <w:rFonts w:hint="eastAsia" w:ascii="宋体" w:hAnsi="宋体" w:cs="宋体"/>
                <w:spacing w:val="-12"/>
                <w:kern w:val="10"/>
              </w:rPr>
              <w:t>联系电话</w:t>
            </w:r>
          </w:p>
        </w:tc>
        <w:tc>
          <w:tcPr>
            <w:tcW w:w="4047" w:type="dxa"/>
            <w:gridSpan w:val="7"/>
            <w:tcBorders>
              <w:left w:val="single" w:color="auto" w:sz="4" w:space="0"/>
              <w:bottom w:val="single" w:color="auto" w:sz="4" w:space="0"/>
              <w:right w:val="single" w:color="auto" w:sz="4" w:space="0"/>
            </w:tcBorders>
            <w:noWrap/>
          </w:tcPr>
          <w:p>
            <w:pPr>
              <w:spacing w:line="500" w:lineRule="exact"/>
              <w:rPr>
                <w:rFonts w:ascii="宋体" w:hAnsi="宋体" w:cs="宋体"/>
              </w:rPr>
            </w:pPr>
          </w:p>
        </w:tc>
        <w:tc>
          <w:tcPr>
            <w:tcW w:w="1365" w:type="dxa"/>
            <w:gridSpan w:val="3"/>
            <w:tcBorders>
              <w:left w:val="single" w:color="auto" w:sz="4" w:space="0"/>
              <w:bottom w:val="single" w:color="auto" w:sz="4" w:space="0"/>
              <w:right w:val="single" w:color="auto" w:sz="4" w:space="0"/>
            </w:tcBorders>
            <w:noWrap/>
          </w:tcPr>
          <w:p>
            <w:pPr>
              <w:spacing w:line="500" w:lineRule="exact"/>
              <w:rPr>
                <w:rFonts w:ascii="宋体" w:hAnsi="宋体" w:cs="宋体"/>
              </w:rPr>
            </w:pPr>
            <w:r>
              <w:rPr>
                <w:rFonts w:hint="eastAsia" w:ascii="宋体" w:hAnsi="宋体" w:cs="宋体"/>
              </w:rPr>
              <w:t>传真</w:t>
            </w:r>
          </w:p>
        </w:tc>
        <w:tc>
          <w:tcPr>
            <w:tcW w:w="2294" w:type="dxa"/>
            <w:gridSpan w:val="2"/>
            <w:tcBorders>
              <w:left w:val="single" w:color="auto" w:sz="4" w:space="0"/>
              <w:bottom w:val="single" w:color="auto" w:sz="4" w:space="0"/>
              <w:right w:val="single" w:color="auto" w:sz="4" w:space="0"/>
            </w:tcBorders>
            <w:noWrap/>
          </w:tcPr>
          <w:p>
            <w:pPr>
              <w:spacing w:line="5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rPr>
            </w:pPr>
            <w:r>
              <w:rPr>
                <w:rFonts w:hint="eastAsia" w:ascii="宋体" w:hAnsi="宋体" w:cs="宋体"/>
              </w:rPr>
              <w:t>法定代表人姓名</w:t>
            </w:r>
          </w:p>
        </w:tc>
        <w:tc>
          <w:tcPr>
            <w:tcW w:w="1050" w:type="dxa"/>
            <w:tcBorders>
              <w:top w:val="single" w:color="auto" w:sz="4" w:space="0"/>
              <w:left w:val="single" w:color="auto" w:sz="4" w:space="0"/>
              <w:right w:val="single" w:color="auto" w:sz="4" w:space="0"/>
            </w:tcBorders>
            <w:noWrap/>
          </w:tcPr>
          <w:p>
            <w:pPr>
              <w:spacing w:line="500" w:lineRule="exact"/>
              <w:jc w:val="center"/>
              <w:rPr>
                <w:rFonts w:ascii="宋体" w:hAnsi="宋体"/>
              </w:rPr>
            </w:pPr>
          </w:p>
        </w:tc>
        <w:tc>
          <w:tcPr>
            <w:tcW w:w="945" w:type="dxa"/>
            <w:tcBorders>
              <w:top w:val="single" w:color="auto" w:sz="4" w:space="0"/>
              <w:left w:val="single" w:color="auto" w:sz="4" w:space="0"/>
              <w:right w:val="single" w:color="auto" w:sz="4" w:space="0"/>
            </w:tcBorders>
            <w:noWrap/>
          </w:tcPr>
          <w:p>
            <w:pPr>
              <w:spacing w:line="500" w:lineRule="exact"/>
              <w:jc w:val="center"/>
              <w:rPr>
                <w:rFonts w:ascii="宋体" w:hAnsi="宋体"/>
              </w:rPr>
            </w:pPr>
            <w:r>
              <w:rPr>
                <w:rFonts w:hint="eastAsia" w:ascii="宋体" w:hAnsi="宋体"/>
              </w:rPr>
              <w:t>职务</w:t>
            </w:r>
          </w:p>
        </w:tc>
        <w:tc>
          <w:tcPr>
            <w:tcW w:w="1252" w:type="dxa"/>
            <w:gridSpan w:val="3"/>
            <w:tcBorders>
              <w:top w:val="single" w:color="auto" w:sz="4" w:space="0"/>
              <w:left w:val="single" w:color="auto" w:sz="4" w:space="0"/>
              <w:right w:val="single" w:color="auto" w:sz="4" w:space="0"/>
            </w:tcBorders>
            <w:noWrap/>
          </w:tcPr>
          <w:p>
            <w:pPr>
              <w:spacing w:line="500" w:lineRule="exact"/>
              <w:jc w:val="center"/>
              <w:rPr>
                <w:rFonts w:ascii="宋体" w:hAnsi="宋体"/>
              </w:rPr>
            </w:pPr>
          </w:p>
        </w:tc>
        <w:tc>
          <w:tcPr>
            <w:tcW w:w="1058" w:type="dxa"/>
            <w:gridSpan w:val="3"/>
            <w:tcBorders>
              <w:top w:val="single" w:color="auto" w:sz="4" w:space="0"/>
              <w:left w:val="single" w:color="auto" w:sz="4" w:space="0"/>
              <w:right w:val="single" w:color="auto" w:sz="4" w:space="0"/>
            </w:tcBorders>
            <w:noWrap/>
          </w:tcPr>
          <w:p>
            <w:pPr>
              <w:spacing w:line="500" w:lineRule="exact"/>
              <w:jc w:val="center"/>
              <w:rPr>
                <w:rFonts w:ascii="宋体" w:hAnsi="宋体"/>
              </w:rPr>
            </w:pPr>
            <w:r>
              <w:rPr>
                <w:rFonts w:hint="eastAsia" w:ascii="宋体" w:hAnsi="宋体"/>
              </w:rPr>
              <w:t>职称</w:t>
            </w:r>
          </w:p>
        </w:tc>
        <w:tc>
          <w:tcPr>
            <w:tcW w:w="1107" w:type="dxa"/>
            <w:gridSpan w:val="2"/>
            <w:tcBorders>
              <w:top w:val="single" w:color="auto" w:sz="4" w:space="0"/>
              <w:left w:val="single" w:color="auto" w:sz="4" w:space="0"/>
              <w:right w:val="single" w:color="auto" w:sz="4" w:space="0"/>
            </w:tcBorders>
            <w:noWrap/>
          </w:tcPr>
          <w:p>
            <w:pPr>
              <w:spacing w:line="500" w:lineRule="exact"/>
              <w:jc w:val="center"/>
              <w:rPr>
                <w:rFonts w:ascii="宋体" w:hAnsi="宋体"/>
              </w:rPr>
            </w:pPr>
          </w:p>
        </w:tc>
        <w:tc>
          <w:tcPr>
            <w:tcW w:w="1155" w:type="dxa"/>
            <w:tcBorders>
              <w:top w:val="single" w:color="auto" w:sz="4" w:space="0"/>
              <w:left w:val="single" w:color="auto" w:sz="4" w:space="0"/>
              <w:right w:val="single" w:color="auto" w:sz="4" w:space="0"/>
            </w:tcBorders>
            <w:noWrap/>
          </w:tcPr>
          <w:p>
            <w:pPr>
              <w:spacing w:line="500" w:lineRule="exact"/>
              <w:jc w:val="center"/>
              <w:rPr>
                <w:rFonts w:ascii="宋体" w:hAnsi="宋体"/>
              </w:rPr>
            </w:pPr>
            <w:r>
              <w:rPr>
                <w:rFonts w:hint="eastAsia" w:ascii="宋体" w:hAnsi="宋体"/>
              </w:rPr>
              <w:t>联系电话</w:t>
            </w:r>
          </w:p>
        </w:tc>
        <w:tc>
          <w:tcPr>
            <w:tcW w:w="1139" w:type="dxa"/>
            <w:tcBorders>
              <w:top w:val="single" w:color="auto" w:sz="4" w:space="0"/>
              <w:left w:val="single" w:color="auto" w:sz="4" w:space="0"/>
              <w:right w:val="single" w:color="auto" w:sz="4" w:space="0"/>
            </w:tcBorders>
            <w:noWrap/>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cs="宋体"/>
              </w:rPr>
            </w:pPr>
            <w:r>
              <w:rPr>
                <w:rFonts w:hint="eastAsia" w:ascii="宋体" w:hAnsi="宋体" w:cs="宋体"/>
              </w:rPr>
              <w:t>技术负责人姓名</w:t>
            </w:r>
          </w:p>
        </w:tc>
        <w:tc>
          <w:tcPr>
            <w:tcW w:w="1050" w:type="dxa"/>
            <w:tcBorders>
              <w:left w:val="single" w:color="auto" w:sz="4" w:space="0"/>
              <w:right w:val="single" w:color="auto" w:sz="4" w:space="0"/>
            </w:tcBorders>
            <w:noWrap/>
          </w:tcPr>
          <w:p>
            <w:pPr>
              <w:spacing w:line="500" w:lineRule="exact"/>
              <w:jc w:val="center"/>
              <w:rPr>
                <w:rFonts w:ascii="宋体" w:hAnsi="宋体"/>
              </w:rPr>
            </w:pPr>
          </w:p>
        </w:tc>
        <w:tc>
          <w:tcPr>
            <w:tcW w:w="945" w:type="dxa"/>
            <w:tcBorders>
              <w:left w:val="single" w:color="auto" w:sz="4" w:space="0"/>
              <w:right w:val="single" w:color="auto" w:sz="4" w:space="0"/>
            </w:tcBorders>
            <w:noWrap/>
          </w:tcPr>
          <w:p>
            <w:pPr>
              <w:spacing w:line="500" w:lineRule="exact"/>
              <w:jc w:val="center"/>
              <w:rPr>
                <w:rFonts w:ascii="宋体" w:hAnsi="宋体"/>
              </w:rPr>
            </w:pPr>
            <w:r>
              <w:rPr>
                <w:rFonts w:hint="eastAsia" w:ascii="宋体" w:hAnsi="宋体"/>
              </w:rPr>
              <w:t>职务</w:t>
            </w:r>
          </w:p>
        </w:tc>
        <w:tc>
          <w:tcPr>
            <w:tcW w:w="1252" w:type="dxa"/>
            <w:gridSpan w:val="3"/>
            <w:tcBorders>
              <w:left w:val="single" w:color="auto" w:sz="4" w:space="0"/>
              <w:right w:val="single" w:color="auto" w:sz="4" w:space="0"/>
            </w:tcBorders>
            <w:noWrap/>
          </w:tcPr>
          <w:p>
            <w:pPr>
              <w:spacing w:line="500" w:lineRule="exact"/>
              <w:jc w:val="center"/>
              <w:rPr>
                <w:rFonts w:ascii="宋体" w:hAnsi="宋体"/>
              </w:rPr>
            </w:pPr>
          </w:p>
        </w:tc>
        <w:tc>
          <w:tcPr>
            <w:tcW w:w="1058" w:type="dxa"/>
            <w:gridSpan w:val="3"/>
            <w:tcBorders>
              <w:left w:val="single" w:color="auto" w:sz="4" w:space="0"/>
              <w:right w:val="single" w:color="auto" w:sz="4" w:space="0"/>
            </w:tcBorders>
            <w:noWrap/>
          </w:tcPr>
          <w:p>
            <w:pPr>
              <w:spacing w:line="500" w:lineRule="exact"/>
              <w:jc w:val="center"/>
              <w:rPr>
                <w:rFonts w:ascii="宋体" w:hAnsi="宋体"/>
              </w:rPr>
            </w:pPr>
            <w:r>
              <w:rPr>
                <w:rFonts w:hint="eastAsia" w:ascii="宋体" w:hAnsi="宋体"/>
              </w:rPr>
              <w:t>职称</w:t>
            </w:r>
          </w:p>
        </w:tc>
        <w:tc>
          <w:tcPr>
            <w:tcW w:w="1107" w:type="dxa"/>
            <w:gridSpan w:val="2"/>
            <w:tcBorders>
              <w:left w:val="single" w:color="auto" w:sz="4" w:space="0"/>
              <w:right w:val="single" w:color="auto" w:sz="4" w:space="0"/>
            </w:tcBorders>
            <w:noWrap/>
          </w:tcPr>
          <w:p>
            <w:pPr>
              <w:spacing w:line="500" w:lineRule="exact"/>
              <w:jc w:val="center"/>
              <w:rPr>
                <w:rFonts w:ascii="宋体" w:hAnsi="宋体"/>
              </w:rPr>
            </w:pPr>
          </w:p>
        </w:tc>
        <w:tc>
          <w:tcPr>
            <w:tcW w:w="1155" w:type="dxa"/>
            <w:tcBorders>
              <w:left w:val="single" w:color="auto" w:sz="4" w:space="0"/>
              <w:right w:val="single" w:color="auto" w:sz="4" w:space="0"/>
            </w:tcBorders>
            <w:noWrap/>
          </w:tcPr>
          <w:p>
            <w:pPr>
              <w:spacing w:line="500" w:lineRule="exact"/>
              <w:jc w:val="center"/>
              <w:rPr>
                <w:rFonts w:ascii="宋体" w:hAnsi="宋体"/>
              </w:rPr>
            </w:pPr>
            <w:r>
              <w:rPr>
                <w:rFonts w:hint="eastAsia" w:ascii="宋体" w:hAnsi="宋体"/>
              </w:rPr>
              <w:t>联系电话</w:t>
            </w:r>
          </w:p>
        </w:tc>
        <w:tc>
          <w:tcPr>
            <w:tcW w:w="1139" w:type="dxa"/>
            <w:tcBorders>
              <w:left w:val="single" w:color="auto" w:sz="4" w:space="0"/>
              <w:right w:val="single" w:color="auto" w:sz="4" w:space="0"/>
            </w:tcBorders>
            <w:noWrap/>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ind w:left="210" w:leftChars="100"/>
              <w:jc w:val="center"/>
              <w:rPr>
                <w:rFonts w:ascii="宋体" w:hAnsi="宋体" w:cs="宋体"/>
              </w:rPr>
            </w:pPr>
            <w:r>
              <w:rPr>
                <w:rFonts w:hint="eastAsia" w:ascii="宋体" w:hAnsi="宋体" w:cs="宋体"/>
              </w:rPr>
              <w:t>联系人姓名</w:t>
            </w:r>
          </w:p>
        </w:tc>
        <w:tc>
          <w:tcPr>
            <w:tcW w:w="1050" w:type="dxa"/>
            <w:tcBorders>
              <w:left w:val="single" w:color="auto" w:sz="4" w:space="0"/>
              <w:bottom w:val="single" w:color="auto" w:sz="4" w:space="0"/>
              <w:right w:val="single" w:color="auto" w:sz="4" w:space="0"/>
            </w:tcBorders>
            <w:noWrap/>
          </w:tcPr>
          <w:p>
            <w:pPr>
              <w:spacing w:line="500" w:lineRule="exact"/>
              <w:jc w:val="center"/>
              <w:rPr>
                <w:rFonts w:ascii="宋体" w:hAnsi="宋体"/>
              </w:rPr>
            </w:pPr>
          </w:p>
        </w:tc>
        <w:tc>
          <w:tcPr>
            <w:tcW w:w="945" w:type="dxa"/>
            <w:tcBorders>
              <w:left w:val="single" w:color="auto" w:sz="4" w:space="0"/>
              <w:bottom w:val="single" w:color="auto" w:sz="4" w:space="0"/>
              <w:right w:val="single" w:color="auto" w:sz="4" w:space="0"/>
            </w:tcBorders>
            <w:noWrap/>
          </w:tcPr>
          <w:p>
            <w:pPr>
              <w:spacing w:line="500" w:lineRule="exact"/>
              <w:jc w:val="center"/>
              <w:rPr>
                <w:rFonts w:ascii="宋体" w:hAnsi="宋体"/>
              </w:rPr>
            </w:pPr>
            <w:r>
              <w:rPr>
                <w:rFonts w:hint="eastAsia" w:ascii="宋体" w:hAnsi="宋体"/>
              </w:rPr>
              <w:t>职务</w:t>
            </w:r>
          </w:p>
        </w:tc>
        <w:tc>
          <w:tcPr>
            <w:tcW w:w="1252" w:type="dxa"/>
            <w:gridSpan w:val="3"/>
            <w:tcBorders>
              <w:left w:val="single" w:color="auto" w:sz="4" w:space="0"/>
              <w:bottom w:val="single" w:color="auto" w:sz="4" w:space="0"/>
              <w:right w:val="single" w:color="auto" w:sz="4" w:space="0"/>
            </w:tcBorders>
            <w:noWrap/>
          </w:tcPr>
          <w:p>
            <w:pPr>
              <w:spacing w:line="500" w:lineRule="exact"/>
              <w:jc w:val="center"/>
              <w:rPr>
                <w:rFonts w:ascii="宋体" w:hAnsi="宋体"/>
              </w:rPr>
            </w:pPr>
          </w:p>
        </w:tc>
        <w:tc>
          <w:tcPr>
            <w:tcW w:w="1058" w:type="dxa"/>
            <w:gridSpan w:val="3"/>
            <w:tcBorders>
              <w:left w:val="single" w:color="auto" w:sz="4" w:space="0"/>
              <w:bottom w:val="single" w:color="auto" w:sz="4" w:space="0"/>
              <w:right w:val="single" w:color="auto" w:sz="4" w:space="0"/>
            </w:tcBorders>
            <w:noWrap/>
          </w:tcPr>
          <w:p>
            <w:pPr>
              <w:spacing w:line="500" w:lineRule="exact"/>
              <w:jc w:val="center"/>
              <w:rPr>
                <w:rFonts w:ascii="宋体" w:hAnsi="宋体"/>
              </w:rPr>
            </w:pPr>
            <w:r>
              <w:rPr>
                <w:rFonts w:hint="eastAsia" w:ascii="宋体" w:hAnsi="宋体"/>
              </w:rPr>
              <w:t>联系电话</w:t>
            </w:r>
          </w:p>
        </w:tc>
        <w:tc>
          <w:tcPr>
            <w:tcW w:w="1107" w:type="dxa"/>
            <w:gridSpan w:val="2"/>
            <w:tcBorders>
              <w:left w:val="single" w:color="auto" w:sz="4" w:space="0"/>
              <w:bottom w:val="single" w:color="auto" w:sz="4" w:space="0"/>
              <w:right w:val="single" w:color="auto" w:sz="4" w:space="0"/>
            </w:tcBorders>
            <w:noWrap/>
          </w:tcPr>
          <w:p>
            <w:pPr>
              <w:spacing w:line="500" w:lineRule="exact"/>
              <w:jc w:val="center"/>
              <w:rPr>
                <w:rFonts w:ascii="宋体" w:hAnsi="宋体"/>
              </w:rPr>
            </w:pPr>
          </w:p>
        </w:tc>
        <w:tc>
          <w:tcPr>
            <w:tcW w:w="1155" w:type="dxa"/>
            <w:tcBorders>
              <w:left w:val="single" w:color="auto" w:sz="4" w:space="0"/>
              <w:bottom w:val="single" w:color="auto" w:sz="4" w:space="0"/>
              <w:right w:val="single" w:color="auto" w:sz="4" w:space="0"/>
            </w:tcBorders>
            <w:noWrap/>
          </w:tcPr>
          <w:p>
            <w:pPr>
              <w:spacing w:line="500" w:lineRule="exact"/>
              <w:jc w:val="center"/>
              <w:rPr>
                <w:rFonts w:ascii="宋体" w:hAnsi="宋体"/>
              </w:rPr>
            </w:pPr>
            <w:r>
              <w:rPr>
                <w:rFonts w:hint="eastAsia" w:ascii="宋体" w:hAnsi="宋体"/>
              </w:rPr>
              <w:t>邮箱</w:t>
            </w:r>
          </w:p>
        </w:tc>
        <w:tc>
          <w:tcPr>
            <w:tcW w:w="1139" w:type="dxa"/>
            <w:tcBorders>
              <w:left w:val="single" w:color="auto" w:sz="4" w:space="0"/>
              <w:bottom w:val="single" w:color="auto" w:sz="4" w:space="0"/>
              <w:right w:val="single" w:color="auto" w:sz="4" w:space="0"/>
            </w:tcBorders>
            <w:noWrap/>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rPr>
            </w:pPr>
            <w:r>
              <w:rPr>
                <w:rFonts w:hint="eastAsia" w:ascii="宋体" w:hAnsi="宋体"/>
              </w:rPr>
              <w:t>企业资质名称及等级</w:t>
            </w:r>
          </w:p>
        </w:tc>
        <w:tc>
          <w:tcPr>
            <w:tcW w:w="2205" w:type="dxa"/>
            <w:gridSpan w:val="3"/>
            <w:tcBorders>
              <w:top w:val="single" w:color="auto" w:sz="4" w:space="0"/>
              <w:left w:val="single" w:color="auto" w:sz="4" w:space="0"/>
              <w:right w:val="single" w:color="auto" w:sz="4" w:space="0"/>
            </w:tcBorders>
            <w:noWrap/>
          </w:tcPr>
          <w:p>
            <w:pPr>
              <w:spacing w:line="500" w:lineRule="exact"/>
              <w:jc w:val="center"/>
              <w:rPr>
                <w:rFonts w:ascii="宋体" w:hAnsi="宋体"/>
              </w:rPr>
            </w:pPr>
          </w:p>
        </w:tc>
        <w:tc>
          <w:tcPr>
            <w:tcW w:w="1785" w:type="dxa"/>
            <w:gridSpan w:val="3"/>
            <w:tcBorders>
              <w:top w:val="single" w:color="auto" w:sz="4" w:space="0"/>
              <w:left w:val="single" w:color="auto" w:sz="4" w:space="0"/>
              <w:right w:val="single" w:color="auto" w:sz="4" w:space="0"/>
            </w:tcBorders>
            <w:noWrap/>
          </w:tcPr>
          <w:p>
            <w:pPr>
              <w:spacing w:line="500" w:lineRule="exact"/>
              <w:jc w:val="center"/>
              <w:rPr>
                <w:rFonts w:ascii="宋体" w:hAnsi="宋体"/>
              </w:rPr>
            </w:pPr>
            <w:r>
              <w:rPr>
                <w:rFonts w:hint="eastAsia" w:ascii="宋体" w:hAnsi="宋体"/>
              </w:rPr>
              <w:t>企业资质证书号</w:t>
            </w:r>
          </w:p>
        </w:tc>
        <w:tc>
          <w:tcPr>
            <w:tcW w:w="1422" w:type="dxa"/>
            <w:gridSpan w:val="4"/>
            <w:tcBorders>
              <w:top w:val="single" w:color="auto" w:sz="4" w:space="0"/>
              <w:left w:val="single" w:color="auto" w:sz="4" w:space="0"/>
              <w:right w:val="single" w:color="auto" w:sz="4" w:space="0"/>
            </w:tcBorders>
            <w:noWrap/>
          </w:tcPr>
          <w:p>
            <w:pPr>
              <w:spacing w:line="500" w:lineRule="exact"/>
              <w:jc w:val="center"/>
              <w:rPr>
                <w:rFonts w:ascii="宋体" w:hAnsi="宋体"/>
              </w:rPr>
            </w:pPr>
          </w:p>
        </w:tc>
        <w:tc>
          <w:tcPr>
            <w:tcW w:w="1155" w:type="dxa"/>
            <w:tcBorders>
              <w:top w:val="single" w:color="auto" w:sz="4" w:space="0"/>
              <w:left w:val="single" w:color="auto" w:sz="4" w:space="0"/>
              <w:right w:val="single" w:color="auto" w:sz="4" w:space="0"/>
            </w:tcBorders>
            <w:noWrap/>
          </w:tcPr>
          <w:p>
            <w:pPr>
              <w:spacing w:line="500" w:lineRule="exact"/>
              <w:jc w:val="center"/>
              <w:rPr>
                <w:rFonts w:ascii="宋体" w:hAnsi="宋体"/>
              </w:rPr>
            </w:pPr>
            <w:r>
              <w:rPr>
                <w:rFonts w:hint="eastAsia" w:ascii="宋体" w:hAnsi="宋体"/>
              </w:rPr>
              <w:t>有效期</w:t>
            </w:r>
          </w:p>
        </w:tc>
        <w:tc>
          <w:tcPr>
            <w:tcW w:w="1139" w:type="dxa"/>
            <w:tcBorders>
              <w:top w:val="single" w:color="auto" w:sz="4" w:space="0"/>
              <w:left w:val="single" w:color="auto" w:sz="4" w:space="0"/>
              <w:right w:val="single" w:color="auto" w:sz="4" w:space="0"/>
            </w:tcBorders>
            <w:noWrap/>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rPr>
            </w:pPr>
            <w:r>
              <w:rPr>
                <w:rFonts w:hint="eastAsia" w:ascii="宋体" w:hAnsi="宋体"/>
                <w:spacing w:val="-12"/>
                <w:kern w:val="10"/>
              </w:rPr>
              <w:t>…</w:t>
            </w:r>
          </w:p>
        </w:tc>
        <w:tc>
          <w:tcPr>
            <w:tcW w:w="2205" w:type="dxa"/>
            <w:gridSpan w:val="3"/>
            <w:tcBorders>
              <w:left w:val="single" w:color="auto" w:sz="4" w:space="0"/>
              <w:right w:val="single" w:color="auto" w:sz="4" w:space="0"/>
            </w:tcBorders>
            <w:noWrap/>
          </w:tcPr>
          <w:p>
            <w:pPr>
              <w:spacing w:line="500" w:lineRule="exact"/>
              <w:jc w:val="center"/>
              <w:rPr>
                <w:rFonts w:ascii="宋体" w:hAnsi="宋体"/>
              </w:rPr>
            </w:pPr>
          </w:p>
        </w:tc>
        <w:tc>
          <w:tcPr>
            <w:tcW w:w="1785" w:type="dxa"/>
            <w:gridSpan w:val="3"/>
            <w:tcBorders>
              <w:left w:val="single" w:color="auto" w:sz="4" w:space="0"/>
              <w:right w:val="single" w:color="auto" w:sz="4" w:space="0"/>
            </w:tcBorders>
            <w:noWrap/>
          </w:tcPr>
          <w:p>
            <w:pPr>
              <w:spacing w:line="500" w:lineRule="exact"/>
              <w:jc w:val="center"/>
              <w:rPr>
                <w:rFonts w:ascii="宋体" w:hAnsi="宋体"/>
              </w:rPr>
            </w:pPr>
          </w:p>
        </w:tc>
        <w:tc>
          <w:tcPr>
            <w:tcW w:w="1422" w:type="dxa"/>
            <w:gridSpan w:val="4"/>
            <w:tcBorders>
              <w:left w:val="single" w:color="auto" w:sz="4" w:space="0"/>
              <w:right w:val="single" w:color="auto" w:sz="4" w:space="0"/>
            </w:tcBorders>
            <w:noWrap/>
          </w:tcPr>
          <w:p>
            <w:pPr>
              <w:spacing w:line="500" w:lineRule="exact"/>
              <w:jc w:val="center"/>
              <w:rPr>
                <w:rFonts w:ascii="宋体" w:hAnsi="宋体"/>
              </w:rPr>
            </w:pPr>
          </w:p>
        </w:tc>
        <w:tc>
          <w:tcPr>
            <w:tcW w:w="1155" w:type="dxa"/>
            <w:tcBorders>
              <w:left w:val="single" w:color="auto" w:sz="4" w:space="0"/>
              <w:right w:val="single" w:color="auto" w:sz="4" w:space="0"/>
            </w:tcBorders>
            <w:noWrap/>
          </w:tcPr>
          <w:p>
            <w:pPr>
              <w:spacing w:line="500" w:lineRule="exact"/>
              <w:jc w:val="center"/>
              <w:rPr>
                <w:rFonts w:ascii="宋体" w:hAnsi="宋体"/>
              </w:rPr>
            </w:pPr>
          </w:p>
        </w:tc>
        <w:tc>
          <w:tcPr>
            <w:tcW w:w="1139" w:type="dxa"/>
            <w:tcBorders>
              <w:left w:val="single" w:color="auto" w:sz="4" w:space="0"/>
              <w:right w:val="single" w:color="auto" w:sz="4" w:space="0"/>
            </w:tcBorders>
            <w:noWrap/>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rPr>
            </w:pPr>
            <w:r>
              <w:rPr>
                <w:rFonts w:hint="eastAsia" w:ascii="宋体" w:hAnsi="宋体"/>
                <w:spacing w:val="-12"/>
                <w:kern w:val="10"/>
              </w:rPr>
              <w:t>…</w:t>
            </w:r>
          </w:p>
        </w:tc>
        <w:tc>
          <w:tcPr>
            <w:tcW w:w="2205" w:type="dxa"/>
            <w:gridSpan w:val="3"/>
            <w:tcBorders>
              <w:left w:val="single" w:color="auto" w:sz="4" w:space="0"/>
              <w:right w:val="single" w:color="auto" w:sz="4" w:space="0"/>
            </w:tcBorders>
            <w:noWrap/>
          </w:tcPr>
          <w:p>
            <w:pPr>
              <w:spacing w:line="500" w:lineRule="exact"/>
              <w:jc w:val="center"/>
              <w:rPr>
                <w:rFonts w:ascii="宋体" w:hAnsi="宋体"/>
              </w:rPr>
            </w:pPr>
          </w:p>
        </w:tc>
        <w:tc>
          <w:tcPr>
            <w:tcW w:w="1785" w:type="dxa"/>
            <w:gridSpan w:val="3"/>
            <w:tcBorders>
              <w:left w:val="single" w:color="auto" w:sz="4" w:space="0"/>
              <w:right w:val="single" w:color="auto" w:sz="4" w:space="0"/>
            </w:tcBorders>
            <w:noWrap/>
          </w:tcPr>
          <w:p>
            <w:pPr>
              <w:spacing w:line="500" w:lineRule="exact"/>
              <w:jc w:val="center"/>
              <w:rPr>
                <w:rFonts w:ascii="宋体" w:hAnsi="宋体"/>
              </w:rPr>
            </w:pPr>
          </w:p>
        </w:tc>
        <w:tc>
          <w:tcPr>
            <w:tcW w:w="1422" w:type="dxa"/>
            <w:gridSpan w:val="4"/>
            <w:tcBorders>
              <w:left w:val="single" w:color="auto" w:sz="4" w:space="0"/>
              <w:right w:val="single" w:color="auto" w:sz="4" w:space="0"/>
            </w:tcBorders>
            <w:noWrap/>
          </w:tcPr>
          <w:p>
            <w:pPr>
              <w:spacing w:line="500" w:lineRule="exact"/>
              <w:jc w:val="center"/>
              <w:rPr>
                <w:rFonts w:ascii="宋体" w:hAnsi="宋体"/>
              </w:rPr>
            </w:pPr>
          </w:p>
        </w:tc>
        <w:tc>
          <w:tcPr>
            <w:tcW w:w="1155" w:type="dxa"/>
            <w:tcBorders>
              <w:left w:val="single" w:color="auto" w:sz="4" w:space="0"/>
              <w:right w:val="single" w:color="auto" w:sz="4" w:space="0"/>
            </w:tcBorders>
            <w:noWrap/>
          </w:tcPr>
          <w:p>
            <w:pPr>
              <w:spacing w:line="500" w:lineRule="exact"/>
              <w:jc w:val="center"/>
              <w:rPr>
                <w:rFonts w:ascii="宋体" w:hAnsi="宋体"/>
              </w:rPr>
            </w:pPr>
          </w:p>
        </w:tc>
        <w:tc>
          <w:tcPr>
            <w:tcW w:w="1139" w:type="dxa"/>
            <w:tcBorders>
              <w:left w:val="single" w:color="auto" w:sz="4" w:space="0"/>
              <w:right w:val="single" w:color="auto" w:sz="4" w:space="0"/>
            </w:tcBorders>
            <w:noWrap/>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spacing w:val="-12"/>
                <w:kern w:val="10"/>
              </w:rPr>
            </w:pPr>
            <w:r>
              <w:rPr>
                <w:rFonts w:hint="eastAsia" w:ascii="宋体" w:hAnsi="宋体" w:cs="宋体"/>
              </w:rPr>
              <w:t>基本户开户行</w:t>
            </w:r>
          </w:p>
        </w:tc>
        <w:tc>
          <w:tcPr>
            <w:tcW w:w="2940" w:type="dxa"/>
            <w:gridSpan w:val="4"/>
            <w:tcBorders>
              <w:left w:val="single" w:color="auto" w:sz="4" w:space="0"/>
              <w:right w:val="single" w:color="auto" w:sz="4" w:space="0"/>
            </w:tcBorders>
            <w:noWrap/>
          </w:tcPr>
          <w:p>
            <w:pPr>
              <w:spacing w:line="500" w:lineRule="exact"/>
              <w:jc w:val="center"/>
              <w:rPr>
                <w:rFonts w:ascii="宋体" w:hAnsi="宋体"/>
              </w:rPr>
            </w:pPr>
          </w:p>
        </w:tc>
        <w:tc>
          <w:tcPr>
            <w:tcW w:w="1785" w:type="dxa"/>
            <w:gridSpan w:val="5"/>
            <w:tcBorders>
              <w:left w:val="single" w:color="auto" w:sz="4" w:space="0"/>
              <w:right w:val="single" w:color="auto" w:sz="4" w:space="0"/>
            </w:tcBorders>
            <w:noWrap/>
          </w:tcPr>
          <w:p>
            <w:pPr>
              <w:spacing w:line="500" w:lineRule="exact"/>
              <w:jc w:val="center"/>
              <w:rPr>
                <w:rFonts w:ascii="宋体" w:hAnsi="宋体"/>
              </w:rPr>
            </w:pPr>
            <w:r>
              <w:rPr>
                <w:rFonts w:hint="eastAsia" w:ascii="宋体" w:hAnsi="宋体"/>
              </w:rPr>
              <w:t>基本户户名</w:t>
            </w:r>
          </w:p>
        </w:tc>
        <w:tc>
          <w:tcPr>
            <w:tcW w:w="2981" w:type="dxa"/>
            <w:gridSpan w:val="3"/>
            <w:tcBorders>
              <w:left w:val="single" w:color="auto" w:sz="4" w:space="0"/>
              <w:right w:val="single" w:color="auto" w:sz="4" w:space="0"/>
            </w:tcBorders>
            <w:noWrap/>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cs="宋体"/>
              </w:rPr>
            </w:pPr>
            <w:r>
              <w:rPr>
                <w:rFonts w:hint="eastAsia" w:ascii="宋体" w:hAnsi="宋体" w:cs="宋体"/>
              </w:rPr>
              <w:t>基本户账户</w:t>
            </w:r>
          </w:p>
        </w:tc>
        <w:tc>
          <w:tcPr>
            <w:tcW w:w="2940" w:type="dxa"/>
            <w:gridSpan w:val="4"/>
            <w:tcBorders>
              <w:left w:val="single" w:color="auto" w:sz="4" w:space="0"/>
              <w:bottom w:val="single" w:color="auto" w:sz="4" w:space="0"/>
              <w:right w:val="single" w:color="auto" w:sz="4" w:space="0"/>
            </w:tcBorders>
            <w:noWrap/>
          </w:tcPr>
          <w:p>
            <w:pPr>
              <w:spacing w:line="500" w:lineRule="exact"/>
              <w:jc w:val="center"/>
              <w:rPr>
                <w:rFonts w:ascii="宋体" w:hAnsi="宋体"/>
              </w:rPr>
            </w:pPr>
          </w:p>
        </w:tc>
        <w:tc>
          <w:tcPr>
            <w:tcW w:w="1785" w:type="dxa"/>
            <w:gridSpan w:val="5"/>
            <w:tcBorders>
              <w:left w:val="single" w:color="auto" w:sz="4" w:space="0"/>
              <w:bottom w:val="single" w:color="auto" w:sz="4" w:space="0"/>
              <w:right w:val="single" w:color="auto" w:sz="4" w:space="0"/>
            </w:tcBorders>
            <w:noWrap/>
          </w:tcPr>
          <w:p>
            <w:pPr>
              <w:spacing w:line="500" w:lineRule="exact"/>
              <w:jc w:val="center"/>
              <w:rPr>
                <w:rFonts w:ascii="宋体" w:hAnsi="宋体"/>
              </w:rPr>
            </w:pPr>
          </w:p>
        </w:tc>
        <w:tc>
          <w:tcPr>
            <w:tcW w:w="2981" w:type="dxa"/>
            <w:gridSpan w:val="3"/>
            <w:tcBorders>
              <w:left w:val="single" w:color="auto" w:sz="4" w:space="0"/>
              <w:bottom w:val="single" w:color="auto" w:sz="4" w:space="0"/>
              <w:right w:val="single" w:color="auto" w:sz="4" w:space="0"/>
            </w:tcBorders>
            <w:noWrap/>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222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cs="宋体"/>
              </w:rPr>
            </w:pPr>
            <w:r>
              <w:rPr>
                <w:rFonts w:hint="eastAsia" w:ascii="宋体" w:hAnsi="宋体" w:cs="宋体"/>
              </w:rPr>
              <w:t>信用等级</w:t>
            </w:r>
          </w:p>
        </w:tc>
        <w:tc>
          <w:tcPr>
            <w:tcW w:w="7706" w:type="dxa"/>
            <w:gridSpan w:val="12"/>
            <w:tcBorders>
              <w:left w:val="single" w:color="auto" w:sz="4" w:space="0"/>
              <w:bottom w:val="single" w:color="auto" w:sz="4" w:space="0"/>
              <w:right w:val="single" w:color="auto" w:sz="4" w:space="0"/>
            </w:tcBorders>
            <w:noWrap/>
          </w:tcPr>
          <w:p>
            <w:pPr>
              <w:spacing w:line="500" w:lineRule="exact"/>
              <w:rPr>
                <w:rFonts w:ascii="宋体" w:hAnsi="宋体"/>
              </w:rPr>
            </w:pPr>
          </w:p>
        </w:tc>
      </w:tr>
    </w:tbl>
    <w:p>
      <w:pPr>
        <w:spacing w:line="400" w:lineRule="exact"/>
        <w:rPr>
          <w:rFonts w:ascii="宋体" w:hAnsi="宋体"/>
          <w:b/>
        </w:rPr>
      </w:pPr>
      <w:r>
        <w:rPr>
          <w:rFonts w:hint="eastAsia" w:ascii="宋体" w:hAnsi="宋体"/>
          <w:b/>
        </w:rPr>
        <w:t>注：1. 所填写的“企业资质名称及等级、证书号、有效期”等基本信息应至少对应本项目资格审查要求，否则不能通过资格审查。</w:t>
      </w:r>
    </w:p>
    <w:p>
      <w:pPr>
        <w:spacing w:line="400" w:lineRule="exact"/>
        <w:ind w:firstLine="413" w:firstLineChars="196"/>
        <w:rPr>
          <w:rFonts w:ascii="宋体" w:hAnsi="宋体" w:cs="宋体"/>
          <w:b/>
        </w:rPr>
      </w:pPr>
      <w:r>
        <w:rPr>
          <w:rFonts w:hint="eastAsia" w:ascii="宋体" w:hAnsi="宋体" w:cs="宋体"/>
          <w:b/>
        </w:rPr>
        <w:t>2.本表后附如下资料至少包括以下：（1）营业执照副本、资质证书副本（全本）及基本账户开户许可证的彩色复印件或彩色扫描件。</w:t>
      </w:r>
    </w:p>
    <w:p>
      <w:pPr>
        <w:spacing w:line="400" w:lineRule="exact"/>
        <w:ind w:firstLine="413" w:firstLineChars="196"/>
        <w:rPr>
          <w:rFonts w:ascii="宋体" w:hAnsi="宋体" w:cs="宋体"/>
          <w:b/>
        </w:rPr>
      </w:pPr>
      <w:r>
        <w:rPr>
          <w:rFonts w:hint="eastAsia" w:ascii="宋体" w:hAnsi="宋体" w:cs="宋体"/>
          <w:b/>
        </w:rPr>
        <w:t>3.在“信用中国”网站（http://www.creditchina.gov.cn/）查询的信用情况截图。</w:t>
      </w:r>
    </w:p>
    <w:p>
      <w:pPr>
        <w:spacing w:line="400" w:lineRule="exact"/>
        <w:ind w:firstLine="413" w:firstLineChars="196"/>
        <w:rPr>
          <w:rFonts w:ascii="宋体" w:hAnsi="宋体" w:cs="宋体"/>
          <w:b/>
        </w:rPr>
      </w:pPr>
      <w:r>
        <w:rPr>
          <w:rFonts w:hint="eastAsia" w:ascii="宋体" w:hAnsi="宋体" w:cs="宋体"/>
          <w:b/>
        </w:rPr>
        <w:t>4.在国家企业信用信息公示系统（http://www.gsxt.gov.cn/）查询的信用情况截图。</w:t>
      </w:r>
    </w:p>
    <w:p>
      <w:pPr>
        <w:spacing w:line="400" w:lineRule="exact"/>
        <w:ind w:firstLine="413" w:firstLineChars="196"/>
        <w:rPr>
          <w:rFonts w:ascii="宋体" w:hAnsi="宋体" w:cs="宋体"/>
          <w:b/>
        </w:rPr>
      </w:pPr>
    </w:p>
    <w:p>
      <w:pPr>
        <w:spacing w:line="400" w:lineRule="exact"/>
        <w:ind w:firstLine="413" w:firstLineChars="196"/>
        <w:rPr>
          <w:rFonts w:ascii="宋体" w:hAnsi="宋体" w:cs="宋体"/>
          <w:b/>
        </w:rPr>
      </w:pPr>
    </w:p>
    <w:p>
      <w:pPr>
        <w:spacing w:line="400" w:lineRule="exact"/>
        <w:ind w:firstLine="413" w:firstLineChars="196"/>
        <w:rPr>
          <w:rFonts w:ascii="宋体" w:hAnsi="宋体" w:cs="宋体"/>
          <w:b/>
        </w:rPr>
        <w:sectPr>
          <w:footerReference r:id="rId3" w:type="default"/>
          <w:pgSz w:w="11906" w:h="16838"/>
          <w:pgMar w:top="1418" w:right="1418" w:bottom="1418" w:left="1418" w:header="851" w:footer="992" w:gutter="0"/>
          <w:cols w:space="720" w:num="1"/>
          <w:titlePg/>
          <w:docGrid w:type="lines" w:linePitch="312" w:charSpace="0"/>
        </w:sectPr>
      </w:pPr>
    </w:p>
    <w:p>
      <w:pPr>
        <w:spacing w:line="480" w:lineRule="exact"/>
        <w:jc w:val="center"/>
        <w:rPr>
          <w:rFonts w:ascii="宋体" w:hAnsi="宋体"/>
          <w:b/>
          <w:bCs/>
          <w:sz w:val="28"/>
          <w:szCs w:val="28"/>
        </w:rPr>
      </w:pPr>
      <w:r>
        <w:rPr>
          <w:rFonts w:hint="eastAsia" w:ascii="宋体" w:hAnsi="宋体"/>
          <w:b/>
          <w:bCs/>
          <w:sz w:val="28"/>
          <w:szCs w:val="28"/>
        </w:rPr>
        <w:t>7、投入本项目的人员情况表</w:t>
      </w:r>
    </w:p>
    <w:tbl>
      <w:tblPr>
        <w:tblStyle w:val="31"/>
        <w:tblW w:w="1512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65"/>
        <w:gridCol w:w="1155"/>
        <w:gridCol w:w="735"/>
        <w:gridCol w:w="1260"/>
        <w:gridCol w:w="945"/>
        <w:gridCol w:w="945"/>
        <w:gridCol w:w="1575"/>
        <w:gridCol w:w="1627"/>
        <w:gridCol w:w="1628"/>
        <w:gridCol w:w="162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5" w:type="dxa"/>
            <w:noWrap/>
            <w:vAlign w:val="center"/>
          </w:tcPr>
          <w:p>
            <w:pPr>
              <w:jc w:val="center"/>
              <w:rPr>
                <w:rFonts w:ascii="宋体" w:hAnsi="宋体"/>
              </w:rPr>
            </w:pPr>
            <w:r>
              <w:rPr>
                <w:rFonts w:hint="eastAsia" w:ascii="宋体" w:hAnsi="宋体"/>
              </w:rPr>
              <w:t>序</w:t>
            </w:r>
          </w:p>
          <w:p>
            <w:pPr>
              <w:jc w:val="center"/>
              <w:rPr>
                <w:rFonts w:ascii="宋体" w:hAnsi="宋体"/>
              </w:rPr>
            </w:pPr>
            <w:r>
              <w:rPr>
                <w:rFonts w:hint="eastAsia" w:ascii="宋体" w:hAnsi="宋体"/>
              </w:rPr>
              <w:t>号</w:t>
            </w:r>
          </w:p>
        </w:tc>
        <w:tc>
          <w:tcPr>
            <w:tcW w:w="1365" w:type="dxa"/>
            <w:noWrap/>
            <w:vAlign w:val="center"/>
          </w:tcPr>
          <w:p>
            <w:pPr>
              <w:jc w:val="center"/>
              <w:rPr>
                <w:rFonts w:ascii="宋体" w:hAnsi="宋体"/>
              </w:rPr>
            </w:pPr>
            <w:r>
              <w:rPr>
                <w:rFonts w:hint="eastAsia" w:ascii="宋体" w:hAnsi="宋体"/>
              </w:rPr>
              <w:t>在本项目中担任职务</w:t>
            </w:r>
          </w:p>
        </w:tc>
        <w:tc>
          <w:tcPr>
            <w:tcW w:w="1155" w:type="dxa"/>
            <w:noWrap/>
            <w:vAlign w:val="center"/>
          </w:tcPr>
          <w:p>
            <w:pPr>
              <w:jc w:val="center"/>
              <w:rPr>
                <w:rFonts w:ascii="宋体" w:hAnsi="宋体"/>
              </w:rPr>
            </w:pPr>
            <w:r>
              <w:rPr>
                <w:rFonts w:hint="eastAsia" w:ascii="宋体" w:hAnsi="宋体"/>
              </w:rPr>
              <w:t>姓 名</w:t>
            </w:r>
          </w:p>
        </w:tc>
        <w:tc>
          <w:tcPr>
            <w:tcW w:w="735" w:type="dxa"/>
            <w:noWrap/>
            <w:vAlign w:val="center"/>
          </w:tcPr>
          <w:p>
            <w:pPr>
              <w:jc w:val="center"/>
              <w:rPr>
                <w:rFonts w:ascii="宋体" w:hAnsi="宋体"/>
              </w:rPr>
            </w:pPr>
            <w:r>
              <w:rPr>
                <w:rFonts w:hint="eastAsia" w:ascii="宋体" w:hAnsi="宋体"/>
              </w:rPr>
              <w:t>年龄</w:t>
            </w:r>
          </w:p>
        </w:tc>
        <w:tc>
          <w:tcPr>
            <w:tcW w:w="1260" w:type="dxa"/>
            <w:noWrap/>
            <w:vAlign w:val="center"/>
          </w:tcPr>
          <w:p>
            <w:pPr>
              <w:jc w:val="center"/>
              <w:rPr>
                <w:rFonts w:ascii="宋体" w:hAnsi="宋体"/>
              </w:rPr>
            </w:pPr>
            <w:r>
              <w:rPr>
                <w:rFonts w:hint="eastAsia" w:ascii="宋体" w:hAnsi="宋体"/>
              </w:rPr>
              <w:t>技术职称</w:t>
            </w:r>
          </w:p>
        </w:tc>
        <w:tc>
          <w:tcPr>
            <w:tcW w:w="945" w:type="dxa"/>
            <w:noWrap/>
            <w:vAlign w:val="center"/>
          </w:tcPr>
          <w:p>
            <w:pPr>
              <w:jc w:val="center"/>
              <w:rPr>
                <w:rFonts w:ascii="宋体" w:hAnsi="宋体"/>
              </w:rPr>
            </w:pPr>
            <w:r>
              <w:rPr>
                <w:rFonts w:hint="eastAsia" w:ascii="宋体" w:hAnsi="宋体"/>
              </w:rPr>
              <w:t>工 作</w:t>
            </w:r>
          </w:p>
          <w:p>
            <w:pPr>
              <w:jc w:val="center"/>
              <w:rPr>
                <w:rFonts w:ascii="宋体" w:hAnsi="宋体"/>
              </w:rPr>
            </w:pPr>
            <w:r>
              <w:rPr>
                <w:rFonts w:hint="eastAsia" w:ascii="宋体" w:hAnsi="宋体"/>
              </w:rPr>
              <w:t>年 限</w:t>
            </w:r>
          </w:p>
        </w:tc>
        <w:tc>
          <w:tcPr>
            <w:tcW w:w="945" w:type="dxa"/>
            <w:noWrap/>
            <w:vAlign w:val="center"/>
          </w:tcPr>
          <w:p>
            <w:pPr>
              <w:jc w:val="center"/>
              <w:rPr>
                <w:rFonts w:ascii="宋体" w:hAnsi="宋体"/>
              </w:rPr>
            </w:pPr>
            <w:r>
              <w:rPr>
                <w:rFonts w:hint="eastAsia" w:ascii="宋体" w:hAnsi="宋体"/>
              </w:rPr>
              <w:t>学 历</w:t>
            </w:r>
          </w:p>
        </w:tc>
        <w:tc>
          <w:tcPr>
            <w:tcW w:w="1575" w:type="dxa"/>
            <w:noWrap/>
            <w:vAlign w:val="center"/>
          </w:tcPr>
          <w:p>
            <w:pPr>
              <w:jc w:val="center"/>
              <w:rPr>
                <w:rFonts w:ascii="宋体" w:hAnsi="宋体"/>
              </w:rPr>
            </w:pPr>
            <w:r>
              <w:rPr>
                <w:rFonts w:hint="eastAsia" w:ascii="宋体" w:hAnsi="宋体"/>
              </w:rPr>
              <w:t>专  业</w:t>
            </w:r>
          </w:p>
        </w:tc>
        <w:tc>
          <w:tcPr>
            <w:tcW w:w="1627" w:type="dxa"/>
            <w:noWrap/>
            <w:vAlign w:val="center"/>
          </w:tcPr>
          <w:p>
            <w:pPr>
              <w:jc w:val="center"/>
              <w:rPr>
                <w:rFonts w:ascii="宋体" w:hAnsi="宋体"/>
              </w:rPr>
            </w:pPr>
            <w:r>
              <w:rPr>
                <w:rFonts w:hint="eastAsia" w:ascii="宋体" w:hAnsi="宋体"/>
              </w:rPr>
              <w:t>执业资格名称</w:t>
            </w:r>
          </w:p>
        </w:tc>
        <w:tc>
          <w:tcPr>
            <w:tcW w:w="1628" w:type="dxa"/>
            <w:noWrap/>
            <w:vAlign w:val="center"/>
          </w:tcPr>
          <w:p>
            <w:pPr>
              <w:jc w:val="center"/>
              <w:rPr>
                <w:rFonts w:ascii="宋体" w:hAnsi="宋体"/>
              </w:rPr>
            </w:pPr>
            <w:r>
              <w:rPr>
                <w:rFonts w:hint="eastAsia" w:ascii="宋体" w:hAnsi="宋体"/>
              </w:rPr>
              <w:t>执业资格等级</w:t>
            </w:r>
          </w:p>
        </w:tc>
        <w:tc>
          <w:tcPr>
            <w:tcW w:w="1627" w:type="dxa"/>
            <w:noWrap/>
            <w:vAlign w:val="center"/>
          </w:tcPr>
          <w:p>
            <w:pPr>
              <w:jc w:val="center"/>
              <w:rPr>
                <w:rFonts w:ascii="宋体" w:hAnsi="宋体"/>
              </w:rPr>
            </w:pPr>
            <w:r>
              <w:rPr>
                <w:rFonts w:hint="eastAsia" w:ascii="宋体" w:hAnsi="宋体"/>
              </w:rPr>
              <w:t>执业资格编号</w:t>
            </w:r>
          </w:p>
        </w:tc>
        <w:tc>
          <w:tcPr>
            <w:tcW w:w="1733" w:type="dxa"/>
            <w:noWrap/>
            <w:vAlign w:val="center"/>
          </w:tcPr>
          <w:p>
            <w:pPr>
              <w:jc w:val="center"/>
              <w:rPr>
                <w:rFonts w:ascii="宋体" w:hAnsi="宋体"/>
              </w:rPr>
            </w:pPr>
            <w:r>
              <w:rPr>
                <w:rFonts w:hint="eastAsia" w:ascii="宋体" w:hAnsi="宋体"/>
              </w:rPr>
              <w:t>执业资格有效期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rPr>
                <w:rFonts w:ascii="宋体" w:hAnsi="宋体"/>
              </w:rPr>
            </w:pPr>
          </w:p>
        </w:tc>
        <w:tc>
          <w:tcPr>
            <w:tcW w:w="1365" w:type="dxa"/>
            <w:noWrap/>
            <w:vAlign w:val="center"/>
          </w:tcPr>
          <w:p>
            <w:pPr>
              <w:jc w:val="center"/>
              <w:rPr>
                <w:rFonts w:ascii="宋体" w:hAnsi="宋体"/>
              </w:rPr>
            </w:pPr>
          </w:p>
        </w:tc>
        <w:tc>
          <w:tcPr>
            <w:tcW w:w="1155" w:type="dxa"/>
            <w:noWrap/>
            <w:vAlign w:val="center"/>
          </w:tcPr>
          <w:p>
            <w:pPr>
              <w:jc w:val="center"/>
              <w:rPr>
                <w:rFonts w:ascii="宋体" w:hAnsi="宋体"/>
              </w:rPr>
            </w:pPr>
          </w:p>
        </w:tc>
        <w:tc>
          <w:tcPr>
            <w:tcW w:w="735" w:type="dxa"/>
            <w:noWrap/>
            <w:vAlign w:val="center"/>
          </w:tcPr>
          <w:p>
            <w:pPr>
              <w:jc w:val="center"/>
              <w:rPr>
                <w:rFonts w:ascii="宋体" w:hAnsi="宋体"/>
              </w:rPr>
            </w:pPr>
          </w:p>
        </w:tc>
        <w:tc>
          <w:tcPr>
            <w:tcW w:w="1260"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1575"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628"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733"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rPr>
                <w:rFonts w:ascii="宋体" w:hAnsi="宋体"/>
              </w:rPr>
            </w:pPr>
          </w:p>
        </w:tc>
        <w:tc>
          <w:tcPr>
            <w:tcW w:w="1365" w:type="dxa"/>
            <w:noWrap/>
            <w:vAlign w:val="center"/>
          </w:tcPr>
          <w:p>
            <w:pPr>
              <w:jc w:val="center"/>
              <w:rPr>
                <w:rFonts w:ascii="宋体" w:hAnsi="宋体"/>
              </w:rPr>
            </w:pPr>
          </w:p>
        </w:tc>
        <w:tc>
          <w:tcPr>
            <w:tcW w:w="1155" w:type="dxa"/>
            <w:noWrap/>
            <w:vAlign w:val="center"/>
          </w:tcPr>
          <w:p>
            <w:pPr>
              <w:jc w:val="center"/>
              <w:rPr>
                <w:rFonts w:ascii="宋体" w:hAnsi="宋体"/>
              </w:rPr>
            </w:pPr>
          </w:p>
        </w:tc>
        <w:tc>
          <w:tcPr>
            <w:tcW w:w="735" w:type="dxa"/>
            <w:noWrap/>
            <w:vAlign w:val="center"/>
          </w:tcPr>
          <w:p>
            <w:pPr>
              <w:jc w:val="center"/>
              <w:rPr>
                <w:rFonts w:ascii="宋体" w:hAnsi="宋体"/>
              </w:rPr>
            </w:pPr>
          </w:p>
        </w:tc>
        <w:tc>
          <w:tcPr>
            <w:tcW w:w="1260"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1575"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628"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733"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rPr>
                <w:rFonts w:ascii="宋体" w:hAnsi="宋体"/>
              </w:rPr>
            </w:pPr>
          </w:p>
        </w:tc>
        <w:tc>
          <w:tcPr>
            <w:tcW w:w="1365" w:type="dxa"/>
            <w:noWrap/>
            <w:vAlign w:val="center"/>
          </w:tcPr>
          <w:p>
            <w:pPr>
              <w:jc w:val="center"/>
              <w:rPr>
                <w:rFonts w:ascii="宋体" w:hAnsi="宋体"/>
              </w:rPr>
            </w:pPr>
          </w:p>
        </w:tc>
        <w:tc>
          <w:tcPr>
            <w:tcW w:w="1155" w:type="dxa"/>
            <w:noWrap/>
            <w:vAlign w:val="center"/>
          </w:tcPr>
          <w:p>
            <w:pPr>
              <w:jc w:val="center"/>
              <w:rPr>
                <w:rFonts w:ascii="宋体" w:hAnsi="宋体"/>
              </w:rPr>
            </w:pPr>
          </w:p>
        </w:tc>
        <w:tc>
          <w:tcPr>
            <w:tcW w:w="735" w:type="dxa"/>
            <w:noWrap/>
            <w:vAlign w:val="center"/>
          </w:tcPr>
          <w:p>
            <w:pPr>
              <w:jc w:val="center"/>
              <w:rPr>
                <w:rFonts w:ascii="宋体" w:hAnsi="宋体"/>
              </w:rPr>
            </w:pPr>
          </w:p>
        </w:tc>
        <w:tc>
          <w:tcPr>
            <w:tcW w:w="1260"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1575"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628"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733"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rPr>
                <w:rFonts w:ascii="宋体" w:hAnsi="宋体"/>
              </w:rPr>
            </w:pPr>
          </w:p>
        </w:tc>
        <w:tc>
          <w:tcPr>
            <w:tcW w:w="1365" w:type="dxa"/>
            <w:noWrap/>
            <w:vAlign w:val="center"/>
          </w:tcPr>
          <w:p>
            <w:pPr>
              <w:jc w:val="center"/>
              <w:rPr>
                <w:rFonts w:ascii="宋体" w:hAnsi="宋体"/>
              </w:rPr>
            </w:pPr>
          </w:p>
        </w:tc>
        <w:tc>
          <w:tcPr>
            <w:tcW w:w="1155" w:type="dxa"/>
            <w:noWrap/>
            <w:vAlign w:val="center"/>
          </w:tcPr>
          <w:p>
            <w:pPr>
              <w:jc w:val="center"/>
              <w:rPr>
                <w:rFonts w:ascii="宋体" w:hAnsi="宋体"/>
              </w:rPr>
            </w:pPr>
          </w:p>
        </w:tc>
        <w:tc>
          <w:tcPr>
            <w:tcW w:w="735" w:type="dxa"/>
            <w:noWrap/>
            <w:vAlign w:val="center"/>
          </w:tcPr>
          <w:p>
            <w:pPr>
              <w:jc w:val="center"/>
              <w:rPr>
                <w:rFonts w:ascii="宋体" w:hAnsi="宋体"/>
              </w:rPr>
            </w:pPr>
          </w:p>
        </w:tc>
        <w:tc>
          <w:tcPr>
            <w:tcW w:w="1260"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1575"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628"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733"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rPr>
                <w:rFonts w:ascii="宋体" w:hAnsi="宋体"/>
              </w:rPr>
            </w:pPr>
          </w:p>
        </w:tc>
        <w:tc>
          <w:tcPr>
            <w:tcW w:w="1365" w:type="dxa"/>
            <w:noWrap/>
            <w:vAlign w:val="center"/>
          </w:tcPr>
          <w:p>
            <w:pPr>
              <w:jc w:val="center"/>
              <w:rPr>
                <w:rFonts w:ascii="宋体" w:hAnsi="宋体"/>
              </w:rPr>
            </w:pPr>
          </w:p>
        </w:tc>
        <w:tc>
          <w:tcPr>
            <w:tcW w:w="1155" w:type="dxa"/>
            <w:noWrap/>
            <w:vAlign w:val="center"/>
          </w:tcPr>
          <w:p>
            <w:pPr>
              <w:jc w:val="center"/>
              <w:rPr>
                <w:rFonts w:ascii="宋体" w:hAnsi="宋体"/>
              </w:rPr>
            </w:pPr>
          </w:p>
        </w:tc>
        <w:tc>
          <w:tcPr>
            <w:tcW w:w="735" w:type="dxa"/>
            <w:noWrap/>
            <w:vAlign w:val="center"/>
          </w:tcPr>
          <w:p>
            <w:pPr>
              <w:jc w:val="center"/>
              <w:rPr>
                <w:rFonts w:ascii="宋体" w:hAnsi="宋体"/>
              </w:rPr>
            </w:pPr>
          </w:p>
        </w:tc>
        <w:tc>
          <w:tcPr>
            <w:tcW w:w="1260"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1575"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628"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733"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rPr>
                <w:rFonts w:ascii="宋体" w:hAnsi="宋体"/>
              </w:rPr>
            </w:pPr>
          </w:p>
        </w:tc>
        <w:tc>
          <w:tcPr>
            <w:tcW w:w="1365" w:type="dxa"/>
            <w:noWrap/>
            <w:vAlign w:val="center"/>
          </w:tcPr>
          <w:p>
            <w:pPr>
              <w:jc w:val="center"/>
              <w:rPr>
                <w:rFonts w:ascii="宋体" w:hAnsi="宋体"/>
              </w:rPr>
            </w:pPr>
          </w:p>
        </w:tc>
        <w:tc>
          <w:tcPr>
            <w:tcW w:w="1155" w:type="dxa"/>
            <w:noWrap/>
            <w:vAlign w:val="center"/>
          </w:tcPr>
          <w:p>
            <w:pPr>
              <w:jc w:val="center"/>
              <w:rPr>
                <w:rFonts w:ascii="宋体" w:hAnsi="宋体"/>
              </w:rPr>
            </w:pPr>
          </w:p>
        </w:tc>
        <w:tc>
          <w:tcPr>
            <w:tcW w:w="735" w:type="dxa"/>
            <w:noWrap/>
            <w:vAlign w:val="center"/>
          </w:tcPr>
          <w:p>
            <w:pPr>
              <w:jc w:val="center"/>
              <w:rPr>
                <w:rFonts w:ascii="宋体" w:hAnsi="宋体"/>
              </w:rPr>
            </w:pPr>
          </w:p>
        </w:tc>
        <w:tc>
          <w:tcPr>
            <w:tcW w:w="1260"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1575"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628"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733"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rPr>
                <w:rFonts w:ascii="宋体" w:hAnsi="宋体"/>
              </w:rPr>
            </w:pPr>
          </w:p>
        </w:tc>
        <w:tc>
          <w:tcPr>
            <w:tcW w:w="1365" w:type="dxa"/>
            <w:noWrap/>
            <w:vAlign w:val="center"/>
          </w:tcPr>
          <w:p>
            <w:pPr>
              <w:jc w:val="center"/>
              <w:rPr>
                <w:rFonts w:ascii="宋体" w:hAnsi="宋体"/>
              </w:rPr>
            </w:pPr>
          </w:p>
        </w:tc>
        <w:tc>
          <w:tcPr>
            <w:tcW w:w="1155" w:type="dxa"/>
            <w:noWrap/>
            <w:vAlign w:val="center"/>
          </w:tcPr>
          <w:p>
            <w:pPr>
              <w:jc w:val="center"/>
              <w:rPr>
                <w:rFonts w:ascii="宋体" w:hAnsi="宋体"/>
              </w:rPr>
            </w:pPr>
          </w:p>
        </w:tc>
        <w:tc>
          <w:tcPr>
            <w:tcW w:w="735" w:type="dxa"/>
            <w:noWrap/>
            <w:vAlign w:val="center"/>
          </w:tcPr>
          <w:p>
            <w:pPr>
              <w:jc w:val="center"/>
              <w:rPr>
                <w:rFonts w:ascii="宋体" w:hAnsi="宋体"/>
              </w:rPr>
            </w:pPr>
          </w:p>
        </w:tc>
        <w:tc>
          <w:tcPr>
            <w:tcW w:w="1260"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1575"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628"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733"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rPr>
                <w:rFonts w:ascii="宋体" w:hAnsi="宋体"/>
              </w:rPr>
            </w:pPr>
          </w:p>
        </w:tc>
        <w:tc>
          <w:tcPr>
            <w:tcW w:w="1365" w:type="dxa"/>
            <w:noWrap/>
            <w:vAlign w:val="center"/>
          </w:tcPr>
          <w:p>
            <w:pPr>
              <w:jc w:val="center"/>
              <w:rPr>
                <w:rFonts w:ascii="宋体" w:hAnsi="宋体"/>
              </w:rPr>
            </w:pPr>
          </w:p>
        </w:tc>
        <w:tc>
          <w:tcPr>
            <w:tcW w:w="1155" w:type="dxa"/>
            <w:noWrap/>
            <w:vAlign w:val="center"/>
          </w:tcPr>
          <w:p>
            <w:pPr>
              <w:jc w:val="center"/>
              <w:rPr>
                <w:rFonts w:ascii="宋体" w:hAnsi="宋体"/>
              </w:rPr>
            </w:pPr>
          </w:p>
        </w:tc>
        <w:tc>
          <w:tcPr>
            <w:tcW w:w="735" w:type="dxa"/>
            <w:noWrap/>
            <w:vAlign w:val="center"/>
          </w:tcPr>
          <w:p>
            <w:pPr>
              <w:jc w:val="center"/>
              <w:rPr>
                <w:rFonts w:ascii="宋体" w:hAnsi="宋体"/>
              </w:rPr>
            </w:pPr>
          </w:p>
        </w:tc>
        <w:tc>
          <w:tcPr>
            <w:tcW w:w="1260"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1575"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628"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733"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rPr>
                <w:rFonts w:ascii="宋体" w:hAnsi="宋体"/>
              </w:rPr>
            </w:pPr>
          </w:p>
        </w:tc>
        <w:tc>
          <w:tcPr>
            <w:tcW w:w="1365" w:type="dxa"/>
            <w:noWrap/>
            <w:vAlign w:val="center"/>
          </w:tcPr>
          <w:p>
            <w:pPr>
              <w:jc w:val="center"/>
              <w:rPr>
                <w:rFonts w:ascii="宋体" w:hAnsi="宋体"/>
              </w:rPr>
            </w:pPr>
          </w:p>
        </w:tc>
        <w:tc>
          <w:tcPr>
            <w:tcW w:w="1155" w:type="dxa"/>
            <w:noWrap/>
            <w:vAlign w:val="center"/>
          </w:tcPr>
          <w:p>
            <w:pPr>
              <w:jc w:val="center"/>
              <w:rPr>
                <w:rFonts w:ascii="宋体" w:hAnsi="宋体"/>
              </w:rPr>
            </w:pPr>
          </w:p>
        </w:tc>
        <w:tc>
          <w:tcPr>
            <w:tcW w:w="735" w:type="dxa"/>
            <w:noWrap/>
            <w:vAlign w:val="center"/>
          </w:tcPr>
          <w:p>
            <w:pPr>
              <w:jc w:val="center"/>
              <w:rPr>
                <w:rFonts w:ascii="宋体" w:hAnsi="宋体"/>
              </w:rPr>
            </w:pPr>
          </w:p>
        </w:tc>
        <w:tc>
          <w:tcPr>
            <w:tcW w:w="1260"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1575"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628"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733"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rPr>
                <w:rFonts w:ascii="宋体" w:hAnsi="宋体"/>
              </w:rPr>
            </w:pPr>
          </w:p>
        </w:tc>
        <w:tc>
          <w:tcPr>
            <w:tcW w:w="1365" w:type="dxa"/>
            <w:noWrap/>
            <w:vAlign w:val="center"/>
          </w:tcPr>
          <w:p>
            <w:pPr>
              <w:jc w:val="center"/>
              <w:rPr>
                <w:rFonts w:ascii="宋体" w:hAnsi="宋体"/>
              </w:rPr>
            </w:pPr>
          </w:p>
        </w:tc>
        <w:tc>
          <w:tcPr>
            <w:tcW w:w="1155" w:type="dxa"/>
            <w:noWrap/>
            <w:vAlign w:val="center"/>
          </w:tcPr>
          <w:p>
            <w:pPr>
              <w:jc w:val="center"/>
              <w:rPr>
                <w:rFonts w:ascii="宋体" w:hAnsi="宋体"/>
              </w:rPr>
            </w:pPr>
          </w:p>
        </w:tc>
        <w:tc>
          <w:tcPr>
            <w:tcW w:w="735" w:type="dxa"/>
            <w:noWrap/>
            <w:vAlign w:val="center"/>
          </w:tcPr>
          <w:p>
            <w:pPr>
              <w:jc w:val="center"/>
              <w:rPr>
                <w:rFonts w:ascii="宋体" w:hAnsi="宋体"/>
              </w:rPr>
            </w:pPr>
          </w:p>
        </w:tc>
        <w:tc>
          <w:tcPr>
            <w:tcW w:w="1260"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1575"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628"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733" w:type="dxa"/>
            <w:noWrap/>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rPr>
                <w:rFonts w:ascii="宋体" w:hAnsi="宋体"/>
              </w:rPr>
            </w:pPr>
          </w:p>
        </w:tc>
        <w:tc>
          <w:tcPr>
            <w:tcW w:w="1365" w:type="dxa"/>
            <w:noWrap/>
            <w:vAlign w:val="center"/>
          </w:tcPr>
          <w:p>
            <w:pPr>
              <w:jc w:val="center"/>
              <w:rPr>
                <w:rFonts w:ascii="宋体" w:hAnsi="宋体"/>
              </w:rPr>
            </w:pPr>
          </w:p>
        </w:tc>
        <w:tc>
          <w:tcPr>
            <w:tcW w:w="1155" w:type="dxa"/>
            <w:noWrap/>
            <w:vAlign w:val="center"/>
          </w:tcPr>
          <w:p>
            <w:pPr>
              <w:jc w:val="center"/>
              <w:rPr>
                <w:rFonts w:ascii="宋体" w:hAnsi="宋体"/>
              </w:rPr>
            </w:pPr>
          </w:p>
        </w:tc>
        <w:tc>
          <w:tcPr>
            <w:tcW w:w="735" w:type="dxa"/>
            <w:noWrap/>
            <w:vAlign w:val="center"/>
          </w:tcPr>
          <w:p>
            <w:pPr>
              <w:jc w:val="center"/>
              <w:rPr>
                <w:rFonts w:ascii="宋体" w:hAnsi="宋体"/>
              </w:rPr>
            </w:pPr>
          </w:p>
        </w:tc>
        <w:tc>
          <w:tcPr>
            <w:tcW w:w="1260"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945" w:type="dxa"/>
            <w:noWrap/>
            <w:vAlign w:val="center"/>
          </w:tcPr>
          <w:p>
            <w:pPr>
              <w:jc w:val="center"/>
              <w:rPr>
                <w:rFonts w:ascii="宋体" w:hAnsi="宋体"/>
              </w:rPr>
            </w:pPr>
          </w:p>
        </w:tc>
        <w:tc>
          <w:tcPr>
            <w:tcW w:w="1575"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628" w:type="dxa"/>
            <w:noWrap/>
            <w:vAlign w:val="center"/>
          </w:tcPr>
          <w:p>
            <w:pPr>
              <w:jc w:val="center"/>
              <w:rPr>
                <w:rFonts w:ascii="宋体" w:hAnsi="宋体"/>
              </w:rPr>
            </w:pPr>
          </w:p>
        </w:tc>
        <w:tc>
          <w:tcPr>
            <w:tcW w:w="1627" w:type="dxa"/>
            <w:noWrap/>
            <w:vAlign w:val="center"/>
          </w:tcPr>
          <w:p>
            <w:pPr>
              <w:jc w:val="center"/>
              <w:rPr>
                <w:rFonts w:ascii="宋体" w:hAnsi="宋体"/>
              </w:rPr>
            </w:pPr>
          </w:p>
        </w:tc>
        <w:tc>
          <w:tcPr>
            <w:tcW w:w="1733" w:type="dxa"/>
            <w:noWrap/>
            <w:vAlign w:val="center"/>
          </w:tcPr>
          <w:p>
            <w:pPr>
              <w:jc w:val="center"/>
              <w:rPr>
                <w:rFonts w:ascii="宋体" w:hAnsi="宋体"/>
              </w:rPr>
            </w:pPr>
          </w:p>
        </w:tc>
      </w:tr>
    </w:tbl>
    <w:p>
      <w:pPr>
        <w:ind w:firstLine="540" w:firstLineChars="300"/>
        <w:rPr>
          <w:rFonts w:ascii="宋体"/>
          <w:sz w:val="18"/>
          <w:szCs w:val="18"/>
        </w:rPr>
      </w:pPr>
    </w:p>
    <w:p>
      <w:pPr>
        <w:autoSpaceDE w:val="0"/>
        <w:autoSpaceDN w:val="0"/>
        <w:spacing w:line="360" w:lineRule="auto"/>
        <w:rPr>
          <w:rFonts w:ascii="宋体" w:hAnsi="宋体" w:cs="宋体"/>
          <w:b/>
        </w:rPr>
      </w:pPr>
      <w:r>
        <w:rPr>
          <w:rFonts w:hint="eastAsia" w:ascii="宋体" w:hAnsi="宋体" w:cs="宋体"/>
          <w:b/>
        </w:rPr>
        <w:t>注：1.本表后附相关人员</w:t>
      </w:r>
      <w:r>
        <w:rPr>
          <w:rFonts w:hint="eastAsia" w:ascii="宋体" w:hAnsi="宋体"/>
          <w:b/>
        </w:rPr>
        <w:t>身份证、职称证书、学历证书、</w:t>
      </w:r>
      <w:r>
        <w:rPr>
          <w:rFonts w:hint="eastAsia" w:ascii="宋体" w:hAnsi="宋体" w:cs="宋体"/>
          <w:b/>
        </w:rPr>
        <w:t>资格证书等证明材料的彩色复印件或彩色扫描件。</w:t>
      </w:r>
    </w:p>
    <w:p>
      <w:pPr>
        <w:autoSpaceDE w:val="0"/>
        <w:autoSpaceDN w:val="0"/>
        <w:spacing w:line="360" w:lineRule="auto"/>
        <w:rPr>
          <w:rFonts w:ascii="宋体" w:hAnsi="宋体" w:cs="宋体"/>
          <w:b/>
        </w:rPr>
      </w:pPr>
      <w:r>
        <w:rPr>
          <w:rFonts w:hint="eastAsia" w:ascii="宋体" w:hAnsi="宋体" w:cs="宋体"/>
          <w:b/>
        </w:rPr>
        <w:t xml:space="preserve">    2.本表后附投入本标段人员</w:t>
      </w:r>
      <w:r>
        <w:rPr>
          <w:rFonts w:hint="eastAsia" w:ascii="宋体" w:hAnsi="宋体"/>
          <w:b/>
          <w:szCs w:val="21"/>
        </w:rPr>
        <w:t>的社保证明材料原件。</w:t>
      </w:r>
    </w:p>
    <w:p>
      <w:pPr>
        <w:autoSpaceDE w:val="0"/>
        <w:autoSpaceDN w:val="0"/>
        <w:spacing w:line="360" w:lineRule="auto"/>
        <w:ind w:firstLine="422" w:firstLineChars="200"/>
        <w:rPr>
          <w:rFonts w:ascii="宋体" w:hAnsi="宋体" w:cs="宋体"/>
          <w:b/>
        </w:rPr>
      </w:pPr>
      <w:r>
        <w:rPr>
          <w:rFonts w:hint="eastAsia" w:ascii="宋体" w:hAnsi="宋体" w:cs="宋体"/>
          <w:b/>
        </w:rPr>
        <w:t>3.人员一旦确定，中标后原则上不再变更，如需变更需征得招标人同意。</w:t>
      </w:r>
    </w:p>
    <w:p>
      <w:pPr>
        <w:spacing w:line="400" w:lineRule="exact"/>
        <w:ind w:firstLine="413" w:firstLineChars="196"/>
        <w:rPr>
          <w:rFonts w:ascii="宋体" w:hAnsi="宋体" w:cs="宋体"/>
          <w:b/>
        </w:rPr>
      </w:pPr>
    </w:p>
    <w:p>
      <w:pPr>
        <w:spacing w:line="400" w:lineRule="exact"/>
        <w:ind w:firstLine="413" w:firstLineChars="196"/>
        <w:rPr>
          <w:rFonts w:ascii="宋体" w:hAnsi="宋体" w:cs="宋体"/>
          <w:b/>
        </w:rPr>
      </w:pPr>
    </w:p>
    <w:p>
      <w:pPr>
        <w:spacing w:line="400" w:lineRule="exact"/>
        <w:ind w:firstLine="413" w:firstLineChars="196"/>
        <w:rPr>
          <w:rFonts w:ascii="宋体" w:hAnsi="宋体" w:cs="宋体"/>
          <w:b/>
        </w:rPr>
      </w:pPr>
    </w:p>
    <w:p>
      <w:pPr>
        <w:spacing w:line="480" w:lineRule="exact"/>
        <w:jc w:val="center"/>
        <w:rPr>
          <w:rFonts w:ascii="宋体" w:hAnsi="宋体"/>
          <w:b/>
          <w:bCs/>
          <w:sz w:val="28"/>
          <w:szCs w:val="28"/>
        </w:rPr>
      </w:pPr>
      <w:r>
        <w:rPr>
          <w:rFonts w:hint="eastAsia" w:ascii="宋体" w:hAnsi="宋体"/>
          <w:b/>
          <w:bCs/>
          <w:sz w:val="28"/>
          <w:szCs w:val="28"/>
        </w:rPr>
        <w:t>8、拟投入本标段主要人员经历表</w:t>
      </w:r>
    </w:p>
    <w:tbl>
      <w:tblPr>
        <w:tblStyle w:val="31"/>
        <w:tblW w:w="1512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65"/>
        <w:gridCol w:w="1050"/>
        <w:gridCol w:w="1155"/>
        <w:gridCol w:w="1470"/>
        <w:gridCol w:w="1260"/>
        <w:gridCol w:w="1947"/>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ign w:val="center"/>
          </w:tcPr>
          <w:p>
            <w:pPr>
              <w:jc w:val="center"/>
            </w:pPr>
            <w:r>
              <w:rPr>
                <w:rFonts w:hint="eastAsia"/>
              </w:rPr>
              <w:t>序</w:t>
            </w:r>
          </w:p>
          <w:p>
            <w:pPr>
              <w:jc w:val="center"/>
            </w:pPr>
            <w:r>
              <w:rPr>
                <w:rFonts w:hint="eastAsia"/>
              </w:rPr>
              <w:t>号</w:t>
            </w:r>
          </w:p>
        </w:tc>
        <w:tc>
          <w:tcPr>
            <w:tcW w:w="1365" w:type="dxa"/>
            <w:noWrap/>
            <w:vAlign w:val="center"/>
          </w:tcPr>
          <w:p>
            <w:pPr>
              <w:jc w:val="center"/>
            </w:pPr>
            <w:r>
              <w:rPr>
                <w:rFonts w:hint="eastAsia"/>
              </w:rPr>
              <w:t>在本项目中</w:t>
            </w:r>
          </w:p>
          <w:p>
            <w:pPr>
              <w:jc w:val="center"/>
            </w:pPr>
            <w:r>
              <w:rPr>
                <w:rFonts w:hint="eastAsia"/>
              </w:rPr>
              <w:t>担任职务</w:t>
            </w:r>
          </w:p>
        </w:tc>
        <w:tc>
          <w:tcPr>
            <w:tcW w:w="1050" w:type="dxa"/>
            <w:noWrap/>
            <w:vAlign w:val="center"/>
          </w:tcPr>
          <w:p>
            <w:pPr>
              <w:jc w:val="center"/>
            </w:pPr>
            <w:r>
              <w:rPr>
                <w:rFonts w:hint="eastAsia"/>
              </w:rPr>
              <w:t>姓 名</w:t>
            </w:r>
          </w:p>
        </w:tc>
        <w:tc>
          <w:tcPr>
            <w:tcW w:w="1155" w:type="dxa"/>
            <w:noWrap/>
            <w:vAlign w:val="center"/>
          </w:tcPr>
          <w:p>
            <w:pPr>
              <w:jc w:val="center"/>
            </w:pPr>
            <w:r>
              <w:rPr>
                <w:rFonts w:hint="eastAsia"/>
              </w:rPr>
              <w:t>开工时间</w:t>
            </w:r>
          </w:p>
        </w:tc>
        <w:tc>
          <w:tcPr>
            <w:tcW w:w="1470" w:type="dxa"/>
            <w:noWrap/>
            <w:vAlign w:val="center"/>
          </w:tcPr>
          <w:p>
            <w:pPr>
              <w:jc w:val="center"/>
            </w:pPr>
            <w:r>
              <w:rPr>
                <w:rFonts w:hint="eastAsia"/>
              </w:rPr>
              <w:t>竣工时间</w:t>
            </w:r>
          </w:p>
        </w:tc>
        <w:tc>
          <w:tcPr>
            <w:tcW w:w="1260" w:type="dxa"/>
            <w:noWrap/>
            <w:vAlign w:val="center"/>
          </w:tcPr>
          <w:p>
            <w:pPr>
              <w:jc w:val="center"/>
            </w:pPr>
            <w:r>
              <w:rPr>
                <w:rFonts w:hint="eastAsia"/>
              </w:rPr>
              <w:t>项目职务</w:t>
            </w:r>
          </w:p>
        </w:tc>
        <w:tc>
          <w:tcPr>
            <w:tcW w:w="1947" w:type="dxa"/>
            <w:noWrap/>
            <w:vAlign w:val="center"/>
          </w:tcPr>
          <w:p>
            <w:pPr>
              <w:jc w:val="center"/>
            </w:pPr>
            <w:r>
              <w:rPr>
                <w:rFonts w:hint="eastAsia"/>
              </w:rPr>
              <w:t>项目名称</w:t>
            </w:r>
          </w:p>
        </w:tc>
        <w:tc>
          <w:tcPr>
            <w:tcW w:w="6348" w:type="dxa"/>
            <w:noWrap/>
            <w:vAlign w:val="center"/>
          </w:tcPr>
          <w:p>
            <w:pPr>
              <w:jc w:val="center"/>
            </w:pPr>
            <w:r>
              <w:rPr>
                <w:rFonts w:hint="eastAsia"/>
              </w:rPr>
              <w:t>项   目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365" w:type="dxa"/>
            <w:noWrap/>
            <w:vAlign w:val="center"/>
          </w:tcPr>
          <w:p>
            <w:pPr>
              <w:jc w:val="center"/>
            </w:pPr>
          </w:p>
        </w:tc>
        <w:tc>
          <w:tcPr>
            <w:tcW w:w="1050" w:type="dxa"/>
            <w:noWrap/>
            <w:vAlign w:val="center"/>
          </w:tcPr>
          <w:p>
            <w:pPr>
              <w:jc w:val="center"/>
            </w:pPr>
          </w:p>
        </w:tc>
        <w:tc>
          <w:tcPr>
            <w:tcW w:w="1155" w:type="dxa"/>
            <w:noWrap/>
            <w:vAlign w:val="center"/>
          </w:tcPr>
          <w:p>
            <w:pPr>
              <w:jc w:val="center"/>
            </w:pPr>
          </w:p>
        </w:tc>
        <w:tc>
          <w:tcPr>
            <w:tcW w:w="1470" w:type="dxa"/>
            <w:noWrap/>
            <w:vAlign w:val="center"/>
          </w:tcPr>
          <w:p>
            <w:pPr>
              <w:jc w:val="center"/>
            </w:pPr>
          </w:p>
        </w:tc>
        <w:tc>
          <w:tcPr>
            <w:tcW w:w="1260" w:type="dxa"/>
            <w:noWrap/>
            <w:vAlign w:val="center"/>
          </w:tcPr>
          <w:p>
            <w:pPr>
              <w:jc w:val="center"/>
            </w:pPr>
          </w:p>
        </w:tc>
        <w:tc>
          <w:tcPr>
            <w:tcW w:w="1947" w:type="dxa"/>
            <w:noWrap/>
            <w:vAlign w:val="center"/>
          </w:tcPr>
          <w:p>
            <w:pPr>
              <w:jc w:val="center"/>
            </w:pPr>
          </w:p>
        </w:tc>
        <w:tc>
          <w:tcPr>
            <w:tcW w:w="63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365" w:type="dxa"/>
            <w:noWrap/>
            <w:vAlign w:val="center"/>
          </w:tcPr>
          <w:p>
            <w:pPr>
              <w:jc w:val="center"/>
            </w:pPr>
          </w:p>
        </w:tc>
        <w:tc>
          <w:tcPr>
            <w:tcW w:w="1050" w:type="dxa"/>
            <w:noWrap/>
            <w:vAlign w:val="center"/>
          </w:tcPr>
          <w:p>
            <w:pPr>
              <w:jc w:val="center"/>
            </w:pPr>
          </w:p>
        </w:tc>
        <w:tc>
          <w:tcPr>
            <w:tcW w:w="1155" w:type="dxa"/>
            <w:noWrap/>
            <w:vAlign w:val="center"/>
          </w:tcPr>
          <w:p>
            <w:pPr>
              <w:jc w:val="center"/>
            </w:pPr>
          </w:p>
        </w:tc>
        <w:tc>
          <w:tcPr>
            <w:tcW w:w="1470" w:type="dxa"/>
            <w:noWrap/>
            <w:vAlign w:val="center"/>
          </w:tcPr>
          <w:p>
            <w:pPr>
              <w:jc w:val="center"/>
            </w:pPr>
          </w:p>
        </w:tc>
        <w:tc>
          <w:tcPr>
            <w:tcW w:w="1260" w:type="dxa"/>
            <w:noWrap/>
            <w:vAlign w:val="center"/>
          </w:tcPr>
          <w:p>
            <w:pPr>
              <w:jc w:val="center"/>
            </w:pPr>
          </w:p>
        </w:tc>
        <w:tc>
          <w:tcPr>
            <w:tcW w:w="1947" w:type="dxa"/>
            <w:noWrap/>
            <w:vAlign w:val="center"/>
          </w:tcPr>
          <w:p>
            <w:pPr>
              <w:jc w:val="center"/>
            </w:pPr>
          </w:p>
        </w:tc>
        <w:tc>
          <w:tcPr>
            <w:tcW w:w="63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365" w:type="dxa"/>
            <w:noWrap/>
            <w:vAlign w:val="center"/>
          </w:tcPr>
          <w:p>
            <w:pPr>
              <w:jc w:val="center"/>
            </w:pPr>
          </w:p>
        </w:tc>
        <w:tc>
          <w:tcPr>
            <w:tcW w:w="1050" w:type="dxa"/>
            <w:noWrap/>
            <w:vAlign w:val="center"/>
          </w:tcPr>
          <w:p>
            <w:pPr>
              <w:jc w:val="center"/>
            </w:pPr>
          </w:p>
        </w:tc>
        <w:tc>
          <w:tcPr>
            <w:tcW w:w="1155" w:type="dxa"/>
            <w:noWrap/>
            <w:vAlign w:val="center"/>
          </w:tcPr>
          <w:p>
            <w:pPr>
              <w:jc w:val="center"/>
            </w:pPr>
          </w:p>
        </w:tc>
        <w:tc>
          <w:tcPr>
            <w:tcW w:w="1470" w:type="dxa"/>
            <w:noWrap/>
            <w:vAlign w:val="center"/>
          </w:tcPr>
          <w:p>
            <w:pPr>
              <w:jc w:val="center"/>
            </w:pPr>
          </w:p>
        </w:tc>
        <w:tc>
          <w:tcPr>
            <w:tcW w:w="1260" w:type="dxa"/>
            <w:noWrap/>
            <w:vAlign w:val="center"/>
          </w:tcPr>
          <w:p>
            <w:pPr>
              <w:jc w:val="center"/>
            </w:pPr>
          </w:p>
        </w:tc>
        <w:tc>
          <w:tcPr>
            <w:tcW w:w="1947" w:type="dxa"/>
            <w:noWrap/>
            <w:vAlign w:val="center"/>
          </w:tcPr>
          <w:p>
            <w:pPr>
              <w:jc w:val="center"/>
            </w:pPr>
          </w:p>
        </w:tc>
        <w:tc>
          <w:tcPr>
            <w:tcW w:w="63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365" w:type="dxa"/>
            <w:noWrap/>
            <w:vAlign w:val="center"/>
          </w:tcPr>
          <w:p>
            <w:pPr>
              <w:jc w:val="center"/>
            </w:pPr>
          </w:p>
        </w:tc>
        <w:tc>
          <w:tcPr>
            <w:tcW w:w="1050" w:type="dxa"/>
            <w:noWrap/>
            <w:vAlign w:val="center"/>
          </w:tcPr>
          <w:p>
            <w:pPr>
              <w:jc w:val="center"/>
            </w:pPr>
          </w:p>
        </w:tc>
        <w:tc>
          <w:tcPr>
            <w:tcW w:w="1155" w:type="dxa"/>
            <w:noWrap/>
            <w:vAlign w:val="center"/>
          </w:tcPr>
          <w:p>
            <w:pPr>
              <w:jc w:val="center"/>
            </w:pPr>
          </w:p>
        </w:tc>
        <w:tc>
          <w:tcPr>
            <w:tcW w:w="1470" w:type="dxa"/>
            <w:noWrap/>
            <w:vAlign w:val="center"/>
          </w:tcPr>
          <w:p>
            <w:pPr>
              <w:jc w:val="center"/>
            </w:pPr>
          </w:p>
        </w:tc>
        <w:tc>
          <w:tcPr>
            <w:tcW w:w="1260" w:type="dxa"/>
            <w:noWrap/>
            <w:vAlign w:val="center"/>
          </w:tcPr>
          <w:p>
            <w:pPr>
              <w:jc w:val="center"/>
            </w:pPr>
          </w:p>
        </w:tc>
        <w:tc>
          <w:tcPr>
            <w:tcW w:w="1947" w:type="dxa"/>
            <w:noWrap/>
            <w:vAlign w:val="center"/>
          </w:tcPr>
          <w:p>
            <w:pPr>
              <w:jc w:val="center"/>
            </w:pPr>
          </w:p>
        </w:tc>
        <w:tc>
          <w:tcPr>
            <w:tcW w:w="63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365" w:type="dxa"/>
            <w:noWrap/>
            <w:vAlign w:val="center"/>
          </w:tcPr>
          <w:p>
            <w:pPr>
              <w:jc w:val="center"/>
            </w:pPr>
          </w:p>
        </w:tc>
        <w:tc>
          <w:tcPr>
            <w:tcW w:w="1050" w:type="dxa"/>
            <w:noWrap/>
            <w:vAlign w:val="center"/>
          </w:tcPr>
          <w:p>
            <w:pPr>
              <w:jc w:val="center"/>
            </w:pPr>
          </w:p>
        </w:tc>
        <w:tc>
          <w:tcPr>
            <w:tcW w:w="1155" w:type="dxa"/>
            <w:noWrap/>
            <w:vAlign w:val="center"/>
          </w:tcPr>
          <w:p>
            <w:pPr>
              <w:jc w:val="center"/>
            </w:pPr>
          </w:p>
        </w:tc>
        <w:tc>
          <w:tcPr>
            <w:tcW w:w="1470" w:type="dxa"/>
            <w:noWrap/>
            <w:vAlign w:val="center"/>
          </w:tcPr>
          <w:p>
            <w:pPr>
              <w:jc w:val="center"/>
            </w:pPr>
          </w:p>
        </w:tc>
        <w:tc>
          <w:tcPr>
            <w:tcW w:w="1260" w:type="dxa"/>
            <w:noWrap/>
            <w:vAlign w:val="center"/>
          </w:tcPr>
          <w:p>
            <w:pPr>
              <w:jc w:val="center"/>
            </w:pPr>
          </w:p>
        </w:tc>
        <w:tc>
          <w:tcPr>
            <w:tcW w:w="1947" w:type="dxa"/>
            <w:noWrap/>
            <w:vAlign w:val="center"/>
          </w:tcPr>
          <w:p>
            <w:pPr>
              <w:jc w:val="center"/>
            </w:pPr>
          </w:p>
        </w:tc>
        <w:tc>
          <w:tcPr>
            <w:tcW w:w="63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365" w:type="dxa"/>
            <w:noWrap/>
            <w:vAlign w:val="center"/>
          </w:tcPr>
          <w:p>
            <w:pPr>
              <w:jc w:val="center"/>
            </w:pPr>
          </w:p>
        </w:tc>
        <w:tc>
          <w:tcPr>
            <w:tcW w:w="1050" w:type="dxa"/>
            <w:noWrap/>
            <w:vAlign w:val="center"/>
          </w:tcPr>
          <w:p>
            <w:pPr>
              <w:jc w:val="center"/>
            </w:pPr>
          </w:p>
        </w:tc>
        <w:tc>
          <w:tcPr>
            <w:tcW w:w="1155" w:type="dxa"/>
            <w:noWrap/>
            <w:vAlign w:val="center"/>
          </w:tcPr>
          <w:p>
            <w:pPr>
              <w:jc w:val="center"/>
            </w:pPr>
          </w:p>
        </w:tc>
        <w:tc>
          <w:tcPr>
            <w:tcW w:w="1470" w:type="dxa"/>
            <w:noWrap/>
            <w:vAlign w:val="center"/>
          </w:tcPr>
          <w:p>
            <w:pPr>
              <w:jc w:val="center"/>
            </w:pPr>
          </w:p>
        </w:tc>
        <w:tc>
          <w:tcPr>
            <w:tcW w:w="1260" w:type="dxa"/>
            <w:noWrap/>
            <w:vAlign w:val="center"/>
          </w:tcPr>
          <w:p>
            <w:pPr>
              <w:jc w:val="center"/>
            </w:pPr>
          </w:p>
        </w:tc>
        <w:tc>
          <w:tcPr>
            <w:tcW w:w="1947" w:type="dxa"/>
            <w:noWrap/>
            <w:vAlign w:val="center"/>
          </w:tcPr>
          <w:p>
            <w:pPr>
              <w:jc w:val="center"/>
            </w:pPr>
          </w:p>
        </w:tc>
        <w:tc>
          <w:tcPr>
            <w:tcW w:w="63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365" w:type="dxa"/>
            <w:noWrap/>
            <w:vAlign w:val="center"/>
          </w:tcPr>
          <w:p>
            <w:pPr>
              <w:jc w:val="center"/>
            </w:pPr>
          </w:p>
        </w:tc>
        <w:tc>
          <w:tcPr>
            <w:tcW w:w="1050" w:type="dxa"/>
            <w:noWrap/>
            <w:vAlign w:val="center"/>
          </w:tcPr>
          <w:p>
            <w:pPr>
              <w:jc w:val="center"/>
            </w:pPr>
          </w:p>
        </w:tc>
        <w:tc>
          <w:tcPr>
            <w:tcW w:w="1155" w:type="dxa"/>
            <w:noWrap/>
            <w:vAlign w:val="center"/>
          </w:tcPr>
          <w:p>
            <w:pPr>
              <w:jc w:val="center"/>
            </w:pPr>
          </w:p>
        </w:tc>
        <w:tc>
          <w:tcPr>
            <w:tcW w:w="1470" w:type="dxa"/>
            <w:noWrap/>
            <w:vAlign w:val="center"/>
          </w:tcPr>
          <w:p>
            <w:pPr>
              <w:jc w:val="center"/>
            </w:pPr>
          </w:p>
        </w:tc>
        <w:tc>
          <w:tcPr>
            <w:tcW w:w="1260" w:type="dxa"/>
            <w:noWrap/>
            <w:vAlign w:val="center"/>
          </w:tcPr>
          <w:p>
            <w:pPr>
              <w:jc w:val="center"/>
            </w:pPr>
          </w:p>
        </w:tc>
        <w:tc>
          <w:tcPr>
            <w:tcW w:w="1947" w:type="dxa"/>
            <w:noWrap/>
            <w:vAlign w:val="center"/>
          </w:tcPr>
          <w:p>
            <w:pPr>
              <w:jc w:val="center"/>
            </w:pPr>
          </w:p>
        </w:tc>
        <w:tc>
          <w:tcPr>
            <w:tcW w:w="63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365" w:type="dxa"/>
            <w:noWrap/>
            <w:vAlign w:val="center"/>
          </w:tcPr>
          <w:p>
            <w:pPr>
              <w:jc w:val="center"/>
            </w:pPr>
          </w:p>
        </w:tc>
        <w:tc>
          <w:tcPr>
            <w:tcW w:w="1050" w:type="dxa"/>
            <w:noWrap/>
            <w:vAlign w:val="center"/>
          </w:tcPr>
          <w:p>
            <w:pPr>
              <w:jc w:val="center"/>
            </w:pPr>
          </w:p>
        </w:tc>
        <w:tc>
          <w:tcPr>
            <w:tcW w:w="1155" w:type="dxa"/>
            <w:noWrap/>
            <w:vAlign w:val="center"/>
          </w:tcPr>
          <w:p>
            <w:pPr>
              <w:jc w:val="center"/>
            </w:pPr>
          </w:p>
        </w:tc>
        <w:tc>
          <w:tcPr>
            <w:tcW w:w="1470" w:type="dxa"/>
            <w:noWrap/>
            <w:vAlign w:val="center"/>
          </w:tcPr>
          <w:p>
            <w:pPr>
              <w:jc w:val="center"/>
            </w:pPr>
          </w:p>
        </w:tc>
        <w:tc>
          <w:tcPr>
            <w:tcW w:w="1260" w:type="dxa"/>
            <w:noWrap/>
            <w:vAlign w:val="center"/>
          </w:tcPr>
          <w:p>
            <w:pPr>
              <w:jc w:val="center"/>
            </w:pPr>
          </w:p>
        </w:tc>
        <w:tc>
          <w:tcPr>
            <w:tcW w:w="1947" w:type="dxa"/>
            <w:noWrap/>
            <w:vAlign w:val="center"/>
          </w:tcPr>
          <w:p>
            <w:pPr>
              <w:jc w:val="center"/>
            </w:pPr>
          </w:p>
        </w:tc>
        <w:tc>
          <w:tcPr>
            <w:tcW w:w="63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365" w:type="dxa"/>
            <w:noWrap/>
            <w:vAlign w:val="center"/>
          </w:tcPr>
          <w:p>
            <w:pPr>
              <w:jc w:val="center"/>
            </w:pPr>
          </w:p>
        </w:tc>
        <w:tc>
          <w:tcPr>
            <w:tcW w:w="1050" w:type="dxa"/>
            <w:noWrap/>
            <w:vAlign w:val="center"/>
          </w:tcPr>
          <w:p>
            <w:pPr>
              <w:jc w:val="center"/>
            </w:pPr>
          </w:p>
        </w:tc>
        <w:tc>
          <w:tcPr>
            <w:tcW w:w="1155" w:type="dxa"/>
            <w:noWrap/>
            <w:vAlign w:val="center"/>
          </w:tcPr>
          <w:p>
            <w:pPr>
              <w:jc w:val="center"/>
            </w:pPr>
          </w:p>
        </w:tc>
        <w:tc>
          <w:tcPr>
            <w:tcW w:w="1470" w:type="dxa"/>
            <w:noWrap/>
            <w:vAlign w:val="center"/>
          </w:tcPr>
          <w:p>
            <w:pPr>
              <w:jc w:val="center"/>
            </w:pPr>
          </w:p>
        </w:tc>
        <w:tc>
          <w:tcPr>
            <w:tcW w:w="1260" w:type="dxa"/>
            <w:noWrap/>
            <w:vAlign w:val="center"/>
          </w:tcPr>
          <w:p>
            <w:pPr>
              <w:jc w:val="center"/>
            </w:pPr>
          </w:p>
        </w:tc>
        <w:tc>
          <w:tcPr>
            <w:tcW w:w="1947" w:type="dxa"/>
            <w:noWrap/>
            <w:vAlign w:val="center"/>
          </w:tcPr>
          <w:p>
            <w:pPr>
              <w:jc w:val="center"/>
            </w:pPr>
          </w:p>
        </w:tc>
        <w:tc>
          <w:tcPr>
            <w:tcW w:w="63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365" w:type="dxa"/>
            <w:noWrap/>
            <w:vAlign w:val="center"/>
          </w:tcPr>
          <w:p>
            <w:pPr>
              <w:jc w:val="center"/>
            </w:pPr>
          </w:p>
        </w:tc>
        <w:tc>
          <w:tcPr>
            <w:tcW w:w="1050" w:type="dxa"/>
            <w:noWrap/>
            <w:vAlign w:val="center"/>
          </w:tcPr>
          <w:p>
            <w:pPr>
              <w:jc w:val="center"/>
            </w:pPr>
          </w:p>
        </w:tc>
        <w:tc>
          <w:tcPr>
            <w:tcW w:w="1155" w:type="dxa"/>
            <w:noWrap/>
            <w:vAlign w:val="center"/>
          </w:tcPr>
          <w:p>
            <w:pPr>
              <w:jc w:val="center"/>
            </w:pPr>
          </w:p>
        </w:tc>
        <w:tc>
          <w:tcPr>
            <w:tcW w:w="1470" w:type="dxa"/>
            <w:noWrap/>
            <w:vAlign w:val="center"/>
          </w:tcPr>
          <w:p>
            <w:pPr>
              <w:jc w:val="center"/>
            </w:pPr>
          </w:p>
        </w:tc>
        <w:tc>
          <w:tcPr>
            <w:tcW w:w="1260" w:type="dxa"/>
            <w:noWrap/>
            <w:vAlign w:val="center"/>
          </w:tcPr>
          <w:p>
            <w:pPr>
              <w:jc w:val="center"/>
            </w:pPr>
          </w:p>
        </w:tc>
        <w:tc>
          <w:tcPr>
            <w:tcW w:w="1947" w:type="dxa"/>
            <w:noWrap/>
            <w:vAlign w:val="center"/>
          </w:tcPr>
          <w:p>
            <w:pPr>
              <w:jc w:val="center"/>
            </w:pPr>
          </w:p>
        </w:tc>
        <w:tc>
          <w:tcPr>
            <w:tcW w:w="63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365" w:type="dxa"/>
            <w:noWrap/>
            <w:vAlign w:val="center"/>
          </w:tcPr>
          <w:p>
            <w:pPr>
              <w:jc w:val="center"/>
            </w:pPr>
          </w:p>
        </w:tc>
        <w:tc>
          <w:tcPr>
            <w:tcW w:w="1050" w:type="dxa"/>
            <w:noWrap/>
            <w:vAlign w:val="center"/>
          </w:tcPr>
          <w:p>
            <w:pPr>
              <w:jc w:val="center"/>
            </w:pPr>
          </w:p>
        </w:tc>
        <w:tc>
          <w:tcPr>
            <w:tcW w:w="1155" w:type="dxa"/>
            <w:noWrap/>
            <w:vAlign w:val="center"/>
          </w:tcPr>
          <w:p>
            <w:pPr>
              <w:jc w:val="center"/>
            </w:pPr>
          </w:p>
        </w:tc>
        <w:tc>
          <w:tcPr>
            <w:tcW w:w="1470" w:type="dxa"/>
            <w:noWrap/>
            <w:vAlign w:val="center"/>
          </w:tcPr>
          <w:p>
            <w:pPr>
              <w:jc w:val="center"/>
            </w:pPr>
          </w:p>
        </w:tc>
        <w:tc>
          <w:tcPr>
            <w:tcW w:w="1260" w:type="dxa"/>
            <w:noWrap/>
            <w:vAlign w:val="center"/>
          </w:tcPr>
          <w:p>
            <w:pPr>
              <w:jc w:val="center"/>
            </w:pPr>
          </w:p>
        </w:tc>
        <w:tc>
          <w:tcPr>
            <w:tcW w:w="1947" w:type="dxa"/>
            <w:noWrap/>
            <w:vAlign w:val="center"/>
          </w:tcPr>
          <w:p>
            <w:pPr>
              <w:jc w:val="center"/>
            </w:pPr>
          </w:p>
        </w:tc>
        <w:tc>
          <w:tcPr>
            <w:tcW w:w="6348" w:type="dxa"/>
            <w:noWrap/>
            <w:vAlign w:val="center"/>
          </w:tcPr>
          <w:p>
            <w:pPr>
              <w:jc w:val="center"/>
            </w:pPr>
          </w:p>
        </w:tc>
      </w:tr>
    </w:tbl>
    <w:p/>
    <w:p>
      <w:pPr>
        <w:tabs>
          <w:tab w:val="left" w:pos="6740"/>
        </w:tabs>
        <w:autoSpaceDE w:val="0"/>
        <w:autoSpaceDN w:val="0"/>
        <w:adjustRightInd w:val="0"/>
        <w:spacing w:line="360" w:lineRule="auto"/>
        <w:rPr>
          <w:rFonts w:ascii="宋体" w:hAnsi="宋体"/>
          <w:b/>
        </w:rPr>
      </w:pPr>
      <w:r>
        <w:rPr>
          <w:rFonts w:hint="eastAsia" w:ascii="宋体" w:hAnsi="宋体" w:cs="宋体"/>
          <w:b/>
        </w:rPr>
        <w:t>注：本表后附拟投入本标段主要人员</w:t>
      </w:r>
      <w:r>
        <w:rPr>
          <w:rFonts w:hint="eastAsia" w:ascii="宋体" w:hAnsi="宋体"/>
          <w:b/>
        </w:rPr>
        <w:t>业绩证明材料（至少包括合同以及能反映项目内容、规模等的资料</w:t>
      </w:r>
      <w:r>
        <w:rPr>
          <w:rFonts w:ascii="宋体" w:hAnsi="宋体"/>
          <w:b/>
        </w:rPr>
        <w:t>）</w:t>
      </w:r>
      <w:r>
        <w:rPr>
          <w:rFonts w:hint="eastAsia" w:ascii="宋体" w:hAnsi="宋体"/>
          <w:b/>
        </w:rPr>
        <w:t>的彩色复印件或彩色扫描件；证明材料前应附证明材料清单，证明材料应按人员、项目放置并用彩页隔开，同时在彩页上注明对应的清单名称。</w:t>
      </w:r>
    </w:p>
    <w:p>
      <w:pPr>
        <w:tabs>
          <w:tab w:val="left" w:pos="6740"/>
        </w:tabs>
        <w:autoSpaceDE w:val="0"/>
        <w:autoSpaceDN w:val="0"/>
        <w:adjustRightInd w:val="0"/>
        <w:spacing w:line="360" w:lineRule="auto"/>
        <w:rPr>
          <w:rFonts w:ascii="宋体" w:hAnsi="宋体"/>
        </w:rPr>
      </w:pPr>
    </w:p>
    <w:p>
      <w:pPr>
        <w:tabs>
          <w:tab w:val="left" w:pos="6740"/>
        </w:tabs>
        <w:autoSpaceDE w:val="0"/>
        <w:autoSpaceDN w:val="0"/>
        <w:adjustRightInd w:val="0"/>
        <w:spacing w:line="360" w:lineRule="auto"/>
        <w:rPr>
          <w:rFonts w:ascii="宋体" w:hAnsi="宋体"/>
        </w:rPr>
      </w:pPr>
    </w:p>
    <w:p>
      <w:pPr>
        <w:spacing w:line="400" w:lineRule="exact"/>
        <w:jc w:val="left"/>
        <w:rPr>
          <w:rFonts w:ascii="宋体" w:hAnsi="宋体" w:cs="宋体"/>
          <w:b/>
        </w:rPr>
      </w:pPr>
    </w:p>
    <w:p>
      <w:pPr>
        <w:spacing w:line="400" w:lineRule="exact"/>
        <w:jc w:val="left"/>
        <w:rPr>
          <w:rFonts w:ascii="宋体" w:hAnsi="宋体" w:cs="宋体"/>
          <w:b/>
        </w:rPr>
      </w:pPr>
    </w:p>
    <w:p>
      <w:pPr>
        <w:spacing w:line="480" w:lineRule="exact"/>
        <w:jc w:val="center"/>
        <w:rPr>
          <w:rFonts w:ascii="宋体" w:hAnsi="宋体"/>
          <w:b/>
          <w:bCs/>
          <w:sz w:val="28"/>
          <w:szCs w:val="28"/>
        </w:rPr>
      </w:pPr>
      <w:r>
        <w:rPr>
          <w:rFonts w:hint="eastAsia" w:ascii="宋体" w:hAnsi="宋体"/>
          <w:b/>
          <w:bCs/>
          <w:sz w:val="28"/>
          <w:szCs w:val="28"/>
        </w:rPr>
        <w:t>9、已建工程表</w:t>
      </w:r>
    </w:p>
    <w:tbl>
      <w:tblPr>
        <w:tblStyle w:val="31"/>
        <w:tblW w:w="1512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70"/>
        <w:gridCol w:w="997"/>
        <w:gridCol w:w="1234"/>
        <w:gridCol w:w="919"/>
        <w:gridCol w:w="945"/>
        <w:gridCol w:w="1575"/>
        <w:gridCol w:w="1026"/>
        <w:gridCol w:w="1155"/>
        <w:gridCol w:w="5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ign w:val="center"/>
          </w:tcPr>
          <w:p>
            <w:pPr>
              <w:jc w:val="center"/>
            </w:pPr>
            <w:r>
              <w:rPr>
                <w:rFonts w:hint="eastAsia"/>
              </w:rPr>
              <w:t>序</w:t>
            </w:r>
          </w:p>
          <w:p>
            <w:pPr>
              <w:jc w:val="center"/>
            </w:pPr>
            <w:r>
              <w:rPr>
                <w:rFonts w:hint="eastAsia"/>
              </w:rPr>
              <w:t>号</w:t>
            </w:r>
          </w:p>
        </w:tc>
        <w:tc>
          <w:tcPr>
            <w:tcW w:w="1470" w:type="dxa"/>
            <w:noWrap/>
            <w:vAlign w:val="center"/>
          </w:tcPr>
          <w:p>
            <w:pPr>
              <w:jc w:val="center"/>
            </w:pPr>
            <w:r>
              <w:rPr>
                <w:rFonts w:hint="eastAsia"/>
              </w:rPr>
              <w:t>项目名称</w:t>
            </w:r>
          </w:p>
        </w:tc>
        <w:tc>
          <w:tcPr>
            <w:tcW w:w="997" w:type="dxa"/>
            <w:noWrap/>
            <w:vAlign w:val="center"/>
          </w:tcPr>
          <w:p>
            <w:pPr>
              <w:jc w:val="center"/>
            </w:pPr>
            <w:r>
              <w:rPr>
                <w:rFonts w:hint="eastAsia"/>
              </w:rPr>
              <w:t>合同开</w:t>
            </w:r>
          </w:p>
          <w:p>
            <w:pPr>
              <w:jc w:val="center"/>
            </w:pPr>
            <w:r>
              <w:rPr>
                <w:rFonts w:hint="eastAsia"/>
              </w:rPr>
              <w:t>工时间</w:t>
            </w:r>
          </w:p>
        </w:tc>
        <w:tc>
          <w:tcPr>
            <w:tcW w:w="1234" w:type="dxa"/>
            <w:noWrap/>
            <w:vAlign w:val="center"/>
          </w:tcPr>
          <w:p>
            <w:pPr>
              <w:jc w:val="center"/>
            </w:pPr>
            <w:r>
              <w:rPr>
                <w:rFonts w:hint="eastAsia"/>
              </w:rPr>
              <w:t>合同交(竣)工时间</w:t>
            </w:r>
          </w:p>
        </w:tc>
        <w:tc>
          <w:tcPr>
            <w:tcW w:w="919" w:type="dxa"/>
            <w:noWrap/>
            <w:vAlign w:val="center"/>
          </w:tcPr>
          <w:p>
            <w:pPr>
              <w:jc w:val="center"/>
            </w:pPr>
            <w:r>
              <w:rPr>
                <w:rFonts w:hint="eastAsia"/>
              </w:rPr>
              <w:t>项 目</w:t>
            </w:r>
          </w:p>
          <w:p>
            <w:pPr>
              <w:jc w:val="center"/>
            </w:pPr>
            <w:r>
              <w:rPr>
                <w:rFonts w:hint="eastAsia"/>
              </w:rPr>
              <w:t>负责人</w:t>
            </w:r>
          </w:p>
        </w:tc>
        <w:tc>
          <w:tcPr>
            <w:tcW w:w="945" w:type="dxa"/>
            <w:noWrap/>
            <w:vAlign w:val="center"/>
          </w:tcPr>
          <w:p>
            <w:pPr>
              <w:jc w:val="center"/>
            </w:pPr>
            <w:r>
              <w:rPr>
                <w:rFonts w:hint="eastAsia"/>
              </w:rPr>
              <w:t>技 术</w:t>
            </w:r>
          </w:p>
          <w:p>
            <w:pPr>
              <w:jc w:val="center"/>
            </w:pPr>
            <w:r>
              <w:rPr>
                <w:rFonts w:hint="eastAsia"/>
              </w:rPr>
              <w:t>负责人</w:t>
            </w:r>
          </w:p>
        </w:tc>
        <w:tc>
          <w:tcPr>
            <w:tcW w:w="1575" w:type="dxa"/>
            <w:noWrap/>
            <w:vAlign w:val="center"/>
          </w:tcPr>
          <w:p>
            <w:pPr>
              <w:jc w:val="center"/>
              <w:rPr>
                <w:rFonts w:ascii="宋体" w:hAnsi="宋体"/>
              </w:rPr>
            </w:pPr>
            <w:r>
              <w:rPr>
                <w:rFonts w:hint="eastAsia" w:ascii="宋体" w:hAnsi="宋体"/>
              </w:rPr>
              <w:t>发包人名称</w:t>
            </w:r>
          </w:p>
        </w:tc>
        <w:tc>
          <w:tcPr>
            <w:tcW w:w="1026" w:type="dxa"/>
            <w:noWrap/>
            <w:vAlign w:val="center"/>
          </w:tcPr>
          <w:p>
            <w:pPr>
              <w:jc w:val="center"/>
              <w:rPr>
                <w:rFonts w:ascii="宋体" w:hAnsi="宋体"/>
              </w:rPr>
            </w:pPr>
            <w:r>
              <w:rPr>
                <w:rFonts w:hint="eastAsia" w:ascii="宋体" w:hAnsi="宋体"/>
              </w:rPr>
              <w:t>发包人</w:t>
            </w:r>
          </w:p>
          <w:p>
            <w:pPr>
              <w:jc w:val="center"/>
              <w:rPr>
                <w:rFonts w:ascii="宋体" w:hAnsi="宋体"/>
              </w:rPr>
            </w:pPr>
            <w:r>
              <w:rPr>
                <w:rFonts w:hint="eastAsia" w:ascii="宋体" w:hAnsi="宋体"/>
              </w:rPr>
              <w:t>联系人</w:t>
            </w:r>
          </w:p>
        </w:tc>
        <w:tc>
          <w:tcPr>
            <w:tcW w:w="1155" w:type="dxa"/>
            <w:noWrap/>
            <w:vAlign w:val="center"/>
          </w:tcPr>
          <w:p>
            <w:pPr>
              <w:jc w:val="center"/>
              <w:rPr>
                <w:rFonts w:ascii="宋体" w:hAnsi="宋体"/>
              </w:rPr>
            </w:pPr>
            <w:r>
              <w:rPr>
                <w:rFonts w:hint="eastAsia" w:ascii="宋体" w:hAnsi="宋体"/>
              </w:rPr>
              <w:t>联系电话</w:t>
            </w:r>
          </w:p>
        </w:tc>
        <w:tc>
          <w:tcPr>
            <w:tcW w:w="5274" w:type="dxa"/>
            <w:noWrap/>
            <w:vAlign w:val="center"/>
          </w:tcPr>
          <w:p>
            <w:pPr>
              <w:jc w:val="center"/>
              <w:rPr>
                <w:rFonts w:ascii="宋体" w:hAnsi="宋体"/>
              </w:rPr>
            </w:pPr>
            <w:r>
              <w:rPr>
                <w:rFonts w:hint="eastAsia" w:ascii="宋体" w:hAnsi="宋体"/>
              </w:rPr>
              <w:t>工   程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470" w:type="dxa"/>
            <w:noWrap/>
            <w:vAlign w:val="center"/>
          </w:tcPr>
          <w:p>
            <w:pPr>
              <w:jc w:val="center"/>
            </w:pPr>
          </w:p>
        </w:tc>
        <w:tc>
          <w:tcPr>
            <w:tcW w:w="997" w:type="dxa"/>
            <w:noWrap/>
            <w:vAlign w:val="center"/>
          </w:tcPr>
          <w:p>
            <w:pPr>
              <w:jc w:val="center"/>
            </w:pPr>
          </w:p>
        </w:tc>
        <w:tc>
          <w:tcPr>
            <w:tcW w:w="1234" w:type="dxa"/>
            <w:noWrap/>
            <w:vAlign w:val="center"/>
          </w:tcPr>
          <w:p>
            <w:pPr>
              <w:jc w:val="center"/>
            </w:pPr>
          </w:p>
        </w:tc>
        <w:tc>
          <w:tcPr>
            <w:tcW w:w="919" w:type="dxa"/>
            <w:noWrap/>
            <w:vAlign w:val="center"/>
          </w:tcPr>
          <w:p>
            <w:pPr>
              <w:jc w:val="center"/>
            </w:pPr>
          </w:p>
        </w:tc>
        <w:tc>
          <w:tcPr>
            <w:tcW w:w="945" w:type="dxa"/>
            <w:noWrap/>
            <w:vAlign w:val="center"/>
          </w:tcPr>
          <w:p>
            <w:pPr>
              <w:jc w:val="center"/>
            </w:pPr>
          </w:p>
        </w:tc>
        <w:tc>
          <w:tcPr>
            <w:tcW w:w="1575" w:type="dxa"/>
            <w:noWrap/>
            <w:vAlign w:val="center"/>
          </w:tcPr>
          <w:p>
            <w:pPr>
              <w:jc w:val="center"/>
            </w:pPr>
          </w:p>
        </w:tc>
        <w:tc>
          <w:tcPr>
            <w:tcW w:w="1026" w:type="dxa"/>
            <w:noWrap/>
            <w:vAlign w:val="center"/>
          </w:tcPr>
          <w:p>
            <w:pPr>
              <w:jc w:val="center"/>
            </w:pPr>
          </w:p>
        </w:tc>
        <w:tc>
          <w:tcPr>
            <w:tcW w:w="1155" w:type="dxa"/>
            <w:noWrap/>
            <w:vAlign w:val="center"/>
          </w:tcPr>
          <w:p>
            <w:pPr>
              <w:jc w:val="center"/>
            </w:pPr>
          </w:p>
        </w:tc>
        <w:tc>
          <w:tcPr>
            <w:tcW w:w="527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470" w:type="dxa"/>
            <w:noWrap/>
            <w:vAlign w:val="center"/>
          </w:tcPr>
          <w:p>
            <w:pPr>
              <w:jc w:val="center"/>
            </w:pPr>
          </w:p>
        </w:tc>
        <w:tc>
          <w:tcPr>
            <w:tcW w:w="997" w:type="dxa"/>
            <w:noWrap/>
            <w:vAlign w:val="center"/>
          </w:tcPr>
          <w:p>
            <w:pPr>
              <w:jc w:val="center"/>
            </w:pPr>
          </w:p>
        </w:tc>
        <w:tc>
          <w:tcPr>
            <w:tcW w:w="1234" w:type="dxa"/>
            <w:noWrap/>
            <w:vAlign w:val="center"/>
          </w:tcPr>
          <w:p>
            <w:pPr>
              <w:jc w:val="center"/>
            </w:pPr>
          </w:p>
        </w:tc>
        <w:tc>
          <w:tcPr>
            <w:tcW w:w="919" w:type="dxa"/>
            <w:noWrap/>
            <w:vAlign w:val="center"/>
          </w:tcPr>
          <w:p>
            <w:pPr>
              <w:jc w:val="center"/>
            </w:pPr>
          </w:p>
        </w:tc>
        <w:tc>
          <w:tcPr>
            <w:tcW w:w="945" w:type="dxa"/>
            <w:noWrap/>
            <w:vAlign w:val="center"/>
          </w:tcPr>
          <w:p>
            <w:pPr>
              <w:jc w:val="center"/>
            </w:pPr>
          </w:p>
        </w:tc>
        <w:tc>
          <w:tcPr>
            <w:tcW w:w="1575" w:type="dxa"/>
            <w:noWrap/>
            <w:vAlign w:val="center"/>
          </w:tcPr>
          <w:p>
            <w:pPr>
              <w:jc w:val="center"/>
            </w:pPr>
          </w:p>
        </w:tc>
        <w:tc>
          <w:tcPr>
            <w:tcW w:w="1026" w:type="dxa"/>
            <w:noWrap/>
            <w:vAlign w:val="center"/>
          </w:tcPr>
          <w:p>
            <w:pPr>
              <w:jc w:val="center"/>
            </w:pPr>
          </w:p>
        </w:tc>
        <w:tc>
          <w:tcPr>
            <w:tcW w:w="1155" w:type="dxa"/>
            <w:noWrap/>
            <w:vAlign w:val="center"/>
          </w:tcPr>
          <w:p>
            <w:pPr>
              <w:jc w:val="center"/>
            </w:pPr>
          </w:p>
        </w:tc>
        <w:tc>
          <w:tcPr>
            <w:tcW w:w="527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470" w:type="dxa"/>
            <w:noWrap/>
            <w:vAlign w:val="center"/>
          </w:tcPr>
          <w:p>
            <w:pPr>
              <w:jc w:val="center"/>
            </w:pPr>
          </w:p>
        </w:tc>
        <w:tc>
          <w:tcPr>
            <w:tcW w:w="997" w:type="dxa"/>
            <w:noWrap/>
            <w:vAlign w:val="center"/>
          </w:tcPr>
          <w:p>
            <w:pPr>
              <w:jc w:val="center"/>
            </w:pPr>
          </w:p>
        </w:tc>
        <w:tc>
          <w:tcPr>
            <w:tcW w:w="1234" w:type="dxa"/>
            <w:noWrap/>
            <w:vAlign w:val="center"/>
          </w:tcPr>
          <w:p>
            <w:pPr>
              <w:jc w:val="center"/>
            </w:pPr>
          </w:p>
        </w:tc>
        <w:tc>
          <w:tcPr>
            <w:tcW w:w="919" w:type="dxa"/>
            <w:noWrap/>
            <w:vAlign w:val="center"/>
          </w:tcPr>
          <w:p>
            <w:pPr>
              <w:jc w:val="center"/>
            </w:pPr>
          </w:p>
        </w:tc>
        <w:tc>
          <w:tcPr>
            <w:tcW w:w="945" w:type="dxa"/>
            <w:noWrap/>
            <w:vAlign w:val="center"/>
          </w:tcPr>
          <w:p>
            <w:pPr>
              <w:jc w:val="center"/>
            </w:pPr>
          </w:p>
        </w:tc>
        <w:tc>
          <w:tcPr>
            <w:tcW w:w="1575" w:type="dxa"/>
            <w:noWrap/>
            <w:vAlign w:val="center"/>
          </w:tcPr>
          <w:p>
            <w:pPr>
              <w:jc w:val="center"/>
            </w:pPr>
          </w:p>
        </w:tc>
        <w:tc>
          <w:tcPr>
            <w:tcW w:w="1026" w:type="dxa"/>
            <w:noWrap/>
            <w:vAlign w:val="center"/>
          </w:tcPr>
          <w:p>
            <w:pPr>
              <w:jc w:val="center"/>
            </w:pPr>
          </w:p>
        </w:tc>
        <w:tc>
          <w:tcPr>
            <w:tcW w:w="1155" w:type="dxa"/>
            <w:noWrap/>
            <w:vAlign w:val="center"/>
          </w:tcPr>
          <w:p>
            <w:pPr>
              <w:jc w:val="center"/>
            </w:pPr>
          </w:p>
        </w:tc>
        <w:tc>
          <w:tcPr>
            <w:tcW w:w="527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470" w:type="dxa"/>
            <w:noWrap/>
            <w:vAlign w:val="center"/>
          </w:tcPr>
          <w:p>
            <w:pPr>
              <w:jc w:val="center"/>
            </w:pPr>
          </w:p>
        </w:tc>
        <w:tc>
          <w:tcPr>
            <w:tcW w:w="997" w:type="dxa"/>
            <w:noWrap/>
            <w:vAlign w:val="center"/>
          </w:tcPr>
          <w:p>
            <w:pPr>
              <w:jc w:val="center"/>
            </w:pPr>
          </w:p>
        </w:tc>
        <w:tc>
          <w:tcPr>
            <w:tcW w:w="1234" w:type="dxa"/>
            <w:noWrap/>
            <w:vAlign w:val="center"/>
          </w:tcPr>
          <w:p>
            <w:pPr>
              <w:jc w:val="center"/>
            </w:pPr>
          </w:p>
        </w:tc>
        <w:tc>
          <w:tcPr>
            <w:tcW w:w="919" w:type="dxa"/>
            <w:noWrap/>
            <w:vAlign w:val="center"/>
          </w:tcPr>
          <w:p>
            <w:pPr>
              <w:jc w:val="center"/>
            </w:pPr>
          </w:p>
        </w:tc>
        <w:tc>
          <w:tcPr>
            <w:tcW w:w="945" w:type="dxa"/>
            <w:noWrap/>
            <w:vAlign w:val="center"/>
          </w:tcPr>
          <w:p>
            <w:pPr>
              <w:jc w:val="center"/>
            </w:pPr>
          </w:p>
        </w:tc>
        <w:tc>
          <w:tcPr>
            <w:tcW w:w="1575" w:type="dxa"/>
            <w:noWrap/>
            <w:vAlign w:val="center"/>
          </w:tcPr>
          <w:p>
            <w:pPr>
              <w:jc w:val="center"/>
            </w:pPr>
          </w:p>
        </w:tc>
        <w:tc>
          <w:tcPr>
            <w:tcW w:w="1026" w:type="dxa"/>
            <w:noWrap/>
            <w:vAlign w:val="center"/>
          </w:tcPr>
          <w:p>
            <w:pPr>
              <w:jc w:val="center"/>
            </w:pPr>
          </w:p>
        </w:tc>
        <w:tc>
          <w:tcPr>
            <w:tcW w:w="1155" w:type="dxa"/>
            <w:noWrap/>
            <w:vAlign w:val="center"/>
          </w:tcPr>
          <w:p>
            <w:pPr>
              <w:jc w:val="center"/>
            </w:pPr>
          </w:p>
        </w:tc>
        <w:tc>
          <w:tcPr>
            <w:tcW w:w="527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470" w:type="dxa"/>
            <w:noWrap/>
            <w:vAlign w:val="center"/>
          </w:tcPr>
          <w:p>
            <w:pPr>
              <w:jc w:val="center"/>
            </w:pPr>
          </w:p>
        </w:tc>
        <w:tc>
          <w:tcPr>
            <w:tcW w:w="997" w:type="dxa"/>
            <w:noWrap/>
            <w:vAlign w:val="center"/>
          </w:tcPr>
          <w:p>
            <w:pPr>
              <w:jc w:val="center"/>
            </w:pPr>
          </w:p>
        </w:tc>
        <w:tc>
          <w:tcPr>
            <w:tcW w:w="1234" w:type="dxa"/>
            <w:noWrap/>
            <w:vAlign w:val="center"/>
          </w:tcPr>
          <w:p>
            <w:pPr>
              <w:jc w:val="center"/>
            </w:pPr>
          </w:p>
        </w:tc>
        <w:tc>
          <w:tcPr>
            <w:tcW w:w="919" w:type="dxa"/>
            <w:noWrap/>
            <w:vAlign w:val="center"/>
          </w:tcPr>
          <w:p>
            <w:pPr>
              <w:jc w:val="center"/>
            </w:pPr>
          </w:p>
        </w:tc>
        <w:tc>
          <w:tcPr>
            <w:tcW w:w="945" w:type="dxa"/>
            <w:noWrap/>
            <w:vAlign w:val="center"/>
          </w:tcPr>
          <w:p>
            <w:pPr>
              <w:jc w:val="center"/>
            </w:pPr>
          </w:p>
        </w:tc>
        <w:tc>
          <w:tcPr>
            <w:tcW w:w="1575" w:type="dxa"/>
            <w:noWrap/>
            <w:vAlign w:val="center"/>
          </w:tcPr>
          <w:p>
            <w:pPr>
              <w:jc w:val="center"/>
            </w:pPr>
          </w:p>
        </w:tc>
        <w:tc>
          <w:tcPr>
            <w:tcW w:w="1026" w:type="dxa"/>
            <w:noWrap/>
            <w:vAlign w:val="center"/>
          </w:tcPr>
          <w:p>
            <w:pPr>
              <w:jc w:val="center"/>
            </w:pPr>
          </w:p>
        </w:tc>
        <w:tc>
          <w:tcPr>
            <w:tcW w:w="1155" w:type="dxa"/>
            <w:noWrap/>
            <w:vAlign w:val="center"/>
          </w:tcPr>
          <w:p>
            <w:pPr>
              <w:jc w:val="center"/>
            </w:pPr>
          </w:p>
        </w:tc>
        <w:tc>
          <w:tcPr>
            <w:tcW w:w="527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470" w:type="dxa"/>
            <w:noWrap/>
            <w:vAlign w:val="center"/>
          </w:tcPr>
          <w:p>
            <w:pPr>
              <w:jc w:val="center"/>
            </w:pPr>
          </w:p>
        </w:tc>
        <w:tc>
          <w:tcPr>
            <w:tcW w:w="997" w:type="dxa"/>
            <w:noWrap/>
            <w:vAlign w:val="center"/>
          </w:tcPr>
          <w:p>
            <w:pPr>
              <w:jc w:val="center"/>
            </w:pPr>
          </w:p>
        </w:tc>
        <w:tc>
          <w:tcPr>
            <w:tcW w:w="1234" w:type="dxa"/>
            <w:noWrap/>
            <w:vAlign w:val="center"/>
          </w:tcPr>
          <w:p>
            <w:pPr>
              <w:jc w:val="center"/>
            </w:pPr>
          </w:p>
        </w:tc>
        <w:tc>
          <w:tcPr>
            <w:tcW w:w="919" w:type="dxa"/>
            <w:noWrap/>
            <w:vAlign w:val="center"/>
          </w:tcPr>
          <w:p>
            <w:pPr>
              <w:jc w:val="center"/>
            </w:pPr>
          </w:p>
        </w:tc>
        <w:tc>
          <w:tcPr>
            <w:tcW w:w="945" w:type="dxa"/>
            <w:noWrap/>
            <w:vAlign w:val="center"/>
          </w:tcPr>
          <w:p>
            <w:pPr>
              <w:jc w:val="center"/>
            </w:pPr>
          </w:p>
        </w:tc>
        <w:tc>
          <w:tcPr>
            <w:tcW w:w="1575" w:type="dxa"/>
            <w:noWrap/>
            <w:vAlign w:val="center"/>
          </w:tcPr>
          <w:p>
            <w:pPr>
              <w:jc w:val="center"/>
            </w:pPr>
          </w:p>
        </w:tc>
        <w:tc>
          <w:tcPr>
            <w:tcW w:w="1026" w:type="dxa"/>
            <w:noWrap/>
            <w:vAlign w:val="center"/>
          </w:tcPr>
          <w:p>
            <w:pPr>
              <w:jc w:val="center"/>
            </w:pPr>
          </w:p>
        </w:tc>
        <w:tc>
          <w:tcPr>
            <w:tcW w:w="1155" w:type="dxa"/>
            <w:noWrap/>
            <w:vAlign w:val="center"/>
          </w:tcPr>
          <w:p>
            <w:pPr>
              <w:jc w:val="center"/>
            </w:pPr>
          </w:p>
        </w:tc>
        <w:tc>
          <w:tcPr>
            <w:tcW w:w="527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470" w:type="dxa"/>
            <w:noWrap/>
            <w:vAlign w:val="center"/>
          </w:tcPr>
          <w:p>
            <w:pPr>
              <w:jc w:val="center"/>
            </w:pPr>
          </w:p>
        </w:tc>
        <w:tc>
          <w:tcPr>
            <w:tcW w:w="997" w:type="dxa"/>
            <w:noWrap/>
            <w:vAlign w:val="center"/>
          </w:tcPr>
          <w:p>
            <w:pPr>
              <w:jc w:val="center"/>
            </w:pPr>
          </w:p>
        </w:tc>
        <w:tc>
          <w:tcPr>
            <w:tcW w:w="1234" w:type="dxa"/>
            <w:noWrap/>
            <w:vAlign w:val="center"/>
          </w:tcPr>
          <w:p>
            <w:pPr>
              <w:jc w:val="center"/>
            </w:pPr>
          </w:p>
        </w:tc>
        <w:tc>
          <w:tcPr>
            <w:tcW w:w="919" w:type="dxa"/>
            <w:noWrap/>
            <w:vAlign w:val="center"/>
          </w:tcPr>
          <w:p>
            <w:pPr>
              <w:jc w:val="center"/>
            </w:pPr>
          </w:p>
        </w:tc>
        <w:tc>
          <w:tcPr>
            <w:tcW w:w="945" w:type="dxa"/>
            <w:noWrap/>
            <w:vAlign w:val="center"/>
          </w:tcPr>
          <w:p>
            <w:pPr>
              <w:jc w:val="center"/>
            </w:pPr>
          </w:p>
        </w:tc>
        <w:tc>
          <w:tcPr>
            <w:tcW w:w="1575" w:type="dxa"/>
            <w:noWrap/>
            <w:vAlign w:val="center"/>
          </w:tcPr>
          <w:p>
            <w:pPr>
              <w:jc w:val="center"/>
            </w:pPr>
          </w:p>
        </w:tc>
        <w:tc>
          <w:tcPr>
            <w:tcW w:w="1026" w:type="dxa"/>
            <w:noWrap/>
            <w:vAlign w:val="center"/>
          </w:tcPr>
          <w:p>
            <w:pPr>
              <w:jc w:val="center"/>
            </w:pPr>
          </w:p>
        </w:tc>
        <w:tc>
          <w:tcPr>
            <w:tcW w:w="1155" w:type="dxa"/>
            <w:noWrap/>
            <w:vAlign w:val="center"/>
          </w:tcPr>
          <w:p>
            <w:pPr>
              <w:jc w:val="center"/>
            </w:pPr>
          </w:p>
        </w:tc>
        <w:tc>
          <w:tcPr>
            <w:tcW w:w="527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470" w:type="dxa"/>
            <w:noWrap/>
            <w:vAlign w:val="center"/>
          </w:tcPr>
          <w:p>
            <w:pPr>
              <w:jc w:val="center"/>
            </w:pPr>
          </w:p>
        </w:tc>
        <w:tc>
          <w:tcPr>
            <w:tcW w:w="997" w:type="dxa"/>
            <w:noWrap/>
            <w:vAlign w:val="center"/>
          </w:tcPr>
          <w:p>
            <w:pPr>
              <w:jc w:val="center"/>
            </w:pPr>
          </w:p>
        </w:tc>
        <w:tc>
          <w:tcPr>
            <w:tcW w:w="1234" w:type="dxa"/>
            <w:noWrap/>
            <w:vAlign w:val="center"/>
          </w:tcPr>
          <w:p>
            <w:pPr>
              <w:jc w:val="center"/>
            </w:pPr>
          </w:p>
        </w:tc>
        <w:tc>
          <w:tcPr>
            <w:tcW w:w="919" w:type="dxa"/>
            <w:noWrap/>
            <w:vAlign w:val="center"/>
          </w:tcPr>
          <w:p>
            <w:pPr>
              <w:jc w:val="center"/>
            </w:pPr>
          </w:p>
        </w:tc>
        <w:tc>
          <w:tcPr>
            <w:tcW w:w="945" w:type="dxa"/>
            <w:noWrap/>
            <w:vAlign w:val="center"/>
          </w:tcPr>
          <w:p>
            <w:pPr>
              <w:jc w:val="center"/>
            </w:pPr>
          </w:p>
        </w:tc>
        <w:tc>
          <w:tcPr>
            <w:tcW w:w="1575" w:type="dxa"/>
            <w:noWrap/>
            <w:vAlign w:val="center"/>
          </w:tcPr>
          <w:p>
            <w:pPr>
              <w:jc w:val="center"/>
            </w:pPr>
          </w:p>
        </w:tc>
        <w:tc>
          <w:tcPr>
            <w:tcW w:w="1026" w:type="dxa"/>
            <w:noWrap/>
            <w:vAlign w:val="center"/>
          </w:tcPr>
          <w:p>
            <w:pPr>
              <w:jc w:val="center"/>
            </w:pPr>
          </w:p>
        </w:tc>
        <w:tc>
          <w:tcPr>
            <w:tcW w:w="1155" w:type="dxa"/>
            <w:noWrap/>
            <w:vAlign w:val="center"/>
          </w:tcPr>
          <w:p>
            <w:pPr>
              <w:jc w:val="center"/>
            </w:pPr>
          </w:p>
        </w:tc>
        <w:tc>
          <w:tcPr>
            <w:tcW w:w="527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470" w:type="dxa"/>
            <w:noWrap/>
            <w:vAlign w:val="center"/>
          </w:tcPr>
          <w:p>
            <w:pPr>
              <w:jc w:val="center"/>
            </w:pPr>
          </w:p>
        </w:tc>
        <w:tc>
          <w:tcPr>
            <w:tcW w:w="997" w:type="dxa"/>
            <w:noWrap/>
            <w:vAlign w:val="center"/>
          </w:tcPr>
          <w:p>
            <w:pPr>
              <w:jc w:val="center"/>
            </w:pPr>
          </w:p>
        </w:tc>
        <w:tc>
          <w:tcPr>
            <w:tcW w:w="1234" w:type="dxa"/>
            <w:noWrap/>
            <w:vAlign w:val="center"/>
          </w:tcPr>
          <w:p>
            <w:pPr>
              <w:jc w:val="center"/>
            </w:pPr>
          </w:p>
        </w:tc>
        <w:tc>
          <w:tcPr>
            <w:tcW w:w="919" w:type="dxa"/>
            <w:noWrap/>
            <w:vAlign w:val="center"/>
          </w:tcPr>
          <w:p>
            <w:pPr>
              <w:jc w:val="center"/>
            </w:pPr>
          </w:p>
        </w:tc>
        <w:tc>
          <w:tcPr>
            <w:tcW w:w="945" w:type="dxa"/>
            <w:noWrap/>
            <w:vAlign w:val="center"/>
          </w:tcPr>
          <w:p>
            <w:pPr>
              <w:jc w:val="center"/>
            </w:pPr>
          </w:p>
        </w:tc>
        <w:tc>
          <w:tcPr>
            <w:tcW w:w="1575" w:type="dxa"/>
            <w:noWrap/>
            <w:vAlign w:val="center"/>
          </w:tcPr>
          <w:p>
            <w:pPr>
              <w:jc w:val="center"/>
            </w:pPr>
          </w:p>
        </w:tc>
        <w:tc>
          <w:tcPr>
            <w:tcW w:w="1026" w:type="dxa"/>
            <w:noWrap/>
            <w:vAlign w:val="center"/>
          </w:tcPr>
          <w:p>
            <w:pPr>
              <w:jc w:val="center"/>
            </w:pPr>
          </w:p>
        </w:tc>
        <w:tc>
          <w:tcPr>
            <w:tcW w:w="1155" w:type="dxa"/>
            <w:noWrap/>
            <w:vAlign w:val="center"/>
          </w:tcPr>
          <w:p>
            <w:pPr>
              <w:jc w:val="center"/>
            </w:pPr>
          </w:p>
        </w:tc>
        <w:tc>
          <w:tcPr>
            <w:tcW w:w="527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470" w:type="dxa"/>
            <w:noWrap/>
            <w:vAlign w:val="center"/>
          </w:tcPr>
          <w:p>
            <w:pPr>
              <w:jc w:val="center"/>
            </w:pPr>
          </w:p>
        </w:tc>
        <w:tc>
          <w:tcPr>
            <w:tcW w:w="997" w:type="dxa"/>
            <w:noWrap/>
            <w:vAlign w:val="center"/>
          </w:tcPr>
          <w:p>
            <w:pPr>
              <w:jc w:val="center"/>
            </w:pPr>
          </w:p>
        </w:tc>
        <w:tc>
          <w:tcPr>
            <w:tcW w:w="1234" w:type="dxa"/>
            <w:noWrap/>
            <w:vAlign w:val="center"/>
          </w:tcPr>
          <w:p>
            <w:pPr>
              <w:jc w:val="center"/>
            </w:pPr>
          </w:p>
        </w:tc>
        <w:tc>
          <w:tcPr>
            <w:tcW w:w="919" w:type="dxa"/>
            <w:noWrap/>
            <w:vAlign w:val="center"/>
          </w:tcPr>
          <w:p>
            <w:pPr>
              <w:jc w:val="center"/>
            </w:pPr>
          </w:p>
        </w:tc>
        <w:tc>
          <w:tcPr>
            <w:tcW w:w="945" w:type="dxa"/>
            <w:noWrap/>
            <w:vAlign w:val="center"/>
          </w:tcPr>
          <w:p>
            <w:pPr>
              <w:jc w:val="center"/>
            </w:pPr>
          </w:p>
        </w:tc>
        <w:tc>
          <w:tcPr>
            <w:tcW w:w="1575" w:type="dxa"/>
            <w:noWrap/>
            <w:vAlign w:val="center"/>
          </w:tcPr>
          <w:p>
            <w:pPr>
              <w:jc w:val="center"/>
            </w:pPr>
          </w:p>
        </w:tc>
        <w:tc>
          <w:tcPr>
            <w:tcW w:w="1026" w:type="dxa"/>
            <w:noWrap/>
            <w:vAlign w:val="center"/>
          </w:tcPr>
          <w:p>
            <w:pPr>
              <w:jc w:val="center"/>
            </w:pPr>
          </w:p>
        </w:tc>
        <w:tc>
          <w:tcPr>
            <w:tcW w:w="1155" w:type="dxa"/>
            <w:noWrap/>
            <w:vAlign w:val="center"/>
          </w:tcPr>
          <w:p>
            <w:pPr>
              <w:jc w:val="center"/>
            </w:pPr>
          </w:p>
        </w:tc>
        <w:tc>
          <w:tcPr>
            <w:tcW w:w="527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ign w:val="center"/>
          </w:tcPr>
          <w:p>
            <w:pPr>
              <w:jc w:val="center"/>
            </w:pPr>
          </w:p>
        </w:tc>
        <w:tc>
          <w:tcPr>
            <w:tcW w:w="1470" w:type="dxa"/>
            <w:noWrap/>
            <w:vAlign w:val="center"/>
          </w:tcPr>
          <w:p>
            <w:pPr>
              <w:jc w:val="center"/>
            </w:pPr>
          </w:p>
        </w:tc>
        <w:tc>
          <w:tcPr>
            <w:tcW w:w="997" w:type="dxa"/>
            <w:noWrap/>
            <w:vAlign w:val="center"/>
          </w:tcPr>
          <w:p>
            <w:pPr>
              <w:jc w:val="center"/>
            </w:pPr>
          </w:p>
        </w:tc>
        <w:tc>
          <w:tcPr>
            <w:tcW w:w="1234" w:type="dxa"/>
            <w:noWrap/>
            <w:vAlign w:val="center"/>
          </w:tcPr>
          <w:p>
            <w:pPr>
              <w:jc w:val="center"/>
            </w:pPr>
          </w:p>
        </w:tc>
        <w:tc>
          <w:tcPr>
            <w:tcW w:w="919" w:type="dxa"/>
            <w:noWrap/>
            <w:vAlign w:val="center"/>
          </w:tcPr>
          <w:p>
            <w:pPr>
              <w:jc w:val="center"/>
            </w:pPr>
          </w:p>
        </w:tc>
        <w:tc>
          <w:tcPr>
            <w:tcW w:w="945" w:type="dxa"/>
            <w:noWrap/>
            <w:vAlign w:val="center"/>
          </w:tcPr>
          <w:p>
            <w:pPr>
              <w:jc w:val="center"/>
            </w:pPr>
          </w:p>
        </w:tc>
        <w:tc>
          <w:tcPr>
            <w:tcW w:w="1575" w:type="dxa"/>
            <w:noWrap/>
            <w:vAlign w:val="center"/>
          </w:tcPr>
          <w:p>
            <w:pPr>
              <w:jc w:val="center"/>
            </w:pPr>
          </w:p>
        </w:tc>
        <w:tc>
          <w:tcPr>
            <w:tcW w:w="1026" w:type="dxa"/>
            <w:noWrap/>
            <w:vAlign w:val="center"/>
          </w:tcPr>
          <w:p>
            <w:pPr>
              <w:jc w:val="center"/>
            </w:pPr>
          </w:p>
        </w:tc>
        <w:tc>
          <w:tcPr>
            <w:tcW w:w="1155" w:type="dxa"/>
            <w:noWrap/>
            <w:vAlign w:val="center"/>
          </w:tcPr>
          <w:p>
            <w:pPr>
              <w:jc w:val="center"/>
            </w:pPr>
          </w:p>
        </w:tc>
        <w:tc>
          <w:tcPr>
            <w:tcW w:w="5274" w:type="dxa"/>
            <w:noWrap/>
            <w:vAlign w:val="center"/>
          </w:tcPr>
          <w:p>
            <w:pPr>
              <w:jc w:val="center"/>
            </w:pPr>
          </w:p>
        </w:tc>
      </w:tr>
    </w:tbl>
    <w:p>
      <w:pPr>
        <w:rPr>
          <w:rFonts w:ascii="宋体" w:hAnsi="宋体"/>
          <w:b/>
        </w:rPr>
        <w:sectPr>
          <w:pgSz w:w="16838" w:h="11906" w:orient="landscape"/>
          <w:pgMar w:top="1361" w:right="1327" w:bottom="1361" w:left="1327" w:header="851" w:footer="992" w:gutter="0"/>
          <w:cols w:space="720" w:num="1"/>
          <w:docGrid w:linePitch="312" w:charSpace="0"/>
        </w:sectPr>
      </w:pPr>
      <w:r>
        <w:rPr>
          <w:rFonts w:hint="eastAsia" w:ascii="宋体" w:hAnsi="宋体" w:cs="宋体"/>
          <w:b/>
        </w:rPr>
        <w:t>注：本表后投标人已建工程项目对应的合同等业绩证明</w:t>
      </w:r>
      <w:r>
        <w:rPr>
          <w:rFonts w:hint="eastAsia" w:ascii="宋体" w:hAnsi="宋体"/>
          <w:b/>
        </w:rPr>
        <w:t>材料（至少包括合同以及能反映项目内容、规模等的资料</w:t>
      </w:r>
      <w:r>
        <w:rPr>
          <w:rFonts w:ascii="宋体" w:hAnsi="宋体"/>
          <w:b/>
        </w:rPr>
        <w:t>）</w:t>
      </w:r>
      <w:r>
        <w:rPr>
          <w:rFonts w:hint="eastAsia" w:ascii="宋体" w:hAnsi="宋体"/>
          <w:b/>
        </w:rPr>
        <w:t>的彩色复印件或彩色扫描件；证明材料前应附证明材料清单，证明材料应按项目放置并用彩页隔开，同时在彩页上注明对应的清单名称。</w:t>
      </w:r>
    </w:p>
    <w:p>
      <w:pPr>
        <w:snapToGrid w:val="0"/>
        <w:spacing w:line="520" w:lineRule="exact"/>
        <w:jc w:val="center"/>
        <w:outlineLvl w:val="3"/>
        <w:rPr>
          <w:rFonts w:ascii="宋体" w:hAnsi="宋体" w:cs="宋体"/>
          <w:b/>
          <w:sz w:val="28"/>
          <w:szCs w:val="28"/>
        </w:rPr>
      </w:pPr>
      <w:r>
        <w:rPr>
          <w:rFonts w:hint="eastAsia" w:ascii="宋体" w:hAnsi="宋体" w:cs="宋体"/>
          <w:b/>
          <w:bCs/>
          <w:sz w:val="28"/>
          <w:szCs w:val="28"/>
        </w:rPr>
        <w:t>10、</w:t>
      </w:r>
      <w:r>
        <w:rPr>
          <w:rFonts w:hint="eastAsia" w:ascii="宋体" w:hAnsi="宋体" w:cs="宋体"/>
          <w:b/>
          <w:sz w:val="28"/>
          <w:szCs w:val="28"/>
        </w:rPr>
        <w:t>磋商响应报价总表（首次）</w:t>
      </w:r>
    </w:p>
    <w:p>
      <w:pPr>
        <w:pStyle w:val="113"/>
        <w:spacing w:line="520" w:lineRule="exact"/>
        <w:rPr>
          <w:rFonts w:hAnsi="宋体" w:cs="宋体"/>
          <w:sz w:val="24"/>
        </w:rPr>
      </w:pPr>
      <w:r>
        <w:rPr>
          <w:rFonts w:hint="eastAsia" w:hAnsi="宋体" w:cs="宋体"/>
          <w:sz w:val="24"/>
          <w:u w:val="single"/>
        </w:rPr>
        <w:t>南通市公路事业发展中心：</w:t>
      </w:r>
    </w:p>
    <w:p>
      <w:pPr>
        <w:spacing w:line="520" w:lineRule="exact"/>
        <w:ind w:firstLine="600" w:firstLineChars="250"/>
        <w:jc w:val="left"/>
        <w:rPr>
          <w:rFonts w:ascii="宋体" w:hAnsi="宋体"/>
          <w:sz w:val="24"/>
        </w:rPr>
      </w:pPr>
      <w:r>
        <w:rPr>
          <w:rFonts w:hint="eastAsia" w:ascii="宋体" w:hAnsi="宋体"/>
          <w:sz w:val="24"/>
        </w:rPr>
        <w:t>1、我方已仔细研究了</w:t>
      </w:r>
      <w:r>
        <w:rPr>
          <w:rFonts w:hint="eastAsia" w:ascii="宋体" w:hAnsi="宋体" w:cs="宋体"/>
          <w:sz w:val="24"/>
        </w:rPr>
        <w:t>项目</w:t>
      </w:r>
      <w:r>
        <w:rPr>
          <w:rFonts w:hint="eastAsia" w:ascii="宋体" w:hAnsi="宋体"/>
          <w:sz w:val="24"/>
        </w:rPr>
        <w:t>的</w:t>
      </w:r>
      <w:r>
        <w:rPr>
          <w:rFonts w:hint="eastAsia" w:ascii="宋体" w:hAnsi="宋体" w:cs="宋体"/>
          <w:kern w:val="0"/>
          <w:sz w:val="24"/>
        </w:rPr>
        <w:t>竞争性磋商文件</w:t>
      </w:r>
      <w:r>
        <w:rPr>
          <w:rFonts w:hint="eastAsia" w:ascii="宋体" w:hAnsi="宋体"/>
          <w:sz w:val="24"/>
        </w:rPr>
        <w:t>的全部内容，愿意就该标段服务费给出如下报价：</w:t>
      </w:r>
    </w:p>
    <w:p>
      <w:pPr>
        <w:spacing w:line="520" w:lineRule="exact"/>
        <w:ind w:firstLine="480" w:firstLineChars="200"/>
        <w:jc w:val="left"/>
        <w:rPr>
          <w:rFonts w:ascii="宋体" w:hAnsi="宋体"/>
          <w:sz w:val="24"/>
        </w:rPr>
      </w:pPr>
      <w:r>
        <w:rPr>
          <w:rFonts w:hint="eastAsia" w:ascii="宋体" w:hAnsi="宋体"/>
          <w:sz w:val="24"/>
        </w:rPr>
        <w:t>磋商报价总计（首次）：¥元，大写：人民币元；</w:t>
      </w:r>
    </w:p>
    <w:p>
      <w:pPr>
        <w:snapToGrid w:val="0"/>
        <w:spacing w:line="520" w:lineRule="exact"/>
        <w:ind w:firstLine="496" w:firstLineChars="206"/>
        <w:rPr>
          <w:rFonts w:ascii="宋体" w:hAnsi="宋体" w:cs="宋体"/>
          <w:b/>
          <w:sz w:val="24"/>
        </w:rPr>
      </w:pPr>
      <w:r>
        <w:rPr>
          <w:rFonts w:hint="eastAsia" w:ascii="宋体" w:hAnsi="宋体" w:cs="宋体"/>
          <w:b/>
          <w:sz w:val="24"/>
        </w:rPr>
        <w:t>注：第二次、第三次报价将在开标现场填写，响应文件密封提交时只需填写磋商报价总计（首次）的报价。</w:t>
      </w:r>
    </w:p>
    <w:p>
      <w:pPr>
        <w:spacing w:line="360" w:lineRule="auto"/>
        <w:ind w:left="600"/>
        <w:jc w:val="left"/>
        <w:rPr>
          <w:rFonts w:ascii="宋体" w:hAnsi="宋体"/>
          <w:sz w:val="10"/>
          <w:szCs w:val="10"/>
        </w:rPr>
      </w:pPr>
    </w:p>
    <w:p>
      <w:pPr>
        <w:spacing w:line="360" w:lineRule="auto"/>
        <w:ind w:firstLine="600" w:firstLineChars="250"/>
        <w:jc w:val="left"/>
        <w:rPr>
          <w:rFonts w:ascii="宋体" w:hAnsi="宋体"/>
          <w:sz w:val="24"/>
        </w:rPr>
      </w:pPr>
      <w:r>
        <w:rPr>
          <w:rFonts w:hint="eastAsia" w:ascii="宋体" w:hAnsi="宋体"/>
          <w:sz w:val="24"/>
        </w:rPr>
        <w:t>2、我方承诺在服务期限内，按竞</w:t>
      </w:r>
      <w:r>
        <w:rPr>
          <w:rFonts w:hint="eastAsia" w:ascii="宋体" w:hAnsi="宋体" w:cs="宋体"/>
          <w:sz w:val="24"/>
        </w:rPr>
        <w:t>争性磋商文件的规定履行合同责任和义务</w:t>
      </w:r>
      <w:r>
        <w:rPr>
          <w:rFonts w:hint="eastAsia" w:ascii="宋体" w:hAnsi="宋体"/>
          <w:sz w:val="24"/>
        </w:rPr>
        <w:t>，实现服务目标。</w:t>
      </w:r>
    </w:p>
    <w:p>
      <w:pPr>
        <w:spacing w:line="360" w:lineRule="auto"/>
        <w:ind w:firstLine="600" w:firstLineChars="250"/>
        <w:rPr>
          <w:rFonts w:ascii="宋体" w:hAnsi="宋体"/>
          <w:sz w:val="24"/>
        </w:rPr>
      </w:pPr>
      <w:r>
        <w:rPr>
          <w:rFonts w:hint="eastAsia" w:ascii="宋体" w:hAnsi="宋体"/>
          <w:sz w:val="24"/>
        </w:rPr>
        <w:t>3、我方承诺在竞争性磋商文件规定的投标有效期内不修改、撤销响应文件。</w:t>
      </w:r>
    </w:p>
    <w:p>
      <w:pPr>
        <w:spacing w:line="360" w:lineRule="auto"/>
        <w:ind w:firstLine="600" w:firstLineChars="250"/>
        <w:rPr>
          <w:rFonts w:ascii="宋体" w:hAnsi="宋体"/>
          <w:sz w:val="24"/>
        </w:rPr>
      </w:pPr>
      <w:r>
        <w:rPr>
          <w:rFonts w:hint="eastAsia" w:ascii="宋体" w:hAnsi="宋体"/>
          <w:sz w:val="24"/>
        </w:rPr>
        <w:t>4、我方中标：</w:t>
      </w:r>
    </w:p>
    <w:p>
      <w:pPr>
        <w:spacing w:line="360" w:lineRule="auto"/>
        <w:ind w:firstLine="480" w:firstLineChars="200"/>
        <w:rPr>
          <w:rFonts w:ascii="宋体" w:hAnsi="宋体"/>
          <w:sz w:val="24"/>
        </w:rPr>
      </w:pPr>
      <w:r>
        <w:rPr>
          <w:rFonts w:hint="eastAsia" w:ascii="宋体" w:hAnsi="宋体"/>
          <w:sz w:val="24"/>
        </w:rPr>
        <w:t>（1）我方承诺在收到成交通知书后，在成交通知书规定的期限内与你方签订合同。</w:t>
      </w:r>
    </w:p>
    <w:p>
      <w:pPr>
        <w:spacing w:line="360" w:lineRule="auto"/>
        <w:ind w:firstLine="480" w:firstLineChars="200"/>
        <w:rPr>
          <w:rFonts w:ascii="宋体" w:hAnsi="宋体"/>
          <w:sz w:val="24"/>
        </w:rPr>
      </w:pPr>
      <w:r>
        <w:rPr>
          <w:rFonts w:hint="eastAsia" w:ascii="宋体" w:hAnsi="宋体"/>
          <w:sz w:val="24"/>
        </w:rPr>
        <w:t>（2）我方承诺按照竞争性磋商文件规定向你方递交履约保证金。</w:t>
      </w:r>
    </w:p>
    <w:p>
      <w:pPr>
        <w:spacing w:line="360" w:lineRule="auto"/>
        <w:ind w:firstLine="480" w:firstLineChars="200"/>
        <w:rPr>
          <w:rFonts w:ascii="宋体" w:hAnsi="宋体"/>
          <w:sz w:val="24"/>
        </w:rPr>
      </w:pPr>
      <w:r>
        <w:rPr>
          <w:rFonts w:hint="eastAsia" w:ascii="宋体" w:hAnsi="宋体"/>
          <w:sz w:val="24"/>
        </w:rPr>
        <w:t>（3）我方将严格履行本响应文件中的全部承诺和责任，并遵守竞争性磋商文件中对磋商单位的所有规定。</w:t>
      </w:r>
    </w:p>
    <w:p>
      <w:pPr>
        <w:spacing w:line="360" w:lineRule="auto"/>
        <w:ind w:firstLine="600" w:firstLineChars="250"/>
        <w:rPr>
          <w:rFonts w:ascii="宋体" w:hAnsi="宋体"/>
          <w:sz w:val="24"/>
        </w:rPr>
      </w:pPr>
      <w:r>
        <w:rPr>
          <w:rFonts w:hint="eastAsia" w:ascii="宋体" w:hAnsi="宋体"/>
          <w:sz w:val="24"/>
        </w:rPr>
        <w:t>5、我方在此声明，所递交的响应文件及有关资料内容完整、真实和准确，且不存在第二章</w:t>
      </w:r>
      <w:r>
        <w:rPr>
          <w:rFonts w:hint="eastAsia" w:ascii="宋体" w:hAnsi="宋体" w:cs="宋体"/>
          <w:sz w:val="24"/>
        </w:rPr>
        <w:t>磋商</w:t>
      </w:r>
      <w:r>
        <w:rPr>
          <w:rFonts w:hint="eastAsia" w:ascii="宋体" w:hAnsi="宋体"/>
          <w:sz w:val="24"/>
        </w:rPr>
        <w:t xml:space="preserve">供应商须知第八项第二条规定的任何一种情形。  </w:t>
      </w:r>
    </w:p>
    <w:p>
      <w:pPr>
        <w:spacing w:line="360" w:lineRule="auto"/>
        <w:ind w:firstLine="600" w:firstLineChars="250"/>
        <w:rPr>
          <w:rFonts w:ascii="宋体" w:hAnsi="宋体"/>
          <w:sz w:val="24"/>
        </w:rPr>
      </w:pPr>
      <w:r>
        <w:rPr>
          <w:rFonts w:hint="eastAsia" w:ascii="宋体" w:hAnsi="宋体"/>
          <w:sz w:val="24"/>
        </w:rPr>
        <w:t>6、（其他补充说明）。</w:t>
      </w:r>
    </w:p>
    <w:p>
      <w:pPr>
        <w:pStyle w:val="113"/>
        <w:tabs>
          <w:tab w:val="left" w:pos="5665"/>
          <w:tab w:val="right" w:pos="8360"/>
        </w:tabs>
        <w:spacing w:line="360" w:lineRule="auto"/>
        <w:ind w:right="42" w:firstLine="1560" w:firstLineChars="650"/>
        <w:rPr>
          <w:rFonts w:hAnsi="宋体" w:cs="宋体"/>
          <w:sz w:val="24"/>
        </w:rPr>
      </w:pPr>
    </w:p>
    <w:p>
      <w:pPr>
        <w:pStyle w:val="113"/>
        <w:tabs>
          <w:tab w:val="left" w:pos="5665"/>
          <w:tab w:val="right" w:pos="8360"/>
        </w:tabs>
        <w:spacing w:line="360" w:lineRule="auto"/>
        <w:ind w:right="42" w:firstLine="1560" w:firstLineChars="650"/>
        <w:rPr>
          <w:rFonts w:hAnsi="宋体" w:cs="宋体"/>
          <w:sz w:val="24"/>
        </w:rPr>
      </w:pPr>
    </w:p>
    <w:p>
      <w:pPr>
        <w:kinsoku w:val="0"/>
        <w:topLinePunct/>
        <w:snapToGrid w:val="0"/>
        <w:spacing w:line="560" w:lineRule="exact"/>
        <w:rPr>
          <w:rFonts w:ascii="宋体" w:hAnsi="宋体" w:cs="仿宋_GB2312"/>
          <w:sz w:val="24"/>
        </w:rPr>
      </w:pPr>
      <w:r>
        <w:rPr>
          <w:rFonts w:hint="eastAsia" w:ascii="宋体" w:hAnsi="宋体" w:cs="仿宋_GB2312"/>
          <w:sz w:val="24"/>
        </w:rPr>
        <w:t xml:space="preserve">参加磋商单位（盖章）：   </w:t>
      </w:r>
    </w:p>
    <w:p>
      <w:pPr>
        <w:kinsoku w:val="0"/>
        <w:topLinePunct/>
        <w:snapToGrid w:val="0"/>
        <w:spacing w:line="560" w:lineRule="exact"/>
        <w:rPr>
          <w:rFonts w:ascii="宋体" w:hAnsi="宋体" w:cs="仿宋_GB2312"/>
          <w:sz w:val="24"/>
        </w:rPr>
      </w:pPr>
      <w:r>
        <w:rPr>
          <w:rFonts w:hint="eastAsia" w:ascii="宋体" w:hAnsi="宋体" w:cs="仿宋_GB2312"/>
          <w:sz w:val="24"/>
        </w:rPr>
        <w:t>法定代表人或委托代理人（签字）：</w:t>
      </w:r>
    </w:p>
    <w:p>
      <w:pPr>
        <w:pStyle w:val="113"/>
        <w:tabs>
          <w:tab w:val="left" w:pos="5665"/>
          <w:tab w:val="right" w:pos="8360"/>
        </w:tabs>
        <w:spacing w:line="360" w:lineRule="auto"/>
        <w:ind w:right="42"/>
        <w:rPr>
          <w:rFonts w:hAnsi="宋体" w:cs="宋体"/>
          <w:sz w:val="24"/>
          <w:u w:val="single"/>
        </w:rPr>
      </w:pPr>
    </w:p>
    <w:p>
      <w:pPr>
        <w:pStyle w:val="113"/>
        <w:tabs>
          <w:tab w:val="left" w:pos="5665"/>
          <w:tab w:val="right" w:pos="8360"/>
        </w:tabs>
        <w:spacing w:line="360" w:lineRule="auto"/>
        <w:ind w:right="42" w:firstLine="240" w:firstLineChars="100"/>
        <w:jc w:val="left"/>
        <w:rPr>
          <w:rFonts w:hAnsi="宋体" w:cs="宋体"/>
          <w:sz w:val="24"/>
        </w:rPr>
      </w:pPr>
    </w:p>
    <w:p>
      <w:pPr>
        <w:pStyle w:val="113"/>
        <w:tabs>
          <w:tab w:val="left" w:pos="5665"/>
          <w:tab w:val="right" w:pos="8360"/>
        </w:tabs>
        <w:spacing w:line="360" w:lineRule="auto"/>
        <w:ind w:right="42" w:firstLine="240" w:firstLineChars="100"/>
        <w:jc w:val="left"/>
        <w:rPr>
          <w:rFonts w:hAnsi="宋体" w:cs="宋体"/>
          <w:szCs w:val="28"/>
          <w:lang w:val="zh-CN"/>
        </w:rPr>
      </w:pPr>
      <w:r>
        <w:rPr>
          <w:rFonts w:hint="eastAsia" w:hAnsi="宋体" w:cs="宋体"/>
          <w:sz w:val="24"/>
        </w:rPr>
        <w:t xml:space="preserve">  年      月     日</w:t>
      </w:r>
    </w:p>
    <w:sectPr>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bCs/>
        <w:sz w:val="24"/>
        <w:szCs w:val="24"/>
      </w:rPr>
      <w:fldChar w:fldCharType="begin"/>
    </w:r>
    <w:r>
      <w:rPr>
        <w:b/>
        <w:bCs/>
      </w:rPr>
      <w:instrText xml:space="preserve">PAGE</w:instrText>
    </w:r>
    <w:r>
      <w:rPr>
        <w:b/>
        <w:bCs/>
        <w:sz w:val="24"/>
        <w:szCs w:val="24"/>
      </w:rPr>
      <w:fldChar w:fldCharType="separate"/>
    </w:r>
    <w:r>
      <w:rPr>
        <w:b/>
        <w:bCs/>
      </w:rPr>
      <w:t>53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53</w:t>
    </w:r>
    <w:r>
      <w:rPr>
        <w:b/>
        <w:bCs/>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9C495"/>
    <w:multiLevelType w:val="singleLevel"/>
    <w:tmpl w:val="C8E9C495"/>
    <w:lvl w:ilvl="0" w:tentative="0">
      <w:start w:val="4"/>
      <w:numFmt w:val="chineseCounting"/>
      <w:suff w:val="nothing"/>
      <w:lvlText w:val="%1、"/>
      <w:lvlJc w:val="left"/>
      <w:rPr>
        <w:rFonts w:hint="eastAsia"/>
      </w:rPr>
    </w:lvl>
  </w:abstractNum>
  <w:abstractNum w:abstractNumId="1">
    <w:nsid w:val="F5D8E243"/>
    <w:multiLevelType w:val="singleLevel"/>
    <w:tmpl w:val="F5D8E24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66708D"/>
    <w:rsid w:val="00000546"/>
    <w:rsid w:val="00002A9B"/>
    <w:rsid w:val="00012A30"/>
    <w:rsid w:val="0002112A"/>
    <w:rsid w:val="00021B3F"/>
    <w:rsid w:val="0002410E"/>
    <w:rsid w:val="000274F9"/>
    <w:rsid w:val="00034346"/>
    <w:rsid w:val="00036EB6"/>
    <w:rsid w:val="00036F7E"/>
    <w:rsid w:val="0003726A"/>
    <w:rsid w:val="00046E7F"/>
    <w:rsid w:val="0006048F"/>
    <w:rsid w:val="0006293B"/>
    <w:rsid w:val="00063271"/>
    <w:rsid w:val="0006339F"/>
    <w:rsid w:val="000667DA"/>
    <w:rsid w:val="00071F57"/>
    <w:rsid w:val="00073424"/>
    <w:rsid w:val="00075B86"/>
    <w:rsid w:val="000839F1"/>
    <w:rsid w:val="000865D8"/>
    <w:rsid w:val="0008766A"/>
    <w:rsid w:val="00087D03"/>
    <w:rsid w:val="00091E11"/>
    <w:rsid w:val="00094A52"/>
    <w:rsid w:val="00094B87"/>
    <w:rsid w:val="000964D8"/>
    <w:rsid w:val="00096BFB"/>
    <w:rsid w:val="00096C58"/>
    <w:rsid w:val="000A096A"/>
    <w:rsid w:val="000A15A0"/>
    <w:rsid w:val="000A3F28"/>
    <w:rsid w:val="000B0A49"/>
    <w:rsid w:val="000B15D1"/>
    <w:rsid w:val="000B1991"/>
    <w:rsid w:val="000C27DD"/>
    <w:rsid w:val="000C7774"/>
    <w:rsid w:val="000C7D4E"/>
    <w:rsid w:val="000D2C29"/>
    <w:rsid w:val="000D3442"/>
    <w:rsid w:val="000D4848"/>
    <w:rsid w:val="000D53CE"/>
    <w:rsid w:val="000D5A2E"/>
    <w:rsid w:val="000D7507"/>
    <w:rsid w:val="000E3129"/>
    <w:rsid w:val="000E3178"/>
    <w:rsid w:val="000E386B"/>
    <w:rsid w:val="000E391B"/>
    <w:rsid w:val="000E69A2"/>
    <w:rsid w:val="000E76D0"/>
    <w:rsid w:val="000F0066"/>
    <w:rsid w:val="000F2065"/>
    <w:rsid w:val="00104F7C"/>
    <w:rsid w:val="001053C5"/>
    <w:rsid w:val="00105A26"/>
    <w:rsid w:val="001072DB"/>
    <w:rsid w:val="001178DB"/>
    <w:rsid w:val="00117E6F"/>
    <w:rsid w:val="00122065"/>
    <w:rsid w:val="00122752"/>
    <w:rsid w:val="001235FD"/>
    <w:rsid w:val="0012703C"/>
    <w:rsid w:val="00130180"/>
    <w:rsid w:val="00135ACB"/>
    <w:rsid w:val="001363E8"/>
    <w:rsid w:val="00142759"/>
    <w:rsid w:val="001435A3"/>
    <w:rsid w:val="001462E0"/>
    <w:rsid w:val="00161A82"/>
    <w:rsid w:val="00164F7C"/>
    <w:rsid w:val="0017287D"/>
    <w:rsid w:val="0017324A"/>
    <w:rsid w:val="00177438"/>
    <w:rsid w:val="00184AD9"/>
    <w:rsid w:val="00186126"/>
    <w:rsid w:val="00190492"/>
    <w:rsid w:val="0019303E"/>
    <w:rsid w:val="00193A31"/>
    <w:rsid w:val="00193F84"/>
    <w:rsid w:val="0019566E"/>
    <w:rsid w:val="00195BE1"/>
    <w:rsid w:val="001964E7"/>
    <w:rsid w:val="001A0707"/>
    <w:rsid w:val="001A295A"/>
    <w:rsid w:val="001A7B4C"/>
    <w:rsid w:val="001B35A5"/>
    <w:rsid w:val="001B3E55"/>
    <w:rsid w:val="001B7843"/>
    <w:rsid w:val="001C0AC4"/>
    <w:rsid w:val="001C1246"/>
    <w:rsid w:val="001C325B"/>
    <w:rsid w:val="001D0D3C"/>
    <w:rsid w:val="001D3142"/>
    <w:rsid w:val="001D5E21"/>
    <w:rsid w:val="001F16AE"/>
    <w:rsid w:val="001F3292"/>
    <w:rsid w:val="001F34D5"/>
    <w:rsid w:val="001F50F6"/>
    <w:rsid w:val="00201005"/>
    <w:rsid w:val="00202420"/>
    <w:rsid w:val="002027DA"/>
    <w:rsid w:val="00215EAF"/>
    <w:rsid w:val="00223D7A"/>
    <w:rsid w:val="00224912"/>
    <w:rsid w:val="002258F3"/>
    <w:rsid w:val="00236355"/>
    <w:rsid w:val="00237012"/>
    <w:rsid w:val="0024022F"/>
    <w:rsid w:val="002406D4"/>
    <w:rsid w:val="00240A90"/>
    <w:rsid w:val="00241910"/>
    <w:rsid w:val="00245391"/>
    <w:rsid w:val="0025669B"/>
    <w:rsid w:val="002579BA"/>
    <w:rsid w:val="00260643"/>
    <w:rsid w:val="0026108B"/>
    <w:rsid w:val="002625F8"/>
    <w:rsid w:val="002629C0"/>
    <w:rsid w:val="002630CD"/>
    <w:rsid w:val="0026343B"/>
    <w:rsid w:val="00263FB2"/>
    <w:rsid w:val="00264FD3"/>
    <w:rsid w:val="00266D65"/>
    <w:rsid w:val="002674FC"/>
    <w:rsid w:val="00267852"/>
    <w:rsid w:val="00271272"/>
    <w:rsid w:val="00272ACF"/>
    <w:rsid w:val="002736FB"/>
    <w:rsid w:val="002774F2"/>
    <w:rsid w:val="0028167B"/>
    <w:rsid w:val="00287D53"/>
    <w:rsid w:val="00291435"/>
    <w:rsid w:val="0029283D"/>
    <w:rsid w:val="00294495"/>
    <w:rsid w:val="002945C7"/>
    <w:rsid w:val="002973EB"/>
    <w:rsid w:val="00297771"/>
    <w:rsid w:val="002A27C2"/>
    <w:rsid w:val="002A31EB"/>
    <w:rsid w:val="002A432D"/>
    <w:rsid w:val="002A537C"/>
    <w:rsid w:val="002A6D6C"/>
    <w:rsid w:val="002B0137"/>
    <w:rsid w:val="002B4F8A"/>
    <w:rsid w:val="002B766C"/>
    <w:rsid w:val="002C0FDF"/>
    <w:rsid w:val="002C368B"/>
    <w:rsid w:val="002C48CF"/>
    <w:rsid w:val="002D3D9A"/>
    <w:rsid w:val="002D3DCF"/>
    <w:rsid w:val="002D6AE9"/>
    <w:rsid w:val="002E0D30"/>
    <w:rsid w:val="002E5DDE"/>
    <w:rsid w:val="002E6B1F"/>
    <w:rsid w:val="002E7808"/>
    <w:rsid w:val="002F1659"/>
    <w:rsid w:val="002F40D5"/>
    <w:rsid w:val="002F4C7F"/>
    <w:rsid w:val="002F61AE"/>
    <w:rsid w:val="003016F6"/>
    <w:rsid w:val="003017D8"/>
    <w:rsid w:val="003017F0"/>
    <w:rsid w:val="00304FA6"/>
    <w:rsid w:val="00305B5A"/>
    <w:rsid w:val="00323C57"/>
    <w:rsid w:val="00323F5E"/>
    <w:rsid w:val="00326CD4"/>
    <w:rsid w:val="00327EF8"/>
    <w:rsid w:val="0033346D"/>
    <w:rsid w:val="00333C74"/>
    <w:rsid w:val="00333F95"/>
    <w:rsid w:val="00350899"/>
    <w:rsid w:val="0035101B"/>
    <w:rsid w:val="00352B24"/>
    <w:rsid w:val="00356D02"/>
    <w:rsid w:val="00357154"/>
    <w:rsid w:val="00365B97"/>
    <w:rsid w:val="00370716"/>
    <w:rsid w:val="0037482A"/>
    <w:rsid w:val="00374EDA"/>
    <w:rsid w:val="00375742"/>
    <w:rsid w:val="003777AF"/>
    <w:rsid w:val="00380C1C"/>
    <w:rsid w:val="0038377B"/>
    <w:rsid w:val="0038781F"/>
    <w:rsid w:val="0039135E"/>
    <w:rsid w:val="00391473"/>
    <w:rsid w:val="00394C24"/>
    <w:rsid w:val="00397448"/>
    <w:rsid w:val="003A21F9"/>
    <w:rsid w:val="003A5070"/>
    <w:rsid w:val="003A75DD"/>
    <w:rsid w:val="003B0CEC"/>
    <w:rsid w:val="003B156C"/>
    <w:rsid w:val="003B2D19"/>
    <w:rsid w:val="003B64EA"/>
    <w:rsid w:val="003C2537"/>
    <w:rsid w:val="003C290B"/>
    <w:rsid w:val="003C73D4"/>
    <w:rsid w:val="003D1841"/>
    <w:rsid w:val="003D1E69"/>
    <w:rsid w:val="003D6C4B"/>
    <w:rsid w:val="003E017B"/>
    <w:rsid w:val="003E4653"/>
    <w:rsid w:val="003E4C0A"/>
    <w:rsid w:val="003E565A"/>
    <w:rsid w:val="003F1302"/>
    <w:rsid w:val="003F1A03"/>
    <w:rsid w:val="003F1DF8"/>
    <w:rsid w:val="003F291E"/>
    <w:rsid w:val="003F4CA5"/>
    <w:rsid w:val="00401799"/>
    <w:rsid w:val="0040233A"/>
    <w:rsid w:val="00405393"/>
    <w:rsid w:val="004105DE"/>
    <w:rsid w:val="00411311"/>
    <w:rsid w:val="0041310F"/>
    <w:rsid w:val="0041654F"/>
    <w:rsid w:val="004178C5"/>
    <w:rsid w:val="0043024B"/>
    <w:rsid w:val="004307C8"/>
    <w:rsid w:val="0043494A"/>
    <w:rsid w:val="00437DC5"/>
    <w:rsid w:val="0044383D"/>
    <w:rsid w:val="00445426"/>
    <w:rsid w:val="0045090E"/>
    <w:rsid w:val="00451D8E"/>
    <w:rsid w:val="00454344"/>
    <w:rsid w:val="0046252B"/>
    <w:rsid w:val="00462E98"/>
    <w:rsid w:val="00462FB0"/>
    <w:rsid w:val="00472B9F"/>
    <w:rsid w:val="00472F1D"/>
    <w:rsid w:val="00477C17"/>
    <w:rsid w:val="00477F0F"/>
    <w:rsid w:val="00480125"/>
    <w:rsid w:val="00484AA8"/>
    <w:rsid w:val="00485409"/>
    <w:rsid w:val="00487660"/>
    <w:rsid w:val="00487D91"/>
    <w:rsid w:val="00487EF2"/>
    <w:rsid w:val="00495CB3"/>
    <w:rsid w:val="004A1E83"/>
    <w:rsid w:val="004B7CC5"/>
    <w:rsid w:val="004C0C94"/>
    <w:rsid w:val="004C367C"/>
    <w:rsid w:val="004C3EEB"/>
    <w:rsid w:val="004C6462"/>
    <w:rsid w:val="004C6799"/>
    <w:rsid w:val="004D0458"/>
    <w:rsid w:val="004E31C9"/>
    <w:rsid w:val="004E7CDB"/>
    <w:rsid w:val="004F1269"/>
    <w:rsid w:val="004F1A90"/>
    <w:rsid w:val="004F443E"/>
    <w:rsid w:val="004F7328"/>
    <w:rsid w:val="00501FEF"/>
    <w:rsid w:val="005029C5"/>
    <w:rsid w:val="00502C8A"/>
    <w:rsid w:val="00503728"/>
    <w:rsid w:val="005109F7"/>
    <w:rsid w:val="00515660"/>
    <w:rsid w:val="00515B9C"/>
    <w:rsid w:val="005175F9"/>
    <w:rsid w:val="0052074E"/>
    <w:rsid w:val="005235DD"/>
    <w:rsid w:val="00525373"/>
    <w:rsid w:val="005263BF"/>
    <w:rsid w:val="005306C7"/>
    <w:rsid w:val="0053219E"/>
    <w:rsid w:val="00533EF3"/>
    <w:rsid w:val="00535EFC"/>
    <w:rsid w:val="00536991"/>
    <w:rsid w:val="00537500"/>
    <w:rsid w:val="00540DF0"/>
    <w:rsid w:val="00541004"/>
    <w:rsid w:val="00541053"/>
    <w:rsid w:val="00542949"/>
    <w:rsid w:val="00550895"/>
    <w:rsid w:val="00556D35"/>
    <w:rsid w:val="00562E39"/>
    <w:rsid w:val="00565803"/>
    <w:rsid w:val="00565B7B"/>
    <w:rsid w:val="00566B4E"/>
    <w:rsid w:val="00566EE0"/>
    <w:rsid w:val="00577B0C"/>
    <w:rsid w:val="00580BF7"/>
    <w:rsid w:val="00581F8C"/>
    <w:rsid w:val="005823DC"/>
    <w:rsid w:val="00585198"/>
    <w:rsid w:val="00586A2A"/>
    <w:rsid w:val="00587AA8"/>
    <w:rsid w:val="0059579B"/>
    <w:rsid w:val="00597865"/>
    <w:rsid w:val="005A0E0A"/>
    <w:rsid w:val="005A21F5"/>
    <w:rsid w:val="005A7F48"/>
    <w:rsid w:val="005B0FBE"/>
    <w:rsid w:val="005B1402"/>
    <w:rsid w:val="005B183C"/>
    <w:rsid w:val="005B1C57"/>
    <w:rsid w:val="005B3D9B"/>
    <w:rsid w:val="005C2322"/>
    <w:rsid w:val="005C376A"/>
    <w:rsid w:val="005C5D43"/>
    <w:rsid w:val="005D2147"/>
    <w:rsid w:val="005F1BEF"/>
    <w:rsid w:val="005F33F4"/>
    <w:rsid w:val="005F347B"/>
    <w:rsid w:val="00603E7F"/>
    <w:rsid w:val="006046E5"/>
    <w:rsid w:val="006052C7"/>
    <w:rsid w:val="00616173"/>
    <w:rsid w:val="00617585"/>
    <w:rsid w:val="00620BCF"/>
    <w:rsid w:val="006211B7"/>
    <w:rsid w:val="0062417D"/>
    <w:rsid w:val="00624A8D"/>
    <w:rsid w:val="0062722E"/>
    <w:rsid w:val="00630BF2"/>
    <w:rsid w:val="00634277"/>
    <w:rsid w:val="006359FE"/>
    <w:rsid w:val="00635E25"/>
    <w:rsid w:val="006426A8"/>
    <w:rsid w:val="006506C5"/>
    <w:rsid w:val="0065076A"/>
    <w:rsid w:val="00660DF2"/>
    <w:rsid w:val="00663BF8"/>
    <w:rsid w:val="00663FA8"/>
    <w:rsid w:val="0066708D"/>
    <w:rsid w:val="0066722F"/>
    <w:rsid w:val="0066729F"/>
    <w:rsid w:val="0066792B"/>
    <w:rsid w:val="00670779"/>
    <w:rsid w:val="0068012A"/>
    <w:rsid w:val="00681DC6"/>
    <w:rsid w:val="00683E0C"/>
    <w:rsid w:val="00685CB8"/>
    <w:rsid w:val="006873E2"/>
    <w:rsid w:val="00687EEB"/>
    <w:rsid w:val="00691F22"/>
    <w:rsid w:val="0069212E"/>
    <w:rsid w:val="00693B3A"/>
    <w:rsid w:val="00694A80"/>
    <w:rsid w:val="00694E8A"/>
    <w:rsid w:val="006A112A"/>
    <w:rsid w:val="006A1E9C"/>
    <w:rsid w:val="006A2358"/>
    <w:rsid w:val="006A4770"/>
    <w:rsid w:val="006A534B"/>
    <w:rsid w:val="006A7CBA"/>
    <w:rsid w:val="006B00DC"/>
    <w:rsid w:val="006B16FF"/>
    <w:rsid w:val="006B2E88"/>
    <w:rsid w:val="006B7AFF"/>
    <w:rsid w:val="006B7D34"/>
    <w:rsid w:val="006C6CDD"/>
    <w:rsid w:val="006C6EB0"/>
    <w:rsid w:val="006D77B1"/>
    <w:rsid w:val="006E008F"/>
    <w:rsid w:val="006E1D37"/>
    <w:rsid w:val="006E3CC9"/>
    <w:rsid w:val="006E6446"/>
    <w:rsid w:val="00701750"/>
    <w:rsid w:val="007025D6"/>
    <w:rsid w:val="00702D60"/>
    <w:rsid w:val="00702F14"/>
    <w:rsid w:val="0070429A"/>
    <w:rsid w:val="0071105F"/>
    <w:rsid w:val="0071149B"/>
    <w:rsid w:val="00713D30"/>
    <w:rsid w:val="00716914"/>
    <w:rsid w:val="00725A2F"/>
    <w:rsid w:val="00725F4F"/>
    <w:rsid w:val="00734092"/>
    <w:rsid w:val="00734E48"/>
    <w:rsid w:val="00737311"/>
    <w:rsid w:val="007410B2"/>
    <w:rsid w:val="00743236"/>
    <w:rsid w:val="0074797A"/>
    <w:rsid w:val="00747AA1"/>
    <w:rsid w:val="00762780"/>
    <w:rsid w:val="007639E7"/>
    <w:rsid w:val="00767602"/>
    <w:rsid w:val="00770418"/>
    <w:rsid w:val="00771BB5"/>
    <w:rsid w:val="00773465"/>
    <w:rsid w:val="0077434F"/>
    <w:rsid w:val="00776194"/>
    <w:rsid w:val="00782FF0"/>
    <w:rsid w:val="0078439F"/>
    <w:rsid w:val="00785605"/>
    <w:rsid w:val="0079107F"/>
    <w:rsid w:val="00791733"/>
    <w:rsid w:val="00795AFF"/>
    <w:rsid w:val="00796F1B"/>
    <w:rsid w:val="00797C4E"/>
    <w:rsid w:val="007A043A"/>
    <w:rsid w:val="007A0DB0"/>
    <w:rsid w:val="007A1CBE"/>
    <w:rsid w:val="007B0BCA"/>
    <w:rsid w:val="007B2B65"/>
    <w:rsid w:val="007B7E0C"/>
    <w:rsid w:val="007C6AE3"/>
    <w:rsid w:val="007C6C85"/>
    <w:rsid w:val="007D7074"/>
    <w:rsid w:val="007E0813"/>
    <w:rsid w:val="007E19D6"/>
    <w:rsid w:val="007F08EE"/>
    <w:rsid w:val="007F19E9"/>
    <w:rsid w:val="007F3988"/>
    <w:rsid w:val="00801F47"/>
    <w:rsid w:val="0080407B"/>
    <w:rsid w:val="00805BAE"/>
    <w:rsid w:val="008064CA"/>
    <w:rsid w:val="00810010"/>
    <w:rsid w:val="00810D6B"/>
    <w:rsid w:val="0081484F"/>
    <w:rsid w:val="00821FB3"/>
    <w:rsid w:val="00831B6F"/>
    <w:rsid w:val="00831CCD"/>
    <w:rsid w:val="00831D42"/>
    <w:rsid w:val="00832700"/>
    <w:rsid w:val="00832C60"/>
    <w:rsid w:val="00837949"/>
    <w:rsid w:val="00841DE5"/>
    <w:rsid w:val="00843544"/>
    <w:rsid w:val="00843C5A"/>
    <w:rsid w:val="00845B83"/>
    <w:rsid w:val="00846F6D"/>
    <w:rsid w:val="00850CE3"/>
    <w:rsid w:val="00852A6E"/>
    <w:rsid w:val="0086108F"/>
    <w:rsid w:val="00863727"/>
    <w:rsid w:val="00872E8A"/>
    <w:rsid w:val="00873605"/>
    <w:rsid w:val="00880152"/>
    <w:rsid w:val="0088225C"/>
    <w:rsid w:val="00882931"/>
    <w:rsid w:val="00886375"/>
    <w:rsid w:val="00886535"/>
    <w:rsid w:val="00890423"/>
    <w:rsid w:val="00890BC1"/>
    <w:rsid w:val="008919E2"/>
    <w:rsid w:val="00892730"/>
    <w:rsid w:val="008952C7"/>
    <w:rsid w:val="0089644C"/>
    <w:rsid w:val="008A1082"/>
    <w:rsid w:val="008A4B39"/>
    <w:rsid w:val="008A4D2C"/>
    <w:rsid w:val="008A7620"/>
    <w:rsid w:val="008B08A9"/>
    <w:rsid w:val="008B4F47"/>
    <w:rsid w:val="008B5BDB"/>
    <w:rsid w:val="008B7CEE"/>
    <w:rsid w:val="008C3455"/>
    <w:rsid w:val="008C3EEE"/>
    <w:rsid w:val="008C5FD3"/>
    <w:rsid w:val="008C62A0"/>
    <w:rsid w:val="008D071D"/>
    <w:rsid w:val="008D29EC"/>
    <w:rsid w:val="008D3BAE"/>
    <w:rsid w:val="008D6405"/>
    <w:rsid w:val="008E09E9"/>
    <w:rsid w:val="008E515F"/>
    <w:rsid w:val="008E5CB4"/>
    <w:rsid w:val="008E6F4A"/>
    <w:rsid w:val="008F124F"/>
    <w:rsid w:val="008F20DC"/>
    <w:rsid w:val="008F7D56"/>
    <w:rsid w:val="00900480"/>
    <w:rsid w:val="009018BE"/>
    <w:rsid w:val="00902509"/>
    <w:rsid w:val="009025B0"/>
    <w:rsid w:val="00902A8A"/>
    <w:rsid w:val="009033F8"/>
    <w:rsid w:val="0090411C"/>
    <w:rsid w:val="009112CA"/>
    <w:rsid w:val="00913048"/>
    <w:rsid w:val="00914A92"/>
    <w:rsid w:val="00922C58"/>
    <w:rsid w:val="00923257"/>
    <w:rsid w:val="00924A0A"/>
    <w:rsid w:val="00925885"/>
    <w:rsid w:val="00927D34"/>
    <w:rsid w:val="0093181C"/>
    <w:rsid w:val="009353BF"/>
    <w:rsid w:val="00937EA6"/>
    <w:rsid w:val="00941ED8"/>
    <w:rsid w:val="00946768"/>
    <w:rsid w:val="009515A5"/>
    <w:rsid w:val="00953113"/>
    <w:rsid w:val="00954AA3"/>
    <w:rsid w:val="009608DB"/>
    <w:rsid w:val="00964C1E"/>
    <w:rsid w:val="00965284"/>
    <w:rsid w:val="00966D34"/>
    <w:rsid w:val="00966FB5"/>
    <w:rsid w:val="00971894"/>
    <w:rsid w:val="00974F8E"/>
    <w:rsid w:val="009813F6"/>
    <w:rsid w:val="0098378B"/>
    <w:rsid w:val="009858BF"/>
    <w:rsid w:val="00987EB0"/>
    <w:rsid w:val="00991AA7"/>
    <w:rsid w:val="009927B7"/>
    <w:rsid w:val="00995E70"/>
    <w:rsid w:val="009A0F6F"/>
    <w:rsid w:val="009A1E89"/>
    <w:rsid w:val="009A2B66"/>
    <w:rsid w:val="009A308C"/>
    <w:rsid w:val="009A4705"/>
    <w:rsid w:val="009A5041"/>
    <w:rsid w:val="009A5ACF"/>
    <w:rsid w:val="009B0FBA"/>
    <w:rsid w:val="009B5005"/>
    <w:rsid w:val="009C12B7"/>
    <w:rsid w:val="009C1650"/>
    <w:rsid w:val="009C1AC8"/>
    <w:rsid w:val="009C2CAA"/>
    <w:rsid w:val="009C42B7"/>
    <w:rsid w:val="009C6306"/>
    <w:rsid w:val="009C6A89"/>
    <w:rsid w:val="009C77A9"/>
    <w:rsid w:val="009D190A"/>
    <w:rsid w:val="009D1C90"/>
    <w:rsid w:val="009D2916"/>
    <w:rsid w:val="009D77B2"/>
    <w:rsid w:val="009E46D3"/>
    <w:rsid w:val="009E5668"/>
    <w:rsid w:val="009F18DE"/>
    <w:rsid w:val="009F5ADC"/>
    <w:rsid w:val="00A00E10"/>
    <w:rsid w:val="00A05A21"/>
    <w:rsid w:val="00A065B4"/>
    <w:rsid w:val="00A13EF4"/>
    <w:rsid w:val="00A21EBB"/>
    <w:rsid w:val="00A22633"/>
    <w:rsid w:val="00A24A6E"/>
    <w:rsid w:val="00A30F43"/>
    <w:rsid w:val="00A3378B"/>
    <w:rsid w:val="00A37797"/>
    <w:rsid w:val="00A379E5"/>
    <w:rsid w:val="00A4107C"/>
    <w:rsid w:val="00A424B7"/>
    <w:rsid w:val="00A45A67"/>
    <w:rsid w:val="00A4605F"/>
    <w:rsid w:val="00A612A2"/>
    <w:rsid w:val="00A65405"/>
    <w:rsid w:val="00A72EA7"/>
    <w:rsid w:val="00A72F6D"/>
    <w:rsid w:val="00A76DDB"/>
    <w:rsid w:val="00A87CC8"/>
    <w:rsid w:val="00A92D89"/>
    <w:rsid w:val="00A97341"/>
    <w:rsid w:val="00AA3A91"/>
    <w:rsid w:val="00AA421E"/>
    <w:rsid w:val="00AA490E"/>
    <w:rsid w:val="00AB4205"/>
    <w:rsid w:val="00AB6D95"/>
    <w:rsid w:val="00AB7912"/>
    <w:rsid w:val="00AC0E4C"/>
    <w:rsid w:val="00AC1353"/>
    <w:rsid w:val="00AC148D"/>
    <w:rsid w:val="00AC43D6"/>
    <w:rsid w:val="00AC520C"/>
    <w:rsid w:val="00AC5DDA"/>
    <w:rsid w:val="00AC5F46"/>
    <w:rsid w:val="00AD3266"/>
    <w:rsid w:val="00AD41C4"/>
    <w:rsid w:val="00AD69A8"/>
    <w:rsid w:val="00AE0C8E"/>
    <w:rsid w:val="00AE6B78"/>
    <w:rsid w:val="00AE74E7"/>
    <w:rsid w:val="00AF0629"/>
    <w:rsid w:val="00AF0742"/>
    <w:rsid w:val="00AF5A7C"/>
    <w:rsid w:val="00AF6740"/>
    <w:rsid w:val="00AF6BB8"/>
    <w:rsid w:val="00B01BDC"/>
    <w:rsid w:val="00B02035"/>
    <w:rsid w:val="00B06601"/>
    <w:rsid w:val="00B1163B"/>
    <w:rsid w:val="00B15D3B"/>
    <w:rsid w:val="00B1789B"/>
    <w:rsid w:val="00B207AD"/>
    <w:rsid w:val="00B20DF2"/>
    <w:rsid w:val="00B21D38"/>
    <w:rsid w:val="00B23E16"/>
    <w:rsid w:val="00B3094E"/>
    <w:rsid w:val="00B3335F"/>
    <w:rsid w:val="00B34572"/>
    <w:rsid w:val="00B35873"/>
    <w:rsid w:val="00B412F7"/>
    <w:rsid w:val="00B43AB6"/>
    <w:rsid w:val="00B441B2"/>
    <w:rsid w:val="00B50265"/>
    <w:rsid w:val="00B55B05"/>
    <w:rsid w:val="00B61197"/>
    <w:rsid w:val="00B652C5"/>
    <w:rsid w:val="00B67D26"/>
    <w:rsid w:val="00B742A1"/>
    <w:rsid w:val="00B754DE"/>
    <w:rsid w:val="00B87EC7"/>
    <w:rsid w:val="00B9038A"/>
    <w:rsid w:val="00B91592"/>
    <w:rsid w:val="00BA02FF"/>
    <w:rsid w:val="00BA11CB"/>
    <w:rsid w:val="00BA382F"/>
    <w:rsid w:val="00BA67E4"/>
    <w:rsid w:val="00BB26FB"/>
    <w:rsid w:val="00BB298A"/>
    <w:rsid w:val="00BB41C2"/>
    <w:rsid w:val="00BB4630"/>
    <w:rsid w:val="00BB6D60"/>
    <w:rsid w:val="00BC1555"/>
    <w:rsid w:val="00BC3B9A"/>
    <w:rsid w:val="00BC53E8"/>
    <w:rsid w:val="00BC6074"/>
    <w:rsid w:val="00BD1A40"/>
    <w:rsid w:val="00BD31AB"/>
    <w:rsid w:val="00BD34AC"/>
    <w:rsid w:val="00BD44DB"/>
    <w:rsid w:val="00BD697C"/>
    <w:rsid w:val="00BD76C2"/>
    <w:rsid w:val="00BE27F0"/>
    <w:rsid w:val="00BE5E4E"/>
    <w:rsid w:val="00BE61B1"/>
    <w:rsid w:val="00BF024A"/>
    <w:rsid w:val="00BF1E4F"/>
    <w:rsid w:val="00BF2DE0"/>
    <w:rsid w:val="00BF3EB7"/>
    <w:rsid w:val="00BF7191"/>
    <w:rsid w:val="00C01E44"/>
    <w:rsid w:val="00C077E4"/>
    <w:rsid w:val="00C1493F"/>
    <w:rsid w:val="00C23F54"/>
    <w:rsid w:val="00C25BFC"/>
    <w:rsid w:val="00C25C7D"/>
    <w:rsid w:val="00C32BB4"/>
    <w:rsid w:val="00C37B5D"/>
    <w:rsid w:val="00C43B6F"/>
    <w:rsid w:val="00C45B3B"/>
    <w:rsid w:val="00C511D9"/>
    <w:rsid w:val="00C53A06"/>
    <w:rsid w:val="00C53E85"/>
    <w:rsid w:val="00C55CF8"/>
    <w:rsid w:val="00C663B1"/>
    <w:rsid w:val="00C67E8A"/>
    <w:rsid w:val="00C72023"/>
    <w:rsid w:val="00C72447"/>
    <w:rsid w:val="00C7320D"/>
    <w:rsid w:val="00C764E1"/>
    <w:rsid w:val="00C83CCB"/>
    <w:rsid w:val="00C84302"/>
    <w:rsid w:val="00C85BF7"/>
    <w:rsid w:val="00C92344"/>
    <w:rsid w:val="00C97182"/>
    <w:rsid w:val="00CA295E"/>
    <w:rsid w:val="00CA296D"/>
    <w:rsid w:val="00CB1419"/>
    <w:rsid w:val="00CB166A"/>
    <w:rsid w:val="00CB4730"/>
    <w:rsid w:val="00CB716E"/>
    <w:rsid w:val="00CC1612"/>
    <w:rsid w:val="00CC1ADD"/>
    <w:rsid w:val="00CC233E"/>
    <w:rsid w:val="00CC5DC4"/>
    <w:rsid w:val="00CC61D1"/>
    <w:rsid w:val="00CE2670"/>
    <w:rsid w:val="00CE4EFB"/>
    <w:rsid w:val="00CE6D76"/>
    <w:rsid w:val="00CF22F2"/>
    <w:rsid w:val="00CF3169"/>
    <w:rsid w:val="00CF3DAC"/>
    <w:rsid w:val="00CF5D1A"/>
    <w:rsid w:val="00D03AA1"/>
    <w:rsid w:val="00D053A6"/>
    <w:rsid w:val="00D055A0"/>
    <w:rsid w:val="00D05AB1"/>
    <w:rsid w:val="00D05E72"/>
    <w:rsid w:val="00D073F4"/>
    <w:rsid w:val="00D10D13"/>
    <w:rsid w:val="00D118E4"/>
    <w:rsid w:val="00D2265D"/>
    <w:rsid w:val="00D27410"/>
    <w:rsid w:val="00D27924"/>
    <w:rsid w:val="00D3163D"/>
    <w:rsid w:val="00D36F4E"/>
    <w:rsid w:val="00D43EC0"/>
    <w:rsid w:val="00D44524"/>
    <w:rsid w:val="00D44736"/>
    <w:rsid w:val="00D46EBA"/>
    <w:rsid w:val="00D472D6"/>
    <w:rsid w:val="00D47D1C"/>
    <w:rsid w:val="00D51E8E"/>
    <w:rsid w:val="00D522EA"/>
    <w:rsid w:val="00D52729"/>
    <w:rsid w:val="00D53048"/>
    <w:rsid w:val="00D55D49"/>
    <w:rsid w:val="00D5700D"/>
    <w:rsid w:val="00D60235"/>
    <w:rsid w:val="00D6070F"/>
    <w:rsid w:val="00D61BA4"/>
    <w:rsid w:val="00D64622"/>
    <w:rsid w:val="00D65FAF"/>
    <w:rsid w:val="00D72B03"/>
    <w:rsid w:val="00D72E25"/>
    <w:rsid w:val="00D760EE"/>
    <w:rsid w:val="00D768BD"/>
    <w:rsid w:val="00D7744C"/>
    <w:rsid w:val="00D826EA"/>
    <w:rsid w:val="00D84A29"/>
    <w:rsid w:val="00D867A2"/>
    <w:rsid w:val="00D87299"/>
    <w:rsid w:val="00D90B24"/>
    <w:rsid w:val="00D94F23"/>
    <w:rsid w:val="00D95D93"/>
    <w:rsid w:val="00D96BD3"/>
    <w:rsid w:val="00D9714A"/>
    <w:rsid w:val="00DA0D61"/>
    <w:rsid w:val="00DA4756"/>
    <w:rsid w:val="00DA4B81"/>
    <w:rsid w:val="00DA54FA"/>
    <w:rsid w:val="00DB31A2"/>
    <w:rsid w:val="00DB4899"/>
    <w:rsid w:val="00DB4AC6"/>
    <w:rsid w:val="00DB6A4F"/>
    <w:rsid w:val="00DC048D"/>
    <w:rsid w:val="00DC10F7"/>
    <w:rsid w:val="00DC3244"/>
    <w:rsid w:val="00DD36A2"/>
    <w:rsid w:val="00DD3FD4"/>
    <w:rsid w:val="00DD58F5"/>
    <w:rsid w:val="00DD6A3D"/>
    <w:rsid w:val="00DD7014"/>
    <w:rsid w:val="00DE24BE"/>
    <w:rsid w:val="00DE29C4"/>
    <w:rsid w:val="00DE5425"/>
    <w:rsid w:val="00DE54FA"/>
    <w:rsid w:val="00DF07A3"/>
    <w:rsid w:val="00DF2506"/>
    <w:rsid w:val="00DF2E94"/>
    <w:rsid w:val="00DF30F2"/>
    <w:rsid w:val="00DF5516"/>
    <w:rsid w:val="00DF63AF"/>
    <w:rsid w:val="00E01DFD"/>
    <w:rsid w:val="00E02AD0"/>
    <w:rsid w:val="00E15584"/>
    <w:rsid w:val="00E1668F"/>
    <w:rsid w:val="00E16F09"/>
    <w:rsid w:val="00E17989"/>
    <w:rsid w:val="00E17D34"/>
    <w:rsid w:val="00E20C51"/>
    <w:rsid w:val="00E233DD"/>
    <w:rsid w:val="00E2701C"/>
    <w:rsid w:val="00E30039"/>
    <w:rsid w:val="00E32621"/>
    <w:rsid w:val="00E43B0C"/>
    <w:rsid w:val="00E45404"/>
    <w:rsid w:val="00E4593D"/>
    <w:rsid w:val="00E476DE"/>
    <w:rsid w:val="00E50863"/>
    <w:rsid w:val="00E71EF5"/>
    <w:rsid w:val="00E74A2D"/>
    <w:rsid w:val="00E75B35"/>
    <w:rsid w:val="00E83D00"/>
    <w:rsid w:val="00E87BB5"/>
    <w:rsid w:val="00E91B06"/>
    <w:rsid w:val="00E9417F"/>
    <w:rsid w:val="00E97124"/>
    <w:rsid w:val="00EA158B"/>
    <w:rsid w:val="00EA7E39"/>
    <w:rsid w:val="00EB7D0B"/>
    <w:rsid w:val="00EC12F0"/>
    <w:rsid w:val="00EC1DB9"/>
    <w:rsid w:val="00EC20D8"/>
    <w:rsid w:val="00EC3015"/>
    <w:rsid w:val="00EC7751"/>
    <w:rsid w:val="00ED05F6"/>
    <w:rsid w:val="00ED30F7"/>
    <w:rsid w:val="00ED555E"/>
    <w:rsid w:val="00ED5FD3"/>
    <w:rsid w:val="00ED7610"/>
    <w:rsid w:val="00EE1D10"/>
    <w:rsid w:val="00EE362A"/>
    <w:rsid w:val="00EF08AF"/>
    <w:rsid w:val="00EF3975"/>
    <w:rsid w:val="00EF4E11"/>
    <w:rsid w:val="00EF5B89"/>
    <w:rsid w:val="00EF6000"/>
    <w:rsid w:val="00EF6888"/>
    <w:rsid w:val="00F00889"/>
    <w:rsid w:val="00F03C65"/>
    <w:rsid w:val="00F045C2"/>
    <w:rsid w:val="00F10C3F"/>
    <w:rsid w:val="00F156F2"/>
    <w:rsid w:val="00F15D83"/>
    <w:rsid w:val="00F22A6D"/>
    <w:rsid w:val="00F22C7F"/>
    <w:rsid w:val="00F23389"/>
    <w:rsid w:val="00F24864"/>
    <w:rsid w:val="00F3244A"/>
    <w:rsid w:val="00F32BB8"/>
    <w:rsid w:val="00F338E7"/>
    <w:rsid w:val="00F359B7"/>
    <w:rsid w:val="00F37699"/>
    <w:rsid w:val="00F40C3A"/>
    <w:rsid w:val="00F4380F"/>
    <w:rsid w:val="00F43E18"/>
    <w:rsid w:val="00F5077B"/>
    <w:rsid w:val="00F52F5D"/>
    <w:rsid w:val="00F56142"/>
    <w:rsid w:val="00F57506"/>
    <w:rsid w:val="00F6142D"/>
    <w:rsid w:val="00F6226B"/>
    <w:rsid w:val="00F62354"/>
    <w:rsid w:val="00F64573"/>
    <w:rsid w:val="00F71986"/>
    <w:rsid w:val="00F73E54"/>
    <w:rsid w:val="00F73FE8"/>
    <w:rsid w:val="00F76AC1"/>
    <w:rsid w:val="00F77CC3"/>
    <w:rsid w:val="00F809E5"/>
    <w:rsid w:val="00F874DC"/>
    <w:rsid w:val="00F9247B"/>
    <w:rsid w:val="00FA317D"/>
    <w:rsid w:val="00FA385C"/>
    <w:rsid w:val="00FA7701"/>
    <w:rsid w:val="00FB04CD"/>
    <w:rsid w:val="00FB1943"/>
    <w:rsid w:val="00FB1B89"/>
    <w:rsid w:val="00FB737F"/>
    <w:rsid w:val="00FD0D1E"/>
    <w:rsid w:val="00FD1810"/>
    <w:rsid w:val="00FD53A0"/>
    <w:rsid w:val="00FE3698"/>
    <w:rsid w:val="00FE542E"/>
    <w:rsid w:val="00FE68A8"/>
    <w:rsid w:val="00FE7F3F"/>
    <w:rsid w:val="00FF0090"/>
    <w:rsid w:val="00FF0A5B"/>
    <w:rsid w:val="00FF172B"/>
    <w:rsid w:val="00FF20B4"/>
    <w:rsid w:val="00FF3207"/>
    <w:rsid w:val="00FF4176"/>
    <w:rsid w:val="0135711F"/>
    <w:rsid w:val="04636F44"/>
    <w:rsid w:val="05927A85"/>
    <w:rsid w:val="0614336D"/>
    <w:rsid w:val="06402CBC"/>
    <w:rsid w:val="07894D94"/>
    <w:rsid w:val="08246E46"/>
    <w:rsid w:val="083A5039"/>
    <w:rsid w:val="08B91F0B"/>
    <w:rsid w:val="0DC16807"/>
    <w:rsid w:val="0F0F60FC"/>
    <w:rsid w:val="10C54BB8"/>
    <w:rsid w:val="10DE74B3"/>
    <w:rsid w:val="11B64776"/>
    <w:rsid w:val="176651A7"/>
    <w:rsid w:val="1F2E4480"/>
    <w:rsid w:val="20FE3B01"/>
    <w:rsid w:val="21156CFE"/>
    <w:rsid w:val="22CC432B"/>
    <w:rsid w:val="24267CF0"/>
    <w:rsid w:val="242E3681"/>
    <w:rsid w:val="254C5560"/>
    <w:rsid w:val="28A262AD"/>
    <w:rsid w:val="2ADC073E"/>
    <w:rsid w:val="2E7622CA"/>
    <w:rsid w:val="2ECD0464"/>
    <w:rsid w:val="31CA3AD3"/>
    <w:rsid w:val="324355DA"/>
    <w:rsid w:val="33E6570C"/>
    <w:rsid w:val="358F4A12"/>
    <w:rsid w:val="375B29B1"/>
    <w:rsid w:val="3795459A"/>
    <w:rsid w:val="39EA702F"/>
    <w:rsid w:val="3A6E6766"/>
    <w:rsid w:val="3F3B0C9D"/>
    <w:rsid w:val="3FC012C8"/>
    <w:rsid w:val="41A32286"/>
    <w:rsid w:val="430D518B"/>
    <w:rsid w:val="43D953C8"/>
    <w:rsid w:val="461111AE"/>
    <w:rsid w:val="466E398E"/>
    <w:rsid w:val="47F66039"/>
    <w:rsid w:val="480D667C"/>
    <w:rsid w:val="4896615C"/>
    <w:rsid w:val="49044BF1"/>
    <w:rsid w:val="4E0961E4"/>
    <w:rsid w:val="4E5E4615"/>
    <w:rsid w:val="4EA724EE"/>
    <w:rsid w:val="519A542A"/>
    <w:rsid w:val="51C53827"/>
    <w:rsid w:val="53390E6B"/>
    <w:rsid w:val="54211A97"/>
    <w:rsid w:val="559C25BF"/>
    <w:rsid w:val="57CE5070"/>
    <w:rsid w:val="58F81E84"/>
    <w:rsid w:val="59A442A6"/>
    <w:rsid w:val="5A160809"/>
    <w:rsid w:val="5AF73118"/>
    <w:rsid w:val="5B565E63"/>
    <w:rsid w:val="5BE45DE4"/>
    <w:rsid w:val="5CDF4F13"/>
    <w:rsid w:val="602E51FB"/>
    <w:rsid w:val="63130DD6"/>
    <w:rsid w:val="64900BC5"/>
    <w:rsid w:val="6550567C"/>
    <w:rsid w:val="66943D42"/>
    <w:rsid w:val="67482D0D"/>
    <w:rsid w:val="67737999"/>
    <w:rsid w:val="67E53851"/>
    <w:rsid w:val="68FE2E60"/>
    <w:rsid w:val="6D0820D1"/>
    <w:rsid w:val="6D8E1C96"/>
    <w:rsid w:val="6FC5490F"/>
    <w:rsid w:val="706F0D4A"/>
    <w:rsid w:val="70B02A5E"/>
    <w:rsid w:val="71EA26A0"/>
    <w:rsid w:val="725B4129"/>
    <w:rsid w:val="741C7616"/>
    <w:rsid w:val="74795878"/>
    <w:rsid w:val="751212DA"/>
    <w:rsid w:val="75457105"/>
    <w:rsid w:val="76647BA8"/>
    <w:rsid w:val="76885B5A"/>
    <w:rsid w:val="79993AD1"/>
    <w:rsid w:val="79B00F04"/>
    <w:rsid w:val="7EC43E30"/>
    <w:rsid w:val="7EE86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jc w:val="center"/>
      <w:outlineLvl w:val="3"/>
    </w:pPr>
    <w:rPr>
      <w:rFonts w:eastAsia="新宋体"/>
      <w:sz w:val="30"/>
      <w:szCs w:val="21"/>
    </w:rPr>
  </w:style>
  <w:style w:type="paragraph" w:styleId="6">
    <w:name w:val="heading 5"/>
    <w:basedOn w:val="1"/>
    <w:next w:val="1"/>
    <w:link w:val="77"/>
    <w:qFormat/>
    <w:uiPriority w:val="0"/>
    <w:pPr>
      <w:keepNext/>
      <w:keepLines/>
      <w:spacing w:before="280" w:after="290" w:line="376" w:lineRule="auto"/>
      <w:outlineLvl w:val="4"/>
    </w:pPr>
    <w:rPr>
      <w:b/>
      <w:bCs/>
      <w:sz w:val="28"/>
      <w:szCs w:val="28"/>
    </w:rPr>
  </w:style>
  <w:style w:type="paragraph" w:styleId="7">
    <w:name w:val="heading 6"/>
    <w:basedOn w:val="1"/>
    <w:next w:val="8"/>
    <w:link w:val="72"/>
    <w:qFormat/>
    <w:uiPriority w:val="0"/>
    <w:pPr>
      <w:keepNext/>
      <w:jc w:val="center"/>
      <w:outlineLvl w:val="5"/>
    </w:pPr>
    <w:rPr>
      <w:b/>
      <w:sz w:val="44"/>
      <w:szCs w:val="20"/>
    </w:rPr>
  </w:style>
  <w:style w:type="paragraph" w:styleId="9">
    <w:name w:val="heading 7"/>
    <w:basedOn w:val="1"/>
    <w:next w:val="1"/>
    <w:link w:val="54"/>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64"/>
    <w:qFormat/>
    <w:uiPriority w:val="0"/>
    <w:pPr>
      <w:keepNext/>
      <w:keepLines/>
      <w:spacing w:before="240" w:after="64" w:line="320" w:lineRule="auto"/>
      <w:outlineLvl w:val="8"/>
    </w:pPr>
    <w:rPr>
      <w:rFonts w:ascii="Arial" w:hAnsi="Arial" w:eastAsia="黑体"/>
      <w:sz w:val="24"/>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9"/>
    <w:qFormat/>
    <w:uiPriority w:val="0"/>
    <w:pPr>
      <w:ind w:firstLine="420"/>
    </w:pPr>
    <w:rPr>
      <w:kern w:val="0"/>
      <w:sz w:val="20"/>
      <w:szCs w:val="20"/>
    </w:rPr>
  </w:style>
  <w:style w:type="paragraph" w:styleId="12">
    <w:name w:val="Document Map"/>
    <w:basedOn w:val="1"/>
    <w:link w:val="67"/>
    <w:semiHidden/>
    <w:qFormat/>
    <w:uiPriority w:val="0"/>
    <w:pPr>
      <w:shd w:val="clear" w:color="auto" w:fill="000080"/>
    </w:pPr>
    <w:rPr>
      <w:rFonts w:ascii="Calibri" w:hAnsi="Calibri"/>
    </w:rPr>
  </w:style>
  <w:style w:type="paragraph" w:styleId="13">
    <w:name w:val="annotation text"/>
    <w:basedOn w:val="1"/>
    <w:link w:val="110"/>
    <w:semiHidden/>
    <w:unhideWhenUsed/>
    <w:qFormat/>
    <w:uiPriority w:val="99"/>
    <w:pPr>
      <w:jc w:val="left"/>
    </w:pPr>
  </w:style>
  <w:style w:type="paragraph" w:styleId="14">
    <w:name w:val="Body Text 3"/>
    <w:basedOn w:val="1"/>
    <w:link w:val="69"/>
    <w:qFormat/>
    <w:uiPriority w:val="0"/>
    <w:pPr>
      <w:spacing w:after="120"/>
    </w:pPr>
    <w:rPr>
      <w:sz w:val="16"/>
      <w:szCs w:val="16"/>
    </w:rPr>
  </w:style>
  <w:style w:type="paragraph" w:styleId="15">
    <w:name w:val="Body Text"/>
    <w:basedOn w:val="1"/>
    <w:link w:val="55"/>
    <w:qFormat/>
    <w:uiPriority w:val="0"/>
    <w:rPr>
      <w:rFonts w:ascii="仿宋_GB2312" w:eastAsia="仿宋_GB2312"/>
      <w:sz w:val="24"/>
      <w:szCs w:val="20"/>
    </w:rPr>
  </w:style>
  <w:style w:type="paragraph" w:styleId="16">
    <w:name w:val="Body Text Indent"/>
    <w:basedOn w:val="1"/>
    <w:link w:val="70"/>
    <w:qFormat/>
    <w:uiPriority w:val="0"/>
    <w:pPr>
      <w:ind w:left="765"/>
    </w:pPr>
    <w:rPr>
      <w:rFonts w:ascii="仿宋_GB2312" w:eastAsia="仿宋_GB2312"/>
      <w:sz w:val="28"/>
      <w:szCs w:val="20"/>
    </w:rPr>
  </w:style>
  <w:style w:type="paragraph" w:styleId="17">
    <w:name w:val="Plain Text"/>
    <w:basedOn w:val="1"/>
    <w:link w:val="66"/>
    <w:qFormat/>
    <w:uiPriority w:val="0"/>
    <w:rPr>
      <w:rFonts w:ascii="宋体" w:hAnsi="Courier New" w:cs="Courier New"/>
      <w:szCs w:val="21"/>
    </w:rPr>
  </w:style>
  <w:style w:type="paragraph" w:styleId="18">
    <w:name w:val="Date"/>
    <w:basedOn w:val="1"/>
    <w:next w:val="1"/>
    <w:link w:val="62"/>
    <w:qFormat/>
    <w:uiPriority w:val="0"/>
    <w:rPr>
      <w:sz w:val="24"/>
      <w:szCs w:val="20"/>
    </w:rPr>
  </w:style>
  <w:style w:type="paragraph" w:styleId="19">
    <w:name w:val="Body Text Indent 2"/>
    <w:basedOn w:val="1"/>
    <w:link w:val="61"/>
    <w:qFormat/>
    <w:uiPriority w:val="0"/>
    <w:pPr>
      <w:spacing w:line="500" w:lineRule="exact"/>
      <w:ind w:firstLine="560" w:firstLineChars="200"/>
    </w:pPr>
    <w:rPr>
      <w:rFonts w:eastAsia="仿宋_GB2312"/>
      <w:sz w:val="28"/>
      <w:szCs w:val="20"/>
    </w:rPr>
  </w:style>
  <w:style w:type="paragraph" w:styleId="20">
    <w:name w:val="Balloon Text"/>
    <w:basedOn w:val="1"/>
    <w:link w:val="58"/>
    <w:semiHidden/>
    <w:qFormat/>
    <w:uiPriority w:val="0"/>
    <w:rPr>
      <w:rFonts w:ascii="Calibri" w:hAnsi="Calibri"/>
      <w:sz w:val="18"/>
      <w:szCs w:val="18"/>
    </w:rPr>
  </w:style>
  <w:style w:type="paragraph" w:styleId="21">
    <w:name w:val="footer"/>
    <w:basedOn w:val="1"/>
    <w:link w:val="63"/>
    <w:qFormat/>
    <w:uiPriority w:val="99"/>
    <w:pPr>
      <w:tabs>
        <w:tab w:val="center" w:pos="4153"/>
        <w:tab w:val="right" w:pos="8306"/>
      </w:tabs>
      <w:snapToGrid w:val="0"/>
      <w:jc w:val="left"/>
    </w:pPr>
    <w:rPr>
      <w:sz w:val="18"/>
      <w:szCs w:val="20"/>
    </w:rPr>
  </w:style>
  <w:style w:type="paragraph" w:styleId="22">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sz w:val="24"/>
    </w:rPr>
  </w:style>
  <w:style w:type="paragraph" w:styleId="24">
    <w:name w:val="List"/>
    <w:basedOn w:val="1"/>
    <w:qFormat/>
    <w:uiPriority w:val="0"/>
    <w:pPr>
      <w:ind w:left="200" w:hanging="200" w:hangingChars="200"/>
    </w:pPr>
  </w:style>
  <w:style w:type="paragraph" w:styleId="25">
    <w:name w:val="Body Text Indent 3"/>
    <w:basedOn w:val="1"/>
    <w:link w:val="60"/>
    <w:qFormat/>
    <w:uiPriority w:val="0"/>
    <w:pPr>
      <w:spacing w:after="120"/>
      <w:ind w:left="420" w:leftChars="200"/>
    </w:pPr>
    <w:rPr>
      <w:sz w:val="16"/>
      <w:szCs w:val="16"/>
    </w:rPr>
  </w:style>
  <w:style w:type="paragraph" w:styleId="26">
    <w:name w:val="Body Text 2"/>
    <w:basedOn w:val="1"/>
    <w:link w:val="65"/>
    <w:qFormat/>
    <w:uiPriority w:val="0"/>
    <w:pPr>
      <w:snapToGrid w:val="0"/>
    </w:pPr>
    <w:rPr>
      <w:b/>
      <w:bCs/>
      <w:sz w:val="18"/>
    </w:rPr>
  </w:style>
  <w:style w:type="paragraph" w:styleId="2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8">
    <w:name w:val="annotation subject"/>
    <w:basedOn w:val="13"/>
    <w:next w:val="13"/>
    <w:link w:val="111"/>
    <w:semiHidden/>
    <w:unhideWhenUsed/>
    <w:qFormat/>
    <w:uiPriority w:val="99"/>
    <w:rPr>
      <w:b/>
      <w:bCs/>
    </w:rPr>
  </w:style>
  <w:style w:type="paragraph" w:styleId="29">
    <w:name w:val="Body Text First Indent"/>
    <w:basedOn w:val="15"/>
    <w:link w:val="47"/>
    <w:qFormat/>
    <w:uiPriority w:val="0"/>
    <w:pPr>
      <w:spacing w:after="120"/>
      <w:ind w:firstLine="420" w:firstLineChars="100"/>
    </w:pPr>
    <w:rPr>
      <w:rFonts w:ascii="Times New Roman" w:eastAsia="宋体"/>
      <w:sz w:val="21"/>
      <w:szCs w:val="24"/>
    </w:rPr>
  </w:style>
  <w:style w:type="paragraph" w:styleId="30">
    <w:name w:val="Body Text First Indent 2"/>
    <w:basedOn w:val="16"/>
    <w:link w:val="112"/>
    <w:semiHidden/>
    <w:unhideWhenUsed/>
    <w:qFormat/>
    <w:uiPriority w:val="99"/>
    <w:pPr>
      <w:spacing w:after="120"/>
      <w:ind w:left="420" w:leftChars="200" w:firstLine="420" w:firstLineChars="200"/>
    </w:pPr>
    <w:rPr>
      <w:rFonts w:ascii="Times New Roman" w:eastAsia="宋体"/>
      <w:sz w:val="21"/>
      <w:szCs w:val="24"/>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annotation reference"/>
    <w:basedOn w:val="33"/>
    <w:semiHidden/>
    <w:unhideWhenUsed/>
    <w:qFormat/>
    <w:uiPriority w:val="99"/>
    <w:rPr>
      <w:sz w:val="21"/>
      <w:szCs w:val="21"/>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样式 ssss + 宋体 五号1 Char"/>
    <w:link w:val="41"/>
    <w:qFormat/>
    <w:uiPriority w:val="0"/>
    <w:rPr>
      <w:rFonts w:ascii="宋体" w:hAnsi="宋体" w:eastAsia="宋体" w:cs="Times New Roman"/>
      <w:sz w:val="24"/>
      <w:szCs w:val="24"/>
    </w:rPr>
  </w:style>
  <w:style w:type="paragraph" w:customStyle="1" w:styleId="41">
    <w:name w:val="样式 ssss + 宋体 五号1"/>
    <w:basedOn w:val="42"/>
    <w:link w:val="40"/>
    <w:qFormat/>
    <w:uiPriority w:val="0"/>
    <w:rPr>
      <w:rFonts w:ascii="宋体" w:hAnsi="宋体"/>
    </w:rPr>
  </w:style>
  <w:style w:type="paragraph" w:customStyle="1" w:styleId="42">
    <w:name w:val="ssss"/>
    <w:basedOn w:val="1"/>
    <w:link w:val="51"/>
    <w:qFormat/>
    <w:uiPriority w:val="0"/>
    <w:pPr>
      <w:spacing w:line="360" w:lineRule="auto"/>
      <w:ind w:firstLine="480" w:firstLineChars="200"/>
    </w:pPr>
    <w:rPr>
      <w:sz w:val="24"/>
    </w:rPr>
  </w:style>
  <w:style w:type="character" w:customStyle="1" w:styleId="43">
    <w:name w:val="cn_text1"/>
    <w:qFormat/>
    <w:uiPriority w:val="0"/>
    <w:rPr>
      <w:rFonts w:hint="default" w:ascii="ˎ̥" w:hAnsi="ˎ̥"/>
      <w:color w:val="003399"/>
      <w:spacing w:val="15"/>
      <w:sz w:val="18"/>
      <w:szCs w:val="18"/>
    </w:rPr>
  </w:style>
  <w:style w:type="character" w:customStyle="1" w:styleId="44">
    <w:name w:val="普通正文 Char"/>
    <w:link w:val="45"/>
    <w:qFormat/>
    <w:uiPriority w:val="0"/>
    <w:rPr>
      <w:rFonts w:ascii="Arial" w:hAnsi="Arial"/>
      <w:sz w:val="24"/>
      <w:szCs w:val="24"/>
    </w:rPr>
  </w:style>
  <w:style w:type="paragraph" w:customStyle="1" w:styleId="45">
    <w:name w:val="普通正文"/>
    <w:basedOn w:val="1"/>
    <w:link w:val="44"/>
    <w:qFormat/>
    <w:uiPriority w:val="0"/>
    <w:pPr>
      <w:adjustRightInd w:val="0"/>
      <w:spacing w:before="120" w:after="120" w:line="360" w:lineRule="auto"/>
      <w:ind w:left="-2" w:right="120" w:firstLine="480"/>
      <w:jc w:val="center"/>
      <w:textAlignment w:val="baseline"/>
    </w:pPr>
    <w:rPr>
      <w:rFonts w:ascii="Arial" w:hAnsi="Arial"/>
      <w:sz w:val="24"/>
    </w:rPr>
  </w:style>
  <w:style w:type="character" w:customStyle="1" w:styleId="46">
    <w:name w:val="标题 4 Char"/>
    <w:link w:val="5"/>
    <w:qFormat/>
    <w:uiPriority w:val="0"/>
    <w:rPr>
      <w:rFonts w:ascii="Times New Roman" w:hAnsi="Times New Roman" w:eastAsia="新宋体" w:cs="Times New Roman"/>
      <w:sz w:val="30"/>
      <w:szCs w:val="21"/>
    </w:rPr>
  </w:style>
  <w:style w:type="character" w:customStyle="1" w:styleId="47">
    <w:name w:val="正文首行缩进 Char"/>
    <w:link w:val="29"/>
    <w:qFormat/>
    <w:uiPriority w:val="0"/>
    <w:rPr>
      <w:rFonts w:ascii="Times New Roman" w:hAnsi="Times New Roman" w:eastAsia="宋体" w:cs="Times New Roman"/>
      <w:sz w:val="24"/>
      <w:szCs w:val="24"/>
    </w:rPr>
  </w:style>
  <w:style w:type="character" w:customStyle="1" w:styleId="48">
    <w:name w:val="正文缩进2格 Char"/>
    <w:link w:val="49"/>
    <w:qFormat/>
    <w:uiPriority w:val="0"/>
    <w:rPr>
      <w:rFonts w:ascii="仿宋_GB2312" w:hAnsi="宋体" w:eastAsia="仿宋_GB2312" w:cs="Times New Roman"/>
      <w:sz w:val="31"/>
      <w:szCs w:val="28"/>
    </w:rPr>
  </w:style>
  <w:style w:type="paragraph" w:customStyle="1" w:styleId="49">
    <w:name w:val="正文缩进2格"/>
    <w:basedOn w:val="1"/>
    <w:link w:val="48"/>
    <w:qFormat/>
    <w:uiPriority w:val="0"/>
    <w:pPr>
      <w:spacing w:line="600" w:lineRule="exact"/>
      <w:ind w:firstLine="639" w:firstLineChars="206"/>
    </w:pPr>
    <w:rPr>
      <w:rFonts w:ascii="仿宋_GB2312" w:hAnsi="宋体" w:eastAsia="仿宋_GB2312"/>
      <w:sz w:val="31"/>
      <w:szCs w:val="28"/>
    </w:rPr>
  </w:style>
  <w:style w:type="character" w:customStyle="1" w:styleId="50">
    <w:name w:val="批注框文本 Char1"/>
    <w:semiHidden/>
    <w:qFormat/>
    <w:uiPriority w:val="99"/>
    <w:rPr>
      <w:rFonts w:ascii="Times New Roman" w:hAnsi="Times New Roman" w:eastAsia="宋体" w:cs="Times New Roman"/>
      <w:sz w:val="18"/>
      <w:szCs w:val="18"/>
    </w:rPr>
  </w:style>
  <w:style w:type="character" w:customStyle="1" w:styleId="51">
    <w:name w:val="ssss Char1"/>
    <w:link w:val="42"/>
    <w:qFormat/>
    <w:uiPriority w:val="0"/>
    <w:rPr>
      <w:rFonts w:ascii="Times New Roman" w:hAnsi="Times New Roman" w:eastAsia="宋体" w:cs="Times New Roman"/>
      <w:sz w:val="24"/>
      <w:szCs w:val="24"/>
    </w:rPr>
  </w:style>
  <w:style w:type="character" w:customStyle="1" w:styleId="52">
    <w:name w:val="文档结构图 Char1"/>
    <w:semiHidden/>
    <w:qFormat/>
    <w:uiPriority w:val="99"/>
    <w:rPr>
      <w:rFonts w:ascii="宋体" w:hAnsi="Times New Roman" w:eastAsia="宋体" w:cs="Times New Roman"/>
      <w:sz w:val="18"/>
      <w:szCs w:val="18"/>
    </w:rPr>
  </w:style>
  <w:style w:type="character" w:customStyle="1" w:styleId="53">
    <w:name w:val="标题 8 Char"/>
    <w:link w:val="10"/>
    <w:qFormat/>
    <w:uiPriority w:val="0"/>
    <w:rPr>
      <w:rFonts w:ascii="Arial" w:hAnsi="Arial" w:eastAsia="黑体" w:cs="Times New Roman"/>
      <w:sz w:val="24"/>
      <w:szCs w:val="24"/>
    </w:rPr>
  </w:style>
  <w:style w:type="character" w:customStyle="1" w:styleId="54">
    <w:name w:val="标题 7 Char"/>
    <w:link w:val="9"/>
    <w:qFormat/>
    <w:uiPriority w:val="0"/>
    <w:rPr>
      <w:rFonts w:ascii="Times New Roman" w:hAnsi="Times New Roman" w:eastAsia="宋体" w:cs="Times New Roman"/>
      <w:b/>
      <w:bCs/>
      <w:sz w:val="24"/>
      <w:szCs w:val="24"/>
    </w:rPr>
  </w:style>
  <w:style w:type="character" w:customStyle="1" w:styleId="55">
    <w:name w:val="正文文本 Char"/>
    <w:link w:val="15"/>
    <w:qFormat/>
    <w:uiPriority w:val="0"/>
    <w:rPr>
      <w:rFonts w:ascii="仿宋_GB2312" w:hAnsi="Times New Roman" w:eastAsia="仿宋_GB2312" w:cs="Times New Roman"/>
      <w:sz w:val="24"/>
      <w:szCs w:val="20"/>
    </w:rPr>
  </w:style>
  <w:style w:type="character" w:customStyle="1" w:styleId="56">
    <w:name w:val="标题 1 Char"/>
    <w:link w:val="2"/>
    <w:qFormat/>
    <w:uiPriority w:val="0"/>
    <w:rPr>
      <w:rFonts w:ascii="Times New Roman" w:hAnsi="Times New Roman" w:eastAsia="宋体" w:cs="Times New Roman"/>
      <w:b/>
      <w:bCs/>
      <w:kern w:val="44"/>
      <w:sz w:val="44"/>
      <w:szCs w:val="44"/>
    </w:rPr>
  </w:style>
  <w:style w:type="character" w:customStyle="1" w:styleId="57">
    <w:name w:val="ssss Char"/>
    <w:qFormat/>
    <w:uiPriority w:val="0"/>
    <w:rPr>
      <w:rFonts w:eastAsia="宋体"/>
      <w:kern w:val="2"/>
      <w:sz w:val="24"/>
      <w:szCs w:val="24"/>
      <w:lang w:val="en-US" w:eastAsia="zh-CN" w:bidi="ar-SA"/>
    </w:rPr>
  </w:style>
  <w:style w:type="character" w:customStyle="1" w:styleId="58">
    <w:name w:val="批注框文本 Char"/>
    <w:link w:val="20"/>
    <w:semiHidden/>
    <w:qFormat/>
    <w:uiPriority w:val="0"/>
    <w:rPr>
      <w:sz w:val="18"/>
      <w:szCs w:val="18"/>
    </w:rPr>
  </w:style>
  <w:style w:type="character" w:customStyle="1" w:styleId="59">
    <w:name w:val="正文缩进 Char"/>
    <w:link w:val="8"/>
    <w:qFormat/>
    <w:uiPriority w:val="0"/>
    <w:rPr>
      <w:rFonts w:ascii="Times New Roman" w:hAnsi="Times New Roman" w:eastAsia="宋体" w:cs="Times New Roman"/>
      <w:kern w:val="0"/>
      <w:sz w:val="20"/>
      <w:szCs w:val="20"/>
    </w:rPr>
  </w:style>
  <w:style w:type="character" w:customStyle="1" w:styleId="60">
    <w:name w:val="正文文本缩进 3 Char"/>
    <w:link w:val="25"/>
    <w:qFormat/>
    <w:uiPriority w:val="0"/>
    <w:rPr>
      <w:rFonts w:ascii="Times New Roman" w:hAnsi="Times New Roman" w:eastAsia="宋体" w:cs="Times New Roman"/>
      <w:sz w:val="16"/>
      <w:szCs w:val="16"/>
    </w:rPr>
  </w:style>
  <w:style w:type="character" w:customStyle="1" w:styleId="61">
    <w:name w:val="正文文本缩进 2 Char"/>
    <w:link w:val="19"/>
    <w:qFormat/>
    <w:uiPriority w:val="0"/>
    <w:rPr>
      <w:rFonts w:ascii="Times New Roman" w:hAnsi="Times New Roman" w:eastAsia="仿宋_GB2312" w:cs="Times New Roman"/>
      <w:sz w:val="28"/>
      <w:szCs w:val="20"/>
    </w:rPr>
  </w:style>
  <w:style w:type="character" w:customStyle="1" w:styleId="62">
    <w:name w:val="日期 Char"/>
    <w:link w:val="18"/>
    <w:qFormat/>
    <w:uiPriority w:val="0"/>
    <w:rPr>
      <w:rFonts w:ascii="Times New Roman" w:hAnsi="Times New Roman" w:eastAsia="宋体" w:cs="Times New Roman"/>
      <w:sz w:val="24"/>
      <w:szCs w:val="20"/>
    </w:rPr>
  </w:style>
  <w:style w:type="character" w:customStyle="1" w:styleId="63">
    <w:name w:val="页脚 Char"/>
    <w:link w:val="21"/>
    <w:qFormat/>
    <w:uiPriority w:val="99"/>
    <w:rPr>
      <w:rFonts w:ascii="Times New Roman" w:hAnsi="Times New Roman" w:eastAsia="宋体" w:cs="Times New Roman"/>
      <w:sz w:val="18"/>
      <w:szCs w:val="20"/>
    </w:rPr>
  </w:style>
  <w:style w:type="character" w:customStyle="1" w:styleId="64">
    <w:name w:val="标题 9 Char"/>
    <w:link w:val="11"/>
    <w:qFormat/>
    <w:uiPriority w:val="0"/>
    <w:rPr>
      <w:rFonts w:ascii="Arial" w:hAnsi="Arial" w:eastAsia="黑体" w:cs="Times New Roman"/>
      <w:sz w:val="24"/>
      <w:szCs w:val="21"/>
    </w:rPr>
  </w:style>
  <w:style w:type="character" w:customStyle="1" w:styleId="65">
    <w:name w:val="正文文本 2 Char"/>
    <w:link w:val="26"/>
    <w:qFormat/>
    <w:uiPriority w:val="0"/>
    <w:rPr>
      <w:rFonts w:ascii="Times New Roman" w:hAnsi="Times New Roman" w:eastAsia="宋体" w:cs="Times New Roman"/>
      <w:b/>
      <w:bCs/>
      <w:sz w:val="18"/>
      <w:szCs w:val="24"/>
    </w:rPr>
  </w:style>
  <w:style w:type="character" w:customStyle="1" w:styleId="66">
    <w:name w:val="纯文本 Char"/>
    <w:link w:val="17"/>
    <w:qFormat/>
    <w:uiPriority w:val="0"/>
    <w:rPr>
      <w:rFonts w:ascii="宋体" w:hAnsi="Courier New" w:eastAsia="宋体" w:cs="Courier New"/>
      <w:szCs w:val="21"/>
    </w:rPr>
  </w:style>
  <w:style w:type="character" w:customStyle="1" w:styleId="67">
    <w:name w:val="文档结构图 Char"/>
    <w:link w:val="12"/>
    <w:semiHidden/>
    <w:qFormat/>
    <w:uiPriority w:val="0"/>
    <w:rPr>
      <w:szCs w:val="24"/>
      <w:shd w:val="clear" w:color="auto" w:fill="000080"/>
    </w:rPr>
  </w:style>
  <w:style w:type="character" w:customStyle="1" w:styleId="68">
    <w:name w:val="页眉 Char"/>
    <w:link w:val="22"/>
    <w:qFormat/>
    <w:uiPriority w:val="0"/>
    <w:rPr>
      <w:rFonts w:ascii="Times New Roman" w:hAnsi="Times New Roman" w:eastAsia="宋体" w:cs="Times New Roman"/>
      <w:sz w:val="18"/>
      <w:szCs w:val="18"/>
    </w:rPr>
  </w:style>
  <w:style w:type="character" w:customStyle="1" w:styleId="69">
    <w:name w:val="正文文本 3 Char"/>
    <w:link w:val="14"/>
    <w:qFormat/>
    <w:uiPriority w:val="0"/>
    <w:rPr>
      <w:rFonts w:ascii="Times New Roman" w:hAnsi="Times New Roman" w:eastAsia="宋体" w:cs="Times New Roman"/>
      <w:sz w:val="16"/>
      <w:szCs w:val="16"/>
    </w:rPr>
  </w:style>
  <w:style w:type="character" w:customStyle="1" w:styleId="70">
    <w:name w:val="正文文本缩进 Char"/>
    <w:link w:val="16"/>
    <w:qFormat/>
    <w:uiPriority w:val="0"/>
    <w:rPr>
      <w:rFonts w:ascii="仿宋_GB2312" w:hAnsi="Times New Roman" w:eastAsia="仿宋_GB2312" w:cs="Times New Roman"/>
      <w:sz w:val="28"/>
      <w:szCs w:val="20"/>
    </w:rPr>
  </w:style>
  <w:style w:type="character" w:customStyle="1" w:styleId="71">
    <w:name w:val="标题 4 Char1"/>
    <w:qFormat/>
    <w:uiPriority w:val="0"/>
    <w:rPr>
      <w:rFonts w:ascii="Arial" w:hAnsi="Arial" w:eastAsia="黑体"/>
      <w:b/>
      <w:bCs/>
      <w:kern w:val="2"/>
      <w:sz w:val="28"/>
      <w:szCs w:val="28"/>
      <w:lang w:val="en-US" w:eastAsia="zh-CN" w:bidi="ar-SA"/>
    </w:rPr>
  </w:style>
  <w:style w:type="character" w:customStyle="1" w:styleId="72">
    <w:name w:val="标题 6 Char"/>
    <w:link w:val="7"/>
    <w:qFormat/>
    <w:uiPriority w:val="0"/>
    <w:rPr>
      <w:rFonts w:ascii="Times New Roman" w:hAnsi="Times New Roman" w:eastAsia="宋体" w:cs="Times New Roman"/>
      <w:b/>
      <w:sz w:val="44"/>
      <w:szCs w:val="20"/>
    </w:rPr>
  </w:style>
  <w:style w:type="character" w:customStyle="1" w:styleId="73">
    <w:name w:val="point_normal1"/>
    <w:qFormat/>
    <w:uiPriority w:val="0"/>
    <w:rPr>
      <w:rFonts w:hint="default" w:ascii="Arial" w:hAnsi="Arial" w:cs="Arial"/>
      <w:sz w:val="16"/>
      <w:szCs w:val="16"/>
    </w:rPr>
  </w:style>
  <w:style w:type="character" w:customStyle="1" w:styleId="74">
    <w:name w:val="标题 2 Char"/>
    <w:link w:val="3"/>
    <w:qFormat/>
    <w:uiPriority w:val="0"/>
    <w:rPr>
      <w:rFonts w:ascii="Arial" w:hAnsi="Arial" w:eastAsia="黑体" w:cs="Times New Roman"/>
      <w:b/>
      <w:bCs/>
      <w:sz w:val="32"/>
      <w:szCs w:val="32"/>
    </w:rPr>
  </w:style>
  <w:style w:type="character" w:customStyle="1" w:styleId="75">
    <w:name w:val="FA正文 Char"/>
    <w:link w:val="76"/>
    <w:qFormat/>
    <w:uiPriority w:val="0"/>
    <w:rPr>
      <w:rFonts w:ascii="宋体" w:hAnsi="宋体" w:eastAsia="宋体" w:cs="Times New Roman"/>
      <w:sz w:val="28"/>
      <w:szCs w:val="28"/>
    </w:rPr>
  </w:style>
  <w:style w:type="paragraph" w:customStyle="1" w:styleId="76">
    <w:name w:val="FA正文"/>
    <w:basedOn w:val="1"/>
    <w:link w:val="75"/>
    <w:qFormat/>
    <w:uiPriority w:val="0"/>
    <w:pPr>
      <w:tabs>
        <w:tab w:val="left" w:pos="3375"/>
      </w:tabs>
      <w:spacing w:line="440" w:lineRule="atLeast"/>
      <w:ind w:firstLine="538" w:firstLineChars="192"/>
    </w:pPr>
    <w:rPr>
      <w:rFonts w:ascii="宋体" w:hAnsi="宋体"/>
      <w:sz w:val="28"/>
      <w:szCs w:val="28"/>
    </w:rPr>
  </w:style>
  <w:style w:type="character" w:customStyle="1" w:styleId="77">
    <w:name w:val="标题 5 Char"/>
    <w:link w:val="6"/>
    <w:qFormat/>
    <w:uiPriority w:val="0"/>
    <w:rPr>
      <w:rFonts w:ascii="Times New Roman" w:hAnsi="Times New Roman" w:eastAsia="宋体" w:cs="Times New Roman"/>
      <w:b/>
      <w:bCs/>
      <w:sz w:val="28"/>
      <w:szCs w:val="28"/>
    </w:rPr>
  </w:style>
  <w:style w:type="paragraph" w:customStyle="1" w:styleId="78">
    <w:name w:val="Char"/>
    <w:basedOn w:val="1"/>
    <w:qFormat/>
    <w:uiPriority w:val="0"/>
    <w:rPr>
      <w:rFonts w:ascii="Tahoma" w:hAnsi="Tahoma"/>
      <w:sz w:val="24"/>
      <w:szCs w:val="20"/>
    </w:rPr>
  </w:style>
  <w:style w:type="paragraph" w:customStyle="1" w:styleId="79">
    <w:name w:val="Char Char Char Char"/>
    <w:basedOn w:val="1"/>
    <w:qFormat/>
    <w:uiPriority w:val="0"/>
    <w:rPr>
      <w:rFonts w:ascii="Tahoma" w:hAnsi="Tahoma"/>
      <w:sz w:val="24"/>
      <w:szCs w:val="20"/>
    </w:rPr>
  </w:style>
  <w:style w:type="paragraph" w:customStyle="1" w:styleId="80">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Char Char Char Char1"/>
    <w:basedOn w:val="1"/>
    <w:qFormat/>
    <w:uiPriority w:val="0"/>
    <w:rPr>
      <w:rFonts w:ascii="Tahoma" w:hAnsi="Tahoma"/>
      <w:sz w:val="24"/>
      <w:szCs w:val="20"/>
    </w:rPr>
  </w:style>
  <w:style w:type="paragraph" w:customStyle="1" w:styleId="82">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表格"/>
    <w:basedOn w:val="1"/>
    <w:qFormat/>
    <w:uiPriority w:val="0"/>
    <w:rPr>
      <w:rFonts w:ascii="Arial" w:hAnsi="Arial"/>
      <w:sz w:val="24"/>
    </w:rPr>
  </w:style>
  <w:style w:type="paragraph" w:customStyle="1" w:styleId="84">
    <w:name w:val="Char Char Char Char Char Char Char Char Char Char Char Char Char"/>
    <w:basedOn w:val="1"/>
    <w:qFormat/>
    <w:uiPriority w:val="0"/>
  </w:style>
  <w:style w:type="paragraph" w:customStyle="1" w:styleId="85">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6">
    <w:name w:val="Char Char Char Char Char Char Char Char Char Char"/>
    <w:basedOn w:val="1"/>
    <w:qFormat/>
    <w:uiPriority w:val="0"/>
    <w:rPr>
      <w:rFonts w:ascii="Tahoma" w:hAnsi="Tahoma"/>
      <w:sz w:val="24"/>
      <w:szCs w:val="20"/>
    </w:rPr>
  </w:style>
  <w:style w:type="paragraph" w:customStyle="1" w:styleId="87">
    <w:name w:val="Char Char Char"/>
    <w:basedOn w:val="1"/>
    <w:qFormat/>
    <w:uiPriority w:val="0"/>
    <w:rPr>
      <w:rFonts w:ascii="Tahoma" w:hAnsi="Tahoma"/>
      <w:sz w:val="24"/>
      <w:szCs w:val="20"/>
    </w:rPr>
  </w:style>
  <w:style w:type="paragraph" w:customStyle="1" w:styleId="8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标题-----3"/>
    <w:basedOn w:val="4"/>
    <w:qFormat/>
    <w:uiPriority w:val="0"/>
    <w:pPr>
      <w:spacing w:before="0" w:after="0" w:line="240" w:lineRule="auto"/>
      <w:outlineLvl w:val="0"/>
    </w:pPr>
    <w:rPr>
      <w:rFonts w:ascii="宋体" w:hAnsi="宋体"/>
      <w:b w:val="0"/>
      <w:bCs w:val="0"/>
      <w:sz w:val="28"/>
      <w:szCs w:val="28"/>
    </w:rPr>
  </w:style>
  <w:style w:type="paragraph" w:customStyle="1" w:styleId="9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Char1"/>
    <w:basedOn w:val="1"/>
    <w:qFormat/>
    <w:uiPriority w:val="0"/>
    <w:pPr>
      <w:tabs>
        <w:tab w:val="left" w:pos="360"/>
      </w:tabs>
    </w:pPr>
    <w:rPr>
      <w:sz w:val="24"/>
    </w:rPr>
  </w:style>
  <w:style w:type="paragraph" w:customStyle="1" w:styleId="92">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93">
    <w:name w:val="正文样式1"/>
    <w:basedOn w:val="1"/>
    <w:qFormat/>
    <w:uiPriority w:val="0"/>
    <w:pPr>
      <w:spacing w:before="120" w:after="120" w:line="360" w:lineRule="auto"/>
      <w:ind w:firstLine="480" w:firstLineChars="200"/>
    </w:pPr>
    <w:rPr>
      <w:sz w:val="24"/>
      <w:szCs w:val="20"/>
    </w:rPr>
  </w:style>
  <w:style w:type="paragraph" w:customStyle="1" w:styleId="94">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95">
    <w:name w:val="样式 样式 ssss + 宋体 五号 + 首行缩进:  2 字符"/>
    <w:basedOn w:val="96"/>
    <w:qFormat/>
    <w:uiPriority w:val="0"/>
    <w:pPr>
      <w:ind w:firstLine="480"/>
    </w:pPr>
  </w:style>
  <w:style w:type="paragraph" w:customStyle="1" w:styleId="96">
    <w:name w:val="样式 ssss + 宋体 五号"/>
    <w:basedOn w:val="42"/>
    <w:qFormat/>
    <w:uiPriority w:val="0"/>
    <w:pPr>
      <w:ind w:firstLine="420"/>
    </w:pPr>
    <w:rPr>
      <w:rFonts w:ascii="宋体" w:hAnsi="宋体" w:cs="宋体"/>
      <w:szCs w:val="20"/>
    </w:rPr>
  </w:style>
  <w:style w:type="paragraph" w:customStyle="1" w:styleId="97">
    <w:name w:val="样式 ssss + 居中"/>
    <w:basedOn w:val="42"/>
    <w:qFormat/>
    <w:uiPriority w:val="0"/>
    <w:pPr>
      <w:jc w:val="center"/>
    </w:pPr>
    <w:rPr>
      <w:rFonts w:cs="宋体"/>
      <w:szCs w:val="20"/>
    </w:rPr>
  </w:style>
  <w:style w:type="paragraph" w:customStyle="1" w:styleId="98">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0">
    <w:name w:val="样式 正文文本缩进 3 + 四号"/>
    <w:basedOn w:val="25"/>
    <w:qFormat/>
    <w:uiPriority w:val="0"/>
    <w:pPr>
      <w:spacing w:after="0" w:line="360" w:lineRule="auto"/>
      <w:ind w:left="0" w:leftChars="0" w:firstLine="437"/>
    </w:pPr>
    <w:rPr>
      <w:sz w:val="24"/>
      <w:szCs w:val="21"/>
    </w:rPr>
  </w:style>
  <w:style w:type="paragraph" w:customStyle="1" w:styleId="101">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02">
    <w:name w:val="Char Char Char Char Char Char Char Char Char Char Char Char Char1"/>
    <w:basedOn w:val="1"/>
    <w:qFormat/>
    <w:uiPriority w:val="0"/>
    <w:rPr>
      <w:sz w:val="24"/>
    </w:rPr>
  </w:style>
  <w:style w:type="paragraph" w:customStyle="1" w:styleId="103">
    <w:name w:val="标题------4"/>
    <w:basedOn w:val="5"/>
    <w:qFormat/>
    <w:uiPriority w:val="0"/>
    <w:pPr>
      <w:keepLines/>
      <w:spacing w:line="360" w:lineRule="auto"/>
      <w:ind w:left="960" w:hanging="420"/>
      <w:jc w:val="both"/>
    </w:pPr>
    <w:rPr>
      <w:rFonts w:ascii="仿宋_GB2312" w:hAnsi="宋体" w:eastAsia="仿宋_GB2312" w:cs="仿宋_GB2312"/>
      <w:b/>
      <w:kern w:val="0"/>
      <w:sz w:val="28"/>
      <w:szCs w:val="28"/>
      <w:lang w:val="zh-CN"/>
    </w:rPr>
  </w:style>
  <w:style w:type="paragraph" w:customStyle="1" w:styleId="104">
    <w:name w:val="Header2"/>
    <w:basedOn w:val="1"/>
    <w:qFormat/>
    <w:uiPriority w:val="0"/>
    <w:pPr>
      <w:tabs>
        <w:tab w:val="left" w:pos="480"/>
      </w:tabs>
      <w:ind w:left="480" w:hanging="480"/>
    </w:pPr>
  </w:style>
  <w:style w:type="paragraph" w:customStyle="1" w:styleId="105">
    <w:name w:val="Char Char 字元 字元 字元 Char Char Char Char"/>
    <w:basedOn w:val="1"/>
    <w:qFormat/>
    <w:uiPriority w:val="0"/>
    <w:pPr>
      <w:adjustRightInd w:val="0"/>
      <w:spacing w:line="360" w:lineRule="auto"/>
    </w:pPr>
    <w:rPr>
      <w:kern w:val="0"/>
      <w:sz w:val="24"/>
      <w:szCs w:val="20"/>
    </w:rPr>
  </w:style>
  <w:style w:type="paragraph" w:customStyle="1" w:styleId="10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107">
    <w:name w:val="List Paragraph"/>
    <w:basedOn w:val="1"/>
    <w:qFormat/>
    <w:uiPriority w:val="99"/>
    <w:pPr>
      <w:ind w:firstLine="420" w:firstLineChars="200"/>
    </w:pPr>
  </w:style>
  <w:style w:type="paragraph" w:customStyle="1" w:styleId="108">
    <w:name w:val="正文缩进4格"/>
    <w:basedOn w:val="49"/>
    <w:qFormat/>
    <w:uiPriority w:val="0"/>
    <w:pPr>
      <w:ind w:left="2" w:firstLine="692" w:firstLineChars="192"/>
    </w:pPr>
    <w:rPr>
      <w:b/>
      <w:sz w:val="36"/>
      <w:szCs w:val="36"/>
    </w:rPr>
  </w:style>
  <w:style w:type="paragraph" w:customStyle="1" w:styleId="109">
    <w:name w:val="正文缩进6格"/>
    <w:basedOn w:val="108"/>
    <w:qFormat/>
    <w:uiPriority w:val="0"/>
    <w:pPr>
      <w:ind w:left="1758" w:leftChars="854"/>
    </w:pPr>
  </w:style>
  <w:style w:type="character" w:customStyle="1" w:styleId="110">
    <w:name w:val="批注文字 Char"/>
    <w:basedOn w:val="33"/>
    <w:link w:val="13"/>
    <w:semiHidden/>
    <w:qFormat/>
    <w:uiPriority w:val="99"/>
    <w:rPr>
      <w:kern w:val="2"/>
      <w:sz w:val="21"/>
      <w:szCs w:val="24"/>
    </w:rPr>
  </w:style>
  <w:style w:type="character" w:customStyle="1" w:styleId="111">
    <w:name w:val="批注主题 Char"/>
    <w:basedOn w:val="110"/>
    <w:link w:val="28"/>
    <w:semiHidden/>
    <w:qFormat/>
    <w:uiPriority w:val="99"/>
    <w:rPr>
      <w:b/>
      <w:bCs/>
      <w:kern w:val="2"/>
      <w:sz w:val="21"/>
      <w:szCs w:val="24"/>
    </w:rPr>
  </w:style>
  <w:style w:type="character" w:customStyle="1" w:styleId="112">
    <w:name w:val="正文首行缩进 2 Char"/>
    <w:basedOn w:val="70"/>
    <w:link w:val="30"/>
    <w:semiHidden/>
    <w:qFormat/>
    <w:uiPriority w:val="99"/>
    <w:rPr>
      <w:kern w:val="2"/>
      <w:sz w:val="21"/>
      <w:szCs w:val="24"/>
    </w:rPr>
  </w:style>
  <w:style w:type="paragraph" w:customStyle="1" w:styleId="113">
    <w:name w:val="纯文本2"/>
    <w:basedOn w:val="1"/>
    <w:qFormat/>
    <w:uiPriority w:val="0"/>
    <w:rPr>
      <w:rFonts w:ascii="宋体" w:hAnsi="Courier New"/>
      <w:sz w:val="28"/>
    </w:rPr>
  </w:style>
  <w:style w:type="paragraph" w:customStyle="1" w:styleId="114">
    <w:name w:val="样式 标题 2 + 黑色 行距: 1.5 倍行距"/>
    <w:basedOn w:val="3"/>
    <w:qFormat/>
    <w:uiPriority w:val="99"/>
    <w:pPr>
      <w:spacing w:line="360" w:lineRule="auto"/>
      <w:ind w:firstLine="3502" w:firstLineChars="1246"/>
    </w:pPr>
    <w:rPr>
      <w:rFonts w:ascii="楷体_GB2312" w:hAnsi="宋体" w:eastAsia="楷体_GB2312" w:cs="仿宋_GB2312"/>
      <w:sz w:val="28"/>
      <w:szCs w:val="28"/>
    </w:rPr>
  </w:style>
  <w:style w:type="paragraph" w:customStyle="1" w:styleId="115">
    <w:name w:val="ZX-正文"/>
    <w:qFormat/>
    <w:uiPriority w:val="0"/>
    <w:pPr>
      <w:spacing w:beforeLines="50"/>
      <w:ind w:firstLine="480" w:firstLineChars="200"/>
    </w:pPr>
    <w:rPr>
      <w:rFonts w:ascii="Trebuchet MS" w:hAnsi="FuturaA Bk BT" w:eastAsia="宋体" w:cs="Times New Roman"/>
      <w:sz w:val="24"/>
      <w:lang w:val="en-US" w:eastAsia="zh-CN" w:bidi="ar-SA"/>
    </w:rPr>
  </w:style>
  <w:style w:type="paragraph" w:customStyle="1" w:styleId="116">
    <w:name w:val="正文A"/>
    <w:uiPriority w:val="0"/>
    <w:pPr>
      <w:tabs>
        <w:tab w:val="left" w:pos="0"/>
      </w:tabs>
      <w:adjustRightInd w:val="0"/>
      <w:spacing w:before="120" w:line="360" w:lineRule="auto"/>
      <w:ind w:firstLine="480" w:firstLineChars="200"/>
      <w:jc w:val="both"/>
    </w:pPr>
    <w:rPr>
      <w:rFonts w:ascii="Times New Roman" w:hAnsi="Times New Roman" w:eastAsia="宋体" w:cs="Times New Roman"/>
      <w:snapToGrid w:val="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20FCC-941B-4CFD-9CA9-62048A8F27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4745</Words>
  <Characters>27051</Characters>
  <Lines>225</Lines>
  <Paragraphs>63</Paragraphs>
  <TotalTime>0</TotalTime>
  <ScaleCrop>false</ScaleCrop>
  <LinksUpToDate>false</LinksUpToDate>
  <CharactersWithSpaces>31733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2020-01-07T02:57:00Z</dcterms:created>
  <dc:creator>User</dc:creator>
  <cp:lastModifiedBy>Qhf</cp:lastModifiedBy>
  <cp:lastPrinted>2019-05-10T07:58:00Z</cp:lastPrinted>
  <dcterms:modified xsi:type="dcterms:W3CDTF">2020-09-11T02:58:28Z</dcterms:modified>
  <dc:title>南通市Ⅹ项目</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