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AE" w:rsidRPr="0090267E" w:rsidRDefault="004B17AE" w:rsidP="0090267E">
      <w:pPr>
        <w:pStyle w:val="1"/>
        <w:rPr>
          <w:rFonts w:ascii="Times New Roman" w:hAnsi="Times New Roman" w:cs="Times New Roman"/>
          <w:sz w:val="40"/>
          <w:szCs w:val="40"/>
        </w:rPr>
      </w:pPr>
      <w:r>
        <w:t>2018</w:t>
      </w:r>
      <w:r>
        <w:rPr>
          <w:rFonts w:cs="方正小标宋_GBK" w:hint="eastAsia"/>
        </w:rPr>
        <w:t>年度南通市交通运输局工作计划</w:t>
      </w:r>
    </w:p>
    <w:tbl>
      <w:tblPr>
        <w:tblW w:w="93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073"/>
        <w:gridCol w:w="647"/>
        <w:gridCol w:w="647"/>
        <w:gridCol w:w="4705"/>
        <w:gridCol w:w="615"/>
        <w:gridCol w:w="615"/>
      </w:tblGrid>
      <w:tr w:rsidR="004B17AE" w:rsidRPr="00511A16">
        <w:trPr>
          <w:trHeight w:val="20"/>
          <w:tblHeader/>
          <w:jc w:val="center"/>
        </w:trPr>
        <w:tc>
          <w:tcPr>
            <w:tcW w:w="2073" w:type="dxa"/>
            <w:tcBorders>
              <w:top w:val="single" w:sz="12" w:space="0" w:color="auto"/>
            </w:tcBorders>
            <w:vAlign w:val="center"/>
          </w:tcPr>
          <w:p w:rsidR="004B17AE" w:rsidRDefault="004B17AE">
            <w:pPr>
              <w:widowControl/>
              <w:spacing w:line="240" w:lineRule="auto"/>
              <w:jc w:val="center"/>
              <w:rPr>
                <w:rFonts w:ascii="Times New Roman" w:eastAsia="黑体" w:hAnsi="Times New Roman" w:cs="Times New Roman"/>
                <w:spacing w:val="1"/>
                <w:sz w:val="18"/>
                <w:szCs w:val="18"/>
              </w:rPr>
            </w:pPr>
            <w:r>
              <w:rPr>
                <w:rFonts w:ascii="Times New Roman" w:eastAsia="黑体" w:hAnsi="Times New Roman" w:cs="黑体" w:hint="eastAsia"/>
                <w:spacing w:val="1"/>
                <w:sz w:val="18"/>
                <w:szCs w:val="18"/>
              </w:rPr>
              <w:t>部门职责</w:t>
            </w:r>
          </w:p>
        </w:tc>
        <w:tc>
          <w:tcPr>
            <w:tcW w:w="647" w:type="dxa"/>
            <w:tcBorders>
              <w:top w:val="single" w:sz="12" w:space="0" w:color="auto"/>
            </w:tcBorders>
            <w:vAlign w:val="center"/>
          </w:tcPr>
          <w:p w:rsidR="004B17AE" w:rsidRDefault="004B17AE">
            <w:pPr>
              <w:widowControl/>
              <w:spacing w:line="240" w:lineRule="auto"/>
              <w:jc w:val="center"/>
              <w:rPr>
                <w:rFonts w:ascii="Times New Roman" w:eastAsia="黑体" w:hAnsi="Times New Roman" w:cs="Times New Roman"/>
                <w:spacing w:val="1"/>
                <w:sz w:val="18"/>
                <w:szCs w:val="18"/>
              </w:rPr>
            </w:pPr>
            <w:r>
              <w:rPr>
                <w:rFonts w:ascii="Times New Roman" w:eastAsia="黑体" w:hAnsi="Times New Roman" w:cs="黑体" w:hint="eastAsia"/>
                <w:spacing w:val="1"/>
                <w:sz w:val="18"/>
                <w:szCs w:val="18"/>
              </w:rPr>
              <w:t>目标分类</w:t>
            </w:r>
          </w:p>
        </w:tc>
        <w:tc>
          <w:tcPr>
            <w:tcW w:w="647" w:type="dxa"/>
            <w:tcBorders>
              <w:top w:val="single" w:sz="12" w:space="0" w:color="auto"/>
            </w:tcBorders>
            <w:vAlign w:val="center"/>
          </w:tcPr>
          <w:p w:rsidR="004B17AE" w:rsidRDefault="004B17AE">
            <w:pPr>
              <w:widowControl/>
              <w:spacing w:line="240" w:lineRule="auto"/>
              <w:jc w:val="center"/>
              <w:rPr>
                <w:rFonts w:ascii="Times New Roman" w:eastAsia="黑体" w:hAnsi="Times New Roman" w:cs="Times New Roman"/>
                <w:spacing w:val="1"/>
                <w:sz w:val="18"/>
                <w:szCs w:val="18"/>
              </w:rPr>
            </w:pPr>
            <w:r>
              <w:rPr>
                <w:rFonts w:ascii="Times New Roman" w:eastAsia="黑体" w:hAnsi="Times New Roman" w:cs="黑体" w:hint="eastAsia"/>
                <w:spacing w:val="1"/>
                <w:sz w:val="18"/>
                <w:szCs w:val="18"/>
              </w:rPr>
              <w:t>序号</w:t>
            </w:r>
          </w:p>
        </w:tc>
        <w:tc>
          <w:tcPr>
            <w:tcW w:w="4705" w:type="dxa"/>
            <w:tcBorders>
              <w:top w:val="single" w:sz="12" w:space="0" w:color="auto"/>
            </w:tcBorders>
            <w:vAlign w:val="center"/>
          </w:tcPr>
          <w:p w:rsidR="004B17AE" w:rsidRDefault="004B17AE">
            <w:pPr>
              <w:widowControl/>
              <w:spacing w:line="240" w:lineRule="auto"/>
              <w:jc w:val="center"/>
              <w:rPr>
                <w:rFonts w:ascii="Times New Roman" w:eastAsia="黑体" w:hAnsi="Times New Roman" w:cs="Times New Roman"/>
                <w:spacing w:val="1"/>
                <w:sz w:val="18"/>
                <w:szCs w:val="18"/>
              </w:rPr>
            </w:pPr>
            <w:r>
              <w:rPr>
                <w:rFonts w:ascii="Times New Roman" w:eastAsia="黑体" w:hAnsi="Times New Roman" w:cs="黑体" w:hint="eastAsia"/>
                <w:spacing w:val="1"/>
                <w:sz w:val="18"/>
                <w:szCs w:val="18"/>
              </w:rPr>
              <w:t>目标内容</w:t>
            </w:r>
          </w:p>
        </w:tc>
        <w:tc>
          <w:tcPr>
            <w:tcW w:w="615" w:type="dxa"/>
            <w:tcBorders>
              <w:top w:val="single" w:sz="12" w:space="0" w:color="auto"/>
            </w:tcBorders>
            <w:vAlign w:val="center"/>
          </w:tcPr>
          <w:p w:rsidR="004B17AE" w:rsidRDefault="004B17AE">
            <w:pPr>
              <w:widowControl/>
              <w:spacing w:line="240" w:lineRule="auto"/>
              <w:jc w:val="center"/>
              <w:rPr>
                <w:rFonts w:ascii="Times New Roman" w:eastAsia="黑体" w:hAnsi="Times New Roman" w:cs="Times New Roman"/>
                <w:spacing w:val="1"/>
                <w:sz w:val="18"/>
                <w:szCs w:val="18"/>
              </w:rPr>
            </w:pPr>
            <w:r>
              <w:rPr>
                <w:rFonts w:ascii="Times New Roman" w:eastAsia="黑体" w:hAnsi="Times New Roman" w:cs="黑体" w:hint="eastAsia"/>
                <w:spacing w:val="1"/>
                <w:sz w:val="18"/>
                <w:szCs w:val="18"/>
              </w:rPr>
              <w:t>标准分值</w:t>
            </w:r>
          </w:p>
        </w:tc>
        <w:tc>
          <w:tcPr>
            <w:tcW w:w="615" w:type="dxa"/>
            <w:tcBorders>
              <w:top w:val="single" w:sz="12" w:space="0" w:color="auto"/>
            </w:tcBorders>
            <w:vAlign w:val="center"/>
          </w:tcPr>
          <w:p w:rsidR="004B17AE" w:rsidRDefault="004B17AE">
            <w:pPr>
              <w:widowControl/>
              <w:spacing w:line="240" w:lineRule="auto"/>
              <w:jc w:val="center"/>
              <w:rPr>
                <w:rFonts w:ascii="Times New Roman" w:eastAsia="黑体" w:hAnsi="Times New Roman" w:cs="Times New Roman"/>
                <w:spacing w:val="1"/>
                <w:sz w:val="18"/>
                <w:szCs w:val="18"/>
              </w:rPr>
            </w:pPr>
            <w:r>
              <w:rPr>
                <w:rFonts w:ascii="Times New Roman" w:eastAsia="黑体" w:hAnsi="Times New Roman" w:cs="黑体" w:hint="eastAsia"/>
                <w:spacing w:val="1"/>
                <w:sz w:val="18"/>
                <w:szCs w:val="18"/>
              </w:rPr>
              <w:t>完成时限</w:t>
            </w:r>
          </w:p>
        </w:tc>
      </w:tr>
      <w:tr w:rsidR="004B17AE" w:rsidRPr="00511A16">
        <w:trPr>
          <w:trHeight w:val="933"/>
          <w:jc w:val="center"/>
        </w:trPr>
        <w:tc>
          <w:tcPr>
            <w:tcW w:w="2073" w:type="dxa"/>
            <w:vMerge w:val="restart"/>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组织实施国家、省重点和大中型公路水路工程建设；负责全市公路、航道等交通基础设施的规划、建设、养护等。</w:t>
            </w:r>
          </w:p>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承担全市道路、水路运输市场监管责任。承担城市客运管理及出租汽车行业管理工作。指导交通运输枢纽管理工作。</w:t>
            </w:r>
          </w:p>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负责实施交通行政执法和交通行政审批工作。</w:t>
            </w:r>
          </w:p>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负责交通行业利用外资、国际交流与合作工作。</w:t>
            </w:r>
          </w:p>
        </w:tc>
        <w:tc>
          <w:tcPr>
            <w:tcW w:w="647" w:type="dxa"/>
            <w:vMerge w:val="restart"/>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重点工作目标</w:t>
            </w: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1</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加快宁通高速扩容、南通绕城高速前期工作，力争早日开工建设。加快推进南通至通州湾高速、南通火车站综合枢纽等前期规划研究。有序开展沿江公路改扩建前期工作。</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10</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2085"/>
          <w:jc w:val="center"/>
        </w:trPr>
        <w:tc>
          <w:tcPr>
            <w:tcW w:w="2073" w:type="dxa"/>
            <w:vMerge/>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2</w:t>
            </w: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2</w:t>
            </w:r>
          </w:p>
        </w:tc>
        <w:tc>
          <w:tcPr>
            <w:tcW w:w="4705" w:type="dxa"/>
            <w:vAlign w:val="center"/>
          </w:tcPr>
          <w:p w:rsidR="004B17AE" w:rsidRPr="00B120ED" w:rsidRDefault="004B17AE" w:rsidP="004B17AE">
            <w:pPr>
              <w:widowControl/>
              <w:spacing w:line="240" w:lineRule="auto"/>
              <w:ind w:firstLineChars="200" w:firstLine="31680"/>
              <w:rPr>
                <w:rFonts w:ascii="Times New Roman" w:eastAsia="宋体" w:hAnsi="Times New Roman" w:cs="Times New Roman"/>
                <w:spacing w:val="1"/>
                <w:sz w:val="18"/>
                <w:szCs w:val="18"/>
              </w:rPr>
            </w:pPr>
            <w:r w:rsidRPr="00B120ED">
              <w:rPr>
                <w:rFonts w:ascii="Times New Roman" w:eastAsia="宋体" w:hAnsi="Times New Roman" w:cs="宋体" w:hint="eastAsia"/>
                <w:spacing w:val="1"/>
                <w:sz w:val="18"/>
                <w:szCs w:val="18"/>
              </w:rPr>
              <w:t>加快海启高速、锡通高速北接线建设。加快干线公路建设，完成</w:t>
            </w:r>
            <w:r w:rsidRPr="00B120ED">
              <w:rPr>
                <w:rFonts w:ascii="Times New Roman" w:eastAsia="宋体" w:hAnsi="Times New Roman" w:cs="Times New Roman"/>
                <w:spacing w:val="1"/>
                <w:sz w:val="18"/>
                <w:szCs w:val="18"/>
              </w:rPr>
              <w:t>S353</w:t>
            </w:r>
            <w:r w:rsidRPr="00B120ED">
              <w:rPr>
                <w:rFonts w:ascii="Times New Roman" w:eastAsia="宋体" w:hAnsi="Times New Roman" w:cs="宋体" w:hint="eastAsia"/>
                <w:spacing w:val="1"/>
                <w:sz w:val="18"/>
                <w:szCs w:val="18"/>
              </w:rPr>
              <w:t>海安段、临海公路滨海园区段竣工验收。加快航道基础设施建设，建成通扬线九圩港复线船闸，加快通扬线海安段建设，推进通扬线市区段、如皋段前期工作。全面开展品质工程示范创建，提升工程建管水平，加强工程建设领域的科技攻关和新技术运用，加强国省干线公路、航道管养，优化通行环境。</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20</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1182"/>
          <w:jc w:val="center"/>
        </w:trPr>
        <w:tc>
          <w:tcPr>
            <w:tcW w:w="2073" w:type="dxa"/>
            <w:vMerge/>
            <w:vAlign w:val="center"/>
          </w:tcPr>
          <w:p w:rsidR="004B17AE" w:rsidRDefault="004B17AE" w:rsidP="004B17AE">
            <w:pPr>
              <w:ind w:firstLineChars="200" w:firstLine="31680"/>
              <w:jc w:val="left"/>
              <w:rPr>
                <w:rFonts w:ascii="Times New Roman" w:eastAsia="宋体" w:hAnsi="Times New Roman" w:cs="Times New Roman"/>
                <w:spacing w:val="1"/>
                <w:sz w:val="18"/>
                <w:szCs w:val="18"/>
              </w:rPr>
            </w:pP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3</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创建全省首批“四好农村路”示范市，实施农村公路提档升级</w:t>
            </w:r>
            <w:r>
              <w:rPr>
                <w:rFonts w:ascii="Times New Roman" w:eastAsia="宋体" w:hAnsi="Times New Roman" w:cs="Times New Roman"/>
                <w:spacing w:val="1"/>
                <w:sz w:val="18"/>
                <w:szCs w:val="18"/>
              </w:rPr>
              <w:t>800</w:t>
            </w:r>
            <w:r>
              <w:rPr>
                <w:rFonts w:ascii="Times New Roman" w:eastAsia="宋体" w:hAnsi="Times New Roman" w:cs="宋体" w:hint="eastAsia"/>
                <w:spacing w:val="1"/>
                <w:sz w:val="18"/>
                <w:szCs w:val="18"/>
              </w:rPr>
              <w:t>公里、农桥</w:t>
            </w:r>
            <w:r>
              <w:rPr>
                <w:rFonts w:ascii="Times New Roman" w:eastAsia="宋体" w:hAnsi="Times New Roman" w:cs="Times New Roman"/>
                <w:spacing w:val="1"/>
                <w:sz w:val="18"/>
                <w:szCs w:val="18"/>
              </w:rPr>
              <w:t>150</w:t>
            </w:r>
            <w:r>
              <w:rPr>
                <w:rFonts w:ascii="Times New Roman" w:eastAsia="宋体" w:hAnsi="Times New Roman" w:cs="宋体" w:hint="eastAsia"/>
                <w:spacing w:val="1"/>
                <w:sz w:val="18"/>
                <w:szCs w:val="18"/>
              </w:rPr>
              <w:t>座，海安、如皋、如东、通州、启东创建省级四好农村路示范县，海门巩固全国四好农村路示范县创建成果，全市行政村双车道四级公路覆盖率达到</w:t>
            </w:r>
            <w:r>
              <w:rPr>
                <w:rFonts w:ascii="Times New Roman" w:eastAsia="宋体" w:hAnsi="Times New Roman" w:cs="Times New Roman"/>
                <w:spacing w:val="1"/>
                <w:sz w:val="18"/>
                <w:szCs w:val="18"/>
              </w:rPr>
              <w:t>100%</w:t>
            </w:r>
            <w:r>
              <w:rPr>
                <w:rFonts w:ascii="Times New Roman" w:eastAsia="宋体" w:hAnsi="Times New Roman" w:cs="宋体" w:hint="eastAsia"/>
                <w:spacing w:val="1"/>
                <w:sz w:val="18"/>
                <w:szCs w:val="18"/>
              </w:rPr>
              <w:t>，镇村公交覆盖率达到</w:t>
            </w:r>
            <w:r>
              <w:rPr>
                <w:rFonts w:ascii="Times New Roman" w:eastAsia="宋体" w:hAnsi="Times New Roman" w:cs="Times New Roman"/>
                <w:spacing w:val="1"/>
                <w:sz w:val="18"/>
                <w:szCs w:val="18"/>
              </w:rPr>
              <w:t>100%</w:t>
            </w:r>
            <w:r>
              <w:rPr>
                <w:rFonts w:ascii="Times New Roman" w:eastAsia="宋体" w:hAnsi="Times New Roman" w:cs="宋体" w:hint="eastAsia"/>
                <w:spacing w:val="1"/>
                <w:sz w:val="18"/>
                <w:szCs w:val="18"/>
              </w:rPr>
              <w:t>。</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10</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1852"/>
          <w:jc w:val="center"/>
        </w:trPr>
        <w:tc>
          <w:tcPr>
            <w:tcW w:w="2073" w:type="dxa"/>
            <w:vMerge/>
            <w:vAlign w:val="center"/>
          </w:tcPr>
          <w:p w:rsidR="004B17AE" w:rsidRDefault="004B17AE" w:rsidP="004B17AE">
            <w:pPr>
              <w:ind w:firstLineChars="200" w:firstLine="31680"/>
              <w:jc w:val="left"/>
              <w:rPr>
                <w:rFonts w:ascii="Times New Roman" w:eastAsia="宋体" w:hAnsi="Times New Roman" w:cs="Times New Roman"/>
                <w:spacing w:val="1"/>
                <w:sz w:val="18"/>
                <w:szCs w:val="18"/>
              </w:rPr>
            </w:pP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4</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负责交通干线沿线环境综合整治、公路超限超载治理等专项工作。编制并推进实施内河港口和船舶污染物接收转运及处置设施建设方案、防治船舶及其有关作业活动污染水域环境应急能力建设规划，参与完成</w:t>
            </w:r>
            <w:r>
              <w:rPr>
                <w:rFonts w:ascii="Times New Roman" w:eastAsia="宋体" w:hAnsi="Times New Roman" w:cs="Times New Roman"/>
                <w:spacing w:val="1"/>
                <w:sz w:val="18"/>
                <w:szCs w:val="18"/>
              </w:rPr>
              <w:t>263</w:t>
            </w:r>
            <w:r>
              <w:rPr>
                <w:rFonts w:ascii="Times New Roman" w:eastAsia="宋体" w:hAnsi="Times New Roman" w:cs="宋体" w:hint="eastAsia"/>
                <w:spacing w:val="1"/>
                <w:sz w:val="18"/>
                <w:szCs w:val="18"/>
              </w:rPr>
              <w:t>、河长制、长江经济带生态环保审计等交办工作。加强汽车维修检测污染防控，加快推广使用新能源汽车，严格船舶燃油使用标准，全面完成绿色循环低碳交通运输发展各项年度目标任务。</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5</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1867"/>
          <w:jc w:val="center"/>
        </w:trPr>
        <w:tc>
          <w:tcPr>
            <w:tcW w:w="2073" w:type="dxa"/>
            <w:vMerge/>
            <w:vAlign w:val="center"/>
          </w:tcPr>
          <w:p w:rsidR="004B17AE" w:rsidRDefault="004B17AE" w:rsidP="004B17AE">
            <w:pPr>
              <w:ind w:firstLineChars="200" w:firstLine="31680"/>
              <w:jc w:val="left"/>
              <w:rPr>
                <w:rFonts w:ascii="Times New Roman" w:eastAsia="宋体" w:hAnsi="Times New Roman" w:cs="Times New Roman"/>
                <w:spacing w:val="1"/>
                <w:sz w:val="18"/>
                <w:szCs w:val="18"/>
              </w:rPr>
            </w:pP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5</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围绕打造全省一流公交优先示范城市目标，推进公交优先发展，完成《南通市区公交线网规划》编制。市区新辟公交线路</w:t>
            </w:r>
            <w:r>
              <w:rPr>
                <w:rFonts w:ascii="Times New Roman" w:eastAsia="宋体" w:hAnsi="Times New Roman" w:cs="Times New Roman"/>
                <w:spacing w:val="1"/>
                <w:sz w:val="18"/>
                <w:szCs w:val="18"/>
              </w:rPr>
              <w:t>4</w:t>
            </w:r>
            <w:r>
              <w:rPr>
                <w:rFonts w:ascii="Times New Roman" w:eastAsia="宋体" w:hAnsi="Times New Roman" w:cs="宋体" w:hint="eastAsia"/>
                <w:spacing w:val="1"/>
                <w:sz w:val="18"/>
                <w:szCs w:val="18"/>
              </w:rPr>
              <w:t>条、优化公交线路</w:t>
            </w:r>
            <w:r>
              <w:rPr>
                <w:rFonts w:ascii="Times New Roman" w:eastAsia="宋体" w:hAnsi="Times New Roman" w:cs="Times New Roman"/>
                <w:spacing w:val="1"/>
                <w:sz w:val="18"/>
                <w:szCs w:val="18"/>
              </w:rPr>
              <w:t>8</w:t>
            </w:r>
            <w:r>
              <w:rPr>
                <w:rFonts w:ascii="Times New Roman" w:eastAsia="宋体" w:hAnsi="Times New Roman" w:cs="宋体" w:hint="eastAsia"/>
                <w:spacing w:val="1"/>
                <w:sz w:val="18"/>
                <w:szCs w:val="18"/>
              </w:rPr>
              <w:t>条，加强公交首末站、停车场建设。深化出租汽车行业改革，落实主城区与通州区的经营区域一体化。发展智慧交通，完善三大管家智慧交通体系，启动交通大数据分析及展示，完成“畅行南通”三期建设及发布，开展多种移动支付方式在公共交通领域的试点应用。</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5</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755"/>
          <w:jc w:val="center"/>
        </w:trPr>
        <w:tc>
          <w:tcPr>
            <w:tcW w:w="2073" w:type="dxa"/>
            <w:vMerge/>
            <w:vAlign w:val="center"/>
          </w:tcPr>
          <w:p w:rsidR="004B17AE" w:rsidRDefault="004B17AE" w:rsidP="004B17AE">
            <w:pPr>
              <w:ind w:firstLineChars="200" w:firstLine="31680"/>
              <w:jc w:val="left"/>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9</w:t>
            </w: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6</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深化交通物流降本增效，做好无车承运人、甩挂运输、多式联运等先进运输方式的试点和推广。加快通用航空产业发展，指导配合地方加大招商引资力度。</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5</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554"/>
          <w:jc w:val="center"/>
        </w:trPr>
        <w:tc>
          <w:tcPr>
            <w:tcW w:w="2073" w:type="dxa"/>
            <w:vMerge/>
            <w:vAlign w:val="center"/>
          </w:tcPr>
          <w:p w:rsidR="004B17AE" w:rsidRDefault="004B17AE" w:rsidP="004B17AE">
            <w:pPr>
              <w:ind w:firstLineChars="200" w:firstLine="31680"/>
              <w:jc w:val="left"/>
              <w:rPr>
                <w:rFonts w:ascii="Times New Roman" w:eastAsia="宋体" w:hAnsi="Times New Roman" w:cs="Times New Roman"/>
                <w:spacing w:val="1"/>
                <w:sz w:val="18"/>
                <w:szCs w:val="18"/>
              </w:rPr>
            </w:pP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7</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落实综治、法治、信访和安全生产领导责任制，做好平安法治建设工作，促进安全生产，维护社会</w:t>
            </w:r>
            <w:bookmarkStart w:id="0" w:name="_GoBack"/>
            <w:bookmarkEnd w:id="0"/>
            <w:r>
              <w:rPr>
                <w:rFonts w:ascii="Times New Roman" w:eastAsia="宋体" w:hAnsi="Times New Roman" w:cs="宋体" w:hint="eastAsia"/>
                <w:spacing w:val="1"/>
                <w:sz w:val="18"/>
                <w:szCs w:val="18"/>
              </w:rPr>
              <w:t>稳定。</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5</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1107"/>
          <w:jc w:val="center"/>
        </w:trPr>
        <w:tc>
          <w:tcPr>
            <w:tcW w:w="2073" w:type="dxa"/>
            <w:vMerge/>
            <w:vAlign w:val="center"/>
          </w:tcPr>
          <w:p w:rsidR="004B17AE" w:rsidRDefault="004B17AE" w:rsidP="004B17AE">
            <w:pPr>
              <w:widowControl/>
              <w:spacing w:line="240" w:lineRule="auto"/>
              <w:ind w:firstLineChars="200" w:firstLine="31680"/>
              <w:jc w:val="left"/>
              <w:rPr>
                <w:rFonts w:ascii="Times New Roman" w:eastAsia="宋体" w:hAnsi="Times New Roman" w:cs="Times New Roman"/>
                <w:spacing w:val="1"/>
                <w:sz w:val="18"/>
                <w:szCs w:val="18"/>
              </w:rPr>
            </w:pPr>
          </w:p>
        </w:tc>
        <w:tc>
          <w:tcPr>
            <w:tcW w:w="647" w:type="dxa"/>
            <w:vMerge w:val="restart"/>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动态工作目标</w:t>
            </w: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8</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做好市综合交通运输委员会办公室相关工作。深化交通对接服务上海，协调推进重大综合交通项目，开展苏通三通道前期工作，协助做好北沿江高铁线路稳定、新机场选址等工作，配合省交建局加快苏通二通道、皋张通道前期工作，探索优化沪通道路客运衔接。</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20</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737"/>
          <w:jc w:val="center"/>
        </w:trPr>
        <w:tc>
          <w:tcPr>
            <w:tcW w:w="2073" w:type="dxa"/>
            <w:vMerge/>
            <w:vAlign w:val="center"/>
          </w:tcPr>
          <w:p w:rsidR="004B17AE" w:rsidRDefault="004B17AE" w:rsidP="004B17AE">
            <w:pPr>
              <w:widowControl/>
              <w:spacing w:line="240" w:lineRule="auto"/>
              <w:ind w:firstLineChars="200" w:firstLine="31680"/>
              <w:jc w:val="left"/>
              <w:rPr>
                <w:rFonts w:ascii="Times New Roman" w:eastAsia="宋体" w:hAnsi="Times New Roman" w:cs="Times New Roman"/>
                <w:spacing w:val="1"/>
                <w:sz w:val="18"/>
                <w:szCs w:val="18"/>
              </w:rPr>
            </w:pPr>
          </w:p>
        </w:tc>
        <w:tc>
          <w:tcPr>
            <w:tcW w:w="647" w:type="dxa"/>
            <w:vMerge/>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9</w:t>
            </w:r>
          </w:p>
        </w:tc>
        <w:tc>
          <w:tcPr>
            <w:tcW w:w="4705" w:type="dxa"/>
            <w:vAlign w:val="center"/>
          </w:tcPr>
          <w:p w:rsidR="004B17AE" w:rsidRDefault="004B17AE" w:rsidP="004B17AE">
            <w:pPr>
              <w:widowControl/>
              <w:spacing w:line="240" w:lineRule="auto"/>
              <w:ind w:firstLineChars="200" w:firstLine="31680"/>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根据省市部署开展承担行政职能事业单位改革。深化“放管服”改革和不见面审批，进一步理顺权责，提高效能。加强法治交通建设，进一步规范交通执法行为。</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10</w:t>
            </w:r>
          </w:p>
        </w:tc>
        <w:tc>
          <w:tcPr>
            <w:tcW w:w="615" w:type="dxa"/>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r w:rsidR="004B17AE" w:rsidRPr="00511A16">
        <w:trPr>
          <w:trHeight w:val="769"/>
          <w:jc w:val="center"/>
        </w:trPr>
        <w:tc>
          <w:tcPr>
            <w:tcW w:w="2073" w:type="dxa"/>
            <w:vMerge/>
            <w:tcBorders>
              <w:bottom w:val="single" w:sz="12" w:space="0" w:color="auto"/>
            </w:tcBorders>
            <w:vAlign w:val="center"/>
          </w:tcPr>
          <w:p w:rsidR="004B17AE" w:rsidRDefault="004B17AE">
            <w:pPr>
              <w:widowControl/>
              <w:spacing w:line="240" w:lineRule="auto"/>
              <w:jc w:val="center"/>
              <w:rPr>
                <w:rFonts w:ascii="Times New Roman" w:eastAsia="宋体" w:hAnsi="Times New Roman" w:cs="Times New Roman"/>
                <w:spacing w:val="1"/>
                <w:sz w:val="18"/>
                <w:szCs w:val="18"/>
              </w:rPr>
            </w:pPr>
          </w:p>
        </w:tc>
        <w:tc>
          <w:tcPr>
            <w:tcW w:w="647" w:type="dxa"/>
            <w:tcBorders>
              <w:bottom w:val="single" w:sz="12" w:space="0" w:color="auto"/>
            </w:tcBorders>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共性工作目标</w:t>
            </w:r>
          </w:p>
        </w:tc>
        <w:tc>
          <w:tcPr>
            <w:tcW w:w="647" w:type="dxa"/>
            <w:tcBorders>
              <w:bottom w:val="single" w:sz="12" w:space="0" w:color="auto"/>
            </w:tcBorders>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10</w:t>
            </w:r>
          </w:p>
        </w:tc>
        <w:tc>
          <w:tcPr>
            <w:tcW w:w="4705" w:type="dxa"/>
            <w:tcBorders>
              <w:bottom w:val="single" w:sz="12" w:space="0" w:color="auto"/>
            </w:tcBorders>
            <w:vAlign w:val="center"/>
          </w:tcPr>
          <w:p w:rsidR="004B17AE" w:rsidRPr="00B120ED" w:rsidRDefault="004B17AE" w:rsidP="004B17AE">
            <w:pPr>
              <w:widowControl/>
              <w:spacing w:line="240" w:lineRule="auto"/>
              <w:ind w:firstLineChars="200" w:firstLine="31680"/>
              <w:rPr>
                <w:rFonts w:ascii="Times New Roman" w:eastAsia="宋体" w:hAnsi="Times New Roman" w:cs="Times New Roman"/>
                <w:spacing w:val="1"/>
                <w:sz w:val="18"/>
                <w:szCs w:val="18"/>
              </w:rPr>
            </w:pPr>
            <w:r w:rsidRPr="00B120ED">
              <w:rPr>
                <w:rFonts w:ascii="Times New Roman" w:eastAsia="宋体" w:hAnsi="Times New Roman" w:cs="宋体" w:hint="eastAsia"/>
                <w:spacing w:val="1"/>
                <w:sz w:val="18"/>
                <w:szCs w:val="18"/>
              </w:rPr>
              <w:t>按照全面从严治党要求推进党的建设</w:t>
            </w:r>
          </w:p>
        </w:tc>
        <w:tc>
          <w:tcPr>
            <w:tcW w:w="615" w:type="dxa"/>
            <w:tcBorders>
              <w:bottom w:val="single" w:sz="12" w:space="0" w:color="auto"/>
            </w:tcBorders>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10</w:t>
            </w:r>
          </w:p>
        </w:tc>
        <w:tc>
          <w:tcPr>
            <w:tcW w:w="615" w:type="dxa"/>
            <w:tcBorders>
              <w:bottom w:val="single" w:sz="12" w:space="0" w:color="auto"/>
            </w:tcBorders>
            <w:vAlign w:val="center"/>
          </w:tcPr>
          <w:p w:rsidR="004B17AE" w:rsidRDefault="004B17AE">
            <w:pPr>
              <w:widowControl/>
              <w:spacing w:line="240" w:lineRule="auto"/>
              <w:jc w:val="center"/>
              <w:rPr>
                <w:rFonts w:ascii="Times New Roman" w:eastAsia="宋体" w:hAnsi="Times New Roman" w:cs="Times New Roman"/>
                <w:spacing w:val="1"/>
                <w:sz w:val="18"/>
                <w:szCs w:val="18"/>
              </w:rPr>
            </w:pPr>
            <w:r>
              <w:rPr>
                <w:rFonts w:ascii="Times New Roman" w:eastAsia="宋体" w:hAnsi="Times New Roman" w:cs="宋体" w:hint="eastAsia"/>
                <w:spacing w:val="1"/>
                <w:sz w:val="18"/>
                <w:szCs w:val="18"/>
              </w:rPr>
              <w:t>全年</w:t>
            </w:r>
          </w:p>
        </w:tc>
      </w:tr>
    </w:tbl>
    <w:p w:rsidR="004B17AE" w:rsidRDefault="004B17AE">
      <w:pPr>
        <w:rPr>
          <w:rFonts w:ascii="Times New Roman" w:hAnsi="Times New Roman" w:cs="Times New Roman"/>
          <w:sz w:val="29"/>
          <w:szCs w:val="29"/>
        </w:rPr>
      </w:pPr>
    </w:p>
    <w:sectPr w:rsidR="004B17AE" w:rsidSect="00365077">
      <w:pgSz w:w="11906" w:h="16838"/>
      <w:pgMar w:top="1134" w:right="1800" w:bottom="1134"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C7D5B01"/>
    <w:rsid w:val="00365077"/>
    <w:rsid w:val="004B17AE"/>
    <w:rsid w:val="00511A16"/>
    <w:rsid w:val="0090267E"/>
    <w:rsid w:val="00B120ED"/>
    <w:rsid w:val="00DD41AA"/>
    <w:rsid w:val="01C0037D"/>
    <w:rsid w:val="027817E3"/>
    <w:rsid w:val="10411FE2"/>
    <w:rsid w:val="13BA17CF"/>
    <w:rsid w:val="33594AC0"/>
    <w:rsid w:val="367831AC"/>
    <w:rsid w:val="3C7D5B01"/>
    <w:rsid w:val="481F089B"/>
    <w:rsid w:val="5C06153A"/>
    <w:rsid w:val="618F4120"/>
    <w:rsid w:val="68E872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77"/>
    <w:pPr>
      <w:widowControl w:val="0"/>
      <w:snapToGrid w:val="0"/>
      <w:spacing w:line="590" w:lineRule="exact"/>
      <w:jc w:val="both"/>
    </w:pPr>
    <w:rPr>
      <w:rFonts w:eastAsia="仿宋_GB2312"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标题1"/>
    <w:basedOn w:val="Normal"/>
    <w:next w:val="Normal"/>
    <w:uiPriority w:val="99"/>
    <w:rsid w:val="00365077"/>
    <w:pPr>
      <w:tabs>
        <w:tab w:val="left" w:pos="9193"/>
        <w:tab w:val="left" w:pos="9827"/>
      </w:tabs>
      <w:spacing w:line="700" w:lineRule="atLeast"/>
      <w:jc w:val="center"/>
    </w:pPr>
    <w:rPr>
      <w:rFonts w:eastAsia="方正小标宋_GBK"/>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203</Words>
  <Characters>1163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84476175@qq.com</dc:creator>
  <cp:keywords/>
  <dc:description/>
  <cp:lastModifiedBy>陈瑜</cp:lastModifiedBy>
  <cp:revision>3</cp:revision>
  <cp:lastPrinted>2018-04-16T08:51:00Z</cp:lastPrinted>
  <dcterms:created xsi:type="dcterms:W3CDTF">2018-04-12T08:07:00Z</dcterms:created>
  <dcterms:modified xsi:type="dcterms:W3CDTF">2018-05-15T08:50:00Z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