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202</w:t>
      </w:r>
      <w:r>
        <w:rPr>
          <w:rFonts w:hint="eastAsia" w:eastAsia="方正小标宋简体" w:cs="Times New Roman"/>
          <w:spacing w:val="0"/>
          <w:sz w:val="40"/>
          <w:szCs w:val="40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年</w:t>
      </w:r>
      <w:r>
        <w:rPr>
          <w:rFonts w:hint="eastAsia" w:eastAsia="方正小标宋简体" w:cs="Times New Roman"/>
          <w:spacing w:val="0"/>
          <w:sz w:val="40"/>
          <w:szCs w:val="40"/>
          <w:lang w:val="en-US" w:eastAsia="zh-CN"/>
        </w:rPr>
        <w:t>一</w:t>
      </w:r>
      <w:r>
        <w:rPr>
          <w:rFonts w:hint="eastAsia" w:ascii="Times New Roman" w:hAnsi="Times New Roman" w:eastAsia="方正小标宋简体" w:cs="Times New Roman"/>
          <w:spacing w:val="0"/>
          <w:sz w:val="40"/>
          <w:szCs w:val="40"/>
          <w:lang w:eastAsia="zh-CN"/>
        </w:rPr>
        <w:t>季度</w:t>
      </w:r>
      <w:r>
        <w:rPr>
          <w:rFonts w:hint="default" w:ascii="Times New Roman" w:hAnsi="Times New Roman" w:eastAsia="方正小标宋简体" w:cs="Times New Roman"/>
          <w:spacing w:val="0"/>
          <w:sz w:val="40"/>
          <w:szCs w:val="40"/>
        </w:rPr>
        <w:t>南通交通经济运行</w:t>
      </w:r>
      <w:r>
        <w:rPr>
          <w:rFonts w:hint="eastAsia" w:eastAsia="方正小标宋简体" w:cs="Times New Roman"/>
          <w:spacing w:val="0"/>
          <w:sz w:val="40"/>
          <w:szCs w:val="40"/>
          <w:lang w:eastAsia="zh-CN"/>
        </w:rPr>
        <w:t>快报</w:t>
      </w:r>
    </w:p>
    <w:p>
      <w:pPr>
        <w:numPr>
          <w:ilvl w:val="0"/>
          <w:numId w:val="0"/>
        </w:numPr>
        <w:ind w:firstLine="640" w:firstLineChars="200"/>
        <w:rPr>
          <w:rStyle w:val="5"/>
          <w:rFonts w:hint="eastAsia" w:ascii="方正楷体简体" w:hAnsi="方正楷体简体" w:eastAsia="方正楷体简体" w:cs="方正楷体简体"/>
          <w:b w:val="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一、固定资产投资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napToGrid w:val="0"/>
          <w:color w:val="000000"/>
          <w:kern w:val="0"/>
          <w:sz w:val="32"/>
          <w:szCs w:val="32"/>
          <w:lang w:val="en-US" w:eastAsia="zh-CN"/>
        </w:rPr>
        <w:t>2024年，省厅下达我市交通投资计划286亿元。一季度全市累计完成交通投资68.2亿元，占年度计划23.9%，同比增长5%，其中3月完成投资27.47亿元，同比增长20.2%，环比增长35.7%。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二、客货运输量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b/>
          <w:bCs w:val="0"/>
          <w:sz w:val="32"/>
          <w:szCs w:val="28"/>
        </w:rPr>
      </w:pPr>
      <w:r>
        <w:rPr>
          <w:rFonts w:hint="eastAsia"/>
          <w:b/>
          <w:bCs w:val="0"/>
          <w:sz w:val="32"/>
          <w:szCs w:val="28"/>
        </w:rPr>
        <w:t>（</w:t>
      </w:r>
      <w:r>
        <w:rPr>
          <w:rFonts w:hint="eastAsia"/>
          <w:b/>
          <w:bCs w:val="0"/>
          <w:sz w:val="32"/>
          <w:szCs w:val="28"/>
          <w:lang w:val="en-US" w:eastAsia="zh-CN"/>
        </w:rPr>
        <w:t>1</w:t>
      </w:r>
      <w:r>
        <w:rPr>
          <w:rFonts w:hint="eastAsia"/>
          <w:b/>
          <w:bCs w:val="0"/>
          <w:sz w:val="32"/>
          <w:szCs w:val="28"/>
        </w:rPr>
        <w:t>）公路运输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公路客运方面，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由于去年同期疫情原因造成的低基数、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客运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指标继续大幅增长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一季度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，全市累计完成公路客运量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1077万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人次，旅客周转量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5.46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亿人公里，同比分别增长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37.8%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和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59.3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公路货运方面，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一季度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共完成公路货运量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2850万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吨，货物周转量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53.9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亿吨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，同比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分别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增长14.3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%和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3.3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Times New Roman" w:hAnsi="Times New Roman" w:cs="Times New Roman"/>
          <w:b/>
          <w:bCs w:val="0"/>
          <w:sz w:val="32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32"/>
          <w:szCs w:val="28"/>
          <w:lang w:val="en-US" w:eastAsia="zh-CN"/>
        </w:rPr>
        <w:t>（2）</w:t>
      </w:r>
      <w:r>
        <w:rPr>
          <w:rFonts w:hint="default" w:ascii="Times New Roman" w:hAnsi="Times New Roman" w:cs="Times New Roman"/>
          <w:b/>
          <w:bCs w:val="0"/>
          <w:sz w:val="32"/>
          <w:szCs w:val="28"/>
          <w:lang w:val="en-US" w:eastAsia="zh-CN"/>
        </w:rPr>
        <w:t>水路运</w:t>
      </w:r>
      <w:r>
        <w:rPr>
          <w:rFonts w:hint="eastAsia" w:ascii="Times New Roman" w:hAnsi="Times New Roman" w:cs="Times New Roman"/>
          <w:b/>
          <w:bCs w:val="0"/>
          <w:sz w:val="32"/>
          <w:szCs w:val="28"/>
          <w:lang w:val="en-US" w:eastAsia="zh-CN"/>
        </w:rPr>
        <w:t>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Style w:val="5"/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一季度，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全市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累计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完成水路货运量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2918万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吨，同比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增长</w:t>
      </w:r>
      <w:r>
        <w:rPr>
          <w:rStyle w:val="5"/>
          <w:rFonts w:hint="eastAsia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7.1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Style w:val="5"/>
          <w:rFonts w:hint="eastAsia" w:eastAsia="方正仿宋_GBK" w:cs="Times New Roman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Style w:val="5"/>
          <w:rFonts w:hint="eastAsia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完成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货物周转量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225.7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亿吨公里，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同比</w:t>
      </w:r>
      <w:r>
        <w:rPr>
          <w:rStyle w:val="5"/>
          <w:rFonts w:hint="eastAsia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增长0.7</w:t>
      </w:r>
      <w:r>
        <w:rPr>
          <w:rStyle w:val="5"/>
          <w:rFonts w:hint="default" w:ascii="Times New Roman" w:hAnsi="Times New Roman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Style w:val="5"/>
          <w:rFonts w:hint="eastAsia" w:eastAsia="方正仿宋_GBK" w:cs="Times New Roman"/>
          <w:b w:val="0"/>
          <w:bC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三、港口生产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一季度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，全港完成货物吞吐量</w:t>
      </w:r>
      <w:r>
        <w:rPr>
          <w:rFonts w:hint="eastAsia" w:eastAsia="宋体" w:cs="Times New Roman"/>
          <w:sz w:val="32"/>
          <w:szCs w:val="22"/>
          <w:lang w:val="en-US" w:eastAsia="zh-CN" w:bidi="ar"/>
        </w:rPr>
        <w:t>8244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万吨（其中沿江</w:t>
      </w:r>
      <w:r>
        <w:rPr>
          <w:rFonts w:hint="eastAsia" w:eastAsia="宋体" w:cs="Times New Roman"/>
          <w:sz w:val="32"/>
          <w:szCs w:val="22"/>
          <w:lang w:val="en-US" w:eastAsia="zh-CN" w:bidi="ar"/>
        </w:rPr>
        <w:t>5946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万吨、沿海</w:t>
      </w:r>
      <w:r>
        <w:rPr>
          <w:rFonts w:hint="eastAsia" w:eastAsia="宋体" w:cs="Times New Roman"/>
          <w:sz w:val="32"/>
          <w:szCs w:val="22"/>
          <w:lang w:val="en-US" w:eastAsia="zh-CN" w:bidi="ar"/>
        </w:rPr>
        <w:t>1388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万吨、内河</w:t>
      </w:r>
      <w:r>
        <w:rPr>
          <w:rFonts w:hint="eastAsia" w:eastAsia="宋体" w:cs="Times New Roman"/>
          <w:sz w:val="32"/>
          <w:szCs w:val="22"/>
          <w:lang w:val="en-US" w:eastAsia="zh-CN" w:bidi="ar"/>
        </w:rPr>
        <w:t>909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万吨），同比增长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11.7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%（沿江同比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3.3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%、沿海同比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44.5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%，内河同比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36.6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%）。集装箱完成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57.6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万TEU（沿江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53.2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万TEU，沿海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3.5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万TEU，内河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9746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TEU），同比增长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45.2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%（沿江同比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39.7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沿海同比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215.2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内河同比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86.8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四、航空运输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一季度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，机场完成旅客吞吐量</w:t>
      </w:r>
      <w:r>
        <w:rPr>
          <w:rFonts w:hint="eastAsia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万人，同比增长</w:t>
      </w:r>
      <w:r>
        <w:rPr>
          <w:rFonts w:hint="eastAsia" w:cs="Times New Roman"/>
          <w:sz w:val="32"/>
          <w:szCs w:val="32"/>
          <w:lang w:val="en-US" w:eastAsia="zh-CN"/>
        </w:rPr>
        <w:t>29.8%；累计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完成货邮吞吐量</w:t>
      </w:r>
      <w:r>
        <w:rPr>
          <w:rFonts w:hint="eastAsia" w:cs="Times New Roman"/>
          <w:sz w:val="32"/>
          <w:szCs w:val="32"/>
          <w:lang w:val="en-US" w:eastAsia="zh-CN"/>
        </w:rPr>
        <w:t>1.4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万吨，同比</w:t>
      </w:r>
      <w:r>
        <w:rPr>
          <w:rFonts w:hint="eastAsia" w:cs="Times New Roman"/>
          <w:sz w:val="32"/>
          <w:szCs w:val="32"/>
          <w:lang w:val="en-US" w:eastAsia="zh-CN"/>
        </w:rPr>
        <w:t>增长47.9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%</w:t>
      </w:r>
      <w:r>
        <w:rPr>
          <w:rFonts w:hint="eastAsia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auto"/>
          <w:sz w:val="32"/>
          <w:szCs w:val="32"/>
          <w:highlight w:val="none"/>
          <w:lang w:val="en-US" w:eastAsia="zh-CN"/>
        </w:rPr>
        <w:t>五、铁路运输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</w:pP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一季度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，铁路完成旅客运输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305.97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万人，同比增长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32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%；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累计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完成货物运输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59.1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万吨，同比</w:t>
      </w:r>
      <w:r>
        <w:rPr>
          <w:rStyle w:val="5"/>
          <w:rFonts w:hint="eastAsia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下降5.95</w:t>
      </w:r>
      <w:r>
        <w:rPr>
          <w:rStyle w:val="5"/>
          <w:rFonts w:hint="default" w:ascii="Times New Roman" w:hAnsi="Times New Roman" w:eastAsia="方正仿宋_GBK" w:cs="Times New Roman"/>
          <w:b w:val="0"/>
          <w:color w:val="auto"/>
          <w:spacing w:val="0"/>
          <w:sz w:val="32"/>
          <w:szCs w:val="32"/>
          <w:highlight w:val="none"/>
          <w:lang w:val="en-US" w:eastAsia="zh-CN"/>
        </w:rPr>
        <w:t>%。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3CD7"/>
    <w:rsid w:val="1A49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2024-04-24T06:18:00Z</dcterms:created>
  <dc:creator>Administrator</dc:creator>
  <cp:lastModifiedBy>Administrator</cp:lastModifiedBy>
  <dcterms:modified xsi:type="dcterms:W3CDTF">2024-04-24T06:22:37Z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19EB4F527A344A81B89C71C6431A612E</vt:lpwstr>
  </property>
</Properties>
</file>