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pacing w:val="20"/>
          <w:sz w:val="44"/>
          <w:szCs w:val="44"/>
          <w:highlight w:val="none"/>
        </w:rPr>
      </w:pPr>
    </w:p>
    <w:p>
      <w:pPr>
        <w:spacing w:line="360" w:lineRule="auto"/>
        <w:jc w:val="center"/>
        <w:rPr>
          <w:rFonts w:ascii="宋体" w:hAnsi="宋体"/>
          <w:b/>
          <w:sz w:val="44"/>
          <w:szCs w:val="44"/>
          <w:highlight w:val="none"/>
        </w:rPr>
      </w:pPr>
      <w:r>
        <w:rPr>
          <w:rFonts w:hint="eastAsia" w:ascii="宋体" w:hAnsi="宋体"/>
          <w:b/>
          <w:sz w:val="44"/>
          <w:szCs w:val="44"/>
          <w:highlight w:val="none"/>
        </w:rPr>
        <w:t>南通市公路事业发展中心如皋分中心党员政治生活馆重建项目</w:t>
      </w:r>
    </w:p>
    <w:p>
      <w:pPr>
        <w:spacing w:line="360" w:lineRule="auto"/>
        <w:jc w:val="center"/>
        <w:rPr>
          <w:rFonts w:ascii="仿宋" w:hAnsi="仿宋" w:eastAsia="仿宋"/>
          <w:b/>
          <w:spacing w:val="20"/>
          <w:sz w:val="44"/>
          <w:highlight w:val="none"/>
        </w:rPr>
      </w:pPr>
    </w:p>
    <w:p>
      <w:pPr>
        <w:spacing w:line="360" w:lineRule="auto"/>
        <w:jc w:val="center"/>
        <w:rPr>
          <w:rFonts w:ascii="仿宋" w:hAnsi="仿宋" w:eastAsia="仿宋"/>
          <w:b/>
          <w:spacing w:val="20"/>
          <w:sz w:val="44"/>
          <w:highlight w:val="none"/>
        </w:rPr>
      </w:pPr>
    </w:p>
    <w:p>
      <w:pPr>
        <w:spacing w:line="360" w:lineRule="auto"/>
        <w:jc w:val="center"/>
        <w:rPr>
          <w:rFonts w:ascii="仿宋" w:hAnsi="仿宋" w:eastAsia="仿宋"/>
          <w:b/>
          <w:spacing w:val="20"/>
          <w:sz w:val="44"/>
          <w:highlight w:val="none"/>
        </w:rPr>
      </w:pPr>
    </w:p>
    <w:p>
      <w:pPr>
        <w:jc w:val="center"/>
        <w:rPr>
          <w:rFonts w:ascii="仿宋" w:hAnsi="仿宋" w:eastAsia="仿宋"/>
          <w:b/>
          <w:sz w:val="44"/>
          <w:szCs w:val="44"/>
          <w:highlight w:val="none"/>
        </w:rPr>
      </w:pPr>
      <w:r>
        <w:rPr>
          <w:rFonts w:hint="eastAsia" w:ascii="仿宋" w:hAnsi="仿宋" w:eastAsia="仿宋"/>
          <w:b/>
          <w:sz w:val="96"/>
          <w:szCs w:val="100"/>
          <w:highlight w:val="none"/>
        </w:rPr>
        <w:t>竞争性磋商文件</w:t>
      </w:r>
    </w:p>
    <w:p>
      <w:pPr>
        <w:jc w:val="center"/>
        <w:rPr>
          <w:rFonts w:ascii="仿宋" w:hAnsi="仿宋" w:eastAsia="仿宋"/>
          <w:b/>
          <w:sz w:val="44"/>
          <w:szCs w:val="44"/>
          <w:highlight w:val="none"/>
        </w:rPr>
      </w:pPr>
      <w:r>
        <w:rPr>
          <w:rFonts w:hint="eastAsia" w:ascii="宋体" w:hAnsi="宋体"/>
          <w:b/>
          <w:sz w:val="44"/>
          <w:szCs w:val="44"/>
          <w:highlight w:val="none"/>
        </w:rPr>
        <w:t>（资格后审）</w:t>
      </w:r>
    </w:p>
    <w:p>
      <w:pPr>
        <w:jc w:val="center"/>
        <w:rPr>
          <w:rFonts w:ascii="仿宋" w:hAnsi="仿宋" w:eastAsia="仿宋"/>
          <w:b/>
          <w:sz w:val="96"/>
          <w:szCs w:val="100"/>
          <w:highlight w:val="none"/>
        </w:rPr>
      </w:pPr>
    </w:p>
    <w:p>
      <w:pPr>
        <w:jc w:val="center"/>
        <w:rPr>
          <w:rFonts w:ascii="仿宋" w:hAnsi="仿宋" w:eastAsia="仿宋"/>
          <w:b/>
          <w:sz w:val="96"/>
          <w:szCs w:val="100"/>
          <w:highlight w:val="none"/>
        </w:rPr>
      </w:pPr>
    </w:p>
    <w:p>
      <w:pPr>
        <w:jc w:val="center"/>
        <w:rPr>
          <w:rFonts w:ascii="仿宋" w:hAnsi="仿宋" w:eastAsia="仿宋"/>
          <w:b/>
          <w:sz w:val="96"/>
          <w:szCs w:val="100"/>
          <w:highlight w:val="none"/>
        </w:rPr>
      </w:pPr>
    </w:p>
    <w:p>
      <w:pPr>
        <w:rPr>
          <w:rFonts w:ascii="仿宋" w:hAnsi="仿宋" w:eastAsia="仿宋"/>
          <w:b/>
          <w:sz w:val="96"/>
          <w:szCs w:val="100"/>
          <w:highlight w:val="none"/>
        </w:rPr>
      </w:pPr>
    </w:p>
    <w:p>
      <w:pPr>
        <w:rPr>
          <w:rFonts w:ascii="仿宋" w:hAnsi="仿宋" w:eastAsia="仿宋"/>
          <w:b/>
          <w:sz w:val="44"/>
          <w:szCs w:val="44"/>
          <w:highlight w:val="none"/>
        </w:rPr>
      </w:pPr>
    </w:p>
    <w:p>
      <w:pPr>
        <w:spacing w:line="360" w:lineRule="auto"/>
        <w:jc w:val="center"/>
        <w:rPr>
          <w:rFonts w:ascii="宋体" w:hAnsi="宋体"/>
          <w:b/>
          <w:spacing w:val="20"/>
          <w:sz w:val="32"/>
          <w:highlight w:val="none"/>
        </w:rPr>
      </w:pPr>
      <w:r>
        <w:rPr>
          <w:rFonts w:hint="eastAsia" w:ascii="宋体" w:hAnsi="宋体"/>
          <w:b/>
          <w:spacing w:val="20"/>
          <w:sz w:val="32"/>
          <w:highlight w:val="none"/>
        </w:rPr>
        <w:t>招标人：南通市公路事业发展中心</w:t>
      </w:r>
    </w:p>
    <w:p>
      <w:pPr>
        <w:spacing w:line="360" w:lineRule="auto"/>
        <w:jc w:val="center"/>
        <w:rPr>
          <w:rFonts w:ascii="宋体" w:hAnsi="宋体"/>
          <w:b/>
          <w:spacing w:val="20"/>
          <w:sz w:val="32"/>
          <w:highlight w:val="none"/>
        </w:rPr>
      </w:pPr>
      <w:r>
        <w:rPr>
          <w:rFonts w:hint="eastAsia" w:ascii="宋体" w:hAnsi="宋体"/>
          <w:b/>
          <w:spacing w:val="20"/>
          <w:sz w:val="32"/>
          <w:highlight w:val="none"/>
        </w:rPr>
        <w:t>招标代理：捷宏润安工程顾问有限公司</w:t>
      </w:r>
    </w:p>
    <w:p>
      <w:pPr>
        <w:spacing w:line="360" w:lineRule="auto"/>
        <w:jc w:val="center"/>
        <w:rPr>
          <w:rFonts w:ascii="仿宋" w:hAnsi="仿宋" w:eastAsia="仿宋"/>
          <w:b/>
          <w:sz w:val="44"/>
          <w:szCs w:val="44"/>
          <w:highlight w:val="none"/>
        </w:rPr>
      </w:pPr>
      <w:r>
        <w:rPr>
          <w:rFonts w:hint="eastAsia" w:ascii="宋体" w:hAnsi="宋体"/>
          <w:b/>
          <w:spacing w:val="20"/>
          <w:sz w:val="32"/>
          <w:highlight w:val="none"/>
        </w:rPr>
        <w:t>20</w:t>
      </w:r>
      <w:r>
        <w:rPr>
          <w:rFonts w:ascii="宋体" w:hAnsi="宋体"/>
          <w:b/>
          <w:spacing w:val="20"/>
          <w:sz w:val="32"/>
          <w:highlight w:val="none"/>
        </w:rPr>
        <w:t>20</w:t>
      </w:r>
      <w:r>
        <w:rPr>
          <w:rFonts w:hint="eastAsia" w:ascii="宋体" w:hAnsi="宋体"/>
          <w:b/>
          <w:spacing w:val="20"/>
          <w:sz w:val="32"/>
          <w:highlight w:val="none"/>
        </w:rPr>
        <w:t>年10月</w:t>
      </w:r>
      <w:r>
        <w:rPr>
          <w:rFonts w:ascii="仿宋" w:hAnsi="仿宋" w:eastAsia="仿宋"/>
          <w:b/>
          <w:sz w:val="44"/>
          <w:szCs w:val="44"/>
          <w:highlight w:val="none"/>
        </w:rPr>
        <w:br w:type="page"/>
      </w:r>
    </w:p>
    <w:sdt>
      <w:sdtPr>
        <w:rPr>
          <w:rFonts w:ascii="仿宋" w:hAnsi="仿宋" w:eastAsia="仿宋" w:cs="Times New Roman"/>
          <w:b w:val="0"/>
          <w:bCs w:val="0"/>
          <w:color w:val="auto"/>
          <w:kern w:val="2"/>
          <w:sz w:val="21"/>
          <w:szCs w:val="24"/>
          <w:highlight w:val="none"/>
          <w:lang w:val="zh-CN"/>
        </w:rPr>
        <w:id w:val="1611776336"/>
        <w:docPartObj>
          <w:docPartGallery w:val="Table of Contents"/>
          <w:docPartUnique/>
        </w:docPartObj>
      </w:sdtPr>
      <w:sdtEndPr>
        <w:rPr>
          <w:rFonts w:ascii="仿宋" w:hAnsi="仿宋" w:eastAsia="仿宋" w:cs="Times New Roman"/>
          <w:b w:val="0"/>
          <w:bCs w:val="0"/>
          <w:color w:val="auto"/>
          <w:kern w:val="2"/>
          <w:sz w:val="28"/>
          <w:szCs w:val="28"/>
          <w:highlight w:val="none"/>
          <w:lang w:val="zh-CN"/>
        </w:rPr>
      </w:sdtEndPr>
      <w:sdtContent>
        <w:p>
          <w:pPr>
            <w:pStyle w:val="107"/>
            <w:jc w:val="center"/>
            <w:rPr>
              <w:rFonts w:ascii="仿宋" w:hAnsi="仿宋" w:eastAsia="仿宋"/>
              <w:color w:val="auto"/>
              <w:sz w:val="32"/>
              <w:szCs w:val="44"/>
              <w:highlight w:val="none"/>
            </w:rPr>
          </w:pPr>
          <w:r>
            <w:rPr>
              <w:rFonts w:ascii="仿宋" w:hAnsi="仿宋" w:eastAsia="仿宋"/>
              <w:color w:val="auto"/>
              <w:sz w:val="32"/>
              <w:szCs w:val="44"/>
              <w:highlight w:val="none"/>
              <w:lang w:val="zh-CN"/>
            </w:rPr>
            <w:t>目录</w:t>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rFonts w:ascii="仿宋" w:hAnsi="仿宋" w:eastAsia="仿宋"/>
              <w:sz w:val="28"/>
              <w:szCs w:val="28"/>
              <w:highlight w:val="none"/>
            </w:rPr>
            <w:fldChar w:fldCharType="begin"/>
          </w:r>
          <w:r>
            <w:rPr>
              <w:rFonts w:ascii="仿宋" w:hAnsi="仿宋" w:eastAsia="仿宋"/>
              <w:sz w:val="28"/>
              <w:szCs w:val="28"/>
              <w:highlight w:val="none"/>
            </w:rPr>
            <w:instrText xml:space="preserve"> TOC \o "1-3" \h \z \u </w:instrText>
          </w:r>
          <w:r>
            <w:rPr>
              <w:rFonts w:ascii="仿宋" w:hAnsi="仿宋" w:eastAsia="仿宋"/>
              <w:sz w:val="28"/>
              <w:szCs w:val="28"/>
              <w:highlight w:val="none"/>
            </w:rPr>
            <w:fldChar w:fldCharType="separate"/>
          </w:r>
          <w:r>
            <w:rPr>
              <w:highlight w:val="none"/>
            </w:rPr>
            <w:fldChar w:fldCharType="begin"/>
          </w:r>
          <w:r>
            <w:rPr>
              <w:highlight w:val="none"/>
            </w:rPr>
            <w:instrText xml:space="preserve"> HYPERLINK \l "_Toc8163747" </w:instrText>
          </w:r>
          <w:r>
            <w:rPr>
              <w:highlight w:val="none"/>
            </w:rPr>
            <w:fldChar w:fldCharType="separate"/>
          </w:r>
          <w:r>
            <w:rPr>
              <w:rStyle w:val="38"/>
              <w:rFonts w:hint="eastAsia" w:ascii="仿宋" w:hAnsi="仿宋" w:eastAsia="仿宋"/>
              <w:b/>
              <w:color w:val="auto"/>
              <w:sz w:val="28"/>
              <w:szCs w:val="28"/>
              <w:highlight w:val="none"/>
            </w:rPr>
            <w:t>第一部分磋商公告</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_Toc8163747 \h </w:instrText>
          </w:r>
          <w:r>
            <w:rPr>
              <w:rFonts w:ascii="仿宋" w:hAnsi="仿宋" w:eastAsia="仿宋"/>
              <w:b/>
              <w:sz w:val="28"/>
              <w:szCs w:val="28"/>
              <w:highlight w:val="none"/>
            </w:rPr>
            <w:fldChar w:fldCharType="separate"/>
          </w:r>
          <w:r>
            <w:rPr>
              <w:rFonts w:ascii="仿宋" w:hAnsi="仿宋" w:eastAsia="仿宋"/>
              <w:b/>
              <w:sz w:val="28"/>
              <w:szCs w:val="28"/>
              <w:highlight w:val="none"/>
            </w:rPr>
            <w:t>3</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highlight w:val="none"/>
            </w:rPr>
            <w:fldChar w:fldCharType="begin"/>
          </w:r>
          <w:r>
            <w:rPr>
              <w:highlight w:val="none"/>
            </w:rPr>
            <w:instrText xml:space="preserve"> HYPERLINK \l "_Toc8163748" </w:instrText>
          </w:r>
          <w:r>
            <w:rPr>
              <w:highlight w:val="none"/>
            </w:rPr>
            <w:fldChar w:fldCharType="separate"/>
          </w:r>
          <w:r>
            <w:rPr>
              <w:rStyle w:val="38"/>
              <w:rFonts w:hint="eastAsia" w:ascii="仿宋" w:hAnsi="仿宋" w:eastAsia="仿宋"/>
              <w:b/>
              <w:color w:val="auto"/>
              <w:sz w:val="28"/>
              <w:szCs w:val="28"/>
              <w:highlight w:val="none"/>
            </w:rPr>
            <w:t>第二部分磋商须知</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_Toc8163748 \h </w:instrText>
          </w:r>
          <w:r>
            <w:rPr>
              <w:rFonts w:ascii="仿宋" w:hAnsi="仿宋" w:eastAsia="仿宋"/>
              <w:b/>
              <w:sz w:val="28"/>
              <w:szCs w:val="28"/>
              <w:highlight w:val="none"/>
            </w:rPr>
            <w:fldChar w:fldCharType="separate"/>
          </w:r>
          <w:r>
            <w:rPr>
              <w:rFonts w:ascii="仿宋" w:hAnsi="仿宋" w:eastAsia="仿宋"/>
              <w:b/>
              <w:sz w:val="28"/>
              <w:szCs w:val="28"/>
              <w:highlight w:val="none"/>
            </w:rPr>
            <w:t>6</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highlight w:val="none"/>
            </w:rPr>
            <w:fldChar w:fldCharType="begin"/>
          </w:r>
          <w:r>
            <w:rPr>
              <w:highlight w:val="none"/>
            </w:rPr>
            <w:instrText xml:space="preserve"> HYPERLINK \l "_Toc8163749" </w:instrText>
          </w:r>
          <w:r>
            <w:rPr>
              <w:highlight w:val="none"/>
            </w:rPr>
            <w:fldChar w:fldCharType="separate"/>
          </w:r>
          <w:r>
            <w:rPr>
              <w:rStyle w:val="38"/>
              <w:rFonts w:hint="eastAsia" w:ascii="仿宋" w:hAnsi="仿宋" w:eastAsia="仿宋"/>
              <w:b/>
              <w:color w:val="auto"/>
              <w:sz w:val="28"/>
              <w:szCs w:val="28"/>
              <w:highlight w:val="none"/>
            </w:rPr>
            <w:t>第三部分项目需求说明</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_Toc8163749 \h </w:instrText>
          </w:r>
          <w:r>
            <w:rPr>
              <w:rFonts w:ascii="仿宋" w:hAnsi="仿宋" w:eastAsia="仿宋"/>
              <w:b/>
              <w:sz w:val="28"/>
              <w:szCs w:val="28"/>
              <w:highlight w:val="none"/>
            </w:rPr>
            <w:fldChar w:fldCharType="separate"/>
          </w:r>
          <w:r>
            <w:rPr>
              <w:rFonts w:ascii="仿宋" w:hAnsi="仿宋" w:eastAsia="仿宋"/>
              <w:b/>
              <w:sz w:val="28"/>
              <w:szCs w:val="28"/>
              <w:highlight w:val="none"/>
            </w:rPr>
            <w:t>9</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highlight w:val="none"/>
            </w:rPr>
            <w:fldChar w:fldCharType="begin"/>
          </w:r>
          <w:r>
            <w:rPr>
              <w:highlight w:val="none"/>
            </w:rPr>
            <w:instrText xml:space="preserve"> HYPERLINK \l "_Toc8163750" </w:instrText>
          </w:r>
          <w:r>
            <w:rPr>
              <w:highlight w:val="none"/>
            </w:rPr>
            <w:fldChar w:fldCharType="separate"/>
          </w:r>
          <w:r>
            <w:rPr>
              <w:rStyle w:val="38"/>
              <w:rFonts w:hint="eastAsia" w:ascii="仿宋" w:hAnsi="仿宋" w:eastAsia="仿宋"/>
              <w:b/>
              <w:color w:val="auto"/>
              <w:sz w:val="28"/>
              <w:szCs w:val="28"/>
              <w:highlight w:val="none"/>
            </w:rPr>
            <w:t>第四部分磋商程序和内容</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_Toc8163750 \h </w:instrText>
          </w:r>
          <w:r>
            <w:rPr>
              <w:rFonts w:ascii="仿宋" w:hAnsi="仿宋" w:eastAsia="仿宋"/>
              <w:b/>
              <w:sz w:val="28"/>
              <w:szCs w:val="28"/>
              <w:highlight w:val="none"/>
            </w:rPr>
            <w:fldChar w:fldCharType="separate"/>
          </w:r>
          <w:r>
            <w:rPr>
              <w:rFonts w:ascii="仿宋" w:hAnsi="仿宋" w:eastAsia="仿宋"/>
              <w:b/>
              <w:sz w:val="28"/>
              <w:szCs w:val="28"/>
              <w:highlight w:val="none"/>
            </w:rPr>
            <w:t>11</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highlight w:val="none"/>
            </w:rPr>
            <w:fldChar w:fldCharType="begin"/>
          </w:r>
          <w:r>
            <w:rPr>
              <w:highlight w:val="none"/>
            </w:rPr>
            <w:instrText xml:space="preserve"> HYPERLINK \l "_Toc8163751" </w:instrText>
          </w:r>
          <w:r>
            <w:rPr>
              <w:highlight w:val="none"/>
            </w:rPr>
            <w:fldChar w:fldCharType="separate"/>
          </w:r>
          <w:r>
            <w:rPr>
              <w:rStyle w:val="38"/>
              <w:rFonts w:hint="eastAsia" w:ascii="仿宋" w:hAnsi="仿宋" w:eastAsia="仿宋"/>
              <w:b/>
              <w:color w:val="auto"/>
              <w:sz w:val="28"/>
              <w:szCs w:val="28"/>
              <w:highlight w:val="none"/>
            </w:rPr>
            <w:t>第五部分合同签订与验收付款</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_Toc8163751 \h </w:instrText>
          </w:r>
          <w:r>
            <w:rPr>
              <w:rFonts w:ascii="仿宋" w:hAnsi="仿宋" w:eastAsia="仿宋"/>
              <w:b/>
              <w:sz w:val="28"/>
              <w:szCs w:val="28"/>
              <w:highlight w:val="none"/>
            </w:rPr>
            <w:fldChar w:fldCharType="separate"/>
          </w:r>
          <w:r>
            <w:rPr>
              <w:rFonts w:ascii="仿宋" w:hAnsi="仿宋" w:eastAsia="仿宋"/>
              <w:b/>
              <w:sz w:val="28"/>
              <w:szCs w:val="28"/>
              <w:highlight w:val="none"/>
            </w:rPr>
            <w:t>20</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b/>
              <w:sz w:val="28"/>
              <w:szCs w:val="28"/>
              <w:highlight w:val="none"/>
            </w:rPr>
          </w:pPr>
          <w:r>
            <w:rPr>
              <w:highlight w:val="none"/>
            </w:rPr>
            <w:fldChar w:fldCharType="begin"/>
          </w:r>
          <w:r>
            <w:rPr>
              <w:highlight w:val="none"/>
            </w:rPr>
            <w:instrText xml:space="preserve"> HYPERLINK \l "_Toc8163752" </w:instrText>
          </w:r>
          <w:r>
            <w:rPr>
              <w:highlight w:val="none"/>
            </w:rPr>
            <w:fldChar w:fldCharType="separate"/>
          </w:r>
          <w:r>
            <w:rPr>
              <w:rStyle w:val="38"/>
              <w:rFonts w:hint="eastAsia" w:ascii="仿宋" w:hAnsi="仿宋" w:eastAsia="仿宋"/>
              <w:b/>
              <w:color w:val="auto"/>
              <w:sz w:val="28"/>
              <w:szCs w:val="28"/>
              <w:highlight w:val="none"/>
            </w:rPr>
            <w:t>第六部分质疑提出和处理</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_Toc8163752 \h </w:instrText>
          </w:r>
          <w:r>
            <w:rPr>
              <w:rFonts w:ascii="仿宋" w:hAnsi="仿宋" w:eastAsia="仿宋"/>
              <w:b/>
              <w:sz w:val="28"/>
              <w:szCs w:val="28"/>
              <w:highlight w:val="none"/>
            </w:rPr>
            <w:fldChar w:fldCharType="separate"/>
          </w:r>
          <w:r>
            <w:rPr>
              <w:rFonts w:ascii="仿宋" w:hAnsi="仿宋" w:eastAsia="仿宋"/>
              <w:b/>
              <w:sz w:val="28"/>
              <w:szCs w:val="28"/>
              <w:highlight w:val="none"/>
            </w:rPr>
            <w:t>21</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pStyle w:val="25"/>
            <w:tabs>
              <w:tab w:val="right" w:leader="dot" w:pos="7797"/>
            </w:tabs>
            <w:spacing w:beforeLines="50" w:afterLines="50" w:line="360" w:lineRule="auto"/>
            <w:ind w:left="850" w:leftChars="405" w:right="1273" w:rightChars="606"/>
            <w:rPr>
              <w:rFonts w:ascii="仿宋" w:hAnsi="仿宋" w:eastAsia="仿宋" w:cstheme="minorBidi"/>
              <w:sz w:val="28"/>
              <w:szCs w:val="28"/>
              <w:highlight w:val="none"/>
            </w:rPr>
          </w:pPr>
          <w:r>
            <w:rPr>
              <w:highlight w:val="none"/>
            </w:rPr>
            <w:fldChar w:fldCharType="begin"/>
          </w:r>
          <w:r>
            <w:rPr>
              <w:highlight w:val="none"/>
            </w:rPr>
            <w:instrText xml:space="preserve"> HYPERLINK \l "_Toc8163753" </w:instrText>
          </w:r>
          <w:r>
            <w:rPr>
              <w:highlight w:val="none"/>
            </w:rPr>
            <w:fldChar w:fldCharType="separate"/>
          </w:r>
          <w:r>
            <w:rPr>
              <w:rStyle w:val="38"/>
              <w:rFonts w:hint="eastAsia" w:ascii="仿宋" w:hAnsi="仿宋" w:eastAsia="仿宋"/>
              <w:b/>
              <w:color w:val="auto"/>
              <w:sz w:val="28"/>
              <w:szCs w:val="28"/>
              <w:highlight w:val="none"/>
            </w:rPr>
            <w:t>第七部分响应文件组成</w:t>
          </w:r>
          <w:r>
            <w:rPr>
              <w:rFonts w:ascii="仿宋" w:hAnsi="仿宋" w:eastAsia="仿宋"/>
              <w:b/>
              <w:sz w:val="28"/>
              <w:szCs w:val="28"/>
              <w:highlight w:val="none"/>
            </w:rPr>
            <w:tab/>
          </w:r>
          <w:r>
            <w:rPr>
              <w:rFonts w:ascii="仿宋" w:hAnsi="仿宋" w:eastAsia="仿宋"/>
              <w:b/>
              <w:sz w:val="28"/>
              <w:szCs w:val="28"/>
              <w:highlight w:val="none"/>
            </w:rPr>
            <w:fldChar w:fldCharType="begin"/>
          </w:r>
          <w:r>
            <w:rPr>
              <w:rFonts w:ascii="仿宋" w:hAnsi="仿宋" w:eastAsia="仿宋"/>
              <w:b/>
              <w:sz w:val="28"/>
              <w:szCs w:val="28"/>
              <w:highlight w:val="none"/>
            </w:rPr>
            <w:instrText xml:space="preserve"> PAGEREF _Toc8163753 \h </w:instrText>
          </w:r>
          <w:r>
            <w:rPr>
              <w:rFonts w:ascii="仿宋" w:hAnsi="仿宋" w:eastAsia="仿宋"/>
              <w:b/>
              <w:sz w:val="28"/>
              <w:szCs w:val="28"/>
              <w:highlight w:val="none"/>
            </w:rPr>
            <w:fldChar w:fldCharType="separate"/>
          </w:r>
          <w:r>
            <w:rPr>
              <w:rFonts w:ascii="仿宋" w:hAnsi="仿宋" w:eastAsia="仿宋"/>
              <w:b/>
              <w:sz w:val="28"/>
              <w:szCs w:val="28"/>
              <w:highlight w:val="none"/>
            </w:rPr>
            <w:t>25</w:t>
          </w:r>
          <w:r>
            <w:rPr>
              <w:rFonts w:ascii="仿宋" w:hAnsi="仿宋" w:eastAsia="仿宋"/>
              <w:b/>
              <w:sz w:val="28"/>
              <w:szCs w:val="28"/>
              <w:highlight w:val="none"/>
            </w:rPr>
            <w:fldChar w:fldCharType="end"/>
          </w:r>
          <w:r>
            <w:rPr>
              <w:rFonts w:ascii="仿宋" w:hAnsi="仿宋" w:eastAsia="仿宋"/>
              <w:b/>
              <w:sz w:val="28"/>
              <w:szCs w:val="28"/>
              <w:highlight w:val="none"/>
            </w:rPr>
            <w:fldChar w:fldCharType="end"/>
          </w:r>
        </w:p>
        <w:p>
          <w:pPr>
            <w:spacing w:beforeLines="50" w:afterLines="50" w:line="360" w:lineRule="auto"/>
            <w:rPr>
              <w:rFonts w:ascii="仿宋" w:hAnsi="仿宋" w:eastAsia="仿宋"/>
              <w:sz w:val="28"/>
              <w:szCs w:val="28"/>
              <w:highlight w:val="none"/>
            </w:rPr>
          </w:pPr>
          <w:r>
            <w:rPr>
              <w:rFonts w:ascii="仿宋" w:hAnsi="仿宋" w:eastAsia="仿宋"/>
              <w:b/>
              <w:bCs/>
              <w:sz w:val="28"/>
              <w:szCs w:val="28"/>
              <w:highlight w:val="none"/>
              <w:lang w:val="zh-CN"/>
            </w:rPr>
            <w:fldChar w:fldCharType="end"/>
          </w:r>
        </w:p>
      </w:sdtContent>
    </w:sdt>
    <w:p>
      <w:pPr>
        <w:snapToGrid w:val="0"/>
        <w:spacing w:line="360" w:lineRule="auto"/>
        <w:jc w:val="center"/>
        <w:rPr>
          <w:rFonts w:ascii="宋体" w:hAnsi="宋体"/>
          <w:b/>
          <w:w w:val="80"/>
          <w:szCs w:val="44"/>
          <w:highlight w:val="none"/>
        </w:rPr>
      </w:pPr>
      <w:r>
        <w:rPr>
          <w:rFonts w:ascii="仿宋" w:hAnsi="仿宋" w:eastAsia="仿宋"/>
          <w:sz w:val="36"/>
          <w:szCs w:val="36"/>
          <w:highlight w:val="none"/>
        </w:rPr>
        <w:br w:type="page"/>
      </w:r>
      <w:bookmarkStart w:id="0" w:name="_Toc8163747"/>
      <w:r>
        <w:rPr>
          <w:rFonts w:hint="eastAsia" w:ascii="宋体" w:hAnsi="宋体"/>
          <w:b/>
          <w:sz w:val="36"/>
          <w:szCs w:val="36"/>
          <w:highlight w:val="none"/>
        </w:rPr>
        <w:t>第一部分 磋商公告</w:t>
      </w:r>
      <w:bookmarkEnd w:id="0"/>
    </w:p>
    <w:p>
      <w:pPr>
        <w:tabs>
          <w:tab w:val="left" w:pos="1470"/>
          <w:tab w:val="center" w:pos="4769"/>
          <w:tab w:val="left" w:pos="6300"/>
        </w:tabs>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lang w:val="zh-CN"/>
        </w:rPr>
        <w:t>捷宏润安工程顾问有限公司（</w:t>
      </w:r>
      <w:r>
        <w:rPr>
          <w:rFonts w:hint="eastAsia" w:ascii="宋体" w:hAnsi="宋体" w:cs="宋体"/>
          <w:sz w:val="24"/>
          <w:highlight w:val="none"/>
        </w:rPr>
        <w:t>以下称代理机构）受南通市公路事业发展中心（以下称采购单位）的委托，就南通市公路事业发展中心如皋分中心党员政治生活馆重建项目组织竞争性磋商采购，诚邀符合条件的潜在供应商参加该项目的竞争性磋商。</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一、项目名称及编号</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项目名称：南通市公路事业发展中心如皋分中心党员政治生活馆重建项目</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 xml:space="preserve">项目编号： </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二、采购预算</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本项目采购预算为</w:t>
      </w:r>
      <w:r>
        <w:rPr>
          <w:rFonts w:hint="eastAsia" w:ascii="宋体" w:hAnsi="宋体" w:cs="宋体"/>
          <w:sz w:val="24"/>
          <w:highlight w:val="none"/>
        </w:rPr>
        <w:t>45</w:t>
      </w:r>
      <w:r>
        <w:rPr>
          <w:rFonts w:hint="eastAsia" w:ascii="宋体" w:hAnsi="宋体" w:cs="宋体"/>
          <w:sz w:val="24"/>
          <w:highlight w:val="none"/>
          <w:lang w:val="zh-CN"/>
        </w:rPr>
        <w:t>万元，投标总价超过采购预算的为无效响应文件。</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三、服务期</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合同签定后，一个星期内开工。预期工期两个月</w:t>
      </w:r>
      <w:r>
        <w:rPr>
          <w:rFonts w:hint="eastAsia" w:ascii="宋体" w:hAnsi="宋体" w:cs="宋体"/>
          <w:sz w:val="24"/>
          <w:highlight w:val="none"/>
        </w:rPr>
        <w:t>(其中11月底前需完成全部设备的安装调试工作</w:t>
      </w:r>
      <w:r>
        <w:rPr>
          <w:rFonts w:hint="eastAsia" w:ascii="宋体" w:hAnsi="宋体" w:cs="宋体"/>
          <w:sz w:val="24"/>
          <w:highlight w:val="none"/>
        </w:rPr>
        <w:t>)</w:t>
      </w:r>
      <w:r>
        <w:rPr>
          <w:rFonts w:hint="eastAsia" w:ascii="宋体" w:hAnsi="宋体" w:cs="宋体"/>
          <w:sz w:val="24"/>
          <w:highlight w:val="none"/>
          <w:lang w:val="zh-CN"/>
        </w:rPr>
        <w:t>。工程项目通过验收后1年免费维修。</w:t>
      </w:r>
    </w:p>
    <w:p>
      <w:pPr>
        <w:numPr>
          <w:ilvl w:val="0"/>
          <w:numId w:val="1"/>
        </w:num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项目需求</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如皋分中心党员政治生活馆建设面积180平方米，其中展厅144平方米，红色书吧36平方米。该馆重建项目招标包括如下内容：</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1.党员政治生活馆主题文化墙设计、施工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2.前言版面设计、施工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3.南通公路精神三面立柱设计、施工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4红色公路写忠诚版面设计、施工. </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（1）南通公路、如皋公路发展演变史版面</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（2）如皋公路部门发展变化史版面</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5.品牌先行引航程版面设计、施工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6.标准党建筑堡垒版面设计、施工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7.四色驿站耀雉水版面设计、施工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8.无极服务畅公路版面设计、施工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9.党建融合精主业两个版面设计、施工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（1）党建融合干线养护、农路养护、桥梁养护版面</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（2）党建融合安全管控、路网应急、疫情防控版面</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10.党建融合主业液晶显示屏设计、施工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11.誉满江海大道行三个版面设计施工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（1）如皋公路党建历年特色工作照墙</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（2）公路发展历史文物展柜</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（3）公路优秀党员风采、公路部门历年荣誉风采</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12.结束语版面设计施工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13.走廊辅文化墙设计施工</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14.红色书吧设计施工</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15.一楼大厅标志标识、文化墙设计施工</w:t>
      </w:r>
      <w:r>
        <w:rPr>
          <w:rFonts w:hint="eastAsia" w:ascii="宋体" w:hAnsi="宋体" w:cs="宋体"/>
          <w:sz w:val="24"/>
          <w:highlight w:val="none"/>
          <w:lang w:val="zh-CN"/>
        </w:rPr>
        <w:t>。</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五、供应商资格要求</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（一）符合政府采购法第二十二条第一款规定的条件，并提供下列材料：</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w:t>
      </w:r>
      <w:r>
        <w:rPr>
          <w:rFonts w:ascii="宋体" w:hAnsi="宋体" w:cs="宋体"/>
          <w:sz w:val="24"/>
          <w:highlight w:val="none"/>
          <w:lang w:val="zh-CN"/>
        </w:rPr>
        <w:t>法人或者其他组织的营业执照等证明文件，自然人的身份证明；</w:t>
      </w:r>
    </w:p>
    <w:p>
      <w:pPr>
        <w:autoSpaceDE w:val="0"/>
        <w:autoSpaceDN w:val="0"/>
        <w:adjustRightInd w:val="0"/>
        <w:spacing w:line="360" w:lineRule="auto"/>
        <w:ind w:firstLine="480" w:firstLineChars="200"/>
        <w:rPr>
          <w:rFonts w:ascii="宋体" w:hAnsi="宋体" w:cs="宋体"/>
          <w:sz w:val="24"/>
          <w:highlight w:val="none"/>
          <w:lang w:val="zh-CN"/>
        </w:rPr>
      </w:pPr>
      <w:r>
        <w:rPr>
          <w:rFonts w:ascii="宋体" w:hAnsi="宋体" w:cs="宋体"/>
          <w:sz w:val="24"/>
          <w:highlight w:val="none"/>
          <w:lang w:val="zh-CN"/>
        </w:rPr>
        <w:t>2</w:t>
      </w:r>
      <w:r>
        <w:rPr>
          <w:rFonts w:hint="eastAsia" w:ascii="宋体" w:hAnsi="宋体" w:cs="宋体"/>
          <w:sz w:val="24"/>
          <w:highlight w:val="none"/>
          <w:lang w:val="zh-CN"/>
        </w:rPr>
        <w:t>.</w:t>
      </w:r>
      <w:r>
        <w:rPr>
          <w:rFonts w:ascii="宋体" w:hAnsi="宋体" w:cs="宋体"/>
          <w:sz w:val="24"/>
          <w:highlight w:val="none"/>
          <w:lang w:val="zh-CN"/>
        </w:rPr>
        <w:t>上一年度的财务状况报告（成立不满一年不需提供）；</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w:t>
      </w:r>
      <w:r>
        <w:rPr>
          <w:rFonts w:ascii="宋体" w:hAnsi="宋体" w:cs="宋体"/>
          <w:sz w:val="24"/>
          <w:highlight w:val="none"/>
          <w:lang w:val="zh-CN"/>
        </w:rPr>
        <w:t>依法缴纳税收和社会保障资金的相关材料；</w:t>
      </w:r>
    </w:p>
    <w:p>
      <w:pPr>
        <w:autoSpaceDE w:val="0"/>
        <w:autoSpaceDN w:val="0"/>
        <w:adjustRightInd w:val="0"/>
        <w:spacing w:line="360" w:lineRule="auto"/>
        <w:ind w:firstLine="480" w:firstLineChars="200"/>
        <w:rPr>
          <w:rFonts w:ascii="宋体" w:hAnsi="宋体" w:cs="宋体"/>
          <w:sz w:val="24"/>
          <w:highlight w:val="none"/>
          <w:lang w:val="zh-CN"/>
        </w:rPr>
      </w:pPr>
      <w:r>
        <w:rPr>
          <w:rFonts w:ascii="宋体" w:hAnsi="宋体" w:cs="宋体"/>
          <w:sz w:val="24"/>
          <w:highlight w:val="none"/>
          <w:lang w:val="zh-CN"/>
        </w:rPr>
        <w:t>4</w:t>
      </w:r>
      <w:r>
        <w:rPr>
          <w:rFonts w:hint="eastAsia" w:ascii="宋体" w:hAnsi="宋体" w:cs="宋体"/>
          <w:sz w:val="24"/>
          <w:highlight w:val="none"/>
          <w:lang w:val="zh-CN"/>
        </w:rPr>
        <w:t>.</w:t>
      </w:r>
      <w:r>
        <w:rPr>
          <w:rFonts w:ascii="宋体" w:hAnsi="宋体" w:cs="宋体"/>
          <w:sz w:val="24"/>
          <w:highlight w:val="none"/>
          <w:lang w:val="zh-CN"/>
        </w:rPr>
        <w:t>具备履行合同所必需的设备和专业技术能力的证明材料；</w:t>
      </w:r>
    </w:p>
    <w:p>
      <w:pPr>
        <w:autoSpaceDE w:val="0"/>
        <w:autoSpaceDN w:val="0"/>
        <w:adjustRightInd w:val="0"/>
        <w:spacing w:line="360" w:lineRule="auto"/>
        <w:ind w:firstLine="480" w:firstLineChars="200"/>
        <w:rPr>
          <w:rFonts w:ascii="宋体" w:hAnsi="宋体" w:cs="宋体"/>
          <w:sz w:val="24"/>
          <w:highlight w:val="none"/>
          <w:lang w:val="zh-CN"/>
        </w:rPr>
      </w:pPr>
      <w:r>
        <w:rPr>
          <w:rFonts w:ascii="宋体" w:hAnsi="宋体" w:cs="宋体"/>
          <w:sz w:val="24"/>
          <w:highlight w:val="none"/>
          <w:lang w:val="zh-CN"/>
        </w:rPr>
        <w:t>5</w:t>
      </w:r>
      <w:r>
        <w:rPr>
          <w:rFonts w:hint="eastAsia" w:ascii="宋体" w:hAnsi="宋体" w:cs="宋体"/>
          <w:sz w:val="24"/>
          <w:highlight w:val="none"/>
          <w:lang w:val="zh-CN"/>
        </w:rPr>
        <w:t>.</w:t>
      </w:r>
      <w:r>
        <w:rPr>
          <w:rFonts w:ascii="宋体" w:hAnsi="宋体" w:cs="宋体"/>
          <w:sz w:val="24"/>
          <w:highlight w:val="none"/>
          <w:lang w:val="zh-CN"/>
        </w:rPr>
        <w:t>参加政府采购活动前3年内在经营活动中没有重大违法记录的书面声明</w:t>
      </w:r>
      <w:r>
        <w:rPr>
          <w:rFonts w:hint="eastAsia" w:ascii="宋体" w:hAnsi="宋体" w:cs="宋体"/>
          <w:sz w:val="24"/>
          <w:highlight w:val="none"/>
          <w:lang w:val="zh-CN"/>
        </w:rPr>
        <w:t>。</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（二）供应商的特定条件：</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1</w:t>
      </w:r>
      <w:r>
        <w:rPr>
          <w:rFonts w:hint="eastAsia" w:ascii="宋体" w:hAnsi="宋体" w:cs="宋体"/>
          <w:sz w:val="24"/>
          <w:highlight w:val="none"/>
          <w:lang w:val="zh-CN"/>
        </w:rPr>
        <w:t>.投标人在中华人民共和国境内注册，具有独立法人资格，持有工商行政管理部门核发的有效企业法人营业执照。</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投标人营业执照的经营范围符合本项目要求。</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3.</w:t>
      </w:r>
      <w:r>
        <w:rPr>
          <w:rFonts w:hint="eastAsia" w:ascii="宋体" w:hAnsi="宋体" w:cs="宋体"/>
          <w:sz w:val="24"/>
          <w:highlight w:val="none"/>
          <w:lang w:val="zh-CN"/>
        </w:rPr>
        <w:t>企业未处于被责令停业、投标资格被取消或者财产被接管、冻结和破产状态、没有因骗取中标或者严重违约以及发生重大工程质量、安全生产事故等问题，被有关部门暂停投标资格并在暂停期内的。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4.</w:t>
      </w:r>
      <w:r>
        <w:rPr>
          <w:rFonts w:hint="eastAsia" w:ascii="宋体" w:hAnsi="宋体" w:cs="宋体"/>
          <w:sz w:val="24"/>
          <w:highlight w:val="none"/>
          <w:lang w:val="zh-CN"/>
        </w:rPr>
        <w:t>供应商须提供参与本次项目政府采购活动前三年内，在经营活动中没有重大违法记录的书面《资格声明函》（格式参见第七章）。</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5.</w:t>
      </w:r>
      <w:r>
        <w:rPr>
          <w:rFonts w:hint="eastAsia" w:ascii="宋体" w:hAnsi="宋体" w:cs="宋体"/>
          <w:sz w:val="24"/>
          <w:highlight w:val="none"/>
          <w:lang w:val="zh-CN"/>
        </w:rPr>
        <w:t>关于资格文件的声明函（格式参见第七章）。</w:t>
      </w:r>
    </w:p>
    <w:p>
      <w:pPr>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6.</w:t>
      </w:r>
      <w:r>
        <w:rPr>
          <w:rFonts w:hint="eastAsia" w:ascii="宋体" w:hAnsi="宋体" w:cs="宋体"/>
          <w:sz w:val="24"/>
          <w:highlight w:val="none"/>
          <w:lang w:val="zh-CN"/>
        </w:rPr>
        <w:t>本项目不接受任何形式的联合体参与磋商。</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具体详见本招标文件《第七章　</w:t>
      </w:r>
      <w:r>
        <w:rPr>
          <w:rFonts w:hint="eastAsia" w:ascii="宋体" w:hAnsi="宋体" w:cs="宋体"/>
          <w:b/>
          <w:sz w:val="24"/>
          <w:szCs w:val="22"/>
          <w:highlight w:val="none"/>
        </w:rPr>
        <w:t>响应文件组成》</w:t>
      </w:r>
      <w:r>
        <w:rPr>
          <w:rFonts w:hint="eastAsia" w:ascii="宋体" w:hAnsi="宋体" w:cs="宋体"/>
          <w:b/>
          <w:sz w:val="24"/>
          <w:highlight w:val="none"/>
        </w:rPr>
        <w:t>中的资格审查文件要求。</w:t>
      </w:r>
    </w:p>
    <w:p>
      <w:pPr>
        <w:widowControl/>
        <w:tabs>
          <w:tab w:val="left" w:pos="3780"/>
        </w:tabs>
        <w:spacing w:line="360" w:lineRule="auto"/>
        <w:ind w:firstLine="482" w:firstLineChars="200"/>
        <w:jc w:val="left"/>
        <w:rPr>
          <w:rFonts w:ascii="宋体" w:hAnsi="宋体" w:cs="宋体"/>
          <w:b/>
          <w:sz w:val="24"/>
          <w:highlight w:val="none"/>
        </w:rPr>
      </w:pPr>
      <w:r>
        <w:rPr>
          <w:rFonts w:hint="eastAsia" w:ascii="宋体" w:hAnsi="宋体"/>
          <w:b/>
          <w:sz w:val="24"/>
          <w:highlight w:val="none"/>
          <w:lang w:val="zh-CN"/>
        </w:rPr>
        <w:t>请供应商认真对照资格要求，如不符合要求，无意或故意参与投标的，所产生的一切后果由供应商承担。对提供虚假材料的响应供应商作无效标处理，磋商保证金不予退还，并报财政部门处理。</w:t>
      </w:r>
    </w:p>
    <w:p>
      <w:pPr>
        <w:autoSpaceDE w:val="0"/>
        <w:autoSpaceDN w:val="0"/>
        <w:adjustRightInd w:val="0"/>
        <w:spacing w:line="360" w:lineRule="auto"/>
        <w:ind w:firstLine="482" w:firstLineChars="200"/>
        <w:rPr>
          <w:rFonts w:ascii="宋体" w:hAnsi="宋体" w:cs="宋体"/>
          <w:sz w:val="24"/>
          <w:highlight w:val="none"/>
          <w:lang w:val="zh-CN"/>
        </w:rPr>
      </w:pPr>
      <w:r>
        <w:rPr>
          <w:rFonts w:hint="eastAsia" w:ascii="宋体" w:hAnsi="宋体" w:cs="宋体"/>
          <w:b/>
          <w:sz w:val="24"/>
          <w:highlight w:val="none"/>
        </w:rPr>
        <w:t>【特别提醒】单位负责人为同一人或者存在直接控股、管理关系的不同供应商，不得同时参与同一采购项目相同标段的政府采购活动；为采购项目提供整体设计、规范编制、开发建设或者项目管理、检测等服务的供应商，不得再参加该采购项目的其他采购活动；如发现供应商递交的资格后审材料有弄虚作假行为，该供应商将记入不良记录，并上报有关部门，如已中标，采购人有权取消其中标资格，并由该供应商承担由此带来可能的一切责任和损失</w:t>
      </w:r>
      <w:r>
        <w:rPr>
          <w:rFonts w:hint="eastAsia" w:ascii="宋体" w:hAnsi="宋体"/>
          <w:b/>
          <w:bCs/>
          <w:kern w:val="0"/>
          <w:sz w:val="24"/>
          <w:highlight w:val="none"/>
        </w:rPr>
        <w:t>。</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六、磋商保证金</w:t>
      </w:r>
    </w:p>
    <w:p>
      <w:pPr>
        <w:spacing w:line="360" w:lineRule="auto"/>
        <w:ind w:firstLine="484" w:firstLineChars="202"/>
        <w:rPr>
          <w:rFonts w:ascii="宋体" w:hAnsi="宋体" w:cs="宋体"/>
          <w:bCs/>
          <w:sz w:val="24"/>
          <w:highlight w:val="none"/>
        </w:rPr>
      </w:pPr>
      <w:r>
        <w:rPr>
          <w:rFonts w:hint="eastAsia" w:ascii="宋体" w:hAnsi="宋体" w:cs="宋体"/>
          <w:bCs/>
          <w:sz w:val="24"/>
          <w:highlight w:val="none"/>
        </w:rPr>
        <w:t>1、本次项目磋商保证金为：人民币陆仟元（¥8000元）。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bCs/>
          <w:sz w:val="24"/>
          <w:highlight w:val="none"/>
        </w:rPr>
        <w:t>磋商</w:t>
      </w:r>
      <w:r>
        <w:rPr>
          <w:rFonts w:hint="eastAsia" w:ascii="宋体" w:hAnsi="宋体" w:cs="宋体"/>
          <w:sz w:val="24"/>
          <w:highlight w:val="none"/>
        </w:rPr>
        <w:t>保证金必须选择下列一种形式</w:t>
      </w:r>
      <w:r>
        <w:rPr>
          <w:rFonts w:ascii="宋体" w:hAnsi="宋体" w:cs="宋体"/>
          <w:sz w:val="24"/>
          <w:highlight w:val="none"/>
        </w:rPr>
        <w:t>：</w:t>
      </w:r>
      <w:r>
        <w:rPr>
          <w:rFonts w:hint="eastAsia" w:ascii="宋体" w:hAnsi="宋体" w:cs="宋体"/>
          <w:sz w:val="24"/>
          <w:highlight w:val="none"/>
        </w:rPr>
        <w:t>电汇、银行汇票或银行本票或银行保函。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（1）若采用电汇，</w:t>
      </w:r>
      <w:r>
        <w:rPr>
          <w:rFonts w:hint="eastAsia" w:ascii="宋体" w:hAnsi="宋体" w:cs="宋体"/>
          <w:sz w:val="24"/>
          <w:highlight w:val="none"/>
          <w:lang w:val="zh-CN"/>
        </w:rPr>
        <w:t>供应商</w:t>
      </w:r>
      <w:r>
        <w:rPr>
          <w:rFonts w:hint="eastAsia" w:ascii="宋体" w:hAnsi="宋体" w:cs="宋体"/>
          <w:sz w:val="24"/>
          <w:highlight w:val="none"/>
        </w:rPr>
        <w:t>应在上述</w:t>
      </w:r>
      <w:r>
        <w:rPr>
          <w:rFonts w:hint="eastAsia" w:ascii="宋体" w:hAnsi="宋体" w:cs="宋体"/>
          <w:bCs/>
          <w:sz w:val="24"/>
          <w:highlight w:val="none"/>
        </w:rPr>
        <w:t>磋商</w:t>
      </w:r>
      <w:r>
        <w:rPr>
          <w:rFonts w:hint="eastAsia" w:ascii="宋体" w:hAnsi="宋体" w:cs="宋体"/>
          <w:sz w:val="24"/>
          <w:highlight w:val="none"/>
        </w:rPr>
        <w:t>保证金递交截止之前，将</w:t>
      </w:r>
      <w:r>
        <w:rPr>
          <w:rFonts w:hint="eastAsia" w:ascii="宋体" w:hAnsi="宋体" w:cs="宋体"/>
          <w:bCs/>
          <w:sz w:val="24"/>
          <w:highlight w:val="none"/>
        </w:rPr>
        <w:t>磋商</w:t>
      </w:r>
      <w:r>
        <w:rPr>
          <w:rFonts w:hint="eastAsia" w:ascii="宋体" w:hAnsi="宋体" w:cs="宋体"/>
          <w:sz w:val="24"/>
          <w:highlight w:val="none"/>
        </w:rPr>
        <w:t>保证金由</w:t>
      </w:r>
      <w:r>
        <w:rPr>
          <w:rFonts w:hint="eastAsia" w:ascii="宋体" w:hAnsi="宋体" w:cs="宋体"/>
          <w:b/>
          <w:sz w:val="24"/>
          <w:highlight w:val="none"/>
        </w:rPr>
        <w:t>供应商基本帐户一次性汇入</w:t>
      </w:r>
      <w:r>
        <w:rPr>
          <w:rFonts w:hint="eastAsia" w:ascii="宋体" w:hAnsi="宋体" w:cs="宋体"/>
          <w:sz w:val="24"/>
          <w:highlight w:val="none"/>
        </w:rPr>
        <w:t>采购人指定账户，否则视为</w:t>
      </w:r>
      <w:r>
        <w:rPr>
          <w:rFonts w:hint="eastAsia" w:ascii="宋体" w:hAnsi="宋体" w:cs="宋体"/>
          <w:bCs/>
          <w:sz w:val="24"/>
          <w:highlight w:val="none"/>
        </w:rPr>
        <w:t>磋商</w:t>
      </w:r>
      <w:r>
        <w:rPr>
          <w:rFonts w:hint="eastAsia" w:ascii="宋体" w:hAnsi="宋体" w:cs="宋体"/>
          <w:sz w:val="24"/>
          <w:highlight w:val="none"/>
        </w:rPr>
        <w:t>保证金无效。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（2）若采用</w:t>
      </w:r>
      <w:r>
        <w:rPr>
          <w:rFonts w:ascii="宋体" w:hAnsi="宋体" w:cs="宋体"/>
          <w:sz w:val="24"/>
          <w:highlight w:val="none"/>
        </w:rPr>
        <w:t>银</w:t>
      </w:r>
      <w:r>
        <w:rPr>
          <w:rFonts w:hint="eastAsia" w:ascii="宋体" w:hAnsi="宋体" w:cs="宋体"/>
          <w:sz w:val="24"/>
          <w:highlight w:val="none"/>
        </w:rPr>
        <w:t>行</w:t>
      </w:r>
      <w:r>
        <w:rPr>
          <w:rFonts w:ascii="宋体" w:hAnsi="宋体" w:cs="宋体"/>
          <w:sz w:val="24"/>
          <w:highlight w:val="none"/>
        </w:rPr>
        <w:t>汇</w:t>
      </w:r>
      <w:r>
        <w:rPr>
          <w:rFonts w:hint="eastAsia" w:ascii="宋体" w:hAnsi="宋体" w:cs="宋体"/>
          <w:sz w:val="24"/>
          <w:highlight w:val="none"/>
        </w:rPr>
        <w:t>票或银行本票（若</w:t>
      </w:r>
      <w:r>
        <w:rPr>
          <w:rFonts w:hint="eastAsia" w:ascii="宋体" w:hAnsi="宋体" w:cs="宋体"/>
          <w:sz w:val="24"/>
          <w:highlight w:val="none"/>
          <w:lang w:val="zh-CN"/>
        </w:rPr>
        <w:t>供应商</w:t>
      </w:r>
      <w:r>
        <w:rPr>
          <w:rFonts w:hint="eastAsia" w:ascii="宋体" w:hAnsi="宋体" w:cs="宋体"/>
          <w:sz w:val="24"/>
          <w:highlight w:val="none"/>
        </w:rPr>
        <w:t>基本开户行在南通，则可递交银行本票），</w:t>
      </w:r>
      <w:r>
        <w:rPr>
          <w:rFonts w:hint="eastAsia" w:ascii="宋体" w:hAnsi="宋体" w:cs="宋体"/>
          <w:sz w:val="24"/>
          <w:highlight w:val="none"/>
          <w:lang w:val="zh-CN"/>
        </w:rPr>
        <w:t>供应商</w:t>
      </w:r>
      <w:r>
        <w:rPr>
          <w:rFonts w:hint="eastAsia" w:ascii="宋体" w:hAnsi="宋体" w:cs="宋体"/>
          <w:sz w:val="24"/>
          <w:highlight w:val="none"/>
        </w:rPr>
        <w:t>应在上述</w:t>
      </w:r>
      <w:r>
        <w:rPr>
          <w:rFonts w:hint="eastAsia" w:ascii="宋体" w:hAnsi="宋体" w:cs="宋体"/>
          <w:bCs/>
          <w:sz w:val="24"/>
          <w:highlight w:val="none"/>
        </w:rPr>
        <w:t>磋商</w:t>
      </w:r>
      <w:r>
        <w:rPr>
          <w:rFonts w:hint="eastAsia" w:ascii="宋体" w:hAnsi="宋体" w:cs="宋体"/>
          <w:sz w:val="24"/>
          <w:highlight w:val="none"/>
        </w:rPr>
        <w:t>保证金递交截止时间之前，将</w:t>
      </w:r>
      <w:r>
        <w:rPr>
          <w:rFonts w:ascii="宋体" w:hAnsi="宋体" w:cs="宋体"/>
          <w:sz w:val="24"/>
          <w:highlight w:val="none"/>
        </w:rPr>
        <w:t>银</w:t>
      </w:r>
      <w:r>
        <w:rPr>
          <w:rFonts w:hint="eastAsia" w:ascii="宋体" w:hAnsi="宋体" w:cs="宋体"/>
          <w:sz w:val="24"/>
          <w:highlight w:val="none"/>
        </w:rPr>
        <w:t>行</w:t>
      </w:r>
      <w:r>
        <w:rPr>
          <w:rFonts w:ascii="宋体" w:hAnsi="宋体" w:cs="宋体"/>
          <w:sz w:val="24"/>
          <w:highlight w:val="none"/>
        </w:rPr>
        <w:t>汇</w:t>
      </w:r>
      <w:r>
        <w:rPr>
          <w:rFonts w:hint="eastAsia" w:ascii="宋体" w:hAnsi="宋体" w:cs="宋体"/>
          <w:sz w:val="24"/>
          <w:highlight w:val="none"/>
        </w:rPr>
        <w:t>票或银行本票原件递交给招标代理，否则视为</w:t>
      </w:r>
      <w:r>
        <w:rPr>
          <w:rFonts w:hint="eastAsia" w:ascii="宋体" w:hAnsi="宋体" w:cs="宋体"/>
          <w:bCs/>
          <w:sz w:val="24"/>
          <w:highlight w:val="none"/>
        </w:rPr>
        <w:t>磋商</w:t>
      </w:r>
      <w:r>
        <w:rPr>
          <w:rFonts w:hint="eastAsia" w:ascii="宋体" w:hAnsi="宋体" w:cs="宋体"/>
          <w:sz w:val="24"/>
          <w:highlight w:val="none"/>
        </w:rPr>
        <w:t>保证金无效。（采用银行本票的，必须同时递交银行本票申请单的复印件）</w:t>
      </w:r>
      <w:bookmarkStart w:id="1" w:name="_Hlk35371762"/>
      <w:r>
        <w:rPr>
          <w:rFonts w:hint="eastAsia" w:ascii="宋体" w:hAnsi="宋体" w:cs="宋体"/>
          <w:sz w:val="24"/>
          <w:highlight w:val="none"/>
        </w:rPr>
        <w:t>（无需密封在响应文件内，单独递交）</w:t>
      </w:r>
      <w:bookmarkEnd w:id="1"/>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（3）若采用银行保函，银行保函应采用</w:t>
      </w:r>
      <w:r>
        <w:rPr>
          <w:rFonts w:hint="eastAsia" w:ascii="宋体" w:hAnsi="宋体" w:cs="宋体"/>
          <w:bCs/>
          <w:sz w:val="24"/>
          <w:highlight w:val="none"/>
        </w:rPr>
        <w:t>磋商</w:t>
      </w:r>
      <w:r>
        <w:rPr>
          <w:rFonts w:hint="eastAsia" w:ascii="宋体" w:hAnsi="宋体" w:cs="宋体"/>
          <w:sz w:val="24"/>
          <w:highlight w:val="none"/>
        </w:rPr>
        <w:t>文件提供的格式，且应在</w:t>
      </w:r>
      <w:r>
        <w:rPr>
          <w:rFonts w:hint="eastAsia" w:ascii="宋体" w:hAnsi="宋体" w:cs="宋体"/>
          <w:bCs/>
          <w:sz w:val="24"/>
          <w:highlight w:val="none"/>
        </w:rPr>
        <w:t>磋商</w:t>
      </w:r>
      <w:r>
        <w:rPr>
          <w:rFonts w:hint="eastAsia" w:ascii="宋体" w:hAnsi="宋体" w:cs="宋体"/>
          <w:sz w:val="24"/>
          <w:highlight w:val="none"/>
        </w:rPr>
        <w:t>有效期内保持有效，采购人如果延长了</w:t>
      </w:r>
      <w:r>
        <w:rPr>
          <w:rFonts w:hint="eastAsia" w:ascii="宋体" w:hAnsi="宋体" w:cs="宋体"/>
          <w:bCs/>
          <w:sz w:val="24"/>
          <w:highlight w:val="none"/>
        </w:rPr>
        <w:t>磋商</w:t>
      </w:r>
      <w:r>
        <w:rPr>
          <w:rFonts w:hint="eastAsia" w:ascii="宋体" w:hAnsi="宋体" w:cs="宋体"/>
          <w:sz w:val="24"/>
          <w:highlight w:val="none"/>
        </w:rPr>
        <w:t>有效期，则</w:t>
      </w:r>
      <w:r>
        <w:rPr>
          <w:rFonts w:hint="eastAsia" w:ascii="宋体" w:hAnsi="宋体" w:cs="宋体"/>
          <w:bCs/>
          <w:sz w:val="24"/>
          <w:highlight w:val="none"/>
        </w:rPr>
        <w:t>磋商</w:t>
      </w:r>
      <w:r>
        <w:rPr>
          <w:rFonts w:hint="eastAsia" w:ascii="宋体" w:hAnsi="宋体" w:cs="宋体"/>
          <w:sz w:val="24"/>
          <w:highlight w:val="none"/>
        </w:rPr>
        <w:t>保证金的有效期也相应延长。</w:t>
      </w:r>
      <w:r>
        <w:rPr>
          <w:rFonts w:hint="eastAsia" w:ascii="宋体" w:hAnsi="宋体" w:cs="宋体"/>
          <w:b/>
          <w:sz w:val="24"/>
          <w:highlight w:val="none"/>
        </w:rPr>
        <w:t>银行保函原件应在递交响应文件的同时提交给招标代理</w:t>
      </w:r>
      <w:r>
        <w:rPr>
          <w:rFonts w:hint="eastAsia" w:ascii="宋体" w:hAnsi="宋体" w:cs="宋体"/>
          <w:sz w:val="24"/>
          <w:highlight w:val="none"/>
        </w:rPr>
        <w:t>（无需密封在响应文件内，单独递交）。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采购人的开户银行及账号如下：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开户名称：南通市公路事业发展中心如皋分中心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w:t>
      </w:r>
      <w:r>
        <w:rPr>
          <w:rFonts w:hint="eastAsia" w:ascii="宋体" w:hAnsi="宋体" w:cs="宋体"/>
          <w:sz w:val="24"/>
          <w:highlight w:val="none"/>
        </w:rPr>
        <w:t>中国银行如皋开发区支行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开户账号：</w:t>
      </w:r>
      <w:r>
        <w:rPr>
          <w:rFonts w:ascii="宋体" w:hAnsi="宋体" w:cs="宋体"/>
          <w:sz w:val="24"/>
          <w:highlight w:val="none"/>
        </w:rPr>
        <w:t>468974444506</w:t>
      </w:r>
    </w:p>
    <w:p>
      <w:pPr>
        <w:tabs>
          <w:tab w:val="left" w:pos="260"/>
        </w:tabs>
        <w:spacing w:line="360" w:lineRule="auto"/>
        <w:ind w:firstLine="480" w:firstLineChars="200"/>
        <w:rPr>
          <w:rFonts w:ascii="宋体" w:hAnsi="宋体" w:cs="宋体"/>
          <w:kern w:val="0"/>
          <w:sz w:val="24"/>
          <w:highlight w:val="none"/>
        </w:rPr>
      </w:pPr>
      <w:r>
        <w:rPr>
          <w:rFonts w:hint="eastAsia" w:ascii="宋体" w:hAnsi="宋体" w:cs="宋体"/>
          <w:sz w:val="24"/>
          <w:highlight w:val="none"/>
        </w:rPr>
        <w:t>采用银行保函时，出具保函的银行级别：</w:t>
      </w:r>
      <w:r>
        <w:rPr>
          <w:rFonts w:hint="eastAsia" w:ascii="宋体" w:hAnsi="宋体" w:cs="宋体"/>
          <w:b/>
          <w:sz w:val="24"/>
          <w:highlight w:val="none"/>
        </w:rPr>
        <w:t>供应商基本账户所在国有或股份制商业银行的分行及以上级别</w:t>
      </w:r>
      <w:r>
        <w:rPr>
          <w:rFonts w:hint="eastAsia" w:ascii="宋体" w:hAnsi="宋体" w:cs="宋体"/>
          <w:sz w:val="24"/>
          <w:highlight w:val="none"/>
        </w:rPr>
        <w:t>（不限于基本账户所在银行具体分支机构）。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4、未按上述要求提交磋商保证金的供应商，采购人有权拒绝其响应文件。</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七、供应商下载磋商文件、报名、响应文件递交</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1、下载磋商文件：自本公告发布之日起即可在公告附件中下载本磋商文件。</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2、报名：凡有意参与本项目投标的，自本公告发布之日起即可向工作人员报名，领取磋商文件（可以至招标代理单位现场报名，也可以联系招标代理通过电子方式进行报名）。报名时请携带①</w:t>
      </w:r>
      <w:r>
        <w:rPr>
          <w:rFonts w:hint="eastAsia" w:ascii="宋体" w:hAnsi="宋体" w:cs="宋体"/>
          <w:bCs/>
          <w:sz w:val="24"/>
          <w:highlight w:val="none"/>
        </w:rPr>
        <w:t>按附件提供《报名函》</w:t>
      </w:r>
      <w:r>
        <w:rPr>
          <w:rFonts w:hint="eastAsia" w:ascii="宋体" w:hAnsi="宋体" w:cs="宋体"/>
          <w:sz w:val="24"/>
          <w:highlight w:val="none"/>
          <w:lang w:val="zh-CN"/>
        </w:rPr>
        <w:t>②营业执照副</w:t>
      </w:r>
      <w:r>
        <w:rPr>
          <w:rFonts w:hint="eastAsia" w:ascii="宋体" w:hAnsi="宋体" w:cs="宋体"/>
          <w:bCs/>
          <w:sz w:val="24"/>
          <w:highlight w:val="none"/>
          <w:lang w:val="zh-CN"/>
        </w:rPr>
        <w:t>本复印件，上述材料加盖公章。报名截止时间为</w:t>
      </w:r>
      <w:r>
        <w:rPr>
          <w:rFonts w:ascii="宋体" w:hAnsi="宋体" w:cs="宋体"/>
          <w:bCs/>
          <w:sz w:val="24"/>
          <w:highlight w:val="none"/>
          <w:lang w:val="zh-CN"/>
        </w:rPr>
        <w:t>2</w:t>
      </w:r>
      <w:bookmarkStart w:id="466" w:name="_GoBack"/>
      <w:bookmarkEnd w:id="466"/>
      <w:r>
        <w:rPr>
          <w:rFonts w:ascii="宋体" w:hAnsi="宋体" w:cs="宋体"/>
          <w:bCs/>
          <w:sz w:val="24"/>
          <w:highlight w:val="none"/>
          <w:lang w:val="zh-CN"/>
        </w:rPr>
        <w:t>02</w:t>
      </w:r>
      <w:r>
        <w:rPr>
          <w:rFonts w:ascii="宋体" w:hAnsi="宋体" w:cs="宋体"/>
          <w:bCs/>
          <w:sz w:val="24"/>
          <w:highlight w:val="none"/>
          <w:lang w:val="zh-CN"/>
        </w:rPr>
        <w:t>0</w:t>
      </w:r>
      <w:r>
        <w:rPr>
          <w:rFonts w:hint="eastAsia" w:ascii="宋体" w:hAnsi="宋体" w:cs="宋体"/>
          <w:bCs/>
          <w:sz w:val="24"/>
          <w:highlight w:val="none"/>
          <w:lang w:val="zh-CN"/>
        </w:rPr>
        <w:t>年</w:t>
      </w:r>
      <w:r>
        <w:rPr>
          <w:rFonts w:hint="eastAsia" w:ascii="宋体" w:hAnsi="宋体" w:cs="宋体"/>
          <w:bCs/>
          <w:sz w:val="24"/>
          <w:highlight w:val="none"/>
          <w:lang w:val="en-US" w:eastAsia="zh-CN"/>
        </w:rPr>
        <w:t>10</w:t>
      </w:r>
      <w:r>
        <w:rPr>
          <w:rFonts w:hint="eastAsia" w:ascii="宋体" w:hAnsi="宋体" w:cs="宋体"/>
          <w:bCs/>
          <w:sz w:val="24"/>
          <w:highlight w:val="none"/>
          <w:lang w:val="zh-CN"/>
        </w:rPr>
        <w:t>月</w:t>
      </w:r>
      <w:r>
        <w:rPr>
          <w:rFonts w:hint="eastAsia" w:ascii="宋体" w:hAnsi="宋体" w:cs="宋体"/>
          <w:bCs/>
          <w:sz w:val="24"/>
          <w:highlight w:val="none"/>
          <w:lang w:val="en-US" w:eastAsia="zh-CN"/>
        </w:rPr>
        <w:t>19</w:t>
      </w:r>
      <w:r>
        <w:rPr>
          <w:rFonts w:hint="eastAsia" w:ascii="宋体" w:hAnsi="宋体" w:cs="宋体"/>
          <w:bCs/>
          <w:sz w:val="24"/>
          <w:highlight w:val="none"/>
          <w:lang w:val="zh-CN"/>
        </w:rPr>
        <w:t>日</w:t>
      </w:r>
      <w:r>
        <w:rPr>
          <w:rFonts w:hint="eastAsia" w:ascii="宋体" w:hAnsi="宋体" w:cs="宋体"/>
          <w:bCs/>
          <w:sz w:val="24"/>
          <w:highlight w:val="none"/>
          <w:lang w:val="zh-CN"/>
        </w:rPr>
        <w:t>17:00时。磋商文件费400元/供应商，逾期不可报</w:t>
      </w:r>
      <w:r>
        <w:rPr>
          <w:rFonts w:hint="eastAsia" w:ascii="宋体" w:hAnsi="宋体" w:cs="宋体"/>
          <w:sz w:val="24"/>
          <w:highlight w:val="none"/>
          <w:lang w:val="zh-CN"/>
        </w:rPr>
        <w:t>名。</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报名地点：南通市工农南路156号鑫乾国际广场B1612室</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联系人：沙云天 18551417471</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3、纸质响应文件接收截止及开标时间、地点：</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时间：</w:t>
      </w:r>
      <w:r>
        <w:rPr>
          <w:rFonts w:ascii="宋体" w:hAnsi="宋体" w:cs="宋体"/>
          <w:sz w:val="24"/>
          <w:highlight w:val="none"/>
          <w:lang w:val="zh-CN"/>
        </w:rPr>
        <w:t>2020</w:t>
      </w:r>
      <w:r>
        <w:rPr>
          <w:rFonts w:hint="eastAsia" w:ascii="宋体" w:hAnsi="宋体" w:cs="宋体"/>
          <w:sz w:val="24"/>
          <w:highlight w:val="none"/>
          <w:lang w:val="zh-CN"/>
        </w:rPr>
        <w:t>年</w:t>
      </w:r>
      <w:r>
        <w:rPr>
          <w:rFonts w:hint="eastAsia" w:ascii="宋体" w:hAnsi="宋体" w:cs="宋体"/>
          <w:sz w:val="24"/>
          <w:highlight w:val="none"/>
        </w:rPr>
        <w:t>10</w:t>
      </w:r>
      <w:r>
        <w:rPr>
          <w:rFonts w:hint="eastAsia" w:ascii="宋体" w:hAnsi="宋体" w:cs="宋体"/>
          <w:sz w:val="24"/>
          <w:highlight w:val="none"/>
          <w:lang w:val="zh-CN"/>
        </w:rPr>
        <w:t>月</w:t>
      </w:r>
      <w:r>
        <w:rPr>
          <w:rFonts w:hint="eastAsia" w:ascii="宋体" w:hAnsi="宋体" w:cs="宋体"/>
          <w:sz w:val="24"/>
          <w:highlight w:val="none"/>
          <w:lang w:val="en-US" w:eastAsia="zh-CN"/>
        </w:rPr>
        <w:t>23</w:t>
      </w:r>
      <w:r>
        <w:rPr>
          <w:rFonts w:hint="eastAsia" w:ascii="宋体" w:hAnsi="宋体" w:cs="宋体"/>
          <w:sz w:val="24"/>
          <w:highlight w:val="none"/>
          <w:lang w:val="zh-CN"/>
        </w:rPr>
        <w:t>日9:</w:t>
      </w:r>
      <w:r>
        <w:rPr>
          <w:rFonts w:hint="eastAsia" w:ascii="宋体" w:hAnsi="宋体" w:cs="宋体"/>
          <w:sz w:val="24"/>
          <w:highlight w:val="none"/>
          <w:lang w:val="zh-CN"/>
        </w:rPr>
        <w:t>30</w:t>
      </w:r>
    </w:p>
    <w:p>
      <w:pPr>
        <w:autoSpaceDE w:val="0"/>
        <w:autoSpaceDN w:val="0"/>
        <w:adjustRightIn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lang w:val="zh-CN"/>
        </w:rPr>
        <w:t>地点</w:t>
      </w:r>
      <w:r>
        <w:rPr>
          <w:rFonts w:hint="eastAsia" w:ascii="宋体" w:hAnsi="宋体" w:cs="宋体"/>
          <w:sz w:val="24"/>
          <w:highlight w:val="none"/>
          <w:lang w:val="zh-CN"/>
        </w:rPr>
        <w:t>：</w:t>
      </w:r>
      <w:r>
        <w:rPr>
          <w:rFonts w:hint="eastAsia" w:ascii="宋体" w:hAnsi="宋体" w:cs="宋体"/>
          <w:sz w:val="24"/>
          <w:highlight w:val="none"/>
        </w:rPr>
        <w:t>南通市公路事业发展中心如皋分中心</w:t>
      </w:r>
      <w:r>
        <w:rPr>
          <w:rFonts w:hint="eastAsia" w:ascii="宋体" w:hAnsi="宋体" w:cs="宋体"/>
          <w:sz w:val="24"/>
          <w:highlight w:val="none"/>
          <w:lang w:val="en-US" w:eastAsia="zh-CN"/>
        </w:rPr>
        <w:t>会议室</w:t>
      </w:r>
    </w:p>
    <w:p>
      <w:pPr>
        <w:autoSpaceDE w:val="0"/>
        <w:autoSpaceDN w:val="0"/>
        <w:adjustRightInd w:val="0"/>
        <w:spacing w:line="360" w:lineRule="auto"/>
        <w:ind w:firstLine="482" w:firstLineChars="200"/>
        <w:rPr>
          <w:rFonts w:ascii="宋体" w:hAnsi="宋体" w:cs="宋体"/>
          <w:sz w:val="24"/>
          <w:highlight w:val="none"/>
          <w:lang w:val="zh-CN"/>
        </w:rPr>
      </w:pPr>
      <w:r>
        <w:rPr>
          <w:rFonts w:hint="eastAsia" w:ascii="宋体" w:hAnsi="宋体" w:cs="宋体"/>
          <w:b/>
          <w:sz w:val="24"/>
          <w:highlight w:val="none"/>
        </w:rPr>
        <w:t>如有变动另行通知。</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八、本招标项目联系事项</w:t>
      </w:r>
    </w:p>
    <w:p>
      <w:pPr>
        <w:spacing w:line="360" w:lineRule="auto"/>
        <w:ind w:firstLine="480" w:firstLineChars="200"/>
        <w:rPr>
          <w:rFonts w:hint="eastAsia" w:ascii="宋体" w:hAnsi="宋体" w:cs="宋体"/>
          <w:sz w:val="24"/>
          <w:highlight w:val="none"/>
        </w:rPr>
      </w:pPr>
      <w:r>
        <w:rPr>
          <w:rFonts w:ascii="宋体" w:hAnsi="宋体" w:cs="宋体"/>
          <w:sz w:val="24"/>
          <w:highlight w:val="none"/>
          <w:lang w:val="zh-CN"/>
        </w:rPr>
        <w:t>采购</w:t>
      </w:r>
      <w:r>
        <w:rPr>
          <w:rFonts w:hint="eastAsia" w:ascii="宋体" w:hAnsi="宋体" w:cs="宋体"/>
          <w:sz w:val="24"/>
          <w:highlight w:val="none"/>
        </w:rPr>
        <w:t>人：南通市公路事业发展中心如皋分中心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 址：南通市如皋市惠民西路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联系人：李锋                电  话：13861926001</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邮  编：226001</w:t>
      </w:r>
    </w:p>
    <w:p>
      <w:pPr>
        <w:spacing w:line="360" w:lineRule="auto"/>
        <w:ind w:left="5879" w:leftChars="228" w:hanging="5400" w:hangingChars="2250"/>
        <w:rPr>
          <w:rFonts w:ascii="宋体" w:hAnsi="宋体" w:cs="宋体"/>
          <w:sz w:val="24"/>
          <w:highlight w:val="none"/>
        </w:rPr>
      </w:pPr>
      <w:r>
        <w:rPr>
          <w:rFonts w:hint="eastAsia" w:ascii="宋体" w:hAnsi="宋体" w:cs="宋体"/>
          <w:sz w:val="24"/>
          <w:highlight w:val="none"/>
        </w:rPr>
        <w:t>代理机构：</w:t>
      </w:r>
      <w:r>
        <w:rPr>
          <w:rFonts w:hint="eastAsia" w:ascii="宋体" w:hAnsi="宋体" w:cs="宋体"/>
          <w:sz w:val="24"/>
          <w:highlight w:val="none"/>
          <w:lang w:val="zh-CN"/>
        </w:rPr>
        <w:t xml:space="preserve">捷宏润安工程顾问有限公司   </w:t>
      </w:r>
      <w:r>
        <w:rPr>
          <w:rFonts w:hint="eastAsia" w:ascii="宋体" w:hAnsi="宋体" w:cs="宋体"/>
          <w:sz w:val="24"/>
          <w:highlight w:val="none"/>
        </w:rPr>
        <w:t>地  址：</w:t>
      </w:r>
      <w:r>
        <w:rPr>
          <w:rFonts w:hint="eastAsia" w:ascii="宋体" w:hAnsi="宋体" w:cs="宋体"/>
          <w:sz w:val="24"/>
          <w:highlight w:val="none"/>
          <w:lang w:val="zh-CN"/>
        </w:rPr>
        <w:t>南通市工农南路156号鑫乾国际广场B1612室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联系人：</w:t>
      </w:r>
      <w:r>
        <w:rPr>
          <w:rFonts w:ascii="宋体" w:hAnsi="宋体" w:cs="宋体"/>
          <w:sz w:val="24"/>
          <w:highlight w:val="none"/>
        </w:rPr>
        <w:t>邱海峰、沙云天</w:t>
      </w:r>
      <w:r>
        <w:rPr>
          <w:rFonts w:hint="eastAsia" w:ascii="宋体" w:hAnsi="宋体" w:cs="宋体"/>
          <w:sz w:val="24"/>
          <w:highlight w:val="none"/>
        </w:rPr>
        <w:t xml:space="preserve">               电  话：</w:t>
      </w:r>
      <w:r>
        <w:rPr>
          <w:rFonts w:ascii="宋体" w:hAnsi="宋体" w:cs="宋体"/>
          <w:sz w:val="24"/>
          <w:highlight w:val="none"/>
        </w:rPr>
        <w:t>18036206278、18551417471</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邮  编：226001</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九</w:t>
      </w:r>
      <w:r>
        <w:rPr>
          <w:rFonts w:ascii="宋体" w:hAnsi="宋体" w:cs="宋体"/>
          <w:b/>
          <w:sz w:val="24"/>
          <w:highlight w:val="none"/>
          <w:lang w:val="zh-CN"/>
        </w:rPr>
        <w:t>、</w:t>
      </w:r>
      <w:r>
        <w:rPr>
          <w:rFonts w:hint="eastAsia" w:ascii="宋体" w:hAnsi="宋体" w:cs="宋体"/>
          <w:b/>
          <w:sz w:val="24"/>
          <w:highlight w:val="none"/>
          <w:lang w:val="zh-CN"/>
        </w:rPr>
        <w:t>响应</w:t>
      </w:r>
      <w:r>
        <w:rPr>
          <w:rFonts w:ascii="宋体" w:hAnsi="宋体" w:cs="宋体"/>
          <w:b/>
          <w:sz w:val="24"/>
          <w:highlight w:val="none"/>
          <w:lang w:val="zh-CN"/>
        </w:rPr>
        <w:t>文件制作份数要求：</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详见磋商文件第七部分“响应文件组成”的具体要求。</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十、竞争性磋商程序简介</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供应商先对响应文件密封情况相互检查，磋商小组审查响应供应商资格，符合资格的供应商接受磋商小组的各轮磋商。磋商结束后要求所有实质性响应的供应商在规定时间内提交最后报价.磋商小组采用综合评分法对提交最后报价的供应商的响应文件和最后报价进行综合评分，响应文件满足磋商文件全部实质性要求且按评审因素的量化指标评审得分最高者，为成交供应商。</w:t>
      </w:r>
    </w:p>
    <w:p>
      <w:pPr>
        <w:autoSpaceDE w:val="0"/>
        <w:autoSpaceDN w:val="0"/>
        <w:adjustRightInd w:val="0"/>
        <w:spacing w:line="360" w:lineRule="auto"/>
        <w:ind w:firstLine="480" w:firstLineChars="200"/>
        <w:jc w:val="right"/>
        <w:rPr>
          <w:rFonts w:hint="eastAsia" w:ascii="宋体" w:hAnsi="宋体" w:cs="宋体"/>
          <w:sz w:val="24"/>
          <w:highlight w:val="none"/>
          <w:lang w:val="zh-CN"/>
        </w:rPr>
      </w:pPr>
      <w:r>
        <w:rPr>
          <w:rFonts w:hint="eastAsia" w:ascii="宋体" w:hAnsi="宋体" w:cs="宋体"/>
          <w:sz w:val="24"/>
          <w:highlight w:val="none"/>
          <w:lang w:val="zh-CN"/>
        </w:rPr>
        <w:t>20</w:t>
      </w:r>
      <w:r>
        <w:rPr>
          <w:rFonts w:ascii="宋体" w:hAnsi="宋体" w:cs="宋体"/>
          <w:sz w:val="24"/>
          <w:highlight w:val="none"/>
          <w:lang w:val="zh-CN"/>
        </w:rPr>
        <w:t>20</w:t>
      </w:r>
      <w:r>
        <w:rPr>
          <w:rFonts w:hint="eastAsia" w:ascii="宋体" w:hAnsi="宋体" w:cs="宋体"/>
          <w:sz w:val="24"/>
          <w:highlight w:val="none"/>
          <w:lang w:val="zh-CN"/>
        </w:rPr>
        <w:t>年</w:t>
      </w:r>
      <w:r>
        <w:rPr>
          <w:rFonts w:hint="eastAsia" w:ascii="宋体" w:hAnsi="宋体" w:cs="宋体"/>
          <w:sz w:val="24"/>
          <w:highlight w:val="none"/>
        </w:rPr>
        <w:t>10</w:t>
      </w:r>
      <w:r>
        <w:rPr>
          <w:rFonts w:hint="eastAsia" w:ascii="宋体" w:hAnsi="宋体" w:cs="宋体"/>
          <w:sz w:val="24"/>
          <w:highlight w:val="none"/>
          <w:lang w:val="zh-CN"/>
        </w:rPr>
        <w:t>月</w:t>
      </w:r>
      <w:r>
        <w:rPr>
          <w:rFonts w:hint="eastAsia" w:ascii="宋体" w:hAnsi="宋体" w:cs="宋体"/>
          <w:sz w:val="24"/>
          <w:highlight w:val="none"/>
          <w:lang w:val="en-US" w:eastAsia="zh-CN"/>
        </w:rPr>
        <w:t>12</w:t>
      </w:r>
      <w:r>
        <w:rPr>
          <w:rFonts w:hint="eastAsia" w:ascii="宋体" w:hAnsi="宋体" w:cs="宋体"/>
          <w:sz w:val="24"/>
          <w:highlight w:val="none"/>
          <w:lang w:val="zh-CN"/>
        </w:rPr>
        <w:t>日</w:t>
      </w:r>
    </w:p>
    <w:p>
      <w:pPr>
        <w:rPr>
          <w:rFonts w:hint="eastAsia" w:ascii="宋体" w:hAnsi="宋体" w:cs="宋体"/>
          <w:sz w:val="24"/>
          <w:highlight w:val="none"/>
          <w:lang w:val="zh-CN"/>
        </w:rPr>
      </w:pPr>
      <w:r>
        <w:rPr>
          <w:rFonts w:hint="eastAsia" w:ascii="宋体" w:hAnsi="宋体" w:cs="宋体"/>
          <w:sz w:val="24"/>
          <w:highlight w:val="none"/>
          <w:lang w:val="zh-CN"/>
        </w:rPr>
        <w:br w:type="page"/>
      </w:r>
    </w:p>
    <w:p>
      <w:pPr>
        <w:spacing w:line="380" w:lineRule="exact"/>
        <w:ind w:right="420"/>
        <w:jc w:val="left"/>
        <w:rPr>
          <w:color w:val="auto"/>
          <w:highlight w:val="none"/>
        </w:rPr>
      </w:pPr>
      <w:r>
        <w:rPr>
          <w:rFonts w:hint="eastAsia" w:cs="宋体"/>
          <w:color w:val="auto"/>
          <w:highlight w:val="none"/>
        </w:rPr>
        <w:t>附件</w:t>
      </w:r>
    </w:p>
    <w:p>
      <w:pPr>
        <w:spacing w:line="420" w:lineRule="exact"/>
        <w:jc w:val="center"/>
        <w:rPr>
          <w:b/>
          <w:bCs/>
          <w:color w:val="auto"/>
          <w:sz w:val="32"/>
          <w:szCs w:val="32"/>
          <w:highlight w:val="none"/>
        </w:rPr>
      </w:pPr>
      <w:r>
        <w:rPr>
          <w:rFonts w:hint="eastAsia" w:cs="宋体"/>
          <w:b/>
          <w:bCs/>
          <w:color w:val="auto"/>
          <w:sz w:val="32"/>
          <w:szCs w:val="32"/>
          <w:highlight w:val="none"/>
        </w:rPr>
        <w:t>报名函</w:t>
      </w:r>
    </w:p>
    <w:p>
      <w:pPr>
        <w:spacing w:line="420" w:lineRule="exact"/>
        <w:jc w:val="center"/>
        <w:rPr>
          <w:b/>
          <w:bCs/>
          <w:color w:val="auto"/>
          <w:sz w:val="32"/>
          <w:szCs w:val="32"/>
          <w:highlight w:val="none"/>
        </w:rPr>
      </w:pPr>
    </w:p>
    <w:p>
      <w:pPr>
        <w:spacing w:line="440" w:lineRule="exact"/>
        <w:rPr>
          <w:b/>
          <w:bCs/>
          <w:color w:val="auto"/>
          <w:sz w:val="24"/>
          <w:highlight w:val="none"/>
          <w:u w:val="single"/>
        </w:rPr>
      </w:pPr>
      <w:r>
        <w:rPr>
          <w:rFonts w:hint="eastAsia" w:cs="宋体"/>
          <w:b/>
          <w:bCs/>
          <w:color w:val="auto"/>
          <w:sz w:val="24"/>
          <w:highlight w:val="none"/>
        </w:rPr>
        <w:t>致：</w:t>
      </w:r>
      <w:r>
        <w:rPr>
          <w:rFonts w:hint="eastAsia" w:cs="宋体"/>
          <w:b/>
          <w:bCs/>
          <w:color w:val="auto"/>
          <w:sz w:val="24"/>
          <w:highlight w:val="none"/>
          <w:u w:val="single"/>
        </w:rPr>
        <w:t>南通市公路事业发展中心</w:t>
      </w:r>
    </w:p>
    <w:p>
      <w:pPr>
        <w:tabs>
          <w:tab w:val="left" w:pos="1470"/>
          <w:tab w:val="center" w:pos="4769"/>
          <w:tab w:val="left" w:pos="6300"/>
        </w:tabs>
        <w:snapToGrid w:val="0"/>
        <w:spacing w:line="440" w:lineRule="exact"/>
        <w:rPr>
          <w:color w:val="auto"/>
          <w:sz w:val="24"/>
          <w:highlight w:val="none"/>
        </w:rPr>
      </w:pPr>
      <w:r>
        <w:rPr>
          <w:rFonts w:hint="eastAsia" w:cs="宋体"/>
          <w:color w:val="auto"/>
          <w:sz w:val="24"/>
          <w:highlight w:val="none"/>
        </w:rPr>
        <w:t xml:space="preserve"> </w:t>
      </w:r>
      <w:r>
        <w:rPr>
          <w:rFonts w:cs="宋体"/>
          <w:color w:val="auto"/>
          <w:sz w:val="24"/>
          <w:highlight w:val="none"/>
        </w:rPr>
        <w:t xml:space="preserve">   </w:t>
      </w:r>
      <w:r>
        <w:rPr>
          <w:rFonts w:hint="eastAsia" w:cs="宋体"/>
          <w:color w:val="auto"/>
          <w:sz w:val="24"/>
          <w:highlight w:val="none"/>
        </w:rPr>
        <w:t>我公司已获悉贵单位发出的</w:t>
      </w:r>
      <w:r>
        <w:rPr>
          <w:rFonts w:hint="eastAsia" w:ascii="宋体" w:hAnsi="宋体" w:cs="宋体"/>
          <w:color w:val="auto"/>
          <w:sz w:val="24"/>
          <w:highlight w:val="none"/>
          <w:u w:val="single"/>
          <w:lang w:val="en-US" w:eastAsia="zh-CN"/>
        </w:rPr>
        <w:t xml:space="preserve">                    </w:t>
      </w:r>
      <w:r>
        <w:rPr>
          <w:rFonts w:hint="eastAsia" w:ascii="宋体" w:hAnsi="宋体"/>
          <w:color w:val="auto"/>
          <w:kern w:val="0"/>
          <w:sz w:val="24"/>
          <w:highlight w:val="none"/>
        </w:rPr>
        <w:t>磋商</w:t>
      </w:r>
      <w:r>
        <w:rPr>
          <w:rFonts w:hint="eastAsia" w:cs="宋体"/>
          <w:color w:val="auto"/>
          <w:sz w:val="24"/>
          <w:highlight w:val="none"/>
        </w:rPr>
        <w:t>公告，经研究，我单位报名拟参加本项目磋商。</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s="宋体"/>
          <w:color w:val="auto"/>
          <w:sz w:val="24"/>
          <w:highlight w:val="none"/>
        </w:rPr>
        <w:t>联系人：</w:t>
      </w:r>
    </w:p>
    <w:p>
      <w:pPr>
        <w:spacing w:line="360" w:lineRule="auto"/>
        <w:ind w:firstLine="480" w:firstLineChars="200"/>
        <w:rPr>
          <w:color w:val="auto"/>
          <w:sz w:val="24"/>
          <w:highlight w:val="none"/>
        </w:rPr>
      </w:pPr>
      <w:r>
        <w:rPr>
          <w:rFonts w:hint="eastAsia" w:cs="宋体"/>
          <w:color w:val="auto"/>
          <w:sz w:val="24"/>
          <w:highlight w:val="none"/>
        </w:rPr>
        <w:t>联系电话：</w:t>
      </w:r>
    </w:p>
    <w:p>
      <w:pPr>
        <w:spacing w:line="360" w:lineRule="auto"/>
        <w:ind w:firstLine="480" w:firstLineChars="200"/>
        <w:rPr>
          <w:color w:val="auto"/>
          <w:sz w:val="24"/>
          <w:highlight w:val="none"/>
          <w:lang w:val="zh-CN"/>
        </w:rPr>
      </w:pPr>
      <w:r>
        <w:rPr>
          <w:color w:val="auto"/>
          <w:sz w:val="24"/>
          <w:highlight w:val="none"/>
          <w:lang w:val="zh-CN"/>
        </w:rPr>
        <w:t>EMAIL</w:t>
      </w:r>
      <w:r>
        <w:rPr>
          <w:rFonts w:hint="eastAsia" w:cs="宋体"/>
          <w:color w:val="auto"/>
          <w:sz w:val="24"/>
          <w:highlight w:val="none"/>
          <w:lang w:val="zh-CN"/>
        </w:rPr>
        <w:t>地址：</w:t>
      </w:r>
    </w:p>
    <w:p>
      <w:pPr>
        <w:widowControl/>
        <w:spacing w:line="360" w:lineRule="auto"/>
        <w:jc w:val="left"/>
        <w:rPr>
          <w:color w:val="auto"/>
          <w:sz w:val="24"/>
          <w:highlight w:val="none"/>
        </w:rPr>
      </w:pPr>
    </w:p>
    <w:p>
      <w:pPr>
        <w:spacing w:line="360" w:lineRule="auto"/>
        <w:ind w:firstLine="5760" w:firstLineChars="2400"/>
        <w:rPr>
          <w:color w:val="auto"/>
          <w:sz w:val="24"/>
          <w:highlight w:val="none"/>
          <w:u w:val="single"/>
          <w:lang w:val="zh-CN"/>
        </w:rPr>
      </w:pPr>
      <w:r>
        <w:rPr>
          <w:rFonts w:hint="eastAsia" w:cs="宋体"/>
          <w:color w:val="auto"/>
          <w:sz w:val="24"/>
          <w:highlight w:val="none"/>
          <w:lang w:val="zh-CN"/>
        </w:rPr>
        <w:t>单位：</w:t>
      </w:r>
      <w:r>
        <w:rPr>
          <w:rFonts w:hint="eastAsia" w:cs="宋体"/>
          <w:color w:val="auto"/>
          <w:sz w:val="24"/>
          <w:highlight w:val="none"/>
          <w:u w:val="single"/>
          <w:lang w:val="zh-CN"/>
        </w:rPr>
        <w:t xml:space="preserve">          （盖章）        </w:t>
      </w:r>
    </w:p>
    <w:p>
      <w:pPr>
        <w:pStyle w:val="2"/>
        <w:ind w:left="0" w:leftChars="0" w:firstLine="0" w:firstLineChars="0"/>
        <w:jc w:val="right"/>
        <w:rPr>
          <w:rFonts w:hint="eastAsia" w:cs="宋体"/>
          <w:color w:val="auto"/>
          <w:sz w:val="24"/>
          <w:highlight w:val="none"/>
          <w:lang w:val="zh-CN"/>
        </w:rPr>
      </w:pPr>
      <w:r>
        <w:rPr>
          <w:rFonts w:hint="eastAsia" w:cs="宋体"/>
          <w:color w:val="auto"/>
          <w:sz w:val="24"/>
          <w:highlight w:val="none"/>
          <w:lang w:val="zh-CN"/>
        </w:rPr>
        <w:t>年</w:t>
      </w:r>
      <w:r>
        <w:rPr>
          <w:rFonts w:cs="宋体"/>
          <w:color w:val="auto"/>
          <w:sz w:val="24"/>
          <w:highlight w:val="none"/>
          <w:lang w:val="zh-CN"/>
        </w:rPr>
        <w:t xml:space="preserve">   </w:t>
      </w:r>
      <w:r>
        <w:rPr>
          <w:rFonts w:hint="eastAsia" w:cs="宋体"/>
          <w:color w:val="auto"/>
          <w:sz w:val="24"/>
          <w:highlight w:val="none"/>
          <w:lang w:val="zh-CN"/>
        </w:rPr>
        <w:t>月</w:t>
      </w:r>
      <w:r>
        <w:rPr>
          <w:rFonts w:cs="宋体"/>
          <w:color w:val="auto"/>
          <w:sz w:val="24"/>
          <w:highlight w:val="none"/>
          <w:lang w:val="zh-CN"/>
        </w:rPr>
        <w:t xml:space="preserve">   </w:t>
      </w:r>
      <w:r>
        <w:rPr>
          <w:rFonts w:hint="eastAsia" w:cs="宋体"/>
          <w:color w:val="auto"/>
          <w:sz w:val="24"/>
          <w:highlight w:val="none"/>
          <w:lang w:val="zh-CN"/>
        </w:rPr>
        <w:t>日</w:t>
      </w:r>
    </w:p>
    <w:p>
      <w:pPr>
        <w:pStyle w:val="2"/>
        <w:ind w:left="0" w:leftChars="0" w:firstLine="0" w:firstLineChars="0"/>
        <w:rPr>
          <w:rFonts w:hint="eastAsia" w:cs="宋体"/>
          <w:color w:val="auto"/>
          <w:sz w:val="24"/>
          <w:highlight w:val="none"/>
          <w:lang w:val="zh-CN"/>
        </w:rPr>
      </w:pPr>
    </w:p>
    <w:p>
      <w:pPr>
        <w:pStyle w:val="2"/>
        <w:ind w:left="0" w:leftChars="0" w:firstLine="0" w:firstLineChars="0"/>
        <w:rPr>
          <w:highlight w:val="none"/>
          <w:lang w:val="zh-CN"/>
        </w:rPr>
      </w:pPr>
    </w:p>
    <w:p>
      <w:pPr>
        <w:autoSpaceDE w:val="0"/>
        <w:autoSpaceDN w:val="0"/>
        <w:adjustRightInd w:val="0"/>
        <w:spacing w:line="360" w:lineRule="auto"/>
        <w:ind w:firstLine="720" w:firstLineChars="200"/>
        <w:jc w:val="center"/>
        <w:rPr>
          <w:rFonts w:ascii="宋体" w:hAnsi="宋体"/>
          <w:highlight w:val="none"/>
        </w:rPr>
      </w:pPr>
      <w:r>
        <w:rPr>
          <w:rFonts w:ascii="宋体" w:hAnsi="宋体"/>
          <w:sz w:val="36"/>
          <w:szCs w:val="36"/>
          <w:highlight w:val="none"/>
        </w:rPr>
        <w:br w:type="page"/>
      </w:r>
      <w:bookmarkStart w:id="2" w:name="_Toc8163748"/>
      <w:r>
        <w:rPr>
          <w:rFonts w:hint="eastAsia" w:ascii="宋体" w:hAnsi="宋体"/>
          <w:sz w:val="36"/>
          <w:szCs w:val="36"/>
          <w:highlight w:val="none"/>
        </w:rPr>
        <w:t>第二部分 磋商须知</w:t>
      </w:r>
      <w:bookmarkEnd w:id="2"/>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一、磋商文件由采购人解释。</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1.供应商下载磋商文件后，应仔细检查磋商文件的所有内容，如对政府采购活动事项有疑问的，</w:t>
      </w:r>
      <w:r>
        <w:rPr>
          <w:rFonts w:hint="eastAsia" w:ascii="宋体" w:hAnsi="宋体" w:cs="宋体"/>
          <w:b/>
          <w:sz w:val="24"/>
          <w:highlight w:val="none"/>
          <w:lang w:val="zh-CN"/>
        </w:rPr>
        <w:t>应在下载磋商文件开始之日起3日内以书面形式向代理单位提出询问或疑问</w:t>
      </w:r>
      <w:r>
        <w:rPr>
          <w:rFonts w:hint="eastAsia" w:ascii="宋体" w:hAnsi="宋体" w:cs="宋体"/>
          <w:sz w:val="24"/>
          <w:highlight w:val="none"/>
          <w:lang w:val="zh-CN"/>
        </w:rPr>
        <w:t>，未在规定的3日内提出询问或疑问的，视同供应商理解并接受本磋商文件所有内容，并由此引起的损失自负。</w:t>
      </w:r>
      <w:r>
        <w:rPr>
          <w:rFonts w:hint="eastAsia" w:ascii="宋体" w:hAnsi="宋体" w:cs="宋体"/>
          <w:b/>
          <w:sz w:val="24"/>
          <w:highlight w:val="none"/>
        </w:rPr>
        <w:t>非书面形式的不作为日后质疑提出的依据。</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2.供应商应认真审阅磋商文件中所有的事项、格式、条款和规范要求等，如果供应商没有按照磋商文件要求提交响应文件，或者响应文件没有对磋商文件做出实质性响应，其投标将被拒绝，供应商自行承担责任。</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二、磋商文件的澄清、修改、答疑</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1.采购人有权对发出的磋商文件进行必要的澄清或修改或补充。</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w:t>
      </w:r>
      <w:r>
        <w:rPr>
          <w:rFonts w:hint="eastAsia" w:ascii="宋体" w:hAnsi="宋体" w:cs="宋体"/>
          <w:sz w:val="24"/>
          <w:highlight w:val="none"/>
        </w:rPr>
        <w:t>磋商文件的澄清、修改、补充等内容均以书面明确的形式发布，并以南通市交通运输局—公共资源交易栏目发布的信息为准。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3.采购人对磋商文件的澄清、修改将构成磋商文件的一部分，对供应商具有约束力。</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4.</w:t>
      </w:r>
      <w:r>
        <w:rPr>
          <w:rFonts w:hint="eastAsia" w:ascii="宋体" w:hAnsi="宋体" w:cs="宋体"/>
          <w:sz w:val="24"/>
          <w:highlight w:val="none"/>
        </w:rPr>
        <w:t>澄清或者修改的内容可能影响到响应文件编制的，代理机构将在提交响应文件接收截止之日5日前，发布澄清或者修改公告，不足5日的，当顺延提交响应文件接收截止时间。</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5.</w:t>
      </w:r>
      <w:r>
        <w:rPr>
          <w:rFonts w:hint="eastAsia" w:ascii="宋体" w:hAnsi="宋体" w:cs="宋体"/>
          <w:sz w:val="24"/>
          <w:highlight w:val="none"/>
          <w:lang w:val="zh-CN"/>
        </w:rPr>
        <w:t>供应商由于对磋商文件的任何推论和误解以及采购人对有关问题的口头解释所造成的后果，均由供应商自负。</w:t>
      </w:r>
    </w:p>
    <w:p>
      <w:pPr>
        <w:snapToGrid w:val="0"/>
        <w:spacing w:line="480" w:lineRule="exact"/>
        <w:ind w:firstLine="482" w:firstLineChars="200"/>
        <w:outlineLvl w:val="1"/>
        <w:rPr>
          <w:rFonts w:ascii="宋体" w:hAnsi="宋体" w:cs="宋体"/>
          <w:b/>
          <w:sz w:val="24"/>
          <w:highlight w:val="none"/>
        </w:rPr>
      </w:pPr>
      <w:r>
        <w:rPr>
          <w:rFonts w:hint="eastAsia" w:ascii="宋体" w:hAnsi="宋体" w:cs="宋体"/>
          <w:b/>
          <w:sz w:val="24"/>
          <w:highlight w:val="none"/>
        </w:rPr>
        <w:t>三、磋商项目涉及到的现场勘察</w:t>
      </w:r>
    </w:p>
    <w:p>
      <w:pPr>
        <w:spacing w:line="480" w:lineRule="exact"/>
        <w:ind w:firstLine="484" w:firstLineChars="202"/>
        <w:rPr>
          <w:rFonts w:ascii="宋体" w:hAnsi="宋体" w:cs="宋体"/>
          <w:sz w:val="24"/>
          <w:highlight w:val="none"/>
        </w:rPr>
      </w:pPr>
      <w:r>
        <w:rPr>
          <w:rFonts w:hint="eastAsia" w:ascii="宋体" w:hAnsi="宋体" w:cs="宋体"/>
          <w:sz w:val="24"/>
          <w:highlight w:val="none"/>
        </w:rPr>
        <w:t>1．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pacing w:line="480" w:lineRule="exact"/>
        <w:ind w:firstLine="484" w:firstLineChars="202"/>
        <w:rPr>
          <w:rFonts w:ascii="宋体" w:hAnsi="宋体" w:cs="宋体"/>
          <w:sz w:val="24"/>
          <w:highlight w:val="none"/>
        </w:rPr>
      </w:pPr>
      <w:r>
        <w:rPr>
          <w:rFonts w:hint="eastAsia" w:ascii="宋体" w:hAnsi="宋体" w:cs="宋体"/>
          <w:sz w:val="24"/>
          <w:highlight w:val="none"/>
        </w:rPr>
        <w:t>2．采购人向供应商提供的有关现场的资料和数据，是采购人现有的并认为能使供应商可利用的资料。采购人对供应商由此而做出的推论、理解和结论概不负责。</w:t>
      </w:r>
    </w:p>
    <w:p>
      <w:pPr>
        <w:spacing w:line="480" w:lineRule="exact"/>
        <w:ind w:firstLine="484" w:firstLineChars="202"/>
        <w:rPr>
          <w:rFonts w:ascii="宋体" w:hAnsi="宋体" w:cs="宋体"/>
          <w:sz w:val="24"/>
          <w:highlight w:val="none"/>
        </w:rPr>
      </w:pPr>
      <w:r>
        <w:rPr>
          <w:rFonts w:hint="eastAsia" w:ascii="宋体" w:hAnsi="宋体" w:cs="宋体"/>
          <w:sz w:val="24"/>
          <w:highlight w:val="none"/>
        </w:rPr>
        <w:t>3．经采购人允许，供应商可为勘察目的进入采购人的项目现场，但供应商不得因此使采购人承担有关的责任和蒙受损失。供应商应承担勘察现场的责任和风险。</w:t>
      </w:r>
    </w:p>
    <w:p>
      <w:pPr>
        <w:spacing w:line="480" w:lineRule="exact"/>
        <w:ind w:firstLine="484" w:firstLineChars="202"/>
        <w:rPr>
          <w:rFonts w:ascii="宋体" w:hAnsi="宋体" w:cs="宋体"/>
          <w:sz w:val="24"/>
          <w:highlight w:val="none"/>
        </w:rPr>
      </w:pPr>
      <w:r>
        <w:rPr>
          <w:rFonts w:hint="eastAsia" w:ascii="宋体" w:hAnsi="宋体" w:cs="宋体"/>
          <w:sz w:val="24"/>
          <w:highlight w:val="none"/>
        </w:rPr>
        <w:t>4．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四、响应文件的编写及装订</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供应商按第七部分“投标文件组成”编写响应文件。响应文件规格幅面A4纸（图纸等除外）；按照磋商文件所规定的内容顺序，统一编制目录，逐页编码，由于编排混乱导致投标文件被误读或查找不到，其责任应当由供应商承担；牢固装订成册，不允许使用活页夹、拉杆夹、文件夹、塑料方便式书脊（插入式或穿孔式）装订；投标文件不得行间插字、涂改、增删，如修补错漏处，须经响应文件签署人签字并加盖公章。</w:t>
      </w:r>
    </w:p>
    <w:p>
      <w:pPr>
        <w:autoSpaceDE w:val="0"/>
        <w:autoSpaceDN w:val="0"/>
        <w:adjustRightIn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五、响应文件的份数和签署</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zh-CN"/>
        </w:rPr>
        <w:t>.响应文件</w:t>
      </w:r>
      <w:r>
        <w:rPr>
          <w:rFonts w:hint="eastAsia" w:ascii="宋体" w:hAnsi="宋体" w:cs="宋体"/>
          <w:sz w:val="24"/>
          <w:highlight w:val="none"/>
        </w:rPr>
        <w:t>由：</w:t>
      </w: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资格审查文件、</w:t>
      </w:r>
      <w:r>
        <w:rPr>
          <w:rFonts w:hint="eastAsia" w:ascii="宋体" w:hAnsi="宋体" w:cs="宋体"/>
          <w:sz w:val="24"/>
          <w:highlight w:val="none"/>
        </w:rPr>
        <w:fldChar w:fldCharType="begin"/>
      </w:r>
      <w:r>
        <w:rPr>
          <w:rFonts w:hint="eastAsia" w:ascii="宋体" w:hAnsi="宋体" w:cs="宋体"/>
          <w:sz w:val="24"/>
          <w:highlight w:val="none"/>
        </w:rPr>
        <w:instrText xml:space="preserve"> = 2 \* GB3 </w:instrText>
      </w:r>
      <w:r>
        <w:rPr>
          <w:rFonts w:hint="eastAsia" w:ascii="宋体" w:hAnsi="宋体" w:cs="宋体"/>
          <w:sz w:val="24"/>
          <w:highlight w:val="none"/>
        </w:rPr>
        <w:fldChar w:fldCharType="separate"/>
      </w:r>
      <w:r>
        <w:rPr>
          <w:rFonts w:hint="eastAsia" w:ascii="宋体" w:hAnsi="宋体" w:cs="宋体"/>
          <w:sz w:val="24"/>
          <w:highlight w:val="none"/>
        </w:rPr>
        <w:t>②</w:t>
      </w:r>
      <w:r>
        <w:rPr>
          <w:rFonts w:hint="eastAsia" w:ascii="宋体" w:hAnsi="宋体" w:cs="宋体"/>
          <w:sz w:val="24"/>
          <w:highlight w:val="none"/>
        </w:rPr>
        <w:fldChar w:fldCharType="end"/>
      </w:r>
      <w:r>
        <w:rPr>
          <w:rFonts w:hint="eastAsia" w:ascii="宋体" w:hAnsi="宋体" w:cs="宋体"/>
          <w:sz w:val="24"/>
          <w:highlight w:val="none"/>
        </w:rPr>
        <w:t>商务技术响应文件、③报价响应文件共3部分组成（以下由文件序号代称）。</w:t>
      </w:r>
    </w:p>
    <w:p>
      <w:pPr>
        <w:autoSpaceDE w:val="0"/>
        <w:autoSpaceDN w:val="0"/>
        <w:adjustRightInd w:val="0"/>
        <w:spacing w:line="360" w:lineRule="auto"/>
        <w:ind w:firstLine="480" w:firstLineChars="200"/>
        <w:rPr>
          <w:rFonts w:ascii="宋体" w:hAnsi="宋体" w:cs="宋体"/>
          <w:b/>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 xml:space="preserve">响应文件均为一式 </w:t>
      </w:r>
      <w:r>
        <w:rPr>
          <w:rFonts w:hint="eastAsia" w:ascii="宋体" w:hAnsi="宋体" w:cs="宋体"/>
          <w:b/>
          <w:sz w:val="24"/>
          <w:highlight w:val="none"/>
          <w:lang w:val="zh-CN"/>
        </w:rPr>
        <w:t xml:space="preserve">3 </w:t>
      </w:r>
      <w:r>
        <w:rPr>
          <w:rFonts w:hint="eastAsia" w:ascii="宋体" w:hAnsi="宋体" w:cs="宋体"/>
          <w:sz w:val="24"/>
          <w:highlight w:val="none"/>
          <w:lang w:val="zh-CN"/>
        </w:rPr>
        <w:t>份</w:t>
      </w:r>
      <w:r>
        <w:rPr>
          <w:rFonts w:hint="eastAsia" w:ascii="宋体" w:hAnsi="宋体" w:cs="宋体"/>
          <w:sz w:val="24"/>
          <w:highlight w:val="none"/>
        </w:rPr>
        <w:t>，其中：</w:t>
      </w:r>
      <w:r>
        <w:rPr>
          <w:rFonts w:hint="eastAsia" w:ascii="宋体" w:hAnsi="宋体" w:cs="宋体"/>
          <w:b/>
          <w:sz w:val="24"/>
          <w:highlight w:val="none"/>
          <w:lang w:val="zh-CN"/>
        </w:rPr>
        <w:t>正本份数：1份，副本份数：2份。</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w:t>
      </w:r>
      <w:r>
        <w:rPr>
          <w:rFonts w:hint="eastAsia" w:ascii="宋体" w:hAnsi="宋体" w:cs="宋体"/>
          <w:sz w:val="24"/>
          <w:highlight w:val="none"/>
        </w:rPr>
        <w:t>在每份响应文件上要明确标注项目名称、对应的响应文件名称、供应商的全称、日期、“正本”、“副本”字样。“正本”和“副本”若有差异，概以“正本”为准。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4.响应文件正本须打印并由供应商法定代表人或授权人签字并加盖单位印章。副本可复印，但须加盖单位印章。</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六、响应文件的密封及标记</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1.供应商应将商务技术</w:t>
      </w:r>
      <w:r>
        <w:rPr>
          <w:rFonts w:hint="eastAsia" w:ascii="宋体" w:hAnsi="宋体" w:cs="宋体"/>
          <w:sz w:val="24"/>
          <w:highlight w:val="none"/>
        </w:rPr>
        <w:t>响应文件</w:t>
      </w:r>
      <w:r>
        <w:rPr>
          <w:rFonts w:hint="eastAsia" w:ascii="宋体" w:hAnsi="宋体" w:cs="宋体"/>
          <w:sz w:val="24"/>
          <w:highlight w:val="none"/>
          <w:lang w:val="zh-CN"/>
        </w:rPr>
        <w:t>正本、副本及图纸类等（如需提供图纸等其它资料的话）合并密封，统一装在一个密封袋或密封箱内（如有A3大小的图纸类，可单独密封）。</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2.供应商应将</w:t>
      </w:r>
      <w:r>
        <w:rPr>
          <w:rFonts w:hint="eastAsia" w:ascii="宋体" w:hAnsi="宋体" w:cs="宋体"/>
          <w:sz w:val="24"/>
          <w:highlight w:val="none"/>
        </w:rPr>
        <w:t>资格审查文件</w:t>
      </w:r>
      <w:r>
        <w:rPr>
          <w:rFonts w:hint="eastAsia" w:ascii="宋体" w:hAnsi="宋体" w:cs="宋体"/>
          <w:sz w:val="24"/>
          <w:highlight w:val="none"/>
          <w:lang w:val="zh-CN"/>
        </w:rPr>
        <w:t>正本、副本合并密封，统一装在一个密封袋内。</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3.报价</w:t>
      </w:r>
      <w:r>
        <w:rPr>
          <w:rFonts w:hint="eastAsia" w:ascii="宋体" w:hAnsi="宋体" w:cs="宋体"/>
          <w:sz w:val="24"/>
          <w:highlight w:val="none"/>
        </w:rPr>
        <w:t>响应文件</w:t>
      </w:r>
      <w:r>
        <w:rPr>
          <w:rFonts w:hint="eastAsia" w:ascii="宋体" w:hAnsi="宋体" w:cs="宋体"/>
          <w:sz w:val="24"/>
          <w:highlight w:val="none"/>
          <w:lang w:val="zh-CN"/>
        </w:rPr>
        <w:t>正本、副本合并密封，统一装在一个密封袋内。</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w:t>
      </w:r>
      <w:r>
        <w:rPr>
          <w:rFonts w:hint="eastAsia" w:ascii="宋体" w:hAnsi="宋体" w:cs="宋体"/>
          <w:sz w:val="24"/>
          <w:highlight w:val="none"/>
        </w:rPr>
        <w:t>密封后，应在每一密封的响应文件上明确标注磋商项目名称、项目编号、响应文件各自对应的名称、供应商的全称及日期，并在</w:t>
      </w:r>
      <w:r>
        <w:rPr>
          <w:rFonts w:hint="eastAsia" w:ascii="宋体" w:hAnsi="宋体" w:cs="宋体"/>
          <w:sz w:val="24"/>
          <w:highlight w:val="none"/>
          <w:lang w:val="zh-CN"/>
        </w:rPr>
        <w:t>边缝处加盖单位公章或骑缝签字，并注明于开标前不得启封。</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5.采购人将拒绝接收未按照磋商文件要求密封的响应文件。</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rPr>
        <w:t>【</w:t>
      </w:r>
      <w:r>
        <w:rPr>
          <w:rFonts w:hint="eastAsia" w:ascii="宋体" w:hAnsi="宋体" w:cs="宋体"/>
          <w:b/>
          <w:sz w:val="24"/>
          <w:highlight w:val="none"/>
          <w:lang w:val="zh-CN"/>
        </w:rPr>
        <w:t>特别提醒】响应文件中的</w:t>
      </w:r>
      <w:r>
        <w:rPr>
          <w:rFonts w:hint="eastAsia" w:ascii="宋体" w:hAnsi="宋体" w:cs="宋体"/>
          <w:b/>
          <w:sz w:val="24"/>
          <w:highlight w:val="none"/>
          <w:lang w:val="zh-CN"/>
        </w:rPr>
        <w:fldChar w:fldCharType="begin"/>
      </w:r>
      <w:r>
        <w:rPr>
          <w:rFonts w:hint="eastAsia" w:ascii="宋体" w:hAnsi="宋体" w:cs="宋体"/>
          <w:b/>
          <w:sz w:val="24"/>
          <w:highlight w:val="none"/>
          <w:lang w:val="zh-CN"/>
        </w:rPr>
        <w:instrText xml:space="preserve"> = 1 \* GB3 </w:instrText>
      </w:r>
      <w:r>
        <w:rPr>
          <w:rFonts w:hint="eastAsia" w:ascii="宋体" w:hAnsi="宋体" w:cs="宋体"/>
          <w:b/>
          <w:sz w:val="24"/>
          <w:highlight w:val="none"/>
          <w:lang w:val="zh-CN"/>
        </w:rPr>
        <w:fldChar w:fldCharType="separate"/>
      </w:r>
      <w:r>
        <w:rPr>
          <w:rFonts w:hint="eastAsia" w:ascii="宋体" w:hAnsi="宋体" w:cs="宋体"/>
          <w:b/>
          <w:sz w:val="24"/>
          <w:highlight w:val="none"/>
          <w:lang w:val="zh-CN"/>
        </w:rPr>
        <w:t>①</w:t>
      </w:r>
      <w:r>
        <w:rPr>
          <w:rFonts w:hint="eastAsia" w:ascii="宋体" w:hAnsi="宋体" w:cs="宋体"/>
          <w:b/>
          <w:sz w:val="24"/>
          <w:highlight w:val="none"/>
          <w:lang w:val="zh-CN"/>
        </w:rPr>
        <w:fldChar w:fldCharType="end"/>
      </w:r>
      <w:r>
        <w:rPr>
          <w:rFonts w:hint="eastAsia" w:ascii="宋体" w:hAnsi="宋体" w:cs="宋体"/>
          <w:b/>
          <w:sz w:val="24"/>
          <w:highlight w:val="none"/>
          <w:lang w:val="zh-CN"/>
        </w:rPr>
        <w:t>和</w:t>
      </w:r>
      <w:r>
        <w:rPr>
          <w:rFonts w:hint="eastAsia" w:ascii="宋体" w:hAnsi="宋体" w:cs="宋体"/>
          <w:b/>
          <w:sz w:val="24"/>
          <w:highlight w:val="none"/>
          <w:lang w:val="zh-CN"/>
        </w:rPr>
        <w:fldChar w:fldCharType="begin"/>
      </w:r>
      <w:r>
        <w:rPr>
          <w:rFonts w:hint="eastAsia" w:ascii="宋体" w:hAnsi="宋体" w:cs="宋体"/>
          <w:b/>
          <w:sz w:val="24"/>
          <w:highlight w:val="none"/>
          <w:lang w:val="zh-CN"/>
        </w:rPr>
        <w:instrText xml:space="preserve"> = 2 \* GB3 </w:instrText>
      </w:r>
      <w:r>
        <w:rPr>
          <w:rFonts w:hint="eastAsia" w:ascii="宋体" w:hAnsi="宋体" w:cs="宋体"/>
          <w:b/>
          <w:sz w:val="24"/>
          <w:highlight w:val="none"/>
          <w:lang w:val="zh-CN"/>
        </w:rPr>
        <w:fldChar w:fldCharType="separate"/>
      </w:r>
      <w:r>
        <w:rPr>
          <w:rFonts w:hint="eastAsia" w:ascii="宋体" w:hAnsi="宋体" w:cs="宋体"/>
          <w:b/>
          <w:sz w:val="24"/>
          <w:highlight w:val="none"/>
          <w:lang w:val="zh-CN"/>
        </w:rPr>
        <w:t>②</w:t>
      </w:r>
      <w:r>
        <w:rPr>
          <w:rFonts w:hint="eastAsia" w:ascii="宋体" w:hAnsi="宋体" w:cs="宋体"/>
          <w:b/>
          <w:sz w:val="24"/>
          <w:highlight w:val="none"/>
          <w:lang w:val="zh-CN"/>
        </w:rPr>
        <w:fldChar w:fldCharType="end"/>
      </w:r>
      <w:r>
        <w:rPr>
          <w:rFonts w:hint="eastAsia" w:ascii="宋体" w:hAnsi="宋体" w:cs="宋体"/>
          <w:b/>
          <w:sz w:val="24"/>
          <w:highlight w:val="none"/>
          <w:lang w:val="zh-CN"/>
        </w:rPr>
        <w:t>的“正本”或“副本”中，均不得含有报价响应文件中报价表（报价单）内的任何项目价格，否则作无效响应处理。</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七、磋商报价</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1.本项目不接受任何有选择的报价。</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2.磋商报价均以人民币为报价的币种。</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4. 磋商报价为供应商</w:t>
      </w:r>
      <w:r>
        <w:rPr>
          <w:rFonts w:ascii="宋体" w:hAnsi="宋体" w:cs="宋体"/>
          <w:b/>
          <w:sz w:val="24"/>
          <w:highlight w:val="none"/>
          <w:lang w:val="zh-CN"/>
        </w:rPr>
        <w:t>完成</w:t>
      </w:r>
      <w:r>
        <w:rPr>
          <w:rFonts w:hint="eastAsia" w:ascii="宋体" w:hAnsi="宋体" w:cs="宋体"/>
          <w:b/>
          <w:sz w:val="24"/>
          <w:highlight w:val="none"/>
          <w:lang w:val="zh-CN"/>
        </w:rPr>
        <w:t>本项目准备阶段、实施阶段、验收全过程服务全部费用。本项目采用总价报价。</w:t>
      </w:r>
      <w:r>
        <w:rPr>
          <w:rFonts w:hint="eastAsia" w:ascii="宋体" w:hAnsi="宋体" w:cs="宋体"/>
          <w:sz w:val="24"/>
          <w:highlight w:val="none"/>
          <w:lang w:val="zh-CN"/>
        </w:rPr>
        <w:t>供应商在编制磋商报价时应考虑以下因素：</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w:t>
      </w:r>
      <w:r>
        <w:rPr>
          <w:rFonts w:ascii="宋体" w:hAnsi="宋体" w:cs="宋体"/>
          <w:sz w:val="24"/>
          <w:highlight w:val="none"/>
          <w:lang w:val="zh-CN"/>
        </w:rPr>
        <w:t>1</w:t>
      </w:r>
      <w:r>
        <w:rPr>
          <w:rFonts w:hint="eastAsia" w:ascii="宋体" w:hAnsi="宋体" w:cs="宋体"/>
          <w:sz w:val="24"/>
          <w:highlight w:val="none"/>
          <w:lang w:val="zh-CN"/>
        </w:rPr>
        <w:t>）在合同执行期间，采购人不提供完成本合同所需的其它任何生活、办公设施、及交通、通讯工具等，相关费用供应商在报价时应充分考虑到相关报价中；</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w:t>
      </w:r>
      <w:r>
        <w:rPr>
          <w:rFonts w:ascii="宋体" w:hAnsi="宋体" w:cs="宋体"/>
          <w:sz w:val="24"/>
          <w:highlight w:val="none"/>
          <w:lang w:val="zh-CN"/>
        </w:rPr>
        <w:t>2</w:t>
      </w:r>
      <w:r>
        <w:rPr>
          <w:rFonts w:hint="eastAsia" w:ascii="宋体" w:hAnsi="宋体" w:cs="宋体"/>
          <w:sz w:val="24"/>
          <w:highlight w:val="none"/>
          <w:lang w:val="zh-CN"/>
        </w:rPr>
        <w:t>）本项目营业税、城市维护建设费和教育费附加等应由供应商承担的相关税费等均由供应商承担，并包含在相关报价中；</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w:t>
      </w:r>
      <w:r>
        <w:rPr>
          <w:rFonts w:ascii="宋体" w:hAnsi="宋体" w:cs="宋体"/>
          <w:sz w:val="24"/>
          <w:highlight w:val="none"/>
          <w:lang w:val="zh-CN"/>
        </w:rPr>
        <w:t>3</w:t>
      </w:r>
      <w:r>
        <w:rPr>
          <w:rFonts w:hint="eastAsia" w:ascii="宋体" w:hAnsi="宋体" w:cs="宋体"/>
          <w:sz w:val="24"/>
          <w:highlight w:val="none"/>
          <w:lang w:val="zh-CN"/>
        </w:rPr>
        <w:t>）供应商还须按照相关的安全管理办法及合同条款的规定做好施工安全、环保的监理，该项费用包含在投标价中；</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w:t>
      </w:r>
      <w:r>
        <w:rPr>
          <w:rFonts w:ascii="宋体" w:hAnsi="宋体" w:cs="宋体"/>
          <w:sz w:val="24"/>
          <w:highlight w:val="none"/>
          <w:lang w:val="zh-CN"/>
        </w:rPr>
        <w:t>4</w:t>
      </w:r>
      <w:r>
        <w:rPr>
          <w:rFonts w:hint="eastAsia" w:ascii="宋体" w:hAnsi="宋体" w:cs="宋体"/>
          <w:sz w:val="24"/>
          <w:highlight w:val="none"/>
          <w:lang w:val="zh-CN"/>
        </w:rPr>
        <w:t>）供应商应主动查阅本项目的有关设计文件、技术经济等资料。作为一个有经验的供应商，应充分考虑到采购人提供的相关资料和数据与合同实施过程中存有偏差，供应商应综合考虑到报价中；</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5.竞争性磋商的最终报价为成交价，同时，成交供应商的成交价在合同实施期间不因市场变化因素而变动。</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6.最低的磋商报价是成交的重要条件，但不是成交的唯一条件。</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 xml:space="preserve">7.投标供应商应详细阅读磋商文件的全部内容，根据采购项目需求，准确制定相关工作方案等，必须对本采购项目全部进行报价，如有漏项，视同对本项目的优惠。不按磋商文件的要求提供响应文件，导致报价无效，按无效响应处理。 </w:t>
      </w:r>
    </w:p>
    <w:p>
      <w:pPr>
        <w:snapToGrid w:val="0"/>
        <w:spacing w:line="480" w:lineRule="exact"/>
        <w:ind w:firstLine="482" w:firstLineChars="200"/>
        <w:outlineLvl w:val="1"/>
        <w:rPr>
          <w:rFonts w:eastAsia="仿宋_GB2312"/>
          <w:b/>
          <w:bCs/>
          <w:sz w:val="24"/>
          <w:highlight w:val="none"/>
          <w:lang w:val="zh-CN"/>
        </w:rPr>
      </w:pPr>
      <w:r>
        <w:rPr>
          <w:rFonts w:hint="eastAsia" w:ascii="宋体" w:hAnsi="宋体" w:cs="宋体"/>
          <w:b/>
          <w:sz w:val="24"/>
          <w:highlight w:val="none"/>
          <w:lang w:val="zh-CN"/>
        </w:rPr>
        <w:t>八、</w:t>
      </w:r>
      <w:r>
        <w:rPr>
          <w:rFonts w:hint="eastAsia" w:ascii="宋体" w:hAnsi="宋体" w:cs="宋体"/>
          <w:b/>
          <w:bCs/>
          <w:sz w:val="24"/>
          <w:highlight w:val="none"/>
        </w:rPr>
        <w:t>磋商</w:t>
      </w:r>
      <w:r>
        <w:rPr>
          <w:rFonts w:hint="eastAsia" w:ascii="宋体" w:hAnsi="宋体" w:cs="宋体"/>
          <w:b/>
          <w:bCs/>
          <w:sz w:val="24"/>
          <w:highlight w:val="none"/>
          <w:lang w:val="zh-CN"/>
        </w:rPr>
        <w:t>保证金退还</w:t>
      </w:r>
    </w:p>
    <w:p>
      <w:pPr>
        <w:snapToGrid w:val="0"/>
        <w:spacing w:line="480" w:lineRule="exact"/>
        <w:ind w:firstLine="494" w:firstLineChars="206"/>
        <w:rPr>
          <w:rFonts w:ascii="宋体" w:hAnsi="宋体" w:cs="宋体"/>
          <w:sz w:val="24"/>
          <w:highlight w:val="none"/>
        </w:rPr>
      </w:pPr>
      <w:r>
        <w:rPr>
          <w:rFonts w:hint="eastAsia" w:ascii="宋体" w:hAnsi="宋体" w:cs="宋体"/>
          <w:sz w:val="24"/>
          <w:highlight w:val="none"/>
        </w:rPr>
        <w:t>1.未成交的供应商的磋商保证金，当场退还，成交的供应商（以下称为成交供应商）的磋商保证金将在采购单位与成交供应商签订的合同生效后</w:t>
      </w:r>
      <w:r>
        <w:rPr>
          <w:rFonts w:hint="eastAsia" w:ascii="宋体" w:hAnsi="宋体" w:cs="宋体"/>
          <w:b/>
          <w:sz w:val="24"/>
          <w:highlight w:val="none"/>
          <w:u w:val="single"/>
        </w:rPr>
        <w:t xml:space="preserve"> 5个工作日内</w:t>
      </w:r>
      <w:r>
        <w:rPr>
          <w:rFonts w:hint="eastAsia" w:ascii="宋体" w:hAnsi="宋体" w:cs="宋体"/>
          <w:sz w:val="24"/>
          <w:highlight w:val="none"/>
        </w:rPr>
        <w:t xml:space="preserve"> ，予以退还（无息）。 </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2.发生下列情况之一，磋商保证金将不予退还。</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（1）</w:t>
      </w:r>
      <w:r>
        <w:rPr>
          <w:rFonts w:hint="eastAsia" w:ascii="宋体" w:hAnsi="宋体" w:cs="宋体"/>
          <w:kern w:val="0"/>
          <w:sz w:val="24"/>
          <w:highlight w:val="none"/>
        </w:rPr>
        <w:t>供应商在提交响应文件截止时间后撤回响应文件的；</w:t>
      </w:r>
    </w:p>
    <w:p>
      <w:pPr>
        <w:snapToGrid w:val="0"/>
        <w:spacing w:line="480" w:lineRule="exact"/>
        <w:ind w:firstLine="460" w:firstLineChars="192"/>
        <w:rPr>
          <w:rFonts w:ascii="宋体" w:hAnsi="宋体" w:cs="宋体"/>
          <w:kern w:val="0"/>
          <w:sz w:val="24"/>
          <w:highlight w:val="none"/>
        </w:rPr>
      </w:pPr>
      <w:r>
        <w:rPr>
          <w:rFonts w:hint="eastAsia" w:ascii="宋体" w:hAnsi="宋体" w:cs="宋体"/>
          <w:sz w:val="24"/>
          <w:highlight w:val="none"/>
        </w:rPr>
        <w:t>（2）</w:t>
      </w:r>
      <w:r>
        <w:rPr>
          <w:rFonts w:hint="eastAsia" w:ascii="宋体" w:hAnsi="宋体" w:cs="宋体"/>
          <w:kern w:val="0"/>
          <w:sz w:val="24"/>
          <w:highlight w:val="none"/>
        </w:rPr>
        <w:t>供应商在响应文件中提供虚假材料的；</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（3）除因不可抗力或磋商文件认可的情形以外</w:t>
      </w:r>
      <w:r>
        <w:rPr>
          <w:rFonts w:hint="eastAsia" w:ascii="宋体" w:hAnsi="宋体" w:cs="宋体"/>
          <w:kern w:val="0"/>
          <w:sz w:val="24"/>
          <w:highlight w:val="none"/>
        </w:rPr>
        <w:t>，中标人不与采购人签订合同的；</w:t>
      </w:r>
    </w:p>
    <w:p>
      <w:pPr>
        <w:snapToGrid w:val="0"/>
        <w:spacing w:line="480" w:lineRule="exact"/>
        <w:ind w:firstLine="460" w:firstLineChars="192"/>
        <w:rPr>
          <w:rFonts w:ascii="宋体" w:hAnsi="宋体" w:cs="宋体"/>
          <w:kern w:val="0"/>
          <w:sz w:val="24"/>
          <w:highlight w:val="none"/>
        </w:rPr>
      </w:pPr>
      <w:r>
        <w:rPr>
          <w:rFonts w:hint="eastAsia" w:ascii="宋体" w:hAnsi="宋体" w:cs="宋体"/>
          <w:sz w:val="24"/>
          <w:highlight w:val="none"/>
        </w:rPr>
        <w:t>（4）</w:t>
      </w:r>
      <w:r>
        <w:rPr>
          <w:rFonts w:hint="eastAsia" w:ascii="宋体" w:hAnsi="宋体" w:cs="宋体"/>
          <w:kern w:val="0"/>
          <w:sz w:val="24"/>
          <w:highlight w:val="none"/>
        </w:rPr>
        <w:t>供应商与采购人、其他供应商或者代理机构恶意串通的；</w:t>
      </w:r>
    </w:p>
    <w:p>
      <w:pPr>
        <w:snapToGrid w:val="0"/>
        <w:spacing w:line="480" w:lineRule="exact"/>
        <w:ind w:firstLine="460" w:firstLineChars="192"/>
        <w:rPr>
          <w:rFonts w:ascii="宋体" w:hAnsi="宋体" w:cs="宋体"/>
          <w:kern w:val="0"/>
          <w:sz w:val="24"/>
          <w:highlight w:val="none"/>
        </w:rPr>
      </w:pPr>
      <w:r>
        <w:rPr>
          <w:rFonts w:hint="eastAsia" w:ascii="宋体" w:hAnsi="宋体" w:cs="宋体"/>
          <w:sz w:val="24"/>
          <w:highlight w:val="none"/>
        </w:rPr>
        <w:t>（5）供应商在磋商过程中有违反有关法律法规的行为；</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（6）磋商文件规定的其他情形的。</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63" w:firstLineChars="192"/>
        <w:rPr>
          <w:rFonts w:ascii="宋体" w:hAnsi="宋体" w:cs="宋体"/>
          <w:b/>
          <w:sz w:val="24"/>
          <w:highlight w:val="none"/>
        </w:rPr>
      </w:pPr>
      <w:r>
        <w:rPr>
          <w:rFonts w:hint="eastAsia" w:ascii="宋体" w:hAnsi="宋体" w:cs="宋体"/>
          <w:b/>
          <w:sz w:val="24"/>
          <w:highlight w:val="none"/>
        </w:rPr>
        <w:t>九、响应文件及磋商费用</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1、磋商文件每套售价400元（现金，请自备零钱），在递交磋商响应文件的同时提交给代理单位。</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2、磋商程序顺利进行后，除供应商的原件可退回外，其余所有的响应文件都将作为档案保存，不论成交与否，代理机构均不退回（未拆封的除外）。</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3、无论磋商过程和结果如何，参加项目磋商的供应商自行承担与本次项目磋商有关的全部费用。</w:t>
      </w:r>
    </w:p>
    <w:p>
      <w:pPr>
        <w:snapToGrid w:val="0"/>
        <w:spacing w:line="480" w:lineRule="exact"/>
        <w:ind w:firstLine="463" w:firstLineChars="192"/>
        <w:rPr>
          <w:rFonts w:ascii="宋体" w:hAnsi="宋体" w:cs="宋体"/>
          <w:b/>
          <w:sz w:val="24"/>
          <w:highlight w:val="none"/>
        </w:rPr>
      </w:pPr>
      <w:r>
        <w:rPr>
          <w:rFonts w:hint="eastAsia" w:ascii="宋体" w:hAnsi="宋体" w:cs="宋体"/>
          <w:b/>
          <w:sz w:val="24"/>
          <w:highlight w:val="none"/>
        </w:rPr>
        <w:t>十、履约保证金</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1、本项目成交后的履约保证金为人民币</w:t>
      </w:r>
      <w:r>
        <w:rPr>
          <w:rFonts w:hint="eastAsia" w:ascii="宋体" w:hAnsi="宋体" w:cs="宋体"/>
          <w:sz w:val="24"/>
          <w:highlight w:val="none"/>
        </w:rPr>
        <w:t>壹万伍仟元整（</w:t>
      </w:r>
      <w:r>
        <w:rPr>
          <w:rFonts w:hint="eastAsia" w:ascii="宋体" w:hAnsi="宋体" w:cs="宋体"/>
          <w:bCs/>
          <w:sz w:val="24"/>
          <w:highlight w:val="none"/>
        </w:rPr>
        <w:t>¥15000</w:t>
      </w:r>
      <w:r>
        <w:rPr>
          <w:rFonts w:hint="eastAsia" w:ascii="宋体" w:hAnsi="宋体" w:cs="宋体"/>
          <w:bCs/>
          <w:sz w:val="24"/>
          <w:highlight w:val="none"/>
        </w:rPr>
        <w:t>元）</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2、履约保证金必须选择下列一种形式</w:t>
      </w:r>
      <w:r>
        <w:rPr>
          <w:rFonts w:ascii="宋体" w:hAnsi="宋体" w:cs="宋体"/>
          <w:sz w:val="24"/>
          <w:highlight w:val="none"/>
        </w:rPr>
        <w:t>：</w:t>
      </w:r>
      <w:r>
        <w:rPr>
          <w:rFonts w:hint="eastAsia" w:ascii="宋体" w:hAnsi="宋体" w:cs="宋体"/>
          <w:sz w:val="24"/>
          <w:highlight w:val="none"/>
        </w:rPr>
        <w:t>电汇、银行汇票或银行本票或银行保函。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（1）若采用电汇，成交</w:t>
      </w:r>
      <w:r>
        <w:rPr>
          <w:rFonts w:hint="eastAsia" w:ascii="宋体" w:hAnsi="宋体" w:cs="宋体"/>
          <w:sz w:val="24"/>
          <w:highlight w:val="none"/>
          <w:lang w:val="zh-CN"/>
        </w:rPr>
        <w:t>供应商</w:t>
      </w:r>
      <w:r>
        <w:rPr>
          <w:rFonts w:hint="eastAsia" w:ascii="宋体" w:hAnsi="宋体" w:cs="宋体"/>
          <w:sz w:val="24"/>
          <w:highlight w:val="none"/>
        </w:rPr>
        <w:t>应在合同签订前将履约保证金由成交</w:t>
      </w:r>
      <w:r>
        <w:rPr>
          <w:rFonts w:hint="eastAsia" w:ascii="宋体" w:hAnsi="宋体" w:cs="宋体"/>
          <w:b/>
          <w:sz w:val="24"/>
          <w:highlight w:val="none"/>
        </w:rPr>
        <w:t>供应商基本帐户一次性汇入</w:t>
      </w:r>
      <w:r>
        <w:rPr>
          <w:rFonts w:hint="eastAsia" w:ascii="宋体" w:hAnsi="宋体" w:cs="宋体"/>
          <w:sz w:val="24"/>
          <w:highlight w:val="none"/>
        </w:rPr>
        <w:t>采购人指定账户。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（2）若采用</w:t>
      </w:r>
      <w:r>
        <w:rPr>
          <w:rFonts w:ascii="宋体" w:hAnsi="宋体" w:cs="宋体"/>
          <w:sz w:val="24"/>
          <w:highlight w:val="none"/>
        </w:rPr>
        <w:t>银</w:t>
      </w:r>
      <w:r>
        <w:rPr>
          <w:rFonts w:hint="eastAsia" w:ascii="宋体" w:hAnsi="宋体" w:cs="宋体"/>
          <w:sz w:val="24"/>
          <w:highlight w:val="none"/>
        </w:rPr>
        <w:t>行</w:t>
      </w:r>
      <w:r>
        <w:rPr>
          <w:rFonts w:ascii="宋体" w:hAnsi="宋体" w:cs="宋体"/>
          <w:sz w:val="24"/>
          <w:highlight w:val="none"/>
        </w:rPr>
        <w:t>汇</w:t>
      </w:r>
      <w:r>
        <w:rPr>
          <w:rFonts w:hint="eastAsia" w:ascii="宋体" w:hAnsi="宋体" w:cs="宋体"/>
          <w:sz w:val="24"/>
          <w:highlight w:val="none"/>
        </w:rPr>
        <w:t>票或银行本票（若</w:t>
      </w:r>
      <w:r>
        <w:rPr>
          <w:rFonts w:hint="eastAsia" w:ascii="宋体" w:hAnsi="宋体" w:cs="宋体"/>
          <w:sz w:val="24"/>
          <w:highlight w:val="none"/>
          <w:lang w:val="zh-CN"/>
        </w:rPr>
        <w:t>供应商</w:t>
      </w:r>
      <w:r>
        <w:rPr>
          <w:rFonts w:hint="eastAsia" w:ascii="宋体" w:hAnsi="宋体" w:cs="宋体"/>
          <w:sz w:val="24"/>
          <w:highlight w:val="none"/>
        </w:rPr>
        <w:t>基本开户行在南通，则可递交银行本票），成交</w:t>
      </w:r>
      <w:r>
        <w:rPr>
          <w:rFonts w:hint="eastAsia" w:ascii="宋体" w:hAnsi="宋体" w:cs="宋体"/>
          <w:sz w:val="24"/>
          <w:highlight w:val="none"/>
          <w:lang w:val="zh-CN"/>
        </w:rPr>
        <w:t>供应商</w:t>
      </w:r>
      <w:r>
        <w:rPr>
          <w:rFonts w:hint="eastAsia" w:ascii="宋体" w:hAnsi="宋体" w:cs="宋体"/>
          <w:sz w:val="24"/>
          <w:highlight w:val="none"/>
        </w:rPr>
        <w:t>应在在合同签订前将</w:t>
      </w:r>
      <w:r>
        <w:rPr>
          <w:rFonts w:ascii="宋体" w:hAnsi="宋体" w:cs="宋体"/>
          <w:sz w:val="24"/>
          <w:highlight w:val="none"/>
        </w:rPr>
        <w:t>银</w:t>
      </w:r>
      <w:r>
        <w:rPr>
          <w:rFonts w:hint="eastAsia" w:ascii="宋体" w:hAnsi="宋体" w:cs="宋体"/>
          <w:sz w:val="24"/>
          <w:highlight w:val="none"/>
        </w:rPr>
        <w:t>行</w:t>
      </w:r>
      <w:r>
        <w:rPr>
          <w:rFonts w:ascii="宋体" w:hAnsi="宋体" w:cs="宋体"/>
          <w:sz w:val="24"/>
          <w:highlight w:val="none"/>
        </w:rPr>
        <w:t>汇</w:t>
      </w:r>
      <w:r>
        <w:rPr>
          <w:rFonts w:hint="eastAsia" w:ascii="宋体" w:hAnsi="宋体" w:cs="宋体"/>
          <w:sz w:val="24"/>
          <w:highlight w:val="none"/>
        </w:rPr>
        <w:t>票或银行本票原件递交给采购人。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（3）若采用银行保函，银行保函应采用采购人认可的格式，且应在合同期内保持有效，采购人如果延长了合同期，则履约保函的有效期也相应延长。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采购人的开户银行及账号如下：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开户名称：南通市公路事业发展中心如皋分中心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w:t>
      </w:r>
      <w:r>
        <w:rPr>
          <w:rFonts w:hint="eastAsia" w:ascii="宋体" w:hAnsi="宋体" w:cs="宋体"/>
          <w:sz w:val="24"/>
          <w:highlight w:val="none"/>
        </w:rPr>
        <w:t>中国银行如皋开发区支行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开户账号：</w:t>
      </w:r>
      <w:r>
        <w:rPr>
          <w:rFonts w:ascii="宋体" w:hAnsi="宋体" w:cs="宋体"/>
          <w:sz w:val="24"/>
          <w:highlight w:val="none"/>
        </w:rPr>
        <w:t>468974444506</w:t>
      </w:r>
    </w:p>
    <w:p>
      <w:pPr>
        <w:tabs>
          <w:tab w:val="left" w:pos="260"/>
        </w:tabs>
        <w:spacing w:line="360" w:lineRule="auto"/>
        <w:ind w:firstLine="480" w:firstLineChars="200"/>
        <w:rPr>
          <w:rFonts w:ascii="宋体" w:hAnsi="宋体" w:cs="宋体"/>
          <w:kern w:val="0"/>
          <w:sz w:val="24"/>
          <w:highlight w:val="none"/>
        </w:rPr>
      </w:pPr>
      <w:r>
        <w:rPr>
          <w:rFonts w:hint="eastAsia" w:ascii="宋体" w:hAnsi="宋体" w:cs="宋体"/>
          <w:sz w:val="24"/>
          <w:highlight w:val="none"/>
        </w:rPr>
        <w:t>采用银行保函时，出具保函的银行级别：成交</w:t>
      </w:r>
      <w:r>
        <w:rPr>
          <w:rFonts w:hint="eastAsia" w:ascii="宋体" w:hAnsi="宋体" w:cs="宋体"/>
          <w:b/>
          <w:sz w:val="24"/>
          <w:highlight w:val="none"/>
        </w:rPr>
        <w:t>供应商基本账户所在国有或股份制商业银行的分行及以上级别</w:t>
      </w:r>
      <w:r>
        <w:rPr>
          <w:rFonts w:hint="eastAsia" w:ascii="宋体" w:hAnsi="宋体" w:cs="宋体"/>
          <w:sz w:val="24"/>
          <w:highlight w:val="none"/>
        </w:rPr>
        <w:t>（不限于基本账户所在银行具体分支机构）。</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3、成交供应商在按要求保质保量的完成该项目合同并通过验收后，采购人凭成交供应商提交的申请，一次性无息退还该合同项目的履约保证金。</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63" w:firstLineChars="192"/>
        <w:rPr>
          <w:rFonts w:ascii="宋体" w:hAnsi="宋体" w:cs="宋体"/>
          <w:b/>
          <w:sz w:val="24"/>
          <w:highlight w:val="none"/>
        </w:rPr>
      </w:pPr>
      <w:r>
        <w:rPr>
          <w:rFonts w:hint="eastAsia" w:ascii="宋体" w:hAnsi="宋体" w:cs="宋体"/>
          <w:b/>
          <w:sz w:val="24"/>
          <w:highlight w:val="none"/>
        </w:rPr>
        <w:t>十一、未尽事宜</w:t>
      </w:r>
    </w:p>
    <w:p>
      <w:pPr>
        <w:snapToGrid w:val="0"/>
        <w:spacing w:line="480" w:lineRule="exact"/>
        <w:ind w:firstLine="460" w:firstLineChars="192"/>
        <w:rPr>
          <w:rFonts w:ascii="宋体" w:hAnsi="宋体" w:cs="宋体"/>
          <w:sz w:val="24"/>
          <w:highlight w:val="none"/>
        </w:rPr>
      </w:pPr>
      <w:r>
        <w:rPr>
          <w:rFonts w:hint="eastAsia" w:ascii="宋体" w:hAnsi="宋体" w:cs="宋体"/>
          <w:sz w:val="24"/>
          <w:highlight w:val="none"/>
        </w:rPr>
        <w:t>按《中华人民共和国政府采购法》、《政府采购竞争性磋商采购方式管理暂行办法》及其他有关法律法规的规定执行。</w:t>
      </w:r>
    </w:p>
    <w:p>
      <w:pPr>
        <w:pStyle w:val="5"/>
        <w:spacing w:before="0" w:after="0" w:line="360" w:lineRule="auto"/>
        <w:jc w:val="center"/>
        <w:rPr>
          <w:rFonts w:ascii="宋体" w:hAnsi="宋体"/>
          <w:sz w:val="36"/>
          <w:szCs w:val="36"/>
          <w:highlight w:val="none"/>
        </w:rPr>
      </w:pPr>
      <w:r>
        <w:rPr>
          <w:rFonts w:hint="eastAsia" w:ascii="宋体" w:hAnsi="宋体" w:cs="宋体"/>
          <w:sz w:val="24"/>
          <w:szCs w:val="24"/>
          <w:highlight w:val="none"/>
        </w:rPr>
        <w:br w:type="page"/>
      </w:r>
      <w:bookmarkStart w:id="3" w:name="_Toc8163749"/>
      <w:r>
        <w:rPr>
          <w:rFonts w:hint="eastAsia" w:ascii="宋体" w:hAnsi="宋体"/>
          <w:sz w:val="36"/>
          <w:szCs w:val="36"/>
          <w:highlight w:val="none"/>
        </w:rPr>
        <w:t>第三部分 项目需求说明</w:t>
      </w:r>
      <w:bookmarkEnd w:id="3"/>
    </w:p>
    <w:p>
      <w:pPr>
        <w:pStyle w:val="29"/>
        <w:spacing w:before="0" w:beforeAutospacing="0" w:after="0" w:afterAutospacing="0" w:line="360" w:lineRule="auto"/>
        <w:ind w:firstLine="472" w:firstLineChars="196"/>
        <w:jc w:val="both"/>
        <w:textAlignment w:val="baseline"/>
        <w:rPr>
          <w:rFonts w:cs="宋体"/>
          <w:color w:val="auto"/>
          <w:kern w:val="2"/>
          <w:highlight w:val="none"/>
          <w:lang w:val="zh-CN"/>
        </w:rPr>
      </w:pPr>
      <w:bookmarkStart w:id="4" w:name="OLE_LINK4"/>
      <w:bookmarkStart w:id="5" w:name="OLE_LINK3"/>
      <w:r>
        <w:rPr>
          <w:rFonts w:hint="eastAsia" w:cs="宋体"/>
          <w:b/>
          <w:color w:val="auto"/>
          <w:highlight w:val="none"/>
          <w:lang w:val="zh-CN"/>
        </w:rPr>
        <w:t>请供应商在报名前和制作响应文件时仔细研究项目需求说明。</w:t>
      </w:r>
      <w:r>
        <w:rPr>
          <w:rFonts w:hint="eastAsia" w:cs="宋体"/>
          <w:color w:val="auto"/>
          <w:highlight w:val="none"/>
          <w:lang w:val="zh-CN"/>
        </w:rPr>
        <w:t>供应商（软件单位，下同）不能简单照搬照抄采购人（业主，下同）项目需求说明中的技术、商务要求，必须作实事求是的响应。如照搬照抄项目需求说明中的技术、商务要求的，中标后供应商在同采购单位签订合同和履约环节中不得提出异议，一切后果和损失由成交供应商承担。如供应商提供的货物和服务同采</w:t>
      </w:r>
      <w:r>
        <w:rPr>
          <w:rFonts w:hint="eastAsia" w:cs="宋体"/>
          <w:color w:val="auto"/>
          <w:kern w:val="2"/>
          <w:highlight w:val="none"/>
          <w:lang w:val="zh-CN"/>
        </w:rPr>
        <w:t>购单位提出的项目需求说明中的技术、商务要求不同的，必须在《商务部分正负偏离表》和《技术部分正负偏离表》上明示，如不明示的视同完全响应。</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如皋分中心党员政治生活馆建设面积180平方米，其中展厅144平方米，红色书吧36平方米。该馆重建项目招标包括如下内容：</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1.党员政治生活馆主题文化墙设计、施工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2.前言版面设计、施工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3.南通公路精神三面立柱设计、施工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 xml:space="preserve">4红色公路写忠诚版面设计、施工. </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（1）南通公路、如皋公路发展演变史版面</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（2）如皋公路部门发展变化史版面</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5.品牌先行引航程版面设计、施工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6.标准党建筑堡垒版面设计、施工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7.四色驿站耀雉水版面设计、施工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8.无极服务畅公路版面设计、施工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9.党建融合精主业两个版面设计、施工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（1）党建融合干线养护、农路养护、桥梁养护版面</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（2）党建融合安全管控、路网应急、疫情防控版面</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10.党建融合主业液晶显示屏设计、施工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11.誉满江海大道行三个版面设计施工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（1）如皋公路党建历年特色工作照墙</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（2）公路发展历史文物展柜</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（3）公路优秀党员风采、公路部门历年荣誉风采</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12.结束语版面设计施工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13.走廊辅文化墙设计施工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14.红色书吧设计施工</w:t>
      </w:r>
    </w:p>
    <w:p>
      <w:pPr>
        <w:pStyle w:val="29"/>
        <w:spacing w:before="0" w:beforeAutospacing="0" w:after="0" w:afterAutospacing="0" w:line="360" w:lineRule="auto"/>
        <w:ind w:firstLine="480" w:firstLineChars="200"/>
        <w:jc w:val="both"/>
        <w:textAlignment w:val="baseline"/>
        <w:rPr>
          <w:rFonts w:cs="宋体"/>
          <w:bCs/>
          <w:color w:val="auto"/>
          <w:kern w:val="2"/>
          <w:highlight w:val="none"/>
          <w:lang w:val="zh-CN"/>
        </w:rPr>
      </w:pPr>
      <w:r>
        <w:rPr>
          <w:rFonts w:hint="eastAsia" w:cs="宋体"/>
          <w:bCs/>
          <w:color w:val="auto"/>
          <w:kern w:val="2"/>
          <w:highlight w:val="none"/>
          <w:lang w:val="zh-CN"/>
        </w:rPr>
        <w:t>15.一楼大厅标志标识、文化墙设计施工</w:t>
      </w:r>
    </w:p>
    <w:p>
      <w:pPr>
        <w:pStyle w:val="29"/>
        <w:spacing w:before="0" w:beforeAutospacing="0" w:after="0" w:afterAutospacing="0" w:line="360" w:lineRule="auto"/>
        <w:ind w:firstLine="480" w:firstLineChars="200"/>
        <w:jc w:val="both"/>
        <w:textAlignment w:val="baseline"/>
        <w:rPr>
          <w:rFonts w:cs="宋体"/>
          <w:b/>
          <w:color w:val="auto"/>
          <w:kern w:val="2"/>
          <w:highlight w:val="none"/>
          <w:lang w:val="zh-CN"/>
        </w:rPr>
      </w:pPr>
      <w:r>
        <w:rPr>
          <w:rFonts w:hint="eastAsia" w:cs="宋体"/>
          <w:bCs/>
          <w:color w:val="auto"/>
          <w:kern w:val="2"/>
          <w:highlight w:val="none"/>
          <w:lang w:val="zh-CN"/>
        </w:rPr>
        <w:t>施工时间：合同签定后，一个星期内开工。预期工期两个月</w:t>
      </w:r>
      <w:r>
        <w:rPr>
          <w:rFonts w:hint="eastAsia" w:cs="宋体"/>
          <w:highlight w:val="none"/>
        </w:rPr>
        <w:t>(其中11月底前需完成全部设备的安装调试工作</w:t>
      </w:r>
      <w:r>
        <w:rPr>
          <w:rFonts w:hint="eastAsia" w:cs="宋体"/>
          <w:bCs/>
          <w:color w:val="auto"/>
          <w:kern w:val="2"/>
          <w:highlight w:val="none"/>
          <w:lang w:val="zh-CN"/>
        </w:rPr>
        <w:t>。工程项目通过验收后1年免费维修。</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六、费用的支付</w:t>
      </w:r>
    </w:p>
    <w:p>
      <w:pPr>
        <w:autoSpaceDE w:val="0"/>
        <w:autoSpaceDN w:val="0"/>
        <w:adjustRightInd w:val="0"/>
        <w:spacing w:line="360" w:lineRule="auto"/>
        <w:ind w:firstLine="480" w:firstLineChars="200"/>
        <w:outlineLvl w:val="1"/>
        <w:rPr>
          <w:rFonts w:ascii="宋体" w:hAnsi="宋体" w:cs="宋体"/>
          <w:sz w:val="24"/>
          <w:highlight w:val="none"/>
          <w:lang w:val="zh-CN"/>
        </w:rPr>
      </w:pPr>
      <w:r>
        <w:rPr>
          <w:rFonts w:hint="eastAsia" w:ascii="宋体" w:hAnsi="宋体" w:cs="宋体"/>
          <w:sz w:val="24"/>
          <w:highlight w:val="none"/>
        </w:rPr>
        <w:t>11月底前</w:t>
      </w:r>
      <w:r>
        <w:rPr>
          <w:rFonts w:hint="eastAsia" w:ascii="宋体" w:hAnsi="宋体" w:cs="宋体"/>
          <w:sz w:val="24"/>
          <w:highlight w:val="none"/>
          <w:lang w:val="zh-CN"/>
        </w:rPr>
        <w:t>完成全部设备的安装调试工作</w:t>
      </w:r>
      <w:r>
        <w:rPr>
          <w:rFonts w:hint="eastAsia" w:ascii="宋体" w:hAnsi="宋体" w:cs="宋体"/>
          <w:sz w:val="24"/>
          <w:highlight w:val="none"/>
        </w:rPr>
        <w:t>后支付至合同总价的60%，</w:t>
      </w:r>
      <w:r>
        <w:rPr>
          <w:rFonts w:hint="eastAsia" w:ascii="宋体" w:hAnsi="宋体" w:cs="宋体"/>
          <w:sz w:val="24"/>
          <w:highlight w:val="none"/>
          <w:lang w:val="zh-CN"/>
        </w:rPr>
        <w:t>项目交工验收合格并经审计核定后付至审定价的97％，余款在缺陷责任期满后一个月内付清。以上付款均不计利息。</w:t>
      </w:r>
    </w:p>
    <w:bookmarkEnd w:id="4"/>
    <w:bookmarkEnd w:id="5"/>
    <w:p>
      <w:pPr>
        <w:pStyle w:val="5"/>
        <w:spacing w:before="0" w:after="0" w:line="360" w:lineRule="auto"/>
        <w:jc w:val="center"/>
        <w:rPr>
          <w:rFonts w:ascii="宋体" w:hAnsi="宋体"/>
          <w:highlight w:val="none"/>
        </w:rPr>
      </w:pPr>
      <w:r>
        <w:rPr>
          <w:rFonts w:ascii="宋体" w:hAnsi="宋体" w:cs="宋体"/>
          <w:b w:val="0"/>
          <w:bCs w:val="0"/>
          <w:kern w:val="2"/>
          <w:sz w:val="24"/>
          <w:szCs w:val="24"/>
          <w:highlight w:val="none"/>
          <w:lang w:val="zh-CN"/>
        </w:rPr>
        <w:br w:type="page"/>
      </w:r>
      <w:bookmarkStart w:id="6" w:name="_Toc8163750"/>
      <w:r>
        <w:rPr>
          <w:rFonts w:hint="eastAsia" w:ascii="宋体" w:hAnsi="宋体"/>
          <w:sz w:val="36"/>
          <w:szCs w:val="36"/>
          <w:highlight w:val="none"/>
        </w:rPr>
        <w:t>第四部分 磋商程序和内容</w:t>
      </w:r>
      <w:bookmarkEnd w:id="6"/>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一、代理机构组织磋商活动</w:t>
      </w:r>
    </w:p>
    <w:p>
      <w:pPr>
        <w:autoSpaceDE w:val="0"/>
        <w:autoSpaceDN w:val="0"/>
        <w:adjustRightInd w:val="0"/>
        <w:spacing w:line="360" w:lineRule="auto"/>
        <w:ind w:firstLine="482" w:firstLineChars="200"/>
        <w:rPr>
          <w:rFonts w:ascii="宋体" w:hAnsi="宋体" w:cs="宋体"/>
          <w:sz w:val="24"/>
          <w:highlight w:val="none"/>
          <w:lang w:val="zh-CN"/>
        </w:rPr>
      </w:pPr>
      <w:r>
        <w:rPr>
          <w:rFonts w:hint="eastAsia" w:ascii="宋体" w:hAnsi="宋体" w:cs="宋体"/>
          <w:b/>
          <w:sz w:val="24"/>
          <w:highlight w:val="none"/>
          <w:lang w:val="zh-CN"/>
        </w:rPr>
        <w:t>1</w:t>
      </w:r>
      <w:r>
        <w:rPr>
          <w:rFonts w:hint="eastAsia" w:ascii="宋体" w:hAnsi="宋体" w:cs="宋体"/>
          <w:sz w:val="24"/>
          <w:highlight w:val="none"/>
          <w:lang w:val="zh-CN"/>
        </w:rPr>
        <w:t>.</w:t>
      </w:r>
      <w:r>
        <w:rPr>
          <w:rFonts w:hint="eastAsia" w:ascii="宋体" w:hAnsi="宋体" w:cs="宋体"/>
          <w:b/>
          <w:sz w:val="24"/>
          <w:highlight w:val="none"/>
          <w:lang w:val="zh-CN"/>
        </w:rPr>
        <w:t>成立竞争性磋商小组。</w:t>
      </w:r>
      <w:r>
        <w:rPr>
          <w:rFonts w:hint="eastAsia" w:ascii="宋体" w:hAnsi="宋体" w:cs="宋体"/>
          <w:sz w:val="24"/>
          <w:highlight w:val="none"/>
          <w:lang w:val="zh-CN"/>
        </w:rPr>
        <w:t>竞争性磋商小组由3人</w:t>
      </w:r>
      <w:r>
        <w:rPr>
          <w:rFonts w:hint="eastAsia" w:ascii="宋体" w:hAnsi="宋体" w:cs="宋体"/>
          <w:sz w:val="24"/>
          <w:highlight w:val="none"/>
        </w:rPr>
        <w:t>或以上</w:t>
      </w:r>
      <w:r>
        <w:rPr>
          <w:rFonts w:hint="eastAsia" w:ascii="宋体" w:hAnsi="宋体" w:cs="宋体"/>
          <w:sz w:val="24"/>
          <w:highlight w:val="none"/>
          <w:lang w:val="zh-CN"/>
        </w:rPr>
        <w:t>单数的评审专家共组成。</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2</w:t>
      </w:r>
      <w:r>
        <w:rPr>
          <w:rFonts w:hint="eastAsia" w:ascii="宋体" w:hAnsi="宋体" w:cs="宋体"/>
          <w:sz w:val="24"/>
          <w:highlight w:val="none"/>
          <w:lang w:val="zh-CN"/>
        </w:rPr>
        <w:t>.</w:t>
      </w:r>
      <w:r>
        <w:rPr>
          <w:rFonts w:hint="eastAsia" w:ascii="宋体" w:hAnsi="宋体" w:cs="宋体"/>
          <w:b/>
          <w:sz w:val="24"/>
          <w:highlight w:val="none"/>
          <w:lang w:val="zh-CN"/>
        </w:rPr>
        <w:t>竞争性磋商小组的职责：</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评审专家应当遵守评审工作纪律，不得泄露评审情况和评审中获悉的商业秘密。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磋商小组在评审过程中发现供应商有行贿、提供虚假材料或者串通等违法行为的，应当及时向财政部门报告。</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评审专家在评审过程中受到非法干涉的，应当及时向财政、监察等部门举报。</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磋商文件内容违反国家有关强制性规定的，磋商小组应当停止评审并向采购人或者采购代理机构说明情况。</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3</w:t>
      </w:r>
      <w:r>
        <w:rPr>
          <w:rFonts w:hint="eastAsia" w:ascii="宋体" w:hAnsi="宋体" w:cs="宋体"/>
          <w:sz w:val="24"/>
          <w:highlight w:val="none"/>
          <w:lang w:val="zh-CN"/>
        </w:rPr>
        <w:t>.</w:t>
      </w:r>
      <w:r>
        <w:rPr>
          <w:rFonts w:hint="eastAsia" w:ascii="宋体" w:hAnsi="宋体" w:cs="宋体"/>
          <w:b/>
          <w:sz w:val="24"/>
          <w:highlight w:val="none"/>
          <w:lang w:val="zh-CN"/>
        </w:rPr>
        <w:t>竞争性磋商小组成员的义务：</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遵纪守法，客观、公正、廉洁地履行职责；根据采购文件的规定独立进行评审，对个人的评审意见承担法律责任；参与评审报告的起草；配合采购人、采购人答复供应商提出的质疑；配合财政部门的投诉处理和监督检查工作。</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二、供应商的法定代表人或授权人须持身份证准时参加磋商。</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三、评审程序、内容</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 xml:space="preserve">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2.磋商小组所有成员应当集中与单一供应商分别进行磋商，并给予所有参加磋商的供应商平等的磋商机会。</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对磋商文件作出的实质性变动是磋商文件的有效组成部分，磋商小组应当及时以书面形式同时通知所有参加磋商的供应商。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480" w:firstLineChars="200"/>
        <w:rPr>
          <w:rFonts w:ascii="宋体" w:hAnsi="宋体" w:cs="宋体"/>
          <w:color w:val="FF0000"/>
          <w:sz w:val="24"/>
          <w:highlight w:val="none"/>
          <w:lang w:val="zh-CN"/>
        </w:rPr>
      </w:pPr>
      <w:r>
        <w:rPr>
          <w:rFonts w:hint="eastAsia" w:ascii="宋体" w:hAnsi="宋体" w:cs="宋体"/>
          <w:sz w:val="24"/>
          <w:highlight w:val="none"/>
          <w:lang w:val="zh-CN"/>
        </w:rPr>
        <w:t>4.磋商文件能够详细列明采购标的技术、服务要求的，磋商结束后，磋商小组应当要求所有实质性响应的供应商在规定时间内提交最后报价</w:t>
      </w:r>
      <w:r>
        <w:rPr>
          <w:rFonts w:hint="eastAsia" w:ascii="宋体" w:hAnsi="宋体" w:cs="宋体"/>
          <w:color w:val="FF0000"/>
          <w:sz w:val="24"/>
          <w:highlight w:val="none"/>
          <w:lang w:val="zh-CN"/>
        </w:rPr>
        <w:t>。</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磋商文件不能详细列明采购标的技术、服务要求，需经磋商由供应商提供最终设计方案或解决方案的，磋商结束后，磋商小组应当按照少数服从多数的原则投票推荐供应商的设计方案或者解决方案，并要求其在规定时间内提交最后报价。</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5.最后报价是供应商响应文件的有效组成部分。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磋商时间由磋商小组掌握。</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四、评审方法-综合评分法</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经磋商确定最终采购需求和提交最后报价的供应商后，由磋商小组采用综合评分法对提交最后报价的供应商的响应文件和最后报价进行综合评分。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综合评分法，是指响应文件满足磋商文件全部实质性要求且按评审因素的量化指标评审得分最高的供应商为成交候选供应商的评审方法。</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评审时，磋商小组各成员应当独立对每个有效响应的文件进行评价、打分，然后汇总每个供应商每项评分因素的得分</w:t>
      </w:r>
      <w:r>
        <w:rPr>
          <w:rFonts w:hint="eastAsia" w:ascii="宋体" w:hAnsi="宋体" w:cs="宋体"/>
          <w:sz w:val="24"/>
          <w:highlight w:val="none"/>
        </w:rPr>
        <w:t>（计算结果均四舍五入保留两位小数，下同）</w:t>
      </w:r>
      <w:r>
        <w:rPr>
          <w:rFonts w:hint="eastAsia" w:ascii="宋体" w:hAnsi="宋体" w:cs="宋体"/>
          <w:sz w:val="24"/>
          <w:highlight w:val="none"/>
          <w:lang w:val="zh-CN"/>
        </w:rPr>
        <w:t>。</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（一）审查响应文件的有效性、完整性、响应程度</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1.供应商资格是否符合;</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2.响应文件是否完整；</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3.响应文件是否恰当地签署；</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4.是否作出实质性响应（是否有实质性响应，只根据响应文件本身，而不寻求外部证据）；</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5.是否有计算错误。</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（二）误差纠正</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1.如果单价汇总金额与总价金额有出入，以单价金额计算结果为准；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2.单价金额小数点有明显错位的，应以总价为准；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3.正本与副本有矛盾的，以正本为准；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4.若文件大写表示的数据与数字表示的有差别，以大写表示的数据为准。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（三）出现下列情形之一的，作无效响应处理：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1.未按照磋商文件规定要求装订、密封、签署、盖章的；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2.不具备磋商文件中规定的资格要求的；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3.响应报价超出预算的；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4.不符合法律、法规和磋商文件中规定的其他实质性要求的。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（四）出现下列情形之一的，磋商失败</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1.符合条件的供应商或者对磋商文件作实质响应的供应商不足3家的；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2.出现影响采购公正的违法违规行为的；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3.供应商的最后报价均超过了采购预算，采购人不能支付的；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4.因重大变故，采购任务取消的。</w:t>
      </w:r>
    </w:p>
    <w:p>
      <w:pPr>
        <w:autoSpaceDE w:val="0"/>
        <w:autoSpaceDN w:val="0"/>
        <w:adjustRightInd w:val="0"/>
        <w:spacing w:line="360" w:lineRule="auto"/>
        <w:ind w:firstLine="480" w:firstLineChars="200"/>
        <w:rPr>
          <w:rFonts w:ascii="宋体" w:hAnsi="宋体" w:cs="宋体"/>
          <w:sz w:val="28"/>
          <w:szCs w:val="28"/>
          <w:highlight w:val="none"/>
          <w:lang w:val="zh-CN"/>
        </w:rPr>
      </w:pPr>
      <w:r>
        <w:rPr>
          <w:rFonts w:hint="eastAsia" w:ascii="宋体" w:hAnsi="宋体" w:cs="宋体"/>
          <w:sz w:val="24"/>
          <w:highlight w:val="none"/>
          <w:lang w:val="zh-CN"/>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五、评审标准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商务技术部分评审结束后，再开启最后报价计算分值。总分值为100分，加分和减分因素除外。</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如果磋商小组由3人或5人组成，供应商得分为磋商小组3个或5个成员的平均分；如果磋商小组由5人以上组成，供应商得分为磋商小组成员评分中去除一个最高分和一个最低分后的平均分。</w:t>
      </w:r>
    </w:p>
    <w:p>
      <w:pPr>
        <w:numPr>
          <w:ilvl w:val="0"/>
          <w:numId w:val="2"/>
        </w:num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商务技术</w:t>
      </w:r>
      <w:r>
        <w:rPr>
          <w:rFonts w:hint="eastAsia" w:ascii="宋体" w:hAnsi="宋体" w:cs="宋体"/>
          <w:b/>
          <w:sz w:val="24"/>
          <w:highlight w:val="none"/>
        </w:rPr>
        <w:t>部</w:t>
      </w:r>
      <w:r>
        <w:rPr>
          <w:rFonts w:hint="eastAsia" w:ascii="宋体" w:hAnsi="宋体" w:cs="宋体"/>
          <w:b/>
          <w:sz w:val="24"/>
          <w:highlight w:val="none"/>
          <w:lang w:val="zh-CN"/>
        </w:rPr>
        <w:t>分：</w:t>
      </w:r>
      <w:r>
        <w:rPr>
          <w:rFonts w:hint="eastAsia" w:ascii="宋体" w:hAnsi="宋体" w:cs="宋体"/>
          <w:b/>
          <w:sz w:val="24"/>
          <w:highlight w:val="none"/>
        </w:rPr>
        <w:t>7</w:t>
      </w:r>
      <w:r>
        <w:rPr>
          <w:rFonts w:ascii="宋体" w:hAnsi="宋体" w:cs="宋体"/>
          <w:b/>
          <w:sz w:val="24"/>
          <w:highlight w:val="none"/>
          <w:lang w:val="zh-CN"/>
        </w:rPr>
        <w:t>0</w:t>
      </w:r>
      <w:r>
        <w:rPr>
          <w:rFonts w:hint="eastAsia" w:ascii="宋体" w:hAnsi="宋体" w:cs="宋体"/>
          <w:b/>
          <w:sz w:val="24"/>
          <w:highlight w:val="none"/>
          <w:lang w:val="zh-CN"/>
        </w:rPr>
        <w:t>分</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015"/>
        <w:gridCol w:w="1458"/>
        <w:gridCol w:w="4744"/>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24" w:type="dxa"/>
            <w:noWrap/>
            <w:vAlign w:val="center"/>
          </w:tcPr>
          <w:p>
            <w:pPr>
              <w:spacing w:line="320" w:lineRule="exact"/>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2473" w:type="dxa"/>
            <w:gridSpan w:val="2"/>
            <w:noWrap/>
            <w:vAlign w:val="center"/>
          </w:tcPr>
          <w:p>
            <w:pPr>
              <w:spacing w:line="320" w:lineRule="exact"/>
              <w:jc w:val="center"/>
              <w:rPr>
                <w:rFonts w:ascii="宋体" w:hAnsi="宋体" w:cs="宋体"/>
                <w:b/>
                <w:bCs/>
                <w:kern w:val="0"/>
                <w:szCs w:val="21"/>
                <w:highlight w:val="none"/>
              </w:rPr>
            </w:pPr>
            <w:r>
              <w:rPr>
                <w:rFonts w:hint="eastAsia" w:ascii="宋体" w:hAnsi="宋体" w:cs="宋体"/>
                <w:b/>
                <w:bCs/>
                <w:kern w:val="0"/>
                <w:szCs w:val="21"/>
                <w:highlight w:val="none"/>
              </w:rPr>
              <w:t>评审因素</w:t>
            </w:r>
          </w:p>
        </w:tc>
        <w:tc>
          <w:tcPr>
            <w:tcW w:w="4744" w:type="dxa"/>
            <w:noWrap/>
            <w:vAlign w:val="center"/>
          </w:tcPr>
          <w:p>
            <w:pPr>
              <w:spacing w:line="320" w:lineRule="exact"/>
              <w:jc w:val="center"/>
              <w:rPr>
                <w:rFonts w:ascii="宋体" w:hAnsi="宋体" w:cs="宋体"/>
                <w:b/>
                <w:bCs/>
                <w:kern w:val="0"/>
                <w:szCs w:val="21"/>
                <w:highlight w:val="none"/>
              </w:rPr>
            </w:pPr>
            <w:r>
              <w:rPr>
                <w:rFonts w:hint="eastAsia" w:ascii="宋体" w:hAnsi="宋体" w:cs="宋体"/>
                <w:b/>
                <w:bCs/>
                <w:kern w:val="0"/>
                <w:szCs w:val="21"/>
                <w:highlight w:val="none"/>
              </w:rPr>
              <w:t>评分标准</w:t>
            </w:r>
          </w:p>
        </w:tc>
        <w:tc>
          <w:tcPr>
            <w:tcW w:w="681" w:type="dxa"/>
            <w:noWrap/>
            <w:vAlign w:val="center"/>
          </w:tcPr>
          <w:p>
            <w:pPr>
              <w:spacing w:line="320" w:lineRule="exact"/>
              <w:jc w:val="center"/>
              <w:rPr>
                <w:rFonts w:ascii="宋体" w:hAnsi="宋体" w:cs="宋体"/>
                <w:b/>
                <w:bCs/>
                <w:kern w:val="0"/>
                <w:szCs w:val="21"/>
                <w:highlight w:val="none"/>
              </w:rPr>
            </w:pPr>
            <w:r>
              <w:rPr>
                <w:rFonts w:hint="eastAsia" w:ascii="宋体" w:hAnsi="宋体" w:cs="宋体"/>
                <w:b/>
                <w:bCs/>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624" w:type="dxa"/>
            <w:vMerge w:val="restart"/>
            <w:noWrap/>
            <w:vAlign w:val="center"/>
          </w:tcPr>
          <w:p>
            <w:pPr>
              <w:spacing w:line="300" w:lineRule="exact"/>
              <w:rPr>
                <w:kern w:val="0"/>
                <w:szCs w:val="21"/>
                <w:highlight w:val="none"/>
              </w:rPr>
            </w:pPr>
            <w:r>
              <w:rPr>
                <w:rFonts w:hint="eastAsia"/>
                <w:kern w:val="0"/>
                <w:szCs w:val="21"/>
                <w:highlight w:val="none"/>
              </w:rPr>
              <w:t>1</w:t>
            </w:r>
          </w:p>
        </w:tc>
        <w:tc>
          <w:tcPr>
            <w:tcW w:w="1015" w:type="dxa"/>
            <w:vMerge w:val="restart"/>
            <w:noWrap/>
            <w:vAlign w:val="center"/>
          </w:tcPr>
          <w:p>
            <w:pPr>
              <w:spacing w:line="300" w:lineRule="exact"/>
              <w:rPr>
                <w:kern w:val="0"/>
                <w:szCs w:val="21"/>
                <w:highlight w:val="none"/>
              </w:rPr>
            </w:pPr>
            <w:r>
              <w:rPr>
                <w:rFonts w:hint="eastAsia"/>
                <w:kern w:val="0"/>
                <w:szCs w:val="21"/>
                <w:highlight w:val="none"/>
              </w:rPr>
              <w:t>商务部分（30分）</w:t>
            </w:r>
          </w:p>
        </w:tc>
        <w:tc>
          <w:tcPr>
            <w:tcW w:w="1458" w:type="dxa"/>
            <w:vMerge w:val="restart"/>
            <w:noWrap/>
            <w:vAlign w:val="center"/>
          </w:tcPr>
          <w:p>
            <w:pPr>
              <w:spacing w:line="300" w:lineRule="exact"/>
              <w:rPr>
                <w:kern w:val="0"/>
                <w:szCs w:val="21"/>
                <w:highlight w:val="none"/>
              </w:rPr>
            </w:pPr>
            <w:r>
              <w:rPr>
                <w:rFonts w:hint="eastAsia"/>
                <w:kern w:val="0"/>
                <w:szCs w:val="21"/>
                <w:highlight w:val="none"/>
              </w:rPr>
              <w:t>1.1 公司情况</w:t>
            </w: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公司整体运营情况良好，与市、区相关部门有党建项目合作案例。优 9-10 分；良 7-8 分； 中 5-6 分；差 0-4 分。</w:t>
            </w:r>
          </w:p>
        </w:tc>
        <w:tc>
          <w:tcPr>
            <w:tcW w:w="681" w:type="dxa"/>
            <w:noWrap/>
            <w:vAlign w:val="center"/>
          </w:tcPr>
          <w:p>
            <w:pPr>
              <w:adjustRightInd w:val="0"/>
              <w:snapToGrid w:val="0"/>
              <w:spacing w:line="300" w:lineRule="exact"/>
              <w:jc w:val="center"/>
              <w:rPr>
                <w:rFonts w:ascii="宋体" w:hAnsi="宋体" w:cs="宋体"/>
                <w:b/>
                <w:bCs/>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24" w:type="dxa"/>
            <w:vMerge w:val="continue"/>
            <w:noWrap/>
            <w:vAlign w:val="center"/>
          </w:tcPr>
          <w:p>
            <w:pPr>
              <w:spacing w:line="360" w:lineRule="auto"/>
              <w:jc w:val="left"/>
              <w:rPr>
                <w:highlight w:val="none"/>
              </w:rPr>
            </w:pPr>
          </w:p>
        </w:tc>
        <w:tc>
          <w:tcPr>
            <w:tcW w:w="1015" w:type="dxa"/>
            <w:vMerge w:val="continue"/>
            <w:noWrap/>
            <w:vAlign w:val="center"/>
          </w:tcPr>
          <w:p>
            <w:pPr>
              <w:spacing w:line="360" w:lineRule="auto"/>
              <w:jc w:val="left"/>
              <w:rPr>
                <w:highlight w:val="none"/>
              </w:rPr>
            </w:pPr>
          </w:p>
        </w:tc>
        <w:tc>
          <w:tcPr>
            <w:tcW w:w="1458" w:type="dxa"/>
            <w:vMerge w:val="continue"/>
            <w:noWrap/>
            <w:vAlign w:val="center"/>
          </w:tcPr>
          <w:p>
            <w:pPr>
              <w:spacing w:line="360" w:lineRule="auto"/>
              <w:jc w:val="left"/>
              <w:rPr>
                <w:highlight w:val="none"/>
              </w:rPr>
            </w:pP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有固定的专业制作团队，如</w:t>
            </w:r>
            <w:r>
              <w:rPr>
                <w:rFonts w:hint="eastAsia" w:ascii="宋体" w:hAnsi="宋体" w:cs="宋体"/>
                <w:kern w:val="0"/>
                <w:szCs w:val="21"/>
                <w:highlight w:val="none"/>
              </w:rPr>
              <w:t>设计、美工、后期等</w:t>
            </w:r>
            <w:r>
              <w:rPr>
                <w:rFonts w:hint="eastAsia" w:ascii="宋体" w:hAnsi="宋体" w:cs="宋体"/>
                <w:kern w:val="0"/>
                <w:szCs w:val="21"/>
                <w:highlight w:val="none"/>
              </w:rPr>
              <w:t>。优 9-10 分；良 7-8 分；中 5-6 分；差 0-4 分。</w:t>
            </w:r>
          </w:p>
        </w:tc>
        <w:tc>
          <w:tcPr>
            <w:tcW w:w="681" w:type="dxa"/>
            <w:noWrap/>
            <w:vAlign w:val="center"/>
          </w:tcPr>
          <w:p>
            <w:pPr>
              <w:adjustRightInd w:val="0"/>
              <w:snapToGrid w:val="0"/>
              <w:spacing w:line="300" w:lineRule="exact"/>
              <w:jc w:val="center"/>
              <w:rPr>
                <w:rFonts w:ascii="宋体" w:hAnsi="宋体" w:cs="宋体"/>
                <w:b/>
                <w:bCs/>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24" w:type="dxa"/>
            <w:vMerge w:val="continue"/>
            <w:noWrap/>
          </w:tcPr>
          <w:p>
            <w:pPr>
              <w:spacing w:line="300" w:lineRule="exact"/>
              <w:rPr>
                <w:kern w:val="0"/>
                <w:szCs w:val="21"/>
                <w:highlight w:val="none"/>
              </w:rPr>
            </w:pPr>
          </w:p>
        </w:tc>
        <w:tc>
          <w:tcPr>
            <w:tcW w:w="1015" w:type="dxa"/>
            <w:vMerge w:val="continue"/>
            <w:noWrap/>
            <w:vAlign w:val="center"/>
          </w:tcPr>
          <w:p>
            <w:pPr>
              <w:spacing w:line="300" w:lineRule="exact"/>
              <w:rPr>
                <w:kern w:val="0"/>
                <w:szCs w:val="21"/>
                <w:highlight w:val="none"/>
              </w:rPr>
            </w:pPr>
          </w:p>
        </w:tc>
        <w:tc>
          <w:tcPr>
            <w:tcW w:w="1458" w:type="dxa"/>
            <w:noWrap/>
            <w:vAlign w:val="center"/>
          </w:tcPr>
          <w:p>
            <w:pPr>
              <w:spacing w:line="300" w:lineRule="exact"/>
              <w:rPr>
                <w:kern w:val="0"/>
                <w:szCs w:val="21"/>
                <w:highlight w:val="none"/>
              </w:rPr>
            </w:pPr>
            <w:r>
              <w:rPr>
                <w:rFonts w:hint="eastAsia"/>
                <w:kern w:val="0"/>
                <w:szCs w:val="21"/>
                <w:highlight w:val="none"/>
              </w:rPr>
              <w:t>1.2同类作品案例</w:t>
            </w: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完成的同类作品有逻辑性，类似本项目政治生活馆主题需求。优 9-10 分；良 7-8 分；中 5-6 分；差 0-4 分。</w:t>
            </w:r>
          </w:p>
        </w:tc>
        <w:tc>
          <w:tcPr>
            <w:tcW w:w="681"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noWrap/>
            <w:vAlign w:val="center"/>
          </w:tcPr>
          <w:p>
            <w:pPr>
              <w:spacing w:line="300" w:lineRule="exact"/>
              <w:rPr>
                <w:kern w:val="0"/>
                <w:szCs w:val="21"/>
                <w:highlight w:val="none"/>
              </w:rPr>
            </w:pPr>
            <w:r>
              <w:rPr>
                <w:rFonts w:hint="eastAsia"/>
                <w:kern w:val="0"/>
                <w:szCs w:val="21"/>
                <w:highlight w:val="none"/>
              </w:rPr>
              <w:t>2</w:t>
            </w:r>
          </w:p>
        </w:tc>
        <w:tc>
          <w:tcPr>
            <w:tcW w:w="1015" w:type="dxa"/>
            <w:vMerge w:val="restart"/>
            <w:noWrap/>
            <w:vAlign w:val="center"/>
          </w:tcPr>
          <w:p>
            <w:pPr>
              <w:spacing w:line="300" w:lineRule="exact"/>
              <w:rPr>
                <w:kern w:val="0"/>
                <w:szCs w:val="21"/>
                <w:highlight w:val="none"/>
              </w:rPr>
            </w:pPr>
            <w:r>
              <w:rPr>
                <w:rFonts w:hint="eastAsia"/>
                <w:kern w:val="0"/>
                <w:szCs w:val="21"/>
                <w:highlight w:val="none"/>
              </w:rPr>
              <w:t>技术部分（40分）</w:t>
            </w:r>
          </w:p>
        </w:tc>
        <w:tc>
          <w:tcPr>
            <w:tcW w:w="1458"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2.1 主题特色</w:t>
            </w: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主题鲜明，紧扣时代主旋律，能体现三厂特色，符合人物或事物特点。优 9-10 分；良 7-8 分；中 5-6 分；差 0-4 分。</w:t>
            </w:r>
          </w:p>
        </w:tc>
        <w:tc>
          <w:tcPr>
            <w:tcW w:w="681"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tcPr>
          <w:p>
            <w:pPr>
              <w:jc w:val="center"/>
              <w:rPr>
                <w:rFonts w:ascii="宋体" w:hAnsi="宋体" w:cs="宋体"/>
                <w:b/>
                <w:bCs/>
                <w:kern w:val="0"/>
                <w:szCs w:val="21"/>
                <w:highlight w:val="none"/>
              </w:rPr>
            </w:pPr>
          </w:p>
        </w:tc>
        <w:tc>
          <w:tcPr>
            <w:tcW w:w="1015" w:type="dxa"/>
            <w:vMerge w:val="continue"/>
            <w:noWrap/>
            <w:vAlign w:val="center"/>
          </w:tcPr>
          <w:p>
            <w:pPr>
              <w:jc w:val="center"/>
              <w:rPr>
                <w:rFonts w:ascii="宋体" w:hAnsi="宋体" w:cs="宋体"/>
                <w:b/>
                <w:bCs/>
                <w:kern w:val="0"/>
                <w:szCs w:val="21"/>
                <w:highlight w:val="none"/>
              </w:rPr>
            </w:pPr>
          </w:p>
        </w:tc>
        <w:tc>
          <w:tcPr>
            <w:tcW w:w="1458"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2.2 逻辑思路</w:t>
            </w: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逻辑严谨，层次鲜明，衔接流畅。优 9-10 分；良 7-8 分；中 5-6 分；差 0-4 分。</w:t>
            </w:r>
          </w:p>
        </w:tc>
        <w:tc>
          <w:tcPr>
            <w:tcW w:w="681"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24" w:type="dxa"/>
            <w:vMerge w:val="continue"/>
            <w:noWrap/>
          </w:tcPr>
          <w:p>
            <w:pPr>
              <w:jc w:val="center"/>
              <w:rPr>
                <w:rFonts w:ascii="宋体" w:hAnsi="宋体" w:cs="宋体"/>
                <w:b/>
                <w:bCs/>
                <w:kern w:val="0"/>
                <w:szCs w:val="21"/>
                <w:highlight w:val="none"/>
              </w:rPr>
            </w:pPr>
          </w:p>
        </w:tc>
        <w:tc>
          <w:tcPr>
            <w:tcW w:w="1015" w:type="dxa"/>
            <w:vMerge w:val="continue"/>
            <w:noWrap/>
            <w:vAlign w:val="center"/>
          </w:tcPr>
          <w:p>
            <w:pPr>
              <w:jc w:val="center"/>
              <w:rPr>
                <w:rFonts w:ascii="宋体" w:hAnsi="宋体" w:cs="宋体"/>
                <w:b/>
                <w:bCs/>
                <w:kern w:val="0"/>
                <w:szCs w:val="21"/>
                <w:highlight w:val="none"/>
              </w:rPr>
            </w:pPr>
          </w:p>
        </w:tc>
        <w:tc>
          <w:tcPr>
            <w:tcW w:w="1458"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2.3设计形象</w:t>
            </w:r>
          </w:p>
        </w:tc>
        <w:tc>
          <w:tcPr>
            <w:tcW w:w="4744" w:type="dxa"/>
            <w:noWrap/>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（3）文字形象，情节生动，有渲染力，具有写实性，能与画面紧密配合。优 9-10 分；良 7-8 分；中 5-6 分；差 0-4 分。</w:t>
            </w:r>
          </w:p>
        </w:tc>
        <w:tc>
          <w:tcPr>
            <w:tcW w:w="681"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tcPr>
          <w:p>
            <w:pPr>
              <w:jc w:val="center"/>
              <w:rPr>
                <w:rFonts w:ascii="宋体" w:hAnsi="宋体" w:cs="宋体"/>
                <w:b/>
                <w:bCs/>
                <w:kern w:val="0"/>
                <w:szCs w:val="21"/>
                <w:highlight w:val="none"/>
              </w:rPr>
            </w:pPr>
          </w:p>
        </w:tc>
        <w:tc>
          <w:tcPr>
            <w:tcW w:w="1015" w:type="dxa"/>
            <w:vMerge w:val="continue"/>
            <w:noWrap/>
            <w:vAlign w:val="center"/>
          </w:tcPr>
          <w:p>
            <w:pPr>
              <w:jc w:val="center"/>
              <w:rPr>
                <w:rFonts w:ascii="宋体" w:hAnsi="宋体" w:cs="宋体"/>
                <w:b/>
                <w:bCs/>
                <w:kern w:val="0"/>
                <w:szCs w:val="21"/>
                <w:highlight w:val="none"/>
              </w:rPr>
            </w:pPr>
          </w:p>
        </w:tc>
        <w:tc>
          <w:tcPr>
            <w:tcW w:w="1458"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2.4创造思路</w:t>
            </w:r>
          </w:p>
        </w:tc>
        <w:tc>
          <w:tcPr>
            <w:tcW w:w="4744"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完整阐述脚本创作理念和思路，对本项目政治生活馆主题需求情况熟悉程度高。优 9-10 分 ；良 7-8 分；中 5-6 分；差 0-4 分。</w:t>
            </w:r>
          </w:p>
        </w:tc>
        <w:tc>
          <w:tcPr>
            <w:tcW w:w="681" w:type="dxa"/>
            <w:noWrap/>
            <w:vAlign w:val="center"/>
          </w:tcPr>
          <w:p>
            <w:pPr>
              <w:spacing w:line="360" w:lineRule="auto"/>
              <w:jc w:val="left"/>
              <w:rPr>
                <w:rFonts w:ascii="宋体" w:hAnsi="宋体" w:cs="宋体"/>
                <w:kern w:val="0"/>
                <w:szCs w:val="21"/>
                <w:highlight w:val="none"/>
              </w:rPr>
            </w:pPr>
            <w:r>
              <w:rPr>
                <w:rFonts w:hint="eastAsia" w:ascii="宋体" w:hAnsi="宋体" w:cs="宋体"/>
                <w:kern w:val="0"/>
                <w:szCs w:val="21"/>
                <w:highlight w:val="none"/>
              </w:rPr>
              <w:t>10分</w:t>
            </w:r>
          </w:p>
        </w:tc>
      </w:tr>
    </w:tbl>
    <w:p>
      <w:pPr>
        <w:autoSpaceDE w:val="0"/>
        <w:autoSpaceDN w:val="0"/>
        <w:adjustRightInd w:val="0"/>
        <w:spacing w:line="360" w:lineRule="auto"/>
        <w:rPr>
          <w:rFonts w:ascii="宋体" w:hAnsi="宋体" w:cs="宋体"/>
          <w:b/>
          <w:szCs w:val="21"/>
          <w:highlight w:val="none"/>
          <w:lang w:val="zh-CN"/>
        </w:rPr>
      </w:pPr>
      <w:r>
        <w:rPr>
          <w:rFonts w:hint="eastAsia" w:ascii="宋体" w:hAnsi="宋体" w:cs="宋体"/>
          <w:b/>
          <w:szCs w:val="21"/>
          <w:highlight w:val="none"/>
          <w:lang w:val="zh-CN"/>
        </w:rPr>
        <w:t>备注：上述涉及人员证书、业绩等证明材料，须提供原件的扫描件或复印件并加盖供应商公章。因磋商响应文件中证明材料模糊不清或存在疑问的，三分之二评委认为需要供应商提供原件核对的，若供应商无法提供原件则该项不得分。</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(二）价格分：</w:t>
      </w:r>
      <w:r>
        <w:rPr>
          <w:rFonts w:hint="eastAsia" w:ascii="宋体" w:hAnsi="宋体" w:cs="宋体"/>
          <w:b/>
          <w:sz w:val="24"/>
          <w:highlight w:val="none"/>
        </w:rPr>
        <w:t>3</w:t>
      </w:r>
      <w:r>
        <w:rPr>
          <w:rFonts w:ascii="宋体" w:hAnsi="宋体" w:cs="宋体"/>
          <w:b/>
          <w:sz w:val="24"/>
          <w:highlight w:val="none"/>
          <w:lang w:val="zh-CN"/>
        </w:rPr>
        <w:t>0</w:t>
      </w:r>
      <w:r>
        <w:rPr>
          <w:rFonts w:hint="eastAsia" w:ascii="宋体" w:hAnsi="宋体" w:cs="宋体"/>
          <w:b/>
          <w:sz w:val="24"/>
          <w:highlight w:val="none"/>
          <w:lang w:val="zh-CN"/>
        </w:rPr>
        <w:t>分</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磋商报价得分=（磋商基准价/最后磋商报价）×</w:t>
      </w:r>
      <w:r>
        <w:rPr>
          <w:rFonts w:hint="eastAsia" w:ascii="宋体" w:hAnsi="宋体" w:cs="宋体"/>
          <w:sz w:val="24"/>
          <w:highlight w:val="none"/>
        </w:rPr>
        <w:t>3</w:t>
      </w:r>
      <w:r>
        <w:rPr>
          <w:rFonts w:hint="eastAsia" w:ascii="宋体" w:hAnsi="宋体" w:cs="宋体"/>
          <w:sz w:val="24"/>
          <w:highlight w:val="none"/>
          <w:lang w:val="zh-CN"/>
        </w:rPr>
        <w:t>0×100%</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项目评审过程中，不得去掉最后报价中的最高报价和最低报价。</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lang w:val="zh-CN"/>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六、变更为其他方式采购的情形</w:t>
      </w:r>
    </w:p>
    <w:p>
      <w:pPr>
        <w:autoSpaceDE w:val="0"/>
        <w:autoSpaceDN w:val="0"/>
        <w:adjustRightInd w:val="0"/>
        <w:spacing w:line="360" w:lineRule="auto"/>
        <w:ind w:firstLine="480" w:firstLineChars="200"/>
        <w:rPr>
          <w:rFonts w:ascii="宋体" w:hAnsi="宋体" w:cs="宋体"/>
          <w:color w:val="000000" w:themeColor="text1"/>
          <w:sz w:val="24"/>
          <w:highlight w:val="none"/>
          <w:lang w:val="zh-CN"/>
        </w:rPr>
      </w:pPr>
      <w:r>
        <w:rPr>
          <w:rFonts w:hint="eastAsia" w:ascii="宋体" w:hAnsi="宋体" w:cs="宋体"/>
          <w:color w:val="000000" w:themeColor="text1"/>
          <w:sz w:val="24"/>
          <w:highlight w:val="none"/>
          <w:lang w:val="zh-CN"/>
        </w:rPr>
        <w:t>提交响应文件截止时间时参加磋商的供应商不足3家的，除采购任务取消外，磋商人视情况采取其他方式采购。磋商文件中对供应商资质、技术等要求，将作为其他方式采购的基本要求和依据。原已经参加磋商并符合要求的供应商，根据自愿原则，参加其他方式采购。</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七、出现下列情形之一的，竞争性磋商采购活动终止，发布项目终止公告并说明原因，重新开展采购活动：</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（一）因情况变化，不再符合规定的竞争性磋商采购方式适用情形的；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（二）出现影响采购公正的违法、违规行为的；</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八、成交通知</w:t>
      </w:r>
    </w:p>
    <w:p>
      <w:pPr>
        <w:spacing w:line="480" w:lineRule="exact"/>
        <w:ind w:firstLine="484" w:firstLineChars="202"/>
        <w:rPr>
          <w:rFonts w:ascii="宋体" w:hAnsi="宋体" w:cs="宋体"/>
          <w:kern w:val="0"/>
          <w:sz w:val="24"/>
          <w:highlight w:val="none"/>
        </w:rPr>
      </w:pPr>
      <w:r>
        <w:rPr>
          <w:rFonts w:hint="eastAsia" w:ascii="宋体" w:hAnsi="宋体" w:cs="宋体"/>
          <w:kern w:val="0"/>
          <w:sz w:val="24"/>
          <w:highlight w:val="none"/>
        </w:rPr>
        <w:t>成交结果在南通市交通运输局—公共资源交易栏目公示</w:t>
      </w:r>
      <w:r>
        <w:rPr>
          <w:rFonts w:hint="eastAsia" w:ascii="宋体" w:hAnsi="宋体" w:cs="宋体"/>
          <w:b/>
          <w:kern w:val="0"/>
          <w:sz w:val="24"/>
          <w:highlight w:val="none"/>
          <w:u w:val="single"/>
        </w:rPr>
        <w:t>3</w:t>
      </w:r>
      <w:r>
        <w:rPr>
          <w:rFonts w:hint="eastAsia" w:ascii="宋体" w:hAnsi="宋体" w:cs="宋体"/>
          <w:kern w:val="0"/>
          <w:sz w:val="24"/>
          <w:highlight w:val="none"/>
        </w:rPr>
        <w:t>个工作日。《成交通知书》一经发出，采购单位改变成交结果，或者成交供应商放弃成交的，各自承担相应的法律责任。《成交通知书》是采购合同的组成部分。</w:t>
      </w:r>
    </w:p>
    <w:p>
      <w:pPr>
        <w:pStyle w:val="5"/>
        <w:spacing w:before="0" w:after="0" w:line="360" w:lineRule="auto"/>
        <w:jc w:val="center"/>
        <w:rPr>
          <w:rFonts w:ascii="宋体" w:hAnsi="宋体"/>
          <w:highlight w:val="none"/>
        </w:rPr>
      </w:pPr>
      <w:r>
        <w:rPr>
          <w:rFonts w:hint="eastAsia" w:ascii="宋体" w:hAnsi="宋体" w:cs="宋体"/>
          <w:sz w:val="28"/>
          <w:szCs w:val="28"/>
          <w:highlight w:val="none"/>
          <w:lang w:val="zh-CN"/>
        </w:rPr>
        <w:br w:type="page"/>
      </w:r>
      <w:bookmarkStart w:id="7" w:name="_Toc8163751"/>
      <w:r>
        <w:rPr>
          <w:rFonts w:hint="eastAsia" w:ascii="宋体" w:hAnsi="宋体"/>
          <w:sz w:val="36"/>
          <w:szCs w:val="36"/>
          <w:highlight w:val="none"/>
        </w:rPr>
        <w:t>第五部分 合同签订与验收付款</w:t>
      </w:r>
      <w:bookmarkEnd w:id="7"/>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一、成交供应商和采购单位在接到《中标通知书》后三十日内签订合同。合同签订后成交供应商方可履约，否则引起的一切后果由中标人自行承担。所签合同不得对采购文件作实质性修改。采购单位不得向成交供应商提出不合理的要求作为签订合同的条件，不得与成交供应商私下订立背离采购文件实质性内容的协议。</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二、</w:t>
      </w:r>
      <w:bookmarkStart w:id="8" w:name="OLE_LINK2"/>
      <w:bookmarkStart w:id="9" w:name="OLE_LINK1"/>
      <w:r>
        <w:rPr>
          <w:rFonts w:hint="eastAsia" w:ascii="宋体" w:hAnsi="宋体" w:cs="宋体"/>
          <w:sz w:val="24"/>
          <w:highlight w:val="none"/>
          <w:lang w:val="zh-CN"/>
        </w:rPr>
        <w:t>采购单位按合同约定积极配合成交供应商履约，成交供应商履约到位后，请以书面形式向采购单位提出验收申请，采购单位接到申请后原则上在5个工作日内及时组织相关专业技术人员，必要时邀请采购人、质检等部门共同参与验收，并出具验收报告，验收合格的原则上5个工作日内支付相应款项。</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三、采购单位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四、成交供应商出现违约情形，应当及时纠正或补偿；造成损失的，按合同约定追究违约责任；发现有假冒、伪劣、走私产品、商业贿赂等违法情形的，应由采购单位移交工商、质监、公安等行政执法部门依法查处。</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五、不响应付款方式的，视同无效投标处理。</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六、</w:t>
      </w:r>
      <w:r>
        <w:rPr>
          <w:rFonts w:hint="eastAsia" w:ascii="宋体" w:hAnsi="宋体" w:cs="宋体"/>
          <w:sz w:val="24"/>
          <w:highlight w:val="none"/>
        </w:rPr>
        <w:t>付款方式详见磋商文件第三章。</w:t>
      </w:r>
    </w:p>
    <w:p>
      <w:pPr>
        <w:autoSpaceDE w:val="0"/>
        <w:autoSpaceDN w:val="0"/>
        <w:adjustRightInd w:val="0"/>
        <w:spacing w:line="360" w:lineRule="auto"/>
        <w:ind w:firstLine="480" w:firstLineChars="200"/>
        <w:rPr>
          <w:rFonts w:ascii="宋体" w:hAnsi="宋体" w:cs="宋体"/>
          <w:sz w:val="24"/>
          <w:highlight w:val="none"/>
        </w:rPr>
      </w:pPr>
    </w:p>
    <w:p>
      <w:pPr>
        <w:autoSpaceDE w:val="0"/>
        <w:autoSpaceDN w:val="0"/>
        <w:adjustRightInd w:val="0"/>
        <w:spacing w:line="360" w:lineRule="auto"/>
        <w:ind w:firstLine="480" w:firstLineChars="200"/>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br w:type="page"/>
      </w:r>
    </w:p>
    <w:p>
      <w:pPr>
        <w:pStyle w:val="5"/>
        <w:spacing w:before="0" w:after="0" w:line="360" w:lineRule="auto"/>
        <w:jc w:val="center"/>
        <w:rPr>
          <w:rFonts w:ascii="宋体" w:hAnsi="宋体"/>
          <w:sz w:val="36"/>
          <w:szCs w:val="36"/>
          <w:highlight w:val="none"/>
        </w:rPr>
      </w:pPr>
      <w:r>
        <w:rPr>
          <w:rFonts w:hint="eastAsia" w:ascii="宋体" w:hAnsi="宋体"/>
          <w:sz w:val="36"/>
          <w:szCs w:val="36"/>
          <w:highlight w:val="none"/>
        </w:rPr>
        <w:t>合同条款:</w:t>
      </w:r>
    </w:p>
    <w:p>
      <w:pPr>
        <w:spacing w:line="360" w:lineRule="auto"/>
        <w:ind w:firstLine="422" w:firstLineChars="200"/>
        <w:jc w:val="center"/>
        <w:textAlignment w:val="bottom"/>
        <w:outlineLvl w:val="0"/>
        <w:rPr>
          <w:b/>
          <w:bCs/>
          <w:szCs w:val="21"/>
          <w:highlight w:val="none"/>
        </w:rPr>
      </w:pPr>
      <w:r>
        <w:rPr>
          <w:rFonts w:hint="eastAsia"/>
          <w:b/>
          <w:bCs/>
          <w:szCs w:val="21"/>
          <w:highlight w:val="none"/>
        </w:rPr>
        <w:t>一、 定义和解释</w:t>
      </w:r>
    </w:p>
    <w:p>
      <w:pPr>
        <w:pStyle w:val="8"/>
        <w:keepLines/>
        <w:tabs>
          <w:tab w:val="left" w:pos="1391"/>
        </w:tabs>
        <w:spacing w:before="160" w:after="120" w:line="360" w:lineRule="auto"/>
        <w:jc w:val="both"/>
        <w:rPr>
          <w:rFonts w:ascii="宋体" w:hAnsi="宋体" w:eastAsia="宋体"/>
          <w:b/>
          <w:bCs/>
          <w:sz w:val="21"/>
          <w:highlight w:val="none"/>
        </w:rPr>
      </w:pPr>
      <w:bookmarkStart w:id="10" w:name="_Toc7867447"/>
      <w:r>
        <w:rPr>
          <w:rFonts w:hint="eastAsia" w:ascii="宋体" w:hAnsi="宋体" w:eastAsia="宋体"/>
          <w:b/>
          <w:bCs/>
          <w:sz w:val="21"/>
          <w:highlight w:val="none"/>
        </w:rPr>
        <w:t>1、定义与解释</w:t>
      </w:r>
      <w:bookmarkEnd w:id="10"/>
    </w:p>
    <w:p>
      <w:pPr>
        <w:spacing w:line="360" w:lineRule="auto"/>
        <w:ind w:firstLine="420" w:firstLineChars="200"/>
        <w:rPr>
          <w:szCs w:val="21"/>
          <w:highlight w:val="none"/>
        </w:rPr>
      </w:pPr>
      <w:r>
        <w:rPr>
          <w:rFonts w:hint="eastAsia" w:hAnsi="宋体"/>
          <w:highlight w:val="none"/>
        </w:rPr>
        <w:t>另有说明外，下列名词的含义如下</w:t>
      </w:r>
      <w:r>
        <w:rPr>
          <w:rFonts w:hint="eastAsia"/>
          <w:szCs w:val="21"/>
          <w:highlight w:val="none"/>
        </w:rPr>
        <w:t>：</w:t>
      </w:r>
    </w:p>
    <w:p>
      <w:pPr>
        <w:spacing w:line="360" w:lineRule="auto"/>
        <w:ind w:firstLine="420" w:firstLineChars="200"/>
        <w:rPr>
          <w:szCs w:val="21"/>
          <w:highlight w:val="none"/>
        </w:rPr>
      </w:pPr>
      <w:r>
        <w:rPr>
          <w:rFonts w:hint="eastAsia"/>
          <w:szCs w:val="21"/>
          <w:highlight w:val="none"/>
        </w:rPr>
        <w:t>1.1 业主：即合同书中的“甲方”，是指本合同条款中指明的执行本项目投资计划的单位，或其指定的负责管理建设项目的代表机构</w:t>
      </w:r>
      <w:r>
        <w:rPr>
          <w:szCs w:val="21"/>
          <w:highlight w:val="none"/>
        </w:rPr>
        <w:t>。</w:t>
      </w:r>
    </w:p>
    <w:p>
      <w:pPr>
        <w:spacing w:line="360" w:lineRule="auto"/>
        <w:ind w:firstLine="420" w:firstLineChars="200"/>
        <w:rPr>
          <w:szCs w:val="21"/>
          <w:highlight w:val="none"/>
        </w:rPr>
      </w:pPr>
      <w:r>
        <w:rPr>
          <w:rFonts w:hint="eastAsia"/>
          <w:szCs w:val="21"/>
          <w:highlight w:val="none"/>
        </w:rPr>
        <w:t>1.2 承包人：即合同书中的“乙方”，是指其投标书已为业主所接受，并与业主签订了合同书承担本项目开发工作的企业。</w:t>
      </w:r>
    </w:p>
    <w:p>
      <w:pPr>
        <w:spacing w:line="360" w:lineRule="auto"/>
        <w:ind w:firstLine="420" w:firstLineChars="200"/>
        <w:textAlignment w:val="bottom"/>
        <w:rPr>
          <w:szCs w:val="21"/>
          <w:highlight w:val="none"/>
        </w:rPr>
      </w:pPr>
      <w:r>
        <w:rPr>
          <w:rFonts w:hint="eastAsia"/>
          <w:szCs w:val="21"/>
          <w:highlight w:val="none"/>
        </w:rPr>
        <w:t>1.3 项目负责人：是指由承包人书面委任的负责本项目开发和设计工作的组织管理者</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1.4 技术负责人：是指由承包人书面委托并承诺负责本项目开发和设计技术工作的负责人。</w:t>
      </w:r>
    </w:p>
    <w:p>
      <w:pPr>
        <w:spacing w:line="360" w:lineRule="auto"/>
        <w:ind w:firstLine="420" w:firstLineChars="200"/>
        <w:textAlignment w:val="bottom"/>
        <w:rPr>
          <w:szCs w:val="21"/>
          <w:highlight w:val="none"/>
        </w:rPr>
      </w:pPr>
      <w:r>
        <w:rPr>
          <w:rFonts w:hint="eastAsia"/>
          <w:szCs w:val="21"/>
          <w:highlight w:val="none"/>
        </w:rPr>
        <w:t>1.5 分项负责人：是指由项目负责人提名，承包人批准的各分项工作的负责人</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1.6监理人：是指受业主委托对合同履行实施管理的法人或其他组织。本项目的监理人及其职责在承包人进场后书面通知承包人。</w:t>
      </w:r>
    </w:p>
    <w:p>
      <w:pPr>
        <w:spacing w:line="360" w:lineRule="auto"/>
        <w:ind w:firstLine="420" w:firstLineChars="200"/>
        <w:textAlignment w:val="bottom"/>
        <w:rPr>
          <w:szCs w:val="21"/>
          <w:highlight w:val="none"/>
        </w:rPr>
      </w:pPr>
      <w:r>
        <w:rPr>
          <w:rFonts w:hint="eastAsia"/>
          <w:szCs w:val="21"/>
          <w:highlight w:val="none"/>
        </w:rPr>
        <w:t>1.7总监理工程师：是指由监理人委派现场对合同履行实施管理的全权负责人，本项目的总监理工程师在承包人进场后书面通知承包人。</w:t>
      </w:r>
    </w:p>
    <w:p>
      <w:pPr>
        <w:spacing w:line="360" w:lineRule="auto"/>
        <w:ind w:firstLine="420" w:firstLineChars="200"/>
        <w:textAlignment w:val="bottom"/>
        <w:rPr>
          <w:szCs w:val="21"/>
          <w:highlight w:val="none"/>
        </w:rPr>
      </w:pPr>
      <w:r>
        <w:rPr>
          <w:rFonts w:hint="eastAsia"/>
          <w:szCs w:val="21"/>
          <w:highlight w:val="none"/>
        </w:rPr>
        <w:t>1.8 项目成果：是指承包人按本合同的规定，为本开发项目而完成的方案设计</w:t>
      </w:r>
      <w:r>
        <w:rPr>
          <w:szCs w:val="21"/>
          <w:highlight w:val="none"/>
        </w:rPr>
        <w:t>、</w:t>
      </w:r>
      <w:r>
        <w:rPr>
          <w:rFonts w:hint="eastAsia"/>
          <w:szCs w:val="21"/>
          <w:highlight w:val="none"/>
        </w:rPr>
        <w:t>专题报告</w:t>
      </w:r>
      <w:r>
        <w:rPr>
          <w:szCs w:val="21"/>
          <w:highlight w:val="none"/>
        </w:rPr>
        <w:t>、</w:t>
      </w:r>
      <w:r>
        <w:rPr>
          <w:rFonts w:hint="eastAsia"/>
          <w:szCs w:val="21"/>
          <w:highlight w:val="none"/>
        </w:rPr>
        <w:t>软件开发应用和文件编制全部工作</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1</w:t>
      </w:r>
      <w:r>
        <w:rPr>
          <w:szCs w:val="21"/>
          <w:highlight w:val="none"/>
        </w:rPr>
        <w:t>.</w:t>
      </w:r>
      <w:r>
        <w:rPr>
          <w:rFonts w:hint="eastAsia"/>
          <w:szCs w:val="21"/>
          <w:highlight w:val="none"/>
        </w:rPr>
        <w:t>9 事故：</w:t>
      </w:r>
    </w:p>
    <w:p>
      <w:pPr>
        <w:spacing w:line="360" w:lineRule="auto"/>
        <w:ind w:firstLine="420" w:firstLineChars="200"/>
        <w:textAlignment w:val="bottom"/>
        <w:rPr>
          <w:szCs w:val="21"/>
          <w:highlight w:val="none"/>
        </w:rPr>
      </w:pPr>
      <w:r>
        <w:rPr>
          <w:rFonts w:hint="eastAsia"/>
          <w:szCs w:val="21"/>
          <w:highlight w:val="none"/>
        </w:rPr>
        <w:t>(1) 质量事故：是指由于</w:t>
      </w:r>
      <w:r>
        <w:rPr>
          <w:szCs w:val="21"/>
          <w:highlight w:val="none"/>
        </w:rPr>
        <w:t>设计</w:t>
      </w:r>
      <w:r>
        <w:rPr>
          <w:rFonts w:hint="eastAsia"/>
          <w:szCs w:val="21"/>
          <w:highlight w:val="none"/>
        </w:rPr>
        <w:t>、开发</w:t>
      </w:r>
      <w:r>
        <w:rPr>
          <w:szCs w:val="21"/>
          <w:highlight w:val="none"/>
        </w:rPr>
        <w:t>、</w:t>
      </w:r>
      <w:r>
        <w:rPr>
          <w:rFonts w:hint="eastAsia"/>
          <w:szCs w:val="21"/>
          <w:highlight w:val="none"/>
        </w:rPr>
        <w:t>系统集成、</w:t>
      </w:r>
      <w:r>
        <w:rPr>
          <w:szCs w:val="21"/>
          <w:highlight w:val="none"/>
        </w:rPr>
        <w:t>安装、调试</w:t>
      </w:r>
      <w:r>
        <w:rPr>
          <w:rFonts w:hint="eastAsia"/>
          <w:szCs w:val="21"/>
          <w:highlight w:val="none"/>
        </w:rPr>
        <w:t>、维护等责任过失而使系统在设计使用年限内遭受损毁或产生不可弥补的本质缺陷，而需要更新、返工修复的事故。</w:t>
      </w:r>
    </w:p>
    <w:p>
      <w:pPr>
        <w:spacing w:line="360" w:lineRule="auto"/>
        <w:ind w:firstLine="420" w:firstLineChars="200"/>
        <w:textAlignment w:val="bottom"/>
        <w:rPr>
          <w:szCs w:val="21"/>
          <w:highlight w:val="none"/>
        </w:rPr>
      </w:pPr>
      <w:r>
        <w:rPr>
          <w:rFonts w:hint="eastAsia"/>
          <w:szCs w:val="21"/>
          <w:highlight w:val="none"/>
        </w:rPr>
        <w:t>(2) 一般质量事故：由于设计开发原因造成管理系统运行不良，导致直接经济损失</w:t>
      </w:r>
      <w:r>
        <w:rPr>
          <w:szCs w:val="21"/>
          <w:highlight w:val="none"/>
        </w:rPr>
        <w:t>(</w:t>
      </w:r>
      <w:r>
        <w:rPr>
          <w:rFonts w:hint="eastAsia"/>
          <w:szCs w:val="21"/>
          <w:highlight w:val="none"/>
        </w:rPr>
        <w:t>包括修复费用</w:t>
      </w:r>
      <w:r>
        <w:rPr>
          <w:szCs w:val="21"/>
          <w:highlight w:val="none"/>
        </w:rPr>
        <w:t>)</w:t>
      </w:r>
      <w:r>
        <w:rPr>
          <w:rFonts w:hint="eastAsia"/>
          <w:szCs w:val="21"/>
          <w:highlight w:val="none"/>
        </w:rPr>
        <w:t>在2～30万元之间的事故。</w:t>
      </w:r>
    </w:p>
    <w:p>
      <w:pPr>
        <w:spacing w:line="360" w:lineRule="auto"/>
        <w:ind w:firstLine="420" w:firstLineChars="200"/>
        <w:textAlignment w:val="bottom"/>
        <w:rPr>
          <w:szCs w:val="21"/>
          <w:highlight w:val="none"/>
        </w:rPr>
      </w:pPr>
      <w:r>
        <w:rPr>
          <w:rFonts w:hint="eastAsia"/>
          <w:szCs w:val="21"/>
          <w:highlight w:val="none"/>
        </w:rPr>
        <w:t>(3) 重大质量事故：由于管理系统设计开发责任过失造成工程系统瘫痪、或者重大经济损失的事故。</w:t>
      </w:r>
    </w:p>
    <w:p>
      <w:pPr>
        <w:spacing w:line="360" w:lineRule="auto"/>
        <w:ind w:firstLine="420" w:firstLineChars="200"/>
        <w:textAlignment w:val="bottom"/>
        <w:rPr>
          <w:szCs w:val="21"/>
          <w:highlight w:val="none"/>
        </w:rPr>
      </w:pPr>
      <w:r>
        <w:rPr>
          <w:szCs w:val="21"/>
          <w:highlight w:val="none"/>
        </w:rPr>
        <w:t>1.</w:t>
      </w:r>
      <w:r>
        <w:rPr>
          <w:rFonts w:hint="eastAsia"/>
          <w:szCs w:val="21"/>
          <w:highlight w:val="none"/>
        </w:rPr>
        <w:t>10 不可抗力：指业主与承包人不能预见、或不能采取措施避免并不能克服的自然灾害或社会政治因素等。</w:t>
      </w:r>
    </w:p>
    <w:p>
      <w:pPr>
        <w:spacing w:line="360" w:lineRule="auto"/>
        <w:ind w:firstLine="420" w:firstLineChars="200"/>
        <w:textAlignment w:val="bottom"/>
        <w:rPr>
          <w:szCs w:val="21"/>
          <w:highlight w:val="none"/>
        </w:rPr>
      </w:pPr>
      <w:r>
        <w:rPr>
          <w:szCs w:val="21"/>
          <w:highlight w:val="none"/>
        </w:rPr>
        <w:t>1.</w:t>
      </w:r>
      <w:r>
        <w:rPr>
          <w:rFonts w:hint="eastAsia"/>
          <w:szCs w:val="21"/>
          <w:highlight w:val="none"/>
        </w:rPr>
        <w:t>11业主风险：因不可抗力或应由业主单方承担责任而产生的风险。</w:t>
      </w:r>
    </w:p>
    <w:p>
      <w:pPr>
        <w:spacing w:line="360" w:lineRule="auto"/>
        <w:ind w:firstLine="420" w:firstLineChars="200"/>
        <w:textAlignment w:val="bottom"/>
        <w:rPr>
          <w:szCs w:val="21"/>
          <w:highlight w:val="none"/>
        </w:rPr>
      </w:pPr>
      <w:r>
        <w:rPr>
          <w:szCs w:val="21"/>
          <w:highlight w:val="none"/>
        </w:rPr>
        <w:t>1.</w:t>
      </w:r>
      <w:r>
        <w:rPr>
          <w:rFonts w:hint="eastAsia"/>
          <w:szCs w:val="21"/>
          <w:highlight w:val="none"/>
        </w:rPr>
        <w:t>12天：指日历日</w:t>
      </w:r>
      <w:r>
        <w:rPr>
          <w:szCs w:val="21"/>
          <w:highlight w:val="none"/>
        </w:rPr>
        <w:t>。</w:t>
      </w:r>
      <w:r>
        <w:rPr>
          <w:rFonts w:hint="eastAsia"/>
          <w:szCs w:val="21"/>
          <w:highlight w:val="none"/>
        </w:rPr>
        <w:t>年、月、日按公历计算。</w:t>
      </w:r>
    </w:p>
    <w:p>
      <w:pPr>
        <w:spacing w:line="360" w:lineRule="auto"/>
        <w:ind w:firstLine="420" w:firstLineChars="200"/>
        <w:textAlignment w:val="bottom"/>
        <w:rPr>
          <w:b/>
          <w:bCs/>
          <w:szCs w:val="21"/>
          <w:highlight w:val="none"/>
        </w:rPr>
      </w:pPr>
      <w:r>
        <w:rPr>
          <w:szCs w:val="21"/>
          <w:highlight w:val="none"/>
        </w:rPr>
        <w:t>1</w:t>
      </w:r>
      <w:r>
        <w:rPr>
          <w:rFonts w:hint="eastAsia"/>
          <w:szCs w:val="21"/>
          <w:highlight w:val="none"/>
        </w:rPr>
        <w:t>.13 时间：本招标文件所指时间均为北京时间。</w:t>
      </w:r>
    </w:p>
    <w:p>
      <w:pPr>
        <w:spacing w:line="360" w:lineRule="auto"/>
        <w:ind w:firstLine="422" w:firstLineChars="200"/>
        <w:jc w:val="center"/>
        <w:textAlignment w:val="bottom"/>
        <w:outlineLvl w:val="0"/>
        <w:rPr>
          <w:szCs w:val="21"/>
          <w:highlight w:val="none"/>
        </w:rPr>
      </w:pPr>
      <w:r>
        <w:rPr>
          <w:rFonts w:hint="eastAsia"/>
          <w:b/>
          <w:bCs/>
          <w:szCs w:val="21"/>
          <w:highlight w:val="none"/>
        </w:rPr>
        <w:t>二、 合同的主要事项</w:t>
      </w:r>
    </w:p>
    <w:p>
      <w:pPr>
        <w:pStyle w:val="8"/>
        <w:keepLines/>
        <w:tabs>
          <w:tab w:val="left" w:pos="1391"/>
        </w:tabs>
        <w:spacing w:before="160" w:after="120" w:line="360" w:lineRule="auto"/>
        <w:jc w:val="both"/>
        <w:rPr>
          <w:rFonts w:ascii="宋体" w:hAnsi="宋体" w:eastAsia="等线"/>
          <w:b/>
          <w:bCs/>
          <w:sz w:val="21"/>
          <w:highlight w:val="none"/>
        </w:rPr>
      </w:pPr>
      <w:bookmarkStart w:id="11" w:name="_Toc524342618"/>
      <w:bookmarkStart w:id="12" w:name="_Toc7867451"/>
      <w:bookmarkStart w:id="13" w:name="_Toc524493381"/>
      <w:bookmarkStart w:id="14" w:name="_Toc524439524"/>
      <w:bookmarkStart w:id="15" w:name="_Toc524516261"/>
      <w:bookmarkStart w:id="16" w:name="_Toc524494378"/>
      <w:bookmarkStart w:id="17" w:name="_Toc524404327"/>
      <w:bookmarkStart w:id="18" w:name="_Toc524457334"/>
      <w:bookmarkStart w:id="19" w:name="_Toc525376781"/>
      <w:bookmarkStart w:id="20" w:name="_Toc524486443"/>
      <w:bookmarkStart w:id="21" w:name="_Toc524516413"/>
      <w:bookmarkStart w:id="22" w:name="_Toc524495506"/>
      <w:bookmarkStart w:id="23" w:name="_Toc7600015"/>
      <w:bookmarkStart w:id="24" w:name="_Toc524747390"/>
      <w:bookmarkStart w:id="25" w:name="_Toc524333032"/>
      <w:bookmarkStart w:id="26" w:name="_Toc3795444"/>
      <w:bookmarkStart w:id="27" w:name="_Toc525011365"/>
      <w:bookmarkStart w:id="28" w:name="_Toc524494156"/>
      <w:bookmarkStart w:id="29" w:name="_Toc524341746"/>
      <w:bookmarkStart w:id="30" w:name="_Toc524458584"/>
      <w:bookmarkStart w:id="31" w:name="_Toc6311277"/>
      <w:bookmarkStart w:id="32" w:name="_Toc524452519"/>
      <w:bookmarkStart w:id="33" w:name="_Toc524404068"/>
      <w:bookmarkStart w:id="34" w:name="_Toc7599784"/>
      <w:bookmarkStart w:id="35" w:name="_Toc524495983"/>
      <w:bookmarkStart w:id="36" w:name="_Toc524847416"/>
      <w:bookmarkStart w:id="37" w:name="_Toc3795959"/>
      <w:bookmarkStart w:id="38" w:name="_Toc524439686"/>
      <w:bookmarkStart w:id="39" w:name="_Toc3796817"/>
      <w:bookmarkStart w:id="40" w:name="_Toc525397563"/>
      <w:bookmarkStart w:id="41" w:name="_Toc524332388"/>
      <w:bookmarkStart w:id="42" w:name="_Toc524342309"/>
      <w:bookmarkStart w:id="43" w:name="_Toc524847230"/>
      <w:bookmarkStart w:id="44" w:name="_Toc524494772"/>
      <w:bookmarkStart w:id="45" w:name="_Toc524689536"/>
      <w:bookmarkStart w:id="46" w:name="_Toc525200399"/>
      <w:bookmarkStart w:id="47" w:name="_Toc524746506"/>
      <w:bookmarkStart w:id="48" w:name="_Toc524491066"/>
      <w:bookmarkStart w:id="49" w:name="_Toc524342513"/>
      <w:r>
        <w:rPr>
          <w:rFonts w:hint="eastAsia" w:ascii="宋体" w:hAnsi="宋体" w:eastAsia="等线"/>
          <w:b/>
          <w:bCs/>
          <w:sz w:val="21"/>
          <w:highlight w:val="none"/>
        </w:rPr>
        <w:t>2、 合同范围</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117"/>
        <w:widowControl w:val="0"/>
        <w:tabs>
          <w:tab w:val="clear" w:pos="0"/>
        </w:tabs>
        <w:snapToGrid w:val="0"/>
        <w:spacing w:before="0"/>
        <w:ind w:firstLine="420"/>
        <w:rPr>
          <w:rFonts w:hAnsi="宋体"/>
          <w:sz w:val="21"/>
          <w:highlight w:val="none"/>
        </w:rPr>
      </w:pPr>
      <w:r>
        <w:rPr>
          <w:rFonts w:hint="eastAsia" w:hAnsi="宋体"/>
          <w:sz w:val="21"/>
          <w:highlight w:val="none"/>
        </w:rPr>
        <w:t>2.1合同内容：</w:t>
      </w:r>
    </w:p>
    <w:p>
      <w:pPr>
        <w:snapToGrid w:val="0"/>
        <w:spacing w:line="360" w:lineRule="auto"/>
        <w:ind w:firstLine="420" w:firstLineChars="200"/>
        <w:rPr>
          <w:szCs w:val="21"/>
          <w:highlight w:val="none"/>
        </w:rPr>
      </w:pPr>
      <w:r>
        <w:rPr>
          <w:rFonts w:hint="eastAsia"/>
          <w:szCs w:val="21"/>
          <w:highlight w:val="none"/>
        </w:rPr>
        <w:t>如皋分中心党员政治生活馆建设面积180平方米，其中展厅144平方米，红色书吧36平方米。该馆重建项目招标包括如下内容：</w:t>
      </w:r>
    </w:p>
    <w:p>
      <w:pPr>
        <w:snapToGrid w:val="0"/>
        <w:spacing w:line="360" w:lineRule="auto"/>
        <w:ind w:firstLine="420" w:firstLineChars="200"/>
        <w:rPr>
          <w:szCs w:val="21"/>
          <w:highlight w:val="none"/>
        </w:rPr>
      </w:pPr>
      <w:r>
        <w:rPr>
          <w:rFonts w:hint="eastAsia"/>
          <w:szCs w:val="21"/>
          <w:highlight w:val="none"/>
        </w:rPr>
        <w:t>1.党员政治生活馆主题文化墙设计、施工</w:t>
      </w:r>
    </w:p>
    <w:p>
      <w:pPr>
        <w:snapToGrid w:val="0"/>
        <w:spacing w:line="360" w:lineRule="auto"/>
        <w:ind w:firstLine="420" w:firstLineChars="200"/>
        <w:rPr>
          <w:szCs w:val="21"/>
          <w:highlight w:val="none"/>
        </w:rPr>
      </w:pPr>
      <w:r>
        <w:rPr>
          <w:rFonts w:hint="eastAsia"/>
          <w:szCs w:val="21"/>
          <w:highlight w:val="none"/>
        </w:rPr>
        <w:t>2.前言版面设计、施工</w:t>
      </w:r>
    </w:p>
    <w:p>
      <w:pPr>
        <w:snapToGrid w:val="0"/>
        <w:spacing w:line="360" w:lineRule="auto"/>
        <w:ind w:firstLine="420" w:firstLineChars="200"/>
        <w:rPr>
          <w:szCs w:val="21"/>
          <w:highlight w:val="none"/>
        </w:rPr>
      </w:pPr>
      <w:r>
        <w:rPr>
          <w:rFonts w:hint="eastAsia"/>
          <w:szCs w:val="21"/>
          <w:highlight w:val="none"/>
        </w:rPr>
        <w:t>3.南通公路精神三面立柱设计、施工</w:t>
      </w:r>
    </w:p>
    <w:p>
      <w:pPr>
        <w:snapToGrid w:val="0"/>
        <w:spacing w:line="360" w:lineRule="auto"/>
        <w:ind w:firstLine="420" w:firstLineChars="200"/>
        <w:rPr>
          <w:szCs w:val="21"/>
          <w:highlight w:val="none"/>
        </w:rPr>
      </w:pPr>
      <w:r>
        <w:rPr>
          <w:rFonts w:hint="eastAsia"/>
          <w:szCs w:val="21"/>
          <w:highlight w:val="none"/>
        </w:rPr>
        <w:t xml:space="preserve">4红色公路写忠诚版面设计、施工. </w:t>
      </w:r>
    </w:p>
    <w:p>
      <w:pPr>
        <w:snapToGrid w:val="0"/>
        <w:spacing w:line="360" w:lineRule="auto"/>
        <w:ind w:firstLine="420" w:firstLineChars="200"/>
        <w:rPr>
          <w:szCs w:val="21"/>
          <w:highlight w:val="none"/>
        </w:rPr>
      </w:pPr>
      <w:r>
        <w:rPr>
          <w:rFonts w:hint="eastAsia"/>
          <w:szCs w:val="21"/>
          <w:highlight w:val="none"/>
        </w:rPr>
        <w:t>（1）南通公路、如皋公路发展演变史版面</w:t>
      </w:r>
    </w:p>
    <w:p>
      <w:pPr>
        <w:snapToGrid w:val="0"/>
        <w:spacing w:line="360" w:lineRule="auto"/>
        <w:ind w:firstLine="420" w:firstLineChars="200"/>
        <w:rPr>
          <w:szCs w:val="21"/>
          <w:highlight w:val="none"/>
        </w:rPr>
      </w:pPr>
      <w:r>
        <w:rPr>
          <w:rFonts w:hint="eastAsia"/>
          <w:szCs w:val="21"/>
          <w:highlight w:val="none"/>
        </w:rPr>
        <w:t>（2）如皋公路部门发展变化史版面</w:t>
      </w:r>
    </w:p>
    <w:p>
      <w:pPr>
        <w:snapToGrid w:val="0"/>
        <w:spacing w:line="360" w:lineRule="auto"/>
        <w:ind w:firstLine="420" w:firstLineChars="200"/>
        <w:rPr>
          <w:szCs w:val="21"/>
          <w:highlight w:val="none"/>
        </w:rPr>
      </w:pPr>
      <w:r>
        <w:rPr>
          <w:rFonts w:hint="eastAsia"/>
          <w:szCs w:val="21"/>
          <w:highlight w:val="none"/>
        </w:rPr>
        <w:t>5.品牌先行引航程版面设计、施工</w:t>
      </w:r>
    </w:p>
    <w:p>
      <w:pPr>
        <w:snapToGrid w:val="0"/>
        <w:spacing w:line="360" w:lineRule="auto"/>
        <w:ind w:firstLine="420" w:firstLineChars="200"/>
        <w:rPr>
          <w:szCs w:val="21"/>
          <w:highlight w:val="none"/>
        </w:rPr>
      </w:pPr>
      <w:r>
        <w:rPr>
          <w:rFonts w:hint="eastAsia"/>
          <w:szCs w:val="21"/>
          <w:highlight w:val="none"/>
        </w:rPr>
        <w:t>6.标准党建筑堡垒版面设计、施工</w:t>
      </w:r>
    </w:p>
    <w:p>
      <w:pPr>
        <w:snapToGrid w:val="0"/>
        <w:spacing w:line="360" w:lineRule="auto"/>
        <w:ind w:firstLine="420" w:firstLineChars="200"/>
        <w:rPr>
          <w:szCs w:val="21"/>
          <w:highlight w:val="none"/>
        </w:rPr>
      </w:pPr>
      <w:r>
        <w:rPr>
          <w:rFonts w:hint="eastAsia"/>
          <w:szCs w:val="21"/>
          <w:highlight w:val="none"/>
        </w:rPr>
        <w:t>7.四色驿站耀雉水版面设计、施工</w:t>
      </w:r>
    </w:p>
    <w:p>
      <w:pPr>
        <w:snapToGrid w:val="0"/>
        <w:spacing w:line="360" w:lineRule="auto"/>
        <w:ind w:firstLine="420" w:firstLineChars="200"/>
        <w:rPr>
          <w:szCs w:val="21"/>
          <w:highlight w:val="none"/>
        </w:rPr>
      </w:pPr>
      <w:r>
        <w:rPr>
          <w:rFonts w:hint="eastAsia"/>
          <w:szCs w:val="21"/>
          <w:highlight w:val="none"/>
        </w:rPr>
        <w:t>8.无极服务畅公路版面设计、施工</w:t>
      </w:r>
    </w:p>
    <w:p>
      <w:pPr>
        <w:snapToGrid w:val="0"/>
        <w:spacing w:line="360" w:lineRule="auto"/>
        <w:ind w:firstLine="420" w:firstLineChars="200"/>
        <w:rPr>
          <w:szCs w:val="21"/>
          <w:highlight w:val="none"/>
        </w:rPr>
      </w:pPr>
      <w:r>
        <w:rPr>
          <w:rFonts w:hint="eastAsia"/>
          <w:szCs w:val="21"/>
          <w:highlight w:val="none"/>
        </w:rPr>
        <w:t>9.党建融合精主业两个版面设计、施工</w:t>
      </w:r>
    </w:p>
    <w:p>
      <w:pPr>
        <w:snapToGrid w:val="0"/>
        <w:spacing w:line="360" w:lineRule="auto"/>
        <w:ind w:firstLine="420" w:firstLineChars="200"/>
        <w:rPr>
          <w:szCs w:val="21"/>
          <w:highlight w:val="none"/>
        </w:rPr>
      </w:pPr>
      <w:r>
        <w:rPr>
          <w:rFonts w:hint="eastAsia"/>
          <w:szCs w:val="21"/>
          <w:highlight w:val="none"/>
        </w:rPr>
        <w:t>（1）党建融合干线养护、农路养护、桥梁养护版面</w:t>
      </w:r>
    </w:p>
    <w:p>
      <w:pPr>
        <w:snapToGrid w:val="0"/>
        <w:spacing w:line="360" w:lineRule="auto"/>
        <w:ind w:firstLine="420" w:firstLineChars="200"/>
        <w:rPr>
          <w:szCs w:val="21"/>
          <w:highlight w:val="none"/>
        </w:rPr>
      </w:pPr>
      <w:r>
        <w:rPr>
          <w:rFonts w:hint="eastAsia"/>
          <w:szCs w:val="21"/>
          <w:highlight w:val="none"/>
        </w:rPr>
        <w:t>（2）党建融合安全管控、路网应急、疫情防控版面</w:t>
      </w:r>
    </w:p>
    <w:p>
      <w:pPr>
        <w:snapToGrid w:val="0"/>
        <w:spacing w:line="360" w:lineRule="auto"/>
        <w:ind w:firstLine="420" w:firstLineChars="200"/>
        <w:rPr>
          <w:szCs w:val="21"/>
          <w:highlight w:val="none"/>
        </w:rPr>
      </w:pPr>
      <w:r>
        <w:rPr>
          <w:rFonts w:hint="eastAsia"/>
          <w:szCs w:val="21"/>
          <w:highlight w:val="none"/>
        </w:rPr>
        <w:t>10.党建融合主业液晶显示屏设计、施工</w:t>
      </w:r>
    </w:p>
    <w:p>
      <w:pPr>
        <w:snapToGrid w:val="0"/>
        <w:spacing w:line="360" w:lineRule="auto"/>
        <w:ind w:firstLine="420" w:firstLineChars="200"/>
        <w:rPr>
          <w:szCs w:val="21"/>
          <w:highlight w:val="none"/>
        </w:rPr>
      </w:pPr>
      <w:r>
        <w:rPr>
          <w:rFonts w:hint="eastAsia"/>
          <w:szCs w:val="21"/>
          <w:highlight w:val="none"/>
        </w:rPr>
        <w:t>11.誉满江海大道行三个版面设计施工</w:t>
      </w:r>
    </w:p>
    <w:p>
      <w:pPr>
        <w:snapToGrid w:val="0"/>
        <w:spacing w:line="360" w:lineRule="auto"/>
        <w:ind w:firstLine="420" w:firstLineChars="200"/>
        <w:rPr>
          <w:szCs w:val="21"/>
          <w:highlight w:val="none"/>
        </w:rPr>
      </w:pPr>
      <w:r>
        <w:rPr>
          <w:rFonts w:hint="eastAsia"/>
          <w:szCs w:val="21"/>
          <w:highlight w:val="none"/>
        </w:rPr>
        <w:t>（1）如皋公路党建历年特色工作照墙</w:t>
      </w:r>
    </w:p>
    <w:p>
      <w:pPr>
        <w:snapToGrid w:val="0"/>
        <w:spacing w:line="360" w:lineRule="auto"/>
        <w:ind w:firstLine="420" w:firstLineChars="200"/>
        <w:rPr>
          <w:szCs w:val="21"/>
          <w:highlight w:val="none"/>
        </w:rPr>
      </w:pPr>
      <w:r>
        <w:rPr>
          <w:rFonts w:hint="eastAsia"/>
          <w:szCs w:val="21"/>
          <w:highlight w:val="none"/>
        </w:rPr>
        <w:t>（2）公路发展历史文物展柜</w:t>
      </w:r>
    </w:p>
    <w:p>
      <w:pPr>
        <w:snapToGrid w:val="0"/>
        <w:spacing w:line="360" w:lineRule="auto"/>
        <w:ind w:firstLine="420" w:firstLineChars="200"/>
        <w:rPr>
          <w:szCs w:val="21"/>
          <w:highlight w:val="none"/>
        </w:rPr>
      </w:pPr>
      <w:r>
        <w:rPr>
          <w:rFonts w:hint="eastAsia"/>
          <w:szCs w:val="21"/>
          <w:highlight w:val="none"/>
        </w:rPr>
        <w:t>（3）公路优秀党员风采、公路部门历年荣誉风采</w:t>
      </w:r>
    </w:p>
    <w:p>
      <w:pPr>
        <w:snapToGrid w:val="0"/>
        <w:spacing w:line="360" w:lineRule="auto"/>
        <w:ind w:firstLine="420" w:firstLineChars="200"/>
        <w:rPr>
          <w:szCs w:val="21"/>
          <w:highlight w:val="none"/>
        </w:rPr>
      </w:pPr>
      <w:r>
        <w:rPr>
          <w:rFonts w:hint="eastAsia"/>
          <w:szCs w:val="21"/>
          <w:highlight w:val="none"/>
        </w:rPr>
        <w:t>12.结束语版面设计施工</w:t>
      </w:r>
    </w:p>
    <w:p>
      <w:pPr>
        <w:snapToGrid w:val="0"/>
        <w:spacing w:line="360" w:lineRule="auto"/>
        <w:ind w:firstLine="420" w:firstLineChars="200"/>
        <w:rPr>
          <w:szCs w:val="21"/>
          <w:highlight w:val="none"/>
        </w:rPr>
      </w:pPr>
      <w:r>
        <w:rPr>
          <w:rFonts w:hint="eastAsia"/>
          <w:szCs w:val="21"/>
          <w:highlight w:val="none"/>
        </w:rPr>
        <w:t>13.走廊辅文化墙设计施工</w:t>
      </w:r>
    </w:p>
    <w:p>
      <w:pPr>
        <w:snapToGrid w:val="0"/>
        <w:spacing w:line="360" w:lineRule="auto"/>
        <w:ind w:firstLine="420" w:firstLineChars="200"/>
        <w:rPr>
          <w:szCs w:val="21"/>
          <w:highlight w:val="none"/>
        </w:rPr>
      </w:pPr>
      <w:r>
        <w:rPr>
          <w:rFonts w:hint="eastAsia"/>
          <w:szCs w:val="21"/>
          <w:highlight w:val="none"/>
        </w:rPr>
        <w:t>14.红色书吧设计施工</w:t>
      </w:r>
    </w:p>
    <w:p>
      <w:pPr>
        <w:snapToGrid w:val="0"/>
        <w:spacing w:line="360" w:lineRule="auto"/>
        <w:ind w:firstLine="420" w:firstLineChars="200"/>
        <w:rPr>
          <w:szCs w:val="21"/>
          <w:highlight w:val="none"/>
          <w:shd w:val="clear" w:color="auto" w:fill="FFFFFF"/>
        </w:rPr>
      </w:pPr>
      <w:r>
        <w:rPr>
          <w:rFonts w:hint="eastAsia"/>
          <w:szCs w:val="21"/>
          <w:highlight w:val="none"/>
        </w:rPr>
        <w:t>15.一楼大厅标志标识、文化墙设计施工</w:t>
      </w:r>
    </w:p>
    <w:p>
      <w:pPr>
        <w:pStyle w:val="19"/>
        <w:ind w:left="1" w:firstLine="464" w:firstLineChars="221"/>
        <w:rPr>
          <w:rFonts w:hAnsi="宋体"/>
          <w:highlight w:val="none"/>
        </w:rPr>
      </w:pPr>
      <w:r>
        <w:rPr>
          <w:rFonts w:hint="eastAsia" w:hAnsi="宋体"/>
          <w:highlight w:val="none"/>
        </w:rPr>
        <w:t>2.2磋商报价为供应商完成本项目准备阶段、实施阶段、验收全过程服务全部费用。本项目采用总价报价。</w:t>
      </w:r>
    </w:p>
    <w:p>
      <w:pPr>
        <w:pStyle w:val="8"/>
        <w:keepLines/>
        <w:tabs>
          <w:tab w:val="left" w:pos="1391"/>
        </w:tabs>
        <w:spacing w:before="160" w:after="120" w:line="360" w:lineRule="auto"/>
        <w:jc w:val="both"/>
        <w:rPr>
          <w:rFonts w:ascii="宋体" w:hAnsi="宋体" w:eastAsia="宋体"/>
          <w:b/>
          <w:bCs/>
          <w:sz w:val="21"/>
          <w:highlight w:val="none"/>
        </w:rPr>
      </w:pPr>
      <w:bookmarkStart w:id="50" w:name="_Toc524495984"/>
      <w:bookmarkStart w:id="51" w:name="_Toc3795960"/>
      <w:bookmarkStart w:id="52" w:name="_Toc524495507"/>
      <w:bookmarkStart w:id="53" w:name="_Toc524491067"/>
      <w:bookmarkStart w:id="54" w:name="_Toc524847231"/>
      <w:bookmarkStart w:id="55" w:name="_Toc524494379"/>
      <w:bookmarkStart w:id="56" w:name="_Toc3795445"/>
      <w:bookmarkStart w:id="57" w:name="_Toc524439687"/>
      <w:bookmarkStart w:id="58" w:name="_Toc6311278"/>
      <w:bookmarkStart w:id="59" w:name="_Toc524516262"/>
      <w:bookmarkStart w:id="60" w:name="_Toc524493382"/>
      <w:bookmarkStart w:id="61" w:name="_Toc524494773"/>
      <w:bookmarkStart w:id="62" w:name="_Toc524342514"/>
      <w:bookmarkStart w:id="63" w:name="_Toc524332389"/>
      <w:bookmarkStart w:id="64" w:name="_Toc524457335"/>
      <w:bookmarkStart w:id="65" w:name="_Toc524439525"/>
      <w:bookmarkStart w:id="66" w:name="_Toc524404328"/>
      <w:bookmarkStart w:id="67" w:name="_Toc524404069"/>
      <w:bookmarkStart w:id="68" w:name="_Toc524516414"/>
      <w:bookmarkStart w:id="69" w:name="_Toc524341747"/>
      <w:bookmarkStart w:id="70" w:name="_Toc525397564"/>
      <w:bookmarkStart w:id="71" w:name="_Toc524486444"/>
      <w:bookmarkStart w:id="72" w:name="_Toc524333033"/>
      <w:bookmarkStart w:id="73" w:name="_Toc524342619"/>
      <w:bookmarkStart w:id="74" w:name="_Toc524746507"/>
      <w:bookmarkStart w:id="75" w:name="_Toc524494157"/>
      <w:bookmarkStart w:id="76" w:name="_Toc7599785"/>
      <w:bookmarkStart w:id="77" w:name="_Toc524847417"/>
      <w:bookmarkStart w:id="78" w:name="_Toc3796818"/>
      <w:bookmarkStart w:id="79" w:name="_Toc525376782"/>
      <w:bookmarkStart w:id="80" w:name="_Toc524747391"/>
      <w:bookmarkStart w:id="81" w:name="_Toc524452520"/>
      <w:bookmarkStart w:id="82" w:name="_Toc524458585"/>
      <w:bookmarkStart w:id="83" w:name="_Toc524342310"/>
      <w:bookmarkStart w:id="84" w:name="_Toc7600016"/>
      <w:bookmarkStart w:id="85" w:name="_Toc525011366"/>
      <w:bookmarkStart w:id="86" w:name="_Toc525200400"/>
      <w:bookmarkStart w:id="87" w:name="_Toc524689537"/>
      <w:bookmarkStart w:id="88" w:name="_Toc7867452"/>
      <w:r>
        <w:rPr>
          <w:rFonts w:hint="eastAsia" w:ascii="宋体" w:hAnsi="宋体" w:eastAsia="宋体"/>
          <w:b/>
          <w:bCs/>
          <w:sz w:val="21"/>
          <w:highlight w:val="none"/>
        </w:rPr>
        <w:t>3、 合同文件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19"/>
        <w:ind w:firstLine="420" w:firstLineChars="200"/>
        <w:rPr>
          <w:rFonts w:hAnsi="宋体"/>
          <w:highlight w:val="none"/>
        </w:rPr>
      </w:pPr>
      <w:r>
        <w:rPr>
          <w:rFonts w:hint="eastAsia" w:hAnsi="宋体"/>
          <w:highlight w:val="none"/>
        </w:rPr>
        <w:t>3.1 下列文件是本合同组成部分，具有经济合同的法律效力。</w:t>
      </w:r>
    </w:p>
    <w:p>
      <w:pPr>
        <w:spacing w:line="360" w:lineRule="auto"/>
        <w:ind w:firstLine="439"/>
        <w:rPr>
          <w:rFonts w:ascii="宋体" w:hAnsi="宋体"/>
          <w:szCs w:val="21"/>
          <w:highlight w:val="none"/>
        </w:rPr>
      </w:pPr>
      <w:bookmarkStart w:id="89" w:name="_Toc3795961"/>
      <w:bookmarkStart w:id="90" w:name="_Toc524516263"/>
      <w:bookmarkStart w:id="91" w:name="_Toc524332390"/>
      <w:bookmarkStart w:id="92" w:name="_Toc524493383"/>
      <w:bookmarkStart w:id="93" w:name="_Toc524847232"/>
      <w:bookmarkStart w:id="94" w:name="_Toc525200401"/>
      <w:bookmarkStart w:id="95" w:name="_Toc524457336"/>
      <w:bookmarkStart w:id="96" w:name="_Toc524491068"/>
      <w:bookmarkStart w:id="97" w:name="_Toc524341748"/>
      <w:bookmarkStart w:id="98" w:name="_Toc524689538"/>
      <w:bookmarkStart w:id="99" w:name="_Toc524342620"/>
      <w:bookmarkStart w:id="100" w:name="_Toc524746508"/>
      <w:bookmarkStart w:id="101" w:name="_Toc524342311"/>
      <w:bookmarkStart w:id="102" w:name="_Toc524439688"/>
      <w:bookmarkStart w:id="103" w:name="_Toc524452521"/>
      <w:bookmarkStart w:id="104" w:name="_Toc524342515"/>
      <w:bookmarkStart w:id="105" w:name="_Toc524495508"/>
      <w:bookmarkStart w:id="106" w:name="_Toc524516415"/>
      <w:bookmarkStart w:id="107" w:name="_Toc524494380"/>
      <w:bookmarkStart w:id="108" w:name="_Toc524847418"/>
      <w:bookmarkStart w:id="109" w:name="_Toc3795446"/>
      <w:bookmarkStart w:id="110" w:name="_Toc524404070"/>
      <w:bookmarkStart w:id="111" w:name="_Toc524458586"/>
      <w:bookmarkStart w:id="112" w:name="_Toc525376783"/>
      <w:bookmarkStart w:id="113" w:name="_Toc524494158"/>
      <w:bookmarkStart w:id="114" w:name="_Toc524439526"/>
      <w:bookmarkStart w:id="115" w:name="_Toc524495985"/>
      <w:bookmarkStart w:id="116" w:name="_Toc524747392"/>
      <w:bookmarkStart w:id="117" w:name="_Toc524486445"/>
      <w:bookmarkStart w:id="118" w:name="_Toc525397565"/>
      <w:bookmarkStart w:id="119" w:name="_Toc524404329"/>
      <w:bookmarkStart w:id="120" w:name="_Toc525011367"/>
      <w:bookmarkStart w:id="121" w:name="_Toc3796819"/>
      <w:bookmarkStart w:id="122" w:name="_Toc524333034"/>
      <w:bookmarkStart w:id="123" w:name="_Toc524494774"/>
      <w:r>
        <w:rPr>
          <w:rFonts w:hint="eastAsia" w:ascii="宋体" w:hAnsi="宋体"/>
          <w:szCs w:val="21"/>
          <w:highlight w:val="none"/>
        </w:rPr>
        <w:t>（1）本协议书及各种合同附件（含评标期间和合同谈判过程中的澄清文件和补充资料）；</w:t>
      </w:r>
    </w:p>
    <w:p>
      <w:pPr>
        <w:spacing w:line="360" w:lineRule="auto"/>
        <w:ind w:firstLine="439"/>
        <w:rPr>
          <w:rFonts w:ascii="宋体" w:hAnsi="宋体"/>
          <w:szCs w:val="21"/>
          <w:highlight w:val="none"/>
        </w:rPr>
      </w:pPr>
      <w:r>
        <w:rPr>
          <w:rFonts w:hint="eastAsia" w:ascii="宋体" w:hAnsi="宋体"/>
          <w:szCs w:val="21"/>
          <w:highlight w:val="none"/>
        </w:rPr>
        <w:t>（2）中标通知书；</w:t>
      </w:r>
    </w:p>
    <w:p>
      <w:pPr>
        <w:spacing w:line="360" w:lineRule="auto"/>
        <w:ind w:firstLine="439"/>
        <w:rPr>
          <w:rFonts w:ascii="宋体" w:hAnsi="宋体"/>
          <w:szCs w:val="21"/>
          <w:highlight w:val="none"/>
        </w:rPr>
      </w:pPr>
      <w:r>
        <w:rPr>
          <w:rFonts w:hint="eastAsia" w:ascii="宋体" w:hAnsi="宋体"/>
          <w:szCs w:val="21"/>
          <w:highlight w:val="none"/>
        </w:rPr>
        <w:t>（3）投标函；</w:t>
      </w:r>
    </w:p>
    <w:p>
      <w:pPr>
        <w:spacing w:line="360" w:lineRule="auto"/>
        <w:ind w:firstLine="439"/>
        <w:rPr>
          <w:rFonts w:ascii="宋体" w:hAnsi="宋体"/>
          <w:szCs w:val="21"/>
          <w:highlight w:val="none"/>
        </w:rPr>
      </w:pPr>
      <w:r>
        <w:rPr>
          <w:rFonts w:hint="eastAsia" w:ascii="宋体" w:hAnsi="宋体"/>
          <w:szCs w:val="21"/>
          <w:highlight w:val="none"/>
        </w:rPr>
        <w:t>（4）合同条款；</w:t>
      </w:r>
    </w:p>
    <w:p>
      <w:pPr>
        <w:spacing w:line="360" w:lineRule="auto"/>
        <w:ind w:firstLine="439"/>
        <w:rPr>
          <w:rFonts w:ascii="宋体" w:hAnsi="宋体"/>
          <w:szCs w:val="21"/>
          <w:highlight w:val="none"/>
        </w:rPr>
      </w:pPr>
      <w:r>
        <w:rPr>
          <w:rFonts w:hint="eastAsia" w:ascii="宋体" w:hAnsi="宋体"/>
          <w:szCs w:val="21"/>
          <w:highlight w:val="none"/>
        </w:rPr>
        <w:t>（5）技术需求；</w:t>
      </w:r>
    </w:p>
    <w:p>
      <w:pPr>
        <w:spacing w:line="360" w:lineRule="auto"/>
        <w:ind w:firstLine="439"/>
        <w:rPr>
          <w:rFonts w:ascii="宋体" w:hAnsi="宋体"/>
          <w:szCs w:val="21"/>
          <w:highlight w:val="none"/>
        </w:rPr>
      </w:pPr>
      <w:r>
        <w:rPr>
          <w:rFonts w:hint="eastAsia" w:ascii="宋体" w:hAnsi="宋体"/>
          <w:szCs w:val="21"/>
          <w:highlight w:val="none"/>
        </w:rPr>
        <w:t>（6）工程量清单；</w:t>
      </w:r>
    </w:p>
    <w:p>
      <w:pPr>
        <w:spacing w:line="360" w:lineRule="auto"/>
        <w:ind w:firstLine="439"/>
        <w:rPr>
          <w:rFonts w:ascii="宋体" w:hAnsi="宋体"/>
          <w:szCs w:val="21"/>
          <w:highlight w:val="none"/>
        </w:rPr>
      </w:pPr>
      <w:r>
        <w:rPr>
          <w:rFonts w:hint="eastAsia" w:ascii="宋体" w:hAnsi="宋体"/>
          <w:szCs w:val="21"/>
          <w:highlight w:val="none"/>
        </w:rPr>
        <w:t>（7）投标文件其他部分；</w:t>
      </w:r>
    </w:p>
    <w:p>
      <w:pPr>
        <w:spacing w:line="360" w:lineRule="auto"/>
        <w:ind w:firstLine="439"/>
        <w:rPr>
          <w:rFonts w:ascii="宋体" w:hAnsi="宋体"/>
          <w:szCs w:val="21"/>
          <w:highlight w:val="none"/>
        </w:rPr>
      </w:pPr>
      <w:r>
        <w:rPr>
          <w:rFonts w:hint="eastAsia" w:ascii="宋体" w:hAnsi="宋体"/>
          <w:szCs w:val="21"/>
          <w:highlight w:val="none"/>
        </w:rPr>
        <w:t>（8）其他构成合同的相关文件。</w:t>
      </w:r>
    </w:p>
    <w:p>
      <w:pPr>
        <w:spacing w:line="360" w:lineRule="auto"/>
        <w:ind w:firstLine="439"/>
        <w:rPr>
          <w:rFonts w:ascii="宋体" w:hAnsi="宋体"/>
          <w:szCs w:val="21"/>
          <w:highlight w:val="none"/>
        </w:rPr>
      </w:pPr>
      <w:r>
        <w:rPr>
          <w:rFonts w:hint="eastAsia" w:hAnsi="宋体"/>
          <w:highlight w:val="none"/>
        </w:rPr>
        <w:t>3.2  组成合同的各个文件应被认为是一个整体，彼此互相解释，互相补充，如果出现相互矛盾的情况，组成合同的各个文件的优先支配地位的次序按上款所列顺序为准。</w:t>
      </w:r>
    </w:p>
    <w:p>
      <w:pPr>
        <w:pStyle w:val="8"/>
        <w:keepLines/>
        <w:tabs>
          <w:tab w:val="left" w:pos="1391"/>
        </w:tabs>
        <w:spacing w:before="160" w:after="120" w:line="360" w:lineRule="auto"/>
        <w:jc w:val="both"/>
        <w:rPr>
          <w:rFonts w:ascii="宋体" w:hAnsi="宋体" w:eastAsia="宋体"/>
          <w:b/>
          <w:bCs/>
          <w:sz w:val="21"/>
          <w:highlight w:val="none"/>
        </w:rPr>
      </w:pPr>
      <w:bookmarkStart w:id="124" w:name="_Toc6311279"/>
      <w:bookmarkStart w:id="125" w:name="_Toc7867453"/>
      <w:bookmarkStart w:id="126" w:name="_Toc7599786"/>
      <w:bookmarkStart w:id="127" w:name="_Toc7600017"/>
      <w:r>
        <w:rPr>
          <w:rFonts w:hint="eastAsia" w:ascii="宋体" w:hAnsi="宋体" w:eastAsia="宋体"/>
          <w:b/>
          <w:bCs/>
          <w:sz w:val="21"/>
          <w:highlight w:val="none"/>
        </w:rPr>
        <w:t>4、 书面通知</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19"/>
        <w:ind w:firstLine="420" w:firstLineChars="200"/>
        <w:rPr>
          <w:rFonts w:hAnsi="宋体"/>
          <w:highlight w:val="none"/>
        </w:rPr>
      </w:pPr>
      <w:r>
        <w:rPr>
          <w:rFonts w:hint="eastAsia" w:hAnsi="宋体"/>
          <w:highlight w:val="none"/>
        </w:rPr>
        <w:t>4.1  合同文件是一个整体，其内容互为补充。图纸和文字发生矛盾时以文字说明为准。如有意义不明确，则由业主指定的技术人员或总监理工程师负责解释。在合同实施过程中，合同双方的一切联系、通知，均应以书面为准。</w:t>
      </w:r>
    </w:p>
    <w:p>
      <w:pPr>
        <w:pStyle w:val="19"/>
        <w:ind w:firstLine="420" w:firstLineChars="200"/>
        <w:rPr>
          <w:rFonts w:hAnsi="宋体"/>
          <w:highlight w:val="none"/>
        </w:rPr>
      </w:pPr>
      <w:r>
        <w:rPr>
          <w:rFonts w:hint="eastAsia" w:hAnsi="宋体"/>
          <w:highlight w:val="none"/>
        </w:rPr>
        <w:t>4.2  业主签署的方案修改通知、验收证书以及业主和承包人共同签署的其他文件，都属于合同的补充文件。</w:t>
      </w:r>
    </w:p>
    <w:p>
      <w:pPr>
        <w:pStyle w:val="8"/>
        <w:keepLines/>
        <w:tabs>
          <w:tab w:val="left" w:pos="1391"/>
        </w:tabs>
        <w:spacing w:before="160" w:after="120" w:line="360" w:lineRule="auto"/>
        <w:jc w:val="both"/>
        <w:rPr>
          <w:rFonts w:ascii="宋体" w:hAnsi="宋体" w:eastAsia="宋体"/>
          <w:b/>
          <w:bCs/>
          <w:sz w:val="21"/>
          <w:highlight w:val="none"/>
        </w:rPr>
      </w:pPr>
      <w:r>
        <w:rPr>
          <w:rFonts w:hint="eastAsia" w:ascii="宋体" w:hAnsi="宋体" w:eastAsia="宋体"/>
          <w:b/>
          <w:bCs/>
          <w:sz w:val="21"/>
          <w:highlight w:val="none"/>
        </w:rPr>
        <w:t>5、 转让和分包</w:t>
      </w:r>
    </w:p>
    <w:p>
      <w:pPr>
        <w:pStyle w:val="19"/>
        <w:ind w:left="210" w:leftChars="100" w:firstLine="210" w:firstLineChars="100"/>
        <w:rPr>
          <w:rFonts w:hAnsi="宋体"/>
          <w:highlight w:val="none"/>
        </w:rPr>
      </w:pPr>
      <w:r>
        <w:rPr>
          <w:rFonts w:hint="eastAsia" w:hAnsi="宋体"/>
          <w:highlight w:val="none"/>
        </w:rPr>
        <w:t>5.1 非经业主批准，承包人不得将本合同擅自转让或分包。</w:t>
      </w:r>
    </w:p>
    <w:p>
      <w:pPr>
        <w:pStyle w:val="8"/>
        <w:tabs>
          <w:tab w:val="left" w:pos="1391"/>
        </w:tabs>
        <w:spacing w:line="360" w:lineRule="auto"/>
        <w:jc w:val="left"/>
        <w:rPr>
          <w:rFonts w:ascii="宋体" w:hAnsi="宋体"/>
          <w:sz w:val="21"/>
          <w:highlight w:val="none"/>
        </w:rPr>
      </w:pPr>
      <w:r>
        <w:rPr>
          <w:rFonts w:hint="eastAsia" w:ascii="宋体" w:hAnsi="宋体" w:eastAsia="宋体"/>
          <w:b/>
          <w:bCs/>
          <w:sz w:val="21"/>
          <w:highlight w:val="none"/>
        </w:rPr>
        <w:t>6、业主的责任与义务</w:t>
      </w:r>
    </w:p>
    <w:p>
      <w:pPr>
        <w:spacing w:line="360" w:lineRule="auto"/>
        <w:ind w:firstLine="420" w:firstLineChars="200"/>
        <w:textAlignment w:val="bottom"/>
        <w:rPr>
          <w:szCs w:val="21"/>
          <w:highlight w:val="none"/>
        </w:rPr>
      </w:pPr>
      <w:r>
        <w:rPr>
          <w:rFonts w:hint="eastAsia" w:ascii="宋体" w:hAnsi="宋体"/>
          <w:szCs w:val="21"/>
          <w:highlight w:val="none"/>
        </w:rPr>
        <w:t xml:space="preserve">6.1 </w:t>
      </w:r>
      <w:r>
        <w:rPr>
          <w:rFonts w:hint="eastAsia"/>
          <w:szCs w:val="21"/>
          <w:highlight w:val="none"/>
        </w:rPr>
        <w:t>业主应严格履行合同有关规定，及时支付项目经费</w:t>
      </w:r>
      <w:r>
        <w:rPr>
          <w:szCs w:val="21"/>
          <w:highlight w:val="none"/>
        </w:rPr>
        <w:t>。</w:t>
      </w:r>
    </w:p>
    <w:p>
      <w:pPr>
        <w:spacing w:line="360" w:lineRule="auto"/>
        <w:ind w:firstLine="420" w:firstLineChars="200"/>
        <w:textAlignment w:val="bottom"/>
        <w:rPr>
          <w:szCs w:val="21"/>
          <w:highlight w:val="none"/>
        </w:rPr>
      </w:pPr>
      <w:r>
        <w:rPr>
          <w:rFonts w:hint="eastAsia" w:ascii="宋体" w:hAnsi="宋体"/>
          <w:szCs w:val="21"/>
          <w:highlight w:val="none"/>
        </w:rPr>
        <w:t xml:space="preserve">6.2 </w:t>
      </w:r>
      <w:r>
        <w:rPr>
          <w:rFonts w:hint="eastAsia"/>
          <w:szCs w:val="21"/>
          <w:highlight w:val="none"/>
        </w:rPr>
        <w:t>业主应向承包人提供开展项目工作所需要的资料、文件及原始数据等，并对提供的原始资料的可靠性负责</w:t>
      </w:r>
      <w:r>
        <w:rPr>
          <w:szCs w:val="21"/>
          <w:highlight w:val="none"/>
        </w:rPr>
        <w:t>。</w:t>
      </w:r>
    </w:p>
    <w:p>
      <w:pPr>
        <w:spacing w:line="360" w:lineRule="auto"/>
        <w:ind w:firstLine="420" w:firstLineChars="200"/>
        <w:textAlignment w:val="bottom"/>
        <w:rPr>
          <w:szCs w:val="21"/>
          <w:highlight w:val="none"/>
        </w:rPr>
      </w:pPr>
      <w:r>
        <w:rPr>
          <w:rFonts w:hint="eastAsia" w:ascii="宋体" w:hAnsi="宋体"/>
          <w:szCs w:val="21"/>
          <w:highlight w:val="none"/>
        </w:rPr>
        <w:t xml:space="preserve">6.3 </w:t>
      </w:r>
      <w:r>
        <w:rPr>
          <w:rFonts w:hint="eastAsia"/>
          <w:szCs w:val="21"/>
          <w:highlight w:val="none"/>
        </w:rPr>
        <w:t>在承包人员进入现场进行调试作业时，业主应予以配合，并提供必要的协助</w:t>
      </w:r>
      <w:r>
        <w:rPr>
          <w:szCs w:val="21"/>
          <w:highlight w:val="none"/>
        </w:rPr>
        <w:t>，</w:t>
      </w:r>
      <w:r>
        <w:rPr>
          <w:rFonts w:hint="eastAsia"/>
          <w:szCs w:val="21"/>
          <w:highlight w:val="none"/>
        </w:rPr>
        <w:t>但并不免除承包人根据本合同规定应负的责任。</w:t>
      </w:r>
    </w:p>
    <w:p>
      <w:pPr>
        <w:pStyle w:val="19"/>
        <w:ind w:firstLine="420" w:firstLineChars="200"/>
        <w:rPr>
          <w:rFonts w:hAnsi="宋体"/>
          <w:highlight w:val="none"/>
        </w:rPr>
      </w:pPr>
      <w:r>
        <w:rPr>
          <w:rFonts w:hint="eastAsia" w:hAnsi="宋体"/>
          <w:highlight w:val="none"/>
        </w:rPr>
        <w:t>6.4 在履行本合同过程中，业主有权在技术问题上作出履行本合同规定的决定，有权为此签署证书和发布通知，对此，承包人不得拒绝。</w:t>
      </w:r>
    </w:p>
    <w:p>
      <w:pPr>
        <w:pStyle w:val="19"/>
        <w:ind w:firstLine="420" w:firstLineChars="200"/>
        <w:rPr>
          <w:rFonts w:hAnsi="宋体"/>
          <w:highlight w:val="none"/>
        </w:rPr>
      </w:pPr>
      <w:r>
        <w:rPr>
          <w:rFonts w:hint="eastAsia" w:hAnsi="宋体"/>
          <w:highlight w:val="none"/>
        </w:rPr>
        <w:t xml:space="preserve">6.5  </w:t>
      </w:r>
      <w:r>
        <w:rPr>
          <w:rFonts w:hint="eastAsia"/>
          <w:highlight w:val="none"/>
        </w:rPr>
        <w:t>总监理工程师受</w:t>
      </w:r>
      <w:r>
        <w:rPr>
          <w:rFonts w:hint="eastAsia" w:hAnsi="宋体"/>
          <w:highlight w:val="none"/>
        </w:rPr>
        <w:t>业主指派负责监督项目的实施、检查所有用于项目的设备及采用技术是否符合技术规范或设计要求。</w:t>
      </w:r>
    </w:p>
    <w:p>
      <w:pPr>
        <w:pStyle w:val="19"/>
        <w:ind w:firstLine="420" w:firstLineChars="200"/>
        <w:rPr>
          <w:rFonts w:hAnsi="宋体"/>
          <w:highlight w:val="none"/>
        </w:rPr>
      </w:pPr>
      <w:r>
        <w:rPr>
          <w:rFonts w:hint="eastAsia" w:hAnsi="宋体"/>
          <w:highlight w:val="none"/>
        </w:rPr>
        <w:t>6.6  业主或监理人有权要求承包人撤换不胜任的或干扰本项目顺利进行的任何人员、直至项目负责人，承包人不得拒绝。</w:t>
      </w:r>
    </w:p>
    <w:p>
      <w:pPr>
        <w:spacing w:line="360" w:lineRule="auto"/>
        <w:ind w:firstLine="420" w:firstLineChars="200"/>
        <w:textAlignment w:val="bottom"/>
        <w:rPr>
          <w:szCs w:val="21"/>
          <w:highlight w:val="none"/>
        </w:rPr>
      </w:pPr>
      <w:r>
        <w:rPr>
          <w:rFonts w:hint="eastAsia" w:ascii="宋体" w:hAnsi="宋体"/>
          <w:szCs w:val="21"/>
          <w:highlight w:val="none"/>
        </w:rPr>
        <w:t xml:space="preserve">6.7 </w:t>
      </w:r>
      <w:r>
        <w:rPr>
          <w:rFonts w:hint="eastAsia"/>
          <w:szCs w:val="21"/>
          <w:highlight w:val="none"/>
        </w:rPr>
        <w:t>业主应认真组织专家或委托咨询审查单位分阶段对需求分析文件、设计文件、开发成果进行审查，并负责向承包人提供审查意见</w:t>
      </w:r>
      <w:r>
        <w:rPr>
          <w:szCs w:val="21"/>
          <w:highlight w:val="none"/>
        </w:rPr>
        <w:t>，</w:t>
      </w:r>
      <w:r>
        <w:rPr>
          <w:rFonts w:hint="eastAsia"/>
          <w:szCs w:val="21"/>
          <w:highlight w:val="none"/>
        </w:rPr>
        <w:t>对在贯彻落实审查意见时提出的有关问题应及时认真予以解答</w:t>
      </w:r>
      <w:r>
        <w:rPr>
          <w:szCs w:val="21"/>
          <w:highlight w:val="none"/>
        </w:rPr>
        <w:t>。</w:t>
      </w:r>
    </w:p>
    <w:p>
      <w:pPr>
        <w:spacing w:line="360" w:lineRule="auto"/>
        <w:ind w:firstLine="420" w:firstLineChars="200"/>
        <w:textAlignment w:val="bottom"/>
        <w:rPr>
          <w:szCs w:val="21"/>
          <w:highlight w:val="none"/>
        </w:rPr>
      </w:pPr>
      <w:r>
        <w:rPr>
          <w:rFonts w:hint="eastAsia" w:ascii="宋体" w:hAnsi="宋体"/>
          <w:szCs w:val="21"/>
          <w:highlight w:val="none"/>
        </w:rPr>
        <w:t xml:space="preserve">6.8 </w:t>
      </w:r>
      <w:r>
        <w:rPr>
          <w:rFonts w:hint="eastAsia"/>
          <w:szCs w:val="21"/>
          <w:highlight w:val="none"/>
        </w:rPr>
        <w:t>由于执行业主的书面指令而造成质量事故应由业主承担责任，但不免除承包人的责任。</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7、承包人的责任与义务</w:t>
      </w:r>
    </w:p>
    <w:p>
      <w:pPr>
        <w:spacing w:line="360" w:lineRule="auto"/>
        <w:ind w:firstLine="420" w:firstLineChars="200"/>
        <w:textAlignment w:val="bottom"/>
        <w:rPr>
          <w:szCs w:val="21"/>
          <w:highlight w:val="none"/>
        </w:rPr>
      </w:pPr>
      <w:r>
        <w:rPr>
          <w:rFonts w:hint="eastAsia" w:ascii="宋体" w:hAnsi="宋体"/>
          <w:szCs w:val="21"/>
          <w:highlight w:val="none"/>
        </w:rPr>
        <w:t xml:space="preserve">7.1 </w:t>
      </w:r>
      <w:r>
        <w:rPr>
          <w:rFonts w:hint="eastAsia"/>
          <w:szCs w:val="21"/>
          <w:highlight w:val="none"/>
        </w:rPr>
        <w:t>承包人应按文件的要求，提供技术支持服务。并按招标文件要求，提供相应成果文件。</w:t>
      </w:r>
    </w:p>
    <w:p>
      <w:pPr>
        <w:spacing w:line="360" w:lineRule="auto"/>
        <w:ind w:firstLine="420" w:firstLineChars="200"/>
        <w:textAlignment w:val="bottom"/>
        <w:rPr>
          <w:szCs w:val="21"/>
          <w:highlight w:val="none"/>
        </w:rPr>
      </w:pPr>
      <w:r>
        <w:rPr>
          <w:rFonts w:hint="eastAsia"/>
          <w:szCs w:val="21"/>
          <w:highlight w:val="none"/>
        </w:rPr>
        <w:t>对项目具体的技术要求详见“第3章 项目需求”。</w:t>
      </w:r>
    </w:p>
    <w:p>
      <w:pPr>
        <w:spacing w:line="360" w:lineRule="auto"/>
        <w:ind w:firstLine="420" w:firstLineChars="200"/>
        <w:textAlignment w:val="bottom"/>
        <w:rPr>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2</w:t>
      </w:r>
      <w:r>
        <w:rPr>
          <w:rFonts w:hint="eastAsia"/>
          <w:szCs w:val="21"/>
          <w:highlight w:val="none"/>
        </w:rPr>
        <w:t>承包人应按业主要求的数量提供所有必需阶段性或成果性报告，接受业主组织的审查，并对相关问题作出澄清和解答，并根据审查结果进行相应的修改。</w:t>
      </w:r>
    </w:p>
    <w:p>
      <w:pPr>
        <w:spacing w:line="360" w:lineRule="auto"/>
        <w:ind w:firstLine="420" w:firstLineChars="200"/>
        <w:textAlignment w:val="bottom"/>
        <w:rPr>
          <w:rFonts w:ascii="宋体" w:hAnsi="宋体"/>
          <w:szCs w:val="21"/>
          <w:highlight w:val="none"/>
        </w:rPr>
      </w:pPr>
      <w:r>
        <w:rPr>
          <w:rFonts w:hint="eastAsia" w:ascii="宋体" w:hAnsi="宋体"/>
          <w:szCs w:val="21"/>
          <w:highlight w:val="none"/>
        </w:rPr>
        <w:t>7.3 人员保证与变更</w:t>
      </w:r>
    </w:p>
    <w:p>
      <w:pPr>
        <w:spacing w:line="360" w:lineRule="auto"/>
        <w:ind w:firstLine="420" w:firstLineChars="200"/>
        <w:textAlignment w:val="bottom"/>
        <w:rPr>
          <w:szCs w:val="21"/>
          <w:highlight w:val="none"/>
        </w:rPr>
      </w:pPr>
      <w:r>
        <w:rPr>
          <w:rFonts w:hint="eastAsia"/>
          <w:szCs w:val="21"/>
          <w:highlight w:val="none"/>
        </w:rPr>
        <w:t>（1）承包人应安排投标书中承诺的人员投入工作，并在过程中和服务期内保持人员的相对稳定</w:t>
      </w:r>
      <w:r>
        <w:rPr>
          <w:szCs w:val="21"/>
          <w:highlight w:val="none"/>
        </w:rPr>
        <w:t>。</w:t>
      </w:r>
    </w:p>
    <w:p>
      <w:pPr>
        <w:spacing w:line="360" w:lineRule="auto"/>
        <w:ind w:firstLine="420" w:firstLineChars="200"/>
        <w:textAlignment w:val="bottom"/>
        <w:rPr>
          <w:szCs w:val="21"/>
          <w:highlight w:val="none"/>
        </w:rPr>
      </w:pPr>
      <w:r>
        <w:rPr>
          <w:szCs w:val="21"/>
          <w:highlight w:val="none"/>
        </w:rPr>
        <w:t xml:space="preserve">（2） </w:t>
      </w:r>
      <w:r>
        <w:rPr>
          <w:rFonts w:hint="eastAsia"/>
          <w:szCs w:val="21"/>
          <w:highlight w:val="none"/>
        </w:rPr>
        <w:t>如果承包人的人员不能胜任工作、渎职或从事其他违法活动，业主有权以书面形式提出更换要求，承包人应立即派出具有同等资历的人员替换；若非因上述原因，承包人有权拒绝</w:t>
      </w:r>
      <w:r>
        <w:rPr>
          <w:szCs w:val="21"/>
          <w:highlight w:val="none"/>
        </w:rPr>
        <w:t>。</w:t>
      </w:r>
      <w:r>
        <w:rPr>
          <w:rFonts w:hint="eastAsia"/>
          <w:szCs w:val="21"/>
          <w:highlight w:val="none"/>
        </w:rPr>
        <w:t>承包人在事先取得业主的同意后可以更换他所派人员，但应符合合同规定的资历要求，否则，业主有权拒绝</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（3）承包人的工作进度没有达到投标书中承诺的进度计划时，业主有权提出要求增加研究人员，承包人应立即安排，其费用被认为已包含在合同价格之中</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（4） 由于业主提出加快工作进度，提前完成本项工作而增加人员时，其费用应另外计列</w:t>
      </w:r>
      <w:r>
        <w:rPr>
          <w:szCs w:val="21"/>
          <w:highlight w:val="none"/>
        </w:rPr>
        <w:t>。</w:t>
      </w:r>
    </w:p>
    <w:p>
      <w:pPr>
        <w:spacing w:line="360" w:lineRule="auto"/>
        <w:ind w:firstLine="420" w:firstLineChars="200"/>
        <w:textAlignment w:val="bottom"/>
        <w:rPr>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 xml:space="preserve">4 </w:t>
      </w:r>
      <w:r>
        <w:rPr>
          <w:rFonts w:hint="eastAsia"/>
          <w:szCs w:val="21"/>
          <w:highlight w:val="none"/>
        </w:rPr>
        <w:t>承包人在项目建设过程中，如果因其采用的技术方案等方面发生侵犯专利权的行为而引起索赔或诉讼，则承包人应承担全部责任，并保障业主免于承担由此造成的一切损害和损失。承包人采用其它未中标人投标文件中技术方案的应当征得未中标人的书面同意，并支付合理的使用费。</w:t>
      </w:r>
    </w:p>
    <w:p>
      <w:pPr>
        <w:spacing w:line="360" w:lineRule="auto"/>
        <w:ind w:firstLine="420" w:firstLineChars="200"/>
        <w:textAlignment w:val="bottom"/>
        <w:rPr>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5</w:t>
      </w:r>
      <w:r>
        <w:rPr>
          <w:rFonts w:hint="eastAsia"/>
          <w:szCs w:val="21"/>
          <w:highlight w:val="none"/>
        </w:rPr>
        <w:t xml:space="preserve"> 除在工作过程中做出决策和指导需承担责任外，承包人对其工作范围外的工作或工程不承担任何责任。</w:t>
      </w:r>
    </w:p>
    <w:p>
      <w:pPr>
        <w:spacing w:line="360" w:lineRule="auto"/>
        <w:ind w:firstLine="420" w:firstLineChars="200"/>
        <w:textAlignment w:val="bottom"/>
        <w:rPr>
          <w:szCs w:val="21"/>
          <w:highlight w:val="none"/>
        </w:rPr>
      </w:pPr>
      <w:r>
        <w:rPr>
          <w:rFonts w:hint="eastAsia" w:ascii="宋体" w:hAnsi="宋体"/>
          <w:szCs w:val="21"/>
          <w:highlight w:val="none"/>
        </w:rPr>
        <w:t>7</w:t>
      </w:r>
      <w:r>
        <w:rPr>
          <w:rFonts w:ascii="宋体" w:hAnsi="宋体"/>
          <w:szCs w:val="21"/>
          <w:highlight w:val="none"/>
        </w:rPr>
        <w:t>.</w:t>
      </w:r>
      <w:r>
        <w:rPr>
          <w:rFonts w:hint="eastAsia" w:ascii="宋体" w:hAnsi="宋体"/>
          <w:szCs w:val="21"/>
          <w:highlight w:val="none"/>
        </w:rPr>
        <w:t xml:space="preserve">6 </w:t>
      </w:r>
      <w:r>
        <w:rPr>
          <w:rFonts w:hint="eastAsia"/>
          <w:szCs w:val="21"/>
          <w:highlight w:val="none"/>
        </w:rPr>
        <w:t>对于承包人在工作过程中发生的人员伤亡或财产损失，或者造成第三方的人员伤亡或财产损失或由此而引起的其他一切损害和损失，业主均不承担责任。</w:t>
      </w:r>
    </w:p>
    <w:p>
      <w:pPr>
        <w:pStyle w:val="7"/>
        <w:rPr>
          <w:rFonts w:ascii="宋体" w:hAnsi="宋体"/>
          <w:sz w:val="21"/>
          <w:szCs w:val="21"/>
          <w:highlight w:val="none"/>
        </w:rPr>
      </w:pPr>
      <w:bookmarkStart w:id="128" w:name="_Toc7600018"/>
      <w:bookmarkStart w:id="129" w:name="_Toc6311280"/>
      <w:bookmarkStart w:id="130" w:name="_Toc37246799"/>
      <w:bookmarkStart w:id="131" w:name="_Toc7599787"/>
      <w:bookmarkStart w:id="132" w:name="_Toc7867454"/>
      <w:r>
        <w:rPr>
          <w:rFonts w:hint="eastAsia" w:ascii="宋体" w:hAnsi="宋体"/>
          <w:sz w:val="21"/>
          <w:szCs w:val="21"/>
          <w:highlight w:val="none"/>
        </w:rPr>
        <w:t>三、合同的实施</w:t>
      </w:r>
      <w:bookmarkEnd w:id="128"/>
      <w:bookmarkEnd w:id="129"/>
      <w:bookmarkEnd w:id="130"/>
      <w:bookmarkEnd w:id="131"/>
      <w:bookmarkEnd w:id="132"/>
    </w:p>
    <w:p>
      <w:pPr>
        <w:pStyle w:val="8"/>
        <w:tabs>
          <w:tab w:val="left" w:pos="1391"/>
        </w:tabs>
        <w:spacing w:line="360" w:lineRule="auto"/>
        <w:jc w:val="left"/>
        <w:rPr>
          <w:rFonts w:ascii="宋体" w:hAnsi="宋体" w:eastAsia="宋体"/>
          <w:b/>
          <w:bCs/>
          <w:sz w:val="21"/>
          <w:highlight w:val="none"/>
        </w:rPr>
      </w:pPr>
      <w:bookmarkStart w:id="133" w:name="_Toc7600019"/>
      <w:bookmarkStart w:id="134" w:name="_Toc524439529"/>
      <w:bookmarkStart w:id="135" w:name="_Toc524847421"/>
      <w:bookmarkStart w:id="136" w:name="_Toc6311281"/>
      <w:bookmarkStart w:id="137" w:name="_Toc525200404"/>
      <w:bookmarkStart w:id="138" w:name="_Toc524689541"/>
      <w:bookmarkStart w:id="139" w:name="_Toc524847235"/>
      <w:bookmarkStart w:id="140" w:name="_Toc524342623"/>
      <w:bookmarkStart w:id="141" w:name="_Toc524495988"/>
      <w:bookmarkStart w:id="142" w:name="_Toc524747395"/>
      <w:bookmarkStart w:id="143" w:name="_Toc524439691"/>
      <w:bookmarkStart w:id="144" w:name="_Toc525376786"/>
      <w:bookmarkStart w:id="145" w:name="_Toc525011370"/>
      <w:bookmarkStart w:id="146" w:name="_Toc524404073"/>
      <w:bookmarkStart w:id="147" w:name="_Toc524452524"/>
      <w:bookmarkStart w:id="148" w:name="_Toc524404332"/>
      <w:bookmarkStart w:id="149" w:name="_Toc524516418"/>
      <w:bookmarkStart w:id="150" w:name="_Toc524486448"/>
      <w:bookmarkStart w:id="151" w:name="_Toc524746511"/>
      <w:bookmarkStart w:id="152" w:name="_Toc524458589"/>
      <w:bookmarkStart w:id="153" w:name="_Toc524494383"/>
      <w:bookmarkStart w:id="154" w:name="_Toc524332393"/>
      <w:bookmarkStart w:id="155" w:name="_Toc3795962"/>
      <w:bookmarkStart w:id="156" w:name="_Toc7599788"/>
      <w:bookmarkStart w:id="157" w:name="_Toc524342518"/>
      <w:bookmarkStart w:id="158" w:name="_Toc524493386"/>
      <w:bookmarkStart w:id="159" w:name="_Toc524491071"/>
      <w:bookmarkStart w:id="160" w:name="_Toc524494161"/>
      <w:bookmarkStart w:id="161" w:name="_Toc524495511"/>
      <w:bookmarkStart w:id="162" w:name="_Toc524494777"/>
      <w:bookmarkStart w:id="163" w:name="_Toc524457339"/>
      <w:bookmarkStart w:id="164" w:name="_Toc524333037"/>
      <w:bookmarkStart w:id="165" w:name="_Toc3795447"/>
      <w:bookmarkStart w:id="166" w:name="_Toc524516266"/>
      <w:bookmarkStart w:id="167" w:name="_Toc7867455"/>
      <w:bookmarkStart w:id="168" w:name="_Toc524341751"/>
      <w:bookmarkStart w:id="169" w:name="_Toc524342314"/>
      <w:bookmarkStart w:id="170" w:name="_Toc3796820"/>
      <w:bookmarkStart w:id="171" w:name="_Toc525397568"/>
      <w:r>
        <w:rPr>
          <w:rFonts w:hint="eastAsia" w:ascii="宋体" w:hAnsi="宋体" w:eastAsia="宋体"/>
          <w:b/>
          <w:bCs/>
          <w:sz w:val="21"/>
          <w:highlight w:val="none"/>
        </w:rPr>
        <w:t>8、 踏勘现场</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9"/>
        <w:ind w:firstLine="420" w:firstLineChars="200"/>
        <w:rPr>
          <w:rFonts w:hAnsi="宋体"/>
          <w:highlight w:val="none"/>
        </w:rPr>
      </w:pPr>
      <w:r>
        <w:rPr>
          <w:rFonts w:hint="eastAsia" w:hAnsi="宋体"/>
          <w:highlight w:val="none"/>
        </w:rPr>
        <w:t>8.1  承包人对了解到的各种情况和业主在参观现场中提供的资料，可以做出自己的判断。但是，业主对承包人由此做出的推论、解释和结论概不承担任何责任，也不接受任何附加条件。</w:t>
      </w:r>
      <w:bookmarkStart w:id="172" w:name="_Toc3795963"/>
      <w:bookmarkStart w:id="173" w:name="_Toc3796821"/>
      <w:bookmarkStart w:id="174" w:name="_Toc525397569"/>
      <w:bookmarkStart w:id="175" w:name="_Toc525376787"/>
      <w:bookmarkStart w:id="176" w:name="_Toc3795448"/>
    </w:p>
    <w:p>
      <w:pPr>
        <w:pStyle w:val="19"/>
        <w:ind w:left="210" w:leftChars="100" w:firstLine="210" w:firstLineChars="100"/>
        <w:rPr>
          <w:rFonts w:hAnsi="宋体"/>
          <w:highlight w:val="none"/>
        </w:rPr>
      </w:pPr>
      <w:r>
        <w:rPr>
          <w:rFonts w:hint="eastAsia" w:hAnsi="宋体"/>
          <w:highlight w:val="none"/>
        </w:rPr>
        <w:t>8.2  承包人踏勘现场所发生的一切费用由承包人自行负责。</w:t>
      </w:r>
    </w:p>
    <w:p>
      <w:pPr>
        <w:pStyle w:val="8"/>
        <w:tabs>
          <w:tab w:val="left" w:pos="1391"/>
        </w:tabs>
        <w:spacing w:line="360" w:lineRule="auto"/>
        <w:jc w:val="left"/>
        <w:rPr>
          <w:rFonts w:ascii="宋体" w:hAnsi="宋体" w:eastAsia="宋体"/>
          <w:b/>
          <w:bCs/>
          <w:sz w:val="21"/>
          <w:highlight w:val="none"/>
        </w:rPr>
      </w:pPr>
      <w:bookmarkStart w:id="177" w:name="_Toc7600020"/>
      <w:bookmarkStart w:id="178" w:name="_Toc7867456"/>
      <w:bookmarkStart w:id="179" w:name="_Toc6311282"/>
      <w:bookmarkStart w:id="180" w:name="_Toc7599789"/>
      <w:r>
        <w:rPr>
          <w:rFonts w:hint="eastAsia" w:ascii="宋体" w:hAnsi="宋体" w:eastAsia="宋体"/>
          <w:b/>
          <w:bCs/>
          <w:sz w:val="21"/>
          <w:highlight w:val="none"/>
        </w:rPr>
        <w:t>9、 联合设计</w:t>
      </w:r>
      <w:bookmarkEnd w:id="172"/>
      <w:bookmarkEnd w:id="173"/>
      <w:bookmarkEnd w:id="174"/>
      <w:bookmarkEnd w:id="175"/>
      <w:bookmarkEnd w:id="176"/>
      <w:bookmarkEnd w:id="177"/>
      <w:bookmarkEnd w:id="178"/>
      <w:bookmarkEnd w:id="179"/>
      <w:bookmarkEnd w:id="180"/>
    </w:p>
    <w:p>
      <w:pPr>
        <w:pStyle w:val="19"/>
        <w:ind w:firstLine="420" w:firstLineChars="200"/>
        <w:rPr>
          <w:rFonts w:hAnsi="宋体"/>
          <w:highlight w:val="none"/>
        </w:rPr>
      </w:pPr>
      <w:r>
        <w:rPr>
          <w:rFonts w:hint="eastAsia" w:hAnsi="宋体"/>
          <w:highlight w:val="none"/>
        </w:rPr>
        <w:t>9.1  接到最终中标通知书的投标人，应在3天内派出项目负责人及技术负责人会同业主、总监理工程师进行一次联合设计，时间为不少于7天。</w:t>
      </w:r>
    </w:p>
    <w:p>
      <w:pPr>
        <w:pStyle w:val="19"/>
        <w:ind w:firstLine="420" w:firstLineChars="200"/>
        <w:rPr>
          <w:rFonts w:hAnsi="宋体"/>
          <w:highlight w:val="none"/>
        </w:rPr>
      </w:pPr>
      <w:r>
        <w:rPr>
          <w:rFonts w:hint="eastAsia" w:hAnsi="宋体"/>
          <w:highlight w:val="none"/>
        </w:rPr>
        <w:t>9.2  联合设计以承包人投标书中所提供的方案设计为基础，业主有权要求投标人根据业主实际情况及需要作修改，并最终经业主签字确认。</w:t>
      </w:r>
    </w:p>
    <w:p>
      <w:pPr>
        <w:pStyle w:val="8"/>
        <w:tabs>
          <w:tab w:val="left" w:pos="1391"/>
        </w:tabs>
        <w:spacing w:line="360" w:lineRule="auto"/>
        <w:jc w:val="left"/>
        <w:rPr>
          <w:rFonts w:ascii="宋体" w:hAnsi="宋体" w:eastAsia="宋体"/>
          <w:b/>
          <w:bCs/>
          <w:sz w:val="21"/>
          <w:highlight w:val="none"/>
        </w:rPr>
      </w:pPr>
      <w:bookmarkStart w:id="181" w:name="_Toc7600021"/>
      <w:bookmarkStart w:id="182" w:name="_Toc524494778"/>
      <w:bookmarkStart w:id="183" w:name="_Toc524439530"/>
      <w:bookmarkStart w:id="184" w:name="_Toc524746512"/>
      <w:bookmarkStart w:id="185" w:name="_Toc7599790"/>
      <w:bookmarkStart w:id="186" w:name="_Toc524439692"/>
      <w:bookmarkStart w:id="187" w:name="_Toc524342315"/>
      <w:bookmarkStart w:id="188" w:name="_Toc525376788"/>
      <w:bookmarkStart w:id="189" w:name="_Toc524486449"/>
      <w:bookmarkStart w:id="190" w:name="_Toc524516419"/>
      <w:bookmarkStart w:id="191" w:name="_Toc524457340"/>
      <w:bookmarkStart w:id="192" w:name="_Toc524341752"/>
      <w:bookmarkStart w:id="193" w:name="_Toc524689542"/>
      <w:bookmarkStart w:id="194" w:name="_Toc524494162"/>
      <w:bookmarkStart w:id="195" w:name="_Toc524495512"/>
      <w:bookmarkStart w:id="196" w:name="_Toc524847422"/>
      <w:bookmarkStart w:id="197" w:name="_Toc3796822"/>
      <w:bookmarkStart w:id="198" w:name="_Toc524404074"/>
      <w:bookmarkStart w:id="199" w:name="_Toc524333038"/>
      <w:bookmarkStart w:id="200" w:name="_Toc525011371"/>
      <w:bookmarkStart w:id="201" w:name="_Toc524747396"/>
      <w:bookmarkStart w:id="202" w:name="_Toc3795964"/>
      <w:bookmarkStart w:id="203" w:name="_Toc525200405"/>
      <w:bookmarkStart w:id="204" w:name="_Toc524404333"/>
      <w:bookmarkStart w:id="205" w:name="_Toc3795449"/>
      <w:bookmarkStart w:id="206" w:name="_Toc524495989"/>
      <w:bookmarkStart w:id="207" w:name="_Toc524494384"/>
      <w:bookmarkStart w:id="208" w:name="_Toc524847236"/>
      <w:bookmarkStart w:id="209" w:name="_Toc524491072"/>
      <w:bookmarkStart w:id="210" w:name="_Toc524516267"/>
      <w:bookmarkStart w:id="211" w:name="_Toc525397570"/>
      <w:bookmarkStart w:id="212" w:name="_Toc524342624"/>
      <w:bookmarkStart w:id="213" w:name="_Toc524493387"/>
      <w:bookmarkStart w:id="214" w:name="_Toc524342519"/>
      <w:bookmarkStart w:id="215" w:name="_Toc524332394"/>
      <w:bookmarkStart w:id="216" w:name="_Toc524452525"/>
      <w:bookmarkStart w:id="217" w:name="_Toc7867457"/>
      <w:bookmarkStart w:id="218" w:name="_Toc524458590"/>
      <w:bookmarkStart w:id="219" w:name="_Toc6311283"/>
      <w:r>
        <w:rPr>
          <w:rFonts w:hint="eastAsia" w:ascii="宋体" w:hAnsi="宋体" w:eastAsia="宋体"/>
          <w:b/>
          <w:bCs/>
          <w:sz w:val="21"/>
          <w:highlight w:val="none"/>
        </w:rPr>
        <w:t>10、 方案修改</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19"/>
        <w:ind w:left="210" w:leftChars="100" w:firstLine="210" w:firstLineChars="100"/>
        <w:rPr>
          <w:rFonts w:hAnsi="宋体"/>
          <w:highlight w:val="none"/>
        </w:rPr>
      </w:pPr>
      <w:r>
        <w:rPr>
          <w:rFonts w:hint="eastAsia" w:hAnsi="宋体"/>
          <w:highlight w:val="none"/>
        </w:rPr>
        <w:t>10.1  项目实施期间，业主签署的方案修改通知是合同的补充和完善，承包人不得拒绝。</w:t>
      </w:r>
    </w:p>
    <w:p>
      <w:pPr>
        <w:pStyle w:val="19"/>
        <w:ind w:firstLine="420" w:firstLineChars="200"/>
        <w:rPr>
          <w:rFonts w:hAnsi="宋体"/>
          <w:highlight w:val="none"/>
        </w:rPr>
      </w:pPr>
      <w:r>
        <w:rPr>
          <w:rFonts w:hint="eastAsia" w:hAnsi="宋体"/>
          <w:highlight w:val="none"/>
        </w:rPr>
        <w:t>10.2  除合同另有约定外，由于方案修改而引起本合同工作量清单中出现追加项目，或未增加工作项目只是工作数量增减时，均不调价，仍按合同总价予以计量。</w:t>
      </w:r>
    </w:p>
    <w:p>
      <w:pPr>
        <w:pStyle w:val="19"/>
        <w:ind w:left="210" w:leftChars="100" w:firstLine="210" w:firstLineChars="100"/>
        <w:rPr>
          <w:rFonts w:hAnsi="宋体"/>
          <w:highlight w:val="none"/>
        </w:rPr>
      </w:pPr>
      <w:r>
        <w:rPr>
          <w:rFonts w:hint="eastAsia" w:hAnsi="宋体"/>
          <w:highlight w:val="none"/>
        </w:rPr>
        <w:t>10.3  承包人不得以方案修改或工作量变化为理由，解除或修改其对合同规定的其他责任或义务。</w:t>
      </w:r>
    </w:p>
    <w:p>
      <w:pPr>
        <w:pStyle w:val="8"/>
        <w:tabs>
          <w:tab w:val="left" w:pos="1391"/>
        </w:tabs>
        <w:spacing w:line="360" w:lineRule="auto"/>
        <w:jc w:val="left"/>
        <w:rPr>
          <w:rFonts w:ascii="宋体" w:hAnsi="宋体" w:eastAsia="宋体"/>
          <w:b/>
          <w:bCs/>
          <w:sz w:val="21"/>
          <w:highlight w:val="none"/>
        </w:rPr>
      </w:pPr>
      <w:bookmarkStart w:id="220" w:name="_Toc524495516"/>
      <w:bookmarkStart w:id="221" w:name="_Toc524342523"/>
      <w:bookmarkStart w:id="222" w:name="_Toc524486453"/>
      <w:bookmarkStart w:id="223" w:name="_Toc7600022"/>
      <w:bookmarkStart w:id="224" w:name="_Toc524342319"/>
      <w:bookmarkStart w:id="225" w:name="_Toc524494782"/>
      <w:bookmarkStart w:id="226" w:name="_Toc524494388"/>
      <w:bookmarkStart w:id="227" w:name="_Toc3795965"/>
      <w:bookmarkStart w:id="228" w:name="_Toc524847240"/>
      <w:bookmarkStart w:id="229" w:name="_Toc6311284"/>
      <w:bookmarkStart w:id="230" w:name="_Toc524747400"/>
      <w:bookmarkStart w:id="231" w:name="_Toc524457344"/>
      <w:bookmarkStart w:id="232" w:name="_Toc524404337"/>
      <w:bookmarkStart w:id="233" w:name="_Toc525200409"/>
      <w:bookmarkStart w:id="234" w:name="_Toc524341756"/>
      <w:bookmarkStart w:id="235" w:name="_Toc524333042"/>
      <w:bookmarkStart w:id="236" w:name="_Toc524404078"/>
      <w:bookmarkStart w:id="237" w:name="_Toc524495993"/>
      <w:bookmarkStart w:id="238" w:name="_Toc524491076"/>
      <w:bookmarkStart w:id="239" w:name="_Toc525376792"/>
      <w:bookmarkStart w:id="240" w:name="_Toc524439696"/>
      <w:bookmarkStart w:id="241" w:name="_Toc525011375"/>
      <w:bookmarkStart w:id="242" w:name="_Toc524493391"/>
      <w:bookmarkStart w:id="243" w:name="_Toc524439534"/>
      <w:bookmarkStart w:id="244" w:name="_Toc524847426"/>
      <w:bookmarkStart w:id="245" w:name="_Toc3796823"/>
      <w:bookmarkStart w:id="246" w:name="_Toc524516423"/>
      <w:bookmarkStart w:id="247" w:name="_Toc524332398"/>
      <w:bookmarkStart w:id="248" w:name="_Toc524342628"/>
      <w:bookmarkStart w:id="249" w:name="_Toc524458594"/>
      <w:bookmarkStart w:id="250" w:name="_Toc7867458"/>
      <w:bookmarkStart w:id="251" w:name="_Toc3795450"/>
      <w:bookmarkStart w:id="252" w:name="_Toc524452529"/>
      <w:bookmarkStart w:id="253" w:name="_Toc524746516"/>
      <w:bookmarkStart w:id="254" w:name="_Toc7599791"/>
      <w:bookmarkStart w:id="255" w:name="_Toc524689546"/>
      <w:bookmarkStart w:id="256" w:name="_Toc525397574"/>
      <w:bookmarkStart w:id="257" w:name="_Toc524516271"/>
      <w:bookmarkStart w:id="258" w:name="_Toc524494166"/>
      <w:r>
        <w:rPr>
          <w:rFonts w:hint="eastAsia" w:ascii="宋体" w:hAnsi="宋体" w:eastAsia="宋体"/>
          <w:b/>
          <w:bCs/>
          <w:sz w:val="21"/>
          <w:highlight w:val="none"/>
        </w:rPr>
        <w:t>11、 交付使用期限</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napToGrid w:val="0"/>
        <w:spacing w:line="360" w:lineRule="auto"/>
        <w:ind w:firstLine="420" w:firstLineChars="200"/>
        <w:rPr>
          <w:szCs w:val="21"/>
          <w:highlight w:val="none"/>
          <w:shd w:val="clear" w:color="auto" w:fill="FFFFFF"/>
        </w:rPr>
      </w:pPr>
      <w:r>
        <w:rPr>
          <w:rFonts w:hint="eastAsia" w:hAnsi="宋体"/>
          <w:highlight w:val="none"/>
        </w:rPr>
        <w:t>11.1合同签定后，一个星期内开工。预期工期两个月(其中11月底前需完成全部设备的安装调试工作。工程项目通过验收后1年免费维修</w:t>
      </w:r>
      <w:r>
        <w:rPr>
          <w:rFonts w:hint="eastAsia"/>
          <w:szCs w:val="21"/>
          <w:highlight w:val="none"/>
          <w:shd w:val="clear" w:color="auto" w:fill="FFFFFF"/>
        </w:rPr>
        <w:t>。</w:t>
      </w:r>
    </w:p>
    <w:p>
      <w:pPr>
        <w:pStyle w:val="19"/>
        <w:ind w:firstLine="420" w:firstLineChars="200"/>
        <w:rPr>
          <w:rFonts w:hAnsi="宋体"/>
          <w:highlight w:val="none"/>
        </w:rPr>
      </w:pPr>
      <w:r>
        <w:rPr>
          <w:rFonts w:hint="eastAsia" w:hAnsi="宋体"/>
          <w:highlight w:val="none"/>
        </w:rPr>
        <w:t>11.2由于承包人的过失，推迟了各阶段的期限，承包人应向业主交纳逾期违约金，各阶段每延长工期一天，日违约金款额按合同总标价的0.05%计算。但违约金的最高限额合同价的</w:t>
      </w:r>
      <w:r>
        <w:rPr>
          <w:rFonts w:hAnsi="宋体"/>
          <w:highlight w:val="none"/>
        </w:rPr>
        <w:t>10%</w:t>
      </w:r>
      <w:r>
        <w:rPr>
          <w:rFonts w:hint="eastAsia" w:hAnsi="宋体"/>
          <w:highlight w:val="none"/>
        </w:rPr>
        <w:t>。如果达到最高限额，业主可终止合同。</w:t>
      </w:r>
    </w:p>
    <w:p>
      <w:pPr>
        <w:pStyle w:val="8"/>
        <w:tabs>
          <w:tab w:val="left" w:pos="1391"/>
        </w:tabs>
        <w:spacing w:line="360" w:lineRule="auto"/>
        <w:jc w:val="left"/>
        <w:rPr>
          <w:rFonts w:ascii="宋体" w:hAnsi="宋体" w:eastAsia="宋体"/>
          <w:b/>
          <w:bCs/>
          <w:sz w:val="21"/>
          <w:highlight w:val="none"/>
        </w:rPr>
      </w:pPr>
      <w:bookmarkStart w:id="259" w:name="_Toc524404080"/>
      <w:bookmarkStart w:id="260" w:name="_Toc525011377"/>
      <w:bookmarkStart w:id="261" w:name="_Toc524404339"/>
      <w:bookmarkStart w:id="262" w:name="_Toc524495995"/>
      <w:bookmarkStart w:id="263" w:name="_Toc524439536"/>
      <w:bookmarkStart w:id="264" w:name="_Toc524458596"/>
      <w:bookmarkStart w:id="265" w:name="_Toc525200411"/>
      <w:bookmarkStart w:id="266" w:name="_Toc6311285"/>
      <w:bookmarkStart w:id="267" w:name="_Toc524494390"/>
      <w:bookmarkStart w:id="268" w:name="_Toc7599792"/>
      <w:bookmarkStart w:id="269" w:name="_Toc7600023"/>
      <w:bookmarkStart w:id="270" w:name="_Toc524439698"/>
      <w:bookmarkStart w:id="271" w:name="_Toc524452531"/>
      <w:bookmarkStart w:id="272" w:name="_Toc524747402"/>
      <w:bookmarkStart w:id="273" w:name="_Toc3796824"/>
      <w:bookmarkStart w:id="274" w:name="_Toc524495518"/>
      <w:bookmarkStart w:id="275" w:name="_Toc524457346"/>
      <w:bookmarkStart w:id="276" w:name="_Toc524516273"/>
      <w:bookmarkStart w:id="277" w:name="_Toc525376794"/>
      <w:bookmarkStart w:id="278" w:name="_Toc524332400"/>
      <w:bookmarkStart w:id="279" w:name="_Toc524491078"/>
      <w:bookmarkStart w:id="280" w:name="_Toc524494168"/>
      <w:bookmarkStart w:id="281" w:name="_Toc524516425"/>
      <w:bookmarkStart w:id="282" w:name="_Toc524486455"/>
      <w:bookmarkStart w:id="283" w:name="_Toc3795451"/>
      <w:bookmarkStart w:id="284" w:name="_Toc524341758"/>
      <w:bookmarkStart w:id="285" w:name="_Toc524333044"/>
      <w:bookmarkStart w:id="286" w:name="_Toc524746518"/>
      <w:bookmarkStart w:id="287" w:name="_Toc524847242"/>
      <w:bookmarkStart w:id="288" w:name="_Toc524493393"/>
      <w:bookmarkStart w:id="289" w:name="_Toc7867459"/>
      <w:bookmarkStart w:id="290" w:name="_Toc524689548"/>
      <w:bookmarkStart w:id="291" w:name="_Toc525397576"/>
      <w:bookmarkStart w:id="292" w:name="_Toc524342630"/>
      <w:bookmarkStart w:id="293" w:name="_Toc524342321"/>
      <w:bookmarkStart w:id="294" w:name="_Toc3795966"/>
      <w:bookmarkStart w:id="295" w:name="_Toc524342525"/>
      <w:bookmarkStart w:id="296" w:name="_Toc524847428"/>
      <w:bookmarkStart w:id="297" w:name="_Toc524494784"/>
      <w:r>
        <w:rPr>
          <w:rFonts w:hint="eastAsia" w:ascii="宋体" w:hAnsi="宋体" w:eastAsia="宋体"/>
          <w:b/>
          <w:bCs/>
          <w:sz w:val="21"/>
          <w:highlight w:val="none"/>
        </w:rPr>
        <w:t>12、 项目暂停</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19"/>
        <w:ind w:firstLine="420" w:firstLineChars="200"/>
        <w:rPr>
          <w:rFonts w:hAnsi="宋体"/>
          <w:highlight w:val="none"/>
        </w:rPr>
      </w:pPr>
      <w:r>
        <w:rPr>
          <w:rFonts w:hint="eastAsia" w:hAnsi="宋体"/>
          <w:highlight w:val="none"/>
        </w:rPr>
        <w:t>12.1 由于承包人严重违反本合同规定，以致于继续进行将对本项目造成更严重损失，则业主有权下达“停工指令”。对此，承包人不得拒绝，并应采取有效措施，争取业主尽早发布同意复工的指令。这种停工引起的费用增加及对工期影响，应由承包人承担。</w:t>
      </w:r>
    </w:p>
    <w:p>
      <w:pPr>
        <w:pStyle w:val="19"/>
        <w:ind w:firstLine="420" w:firstLineChars="200"/>
        <w:rPr>
          <w:rFonts w:hAnsi="宋体"/>
          <w:highlight w:val="none"/>
        </w:rPr>
      </w:pPr>
      <w:r>
        <w:rPr>
          <w:rFonts w:hint="eastAsia" w:hAnsi="宋体"/>
          <w:highlight w:val="none"/>
        </w:rPr>
        <w:t>12.2 并非承包人的原因，在业主认为必要时，业主也可发布书面“停工命令”，对此，承包人也应对已停工作进行积极善后工作。但是，由于这种停工引起的费用增加和工期影响，承包人在15天内有权提出要求补偿书面申请，经业主批准并出具补偿证明，则可作为合同文件的补充文件执行。</w:t>
      </w:r>
    </w:p>
    <w:p>
      <w:pPr>
        <w:pStyle w:val="8"/>
        <w:tabs>
          <w:tab w:val="left" w:pos="1391"/>
        </w:tabs>
        <w:spacing w:line="360" w:lineRule="auto"/>
        <w:jc w:val="left"/>
        <w:rPr>
          <w:rFonts w:ascii="宋体" w:hAnsi="宋体" w:eastAsia="宋体"/>
          <w:b/>
          <w:bCs/>
          <w:sz w:val="21"/>
          <w:highlight w:val="none"/>
        </w:rPr>
      </w:pPr>
      <w:bookmarkStart w:id="298" w:name="_Toc524494391"/>
      <w:bookmarkStart w:id="299" w:name="_Toc524341759"/>
      <w:bookmarkStart w:id="300" w:name="_Toc524494785"/>
      <w:bookmarkStart w:id="301" w:name="_Toc524847429"/>
      <w:bookmarkStart w:id="302" w:name="_Toc524458597"/>
      <w:bookmarkStart w:id="303" w:name="_Toc6311286"/>
      <w:bookmarkStart w:id="304" w:name="_Toc524494169"/>
      <w:bookmarkStart w:id="305" w:name="_Toc524516426"/>
      <w:bookmarkStart w:id="306" w:name="_Toc525397577"/>
      <w:bookmarkStart w:id="307" w:name="_Toc524452532"/>
      <w:bookmarkStart w:id="308" w:name="_Toc524495519"/>
      <w:bookmarkStart w:id="309" w:name="_Toc524746519"/>
      <w:bookmarkStart w:id="310" w:name="_Toc524689549"/>
      <w:bookmarkStart w:id="311" w:name="_Toc524404081"/>
      <w:bookmarkStart w:id="312" w:name="_Toc524516274"/>
      <w:bookmarkStart w:id="313" w:name="_Toc524457347"/>
      <w:bookmarkStart w:id="314" w:name="_Toc3796825"/>
      <w:bookmarkStart w:id="315" w:name="_Toc525376795"/>
      <w:bookmarkStart w:id="316" w:name="_Toc524439537"/>
      <w:bookmarkStart w:id="317" w:name="_Toc524847243"/>
      <w:bookmarkStart w:id="318" w:name="_Toc524342322"/>
      <w:bookmarkStart w:id="319" w:name="_Toc524332401"/>
      <w:bookmarkStart w:id="320" w:name="_Toc524333045"/>
      <w:bookmarkStart w:id="321" w:name="_Toc524439699"/>
      <w:bookmarkStart w:id="322" w:name="_Toc3795452"/>
      <w:bookmarkStart w:id="323" w:name="_Toc7867460"/>
      <w:bookmarkStart w:id="324" w:name="_Toc524747403"/>
      <w:bookmarkStart w:id="325" w:name="_Toc524495996"/>
      <w:bookmarkStart w:id="326" w:name="_Toc525011378"/>
      <w:bookmarkStart w:id="327" w:name="_Toc524342526"/>
      <w:bookmarkStart w:id="328" w:name="_Toc7600024"/>
      <w:bookmarkStart w:id="329" w:name="_Toc3795967"/>
      <w:bookmarkStart w:id="330" w:name="_Toc524493394"/>
      <w:bookmarkStart w:id="331" w:name="_Toc524404340"/>
      <w:bookmarkStart w:id="332" w:name="_Toc525200412"/>
      <w:bookmarkStart w:id="333" w:name="_Toc524342631"/>
      <w:bookmarkStart w:id="334" w:name="_Toc524491079"/>
      <w:bookmarkStart w:id="335" w:name="_Toc7599793"/>
      <w:bookmarkStart w:id="336" w:name="_Toc524486456"/>
      <w:r>
        <w:rPr>
          <w:rFonts w:hint="eastAsia" w:ascii="宋体" w:hAnsi="宋体" w:eastAsia="宋体"/>
          <w:b/>
          <w:bCs/>
          <w:sz w:val="21"/>
          <w:highlight w:val="none"/>
        </w:rPr>
        <w:t>13、 质量检验</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19"/>
        <w:ind w:firstLine="420" w:firstLineChars="200"/>
        <w:rPr>
          <w:rFonts w:hAnsi="宋体"/>
          <w:highlight w:val="none"/>
        </w:rPr>
      </w:pPr>
      <w:r>
        <w:rPr>
          <w:rFonts w:hint="eastAsia" w:hAnsi="宋体"/>
          <w:highlight w:val="none"/>
        </w:rPr>
        <w:t>13.1 承包人必须按合同规定保证按《</w:t>
      </w:r>
      <w:r>
        <w:rPr>
          <w:rFonts w:hint="eastAsia"/>
          <w:highlight w:val="none"/>
        </w:rPr>
        <w:t>项目需求》的要求完成项目的全部工作，</w:t>
      </w:r>
      <w:r>
        <w:rPr>
          <w:rFonts w:hint="eastAsia" w:hAnsi="宋体"/>
          <w:highlight w:val="none"/>
        </w:rPr>
        <w:t>所开发的系统的质量完全符合业主的要求和规范的要求。承包人应积极配合业主指定的技术人员检查系统质量。</w:t>
      </w:r>
    </w:p>
    <w:p>
      <w:pPr>
        <w:pStyle w:val="19"/>
        <w:ind w:firstLine="420" w:firstLineChars="200"/>
        <w:rPr>
          <w:rFonts w:hAnsi="宋体"/>
          <w:highlight w:val="none"/>
        </w:rPr>
      </w:pPr>
      <w:r>
        <w:rPr>
          <w:rFonts w:hint="eastAsia" w:hAnsi="宋体"/>
          <w:highlight w:val="none"/>
        </w:rPr>
        <w:t>13.2根据业主要求，如本合同所交付的应用软件需通过第三方测评机构测试的，测试费用由承包人承担；测试结论将作为项目验收的重要依据。</w:t>
      </w:r>
    </w:p>
    <w:p>
      <w:pPr>
        <w:pStyle w:val="19"/>
        <w:ind w:firstLine="420" w:firstLineChars="200"/>
        <w:rPr>
          <w:rFonts w:hAnsi="宋体"/>
          <w:highlight w:val="none"/>
        </w:rPr>
      </w:pPr>
      <w:r>
        <w:rPr>
          <w:rFonts w:hint="eastAsia" w:hAnsi="宋体"/>
          <w:highlight w:val="none"/>
        </w:rPr>
        <w:t>13.3 方案认可与验收</w:t>
      </w:r>
    </w:p>
    <w:p>
      <w:pPr>
        <w:pStyle w:val="19"/>
        <w:ind w:firstLine="420" w:firstLineChars="200"/>
        <w:rPr>
          <w:rFonts w:hAnsi="宋体"/>
          <w:highlight w:val="none"/>
        </w:rPr>
      </w:pPr>
      <w:r>
        <w:rPr>
          <w:rFonts w:hint="eastAsia" w:hAnsi="宋体"/>
          <w:highlight w:val="none"/>
        </w:rPr>
        <w:t>13.3.1承包人依本合同约定向业主提交概要设计、详细设计等技术方案，业主应于14天内对其进行评审鉴定、签字认可。如业主在承包人提交上述方案后14天内不予答复，视为业主认可。</w:t>
      </w:r>
    </w:p>
    <w:p>
      <w:pPr>
        <w:pStyle w:val="19"/>
        <w:ind w:firstLine="420" w:firstLineChars="200"/>
        <w:rPr>
          <w:rFonts w:hAnsi="宋体"/>
          <w:highlight w:val="none"/>
        </w:rPr>
      </w:pPr>
      <w:r>
        <w:rPr>
          <w:rFonts w:hint="eastAsia" w:hAnsi="宋体"/>
          <w:highlight w:val="none"/>
        </w:rPr>
        <w:t>13.3.2业主接到承包人项目验收申请后，应在14天内组织有关专家考察论证是否具备验收条件，并根据论证结果与承包人联合进行验收，验收合格后对承包人提交的验收报告签署合格证书。</w:t>
      </w:r>
    </w:p>
    <w:p>
      <w:pPr>
        <w:pStyle w:val="19"/>
        <w:ind w:firstLine="420" w:firstLineChars="200"/>
        <w:rPr>
          <w:rFonts w:hAnsi="宋体"/>
          <w:highlight w:val="none"/>
        </w:rPr>
      </w:pPr>
      <w:r>
        <w:rPr>
          <w:rFonts w:hint="eastAsia" w:hAnsi="宋体"/>
          <w:highlight w:val="none"/>
        </w:rPr>
        <w:t>13.3.3验收不合格，承包人应立即进行重新调整，直至验收结果符合规定目标，所发生的全部相关费用由承包人承担。</w:t>
      </w:r>
    </w:p>
    <w:p>
      <w:pPr>
        <w:pStyle w:val="19"/>
        <w:ind w:firstLine="420" w:firstLineChars="200"/>
        <w:rPr>
          <w:rFonts w:hAnsi="宋体"/>
          <w:highlight w:val="none"/>
        </w:rPr>
      </w:pPr>
      <w:r>
        <w:rPr>
          <w:rFonts w:hint="eastAsia" w:hAnsi="宋体"/>
          <w:highlight w:val="none"/>
        </w:rPr>
        <w:t>13.3.4业主中途改变设计方案或其他原因导致时间延误的，进度相应顺延。</w:t>
      </w:r>
    </w:p>
    <w:p>
      <w:pPr>
        <w:pStyle w:val="19"/>
        <w:ind w:firstLine="420" w:firstLineChars="200"/>
        <w:rPr>
          <w:rFonts w:hAnsi="宋体"/>
          <w:highlight w:val="none"/>
        </w:rPr>
      </w:pPr>
      <w:r>
        <w:rPr>
          <w:rFonts w:hint="eastAsia" w:hAnsi="宋体"/>
          <w:highlight w:val="none"/>
        </w:rPr>
        <w:t>13.4 对不符合本合同规定的软件，业主有权拒绝接受，并不能免除承包人对项目应负的合同责任。</w:t>
      </w:r>
    </w:p>
    <w:p>
      <w:pPr>
        <w:pStyle w:val="19"/>
        <w:ind w:firstLine="420" w:firstLineChars="200"/>
        <w:rPr>
          <w:rFonts w:hAnsi="宋体"/>
          <w:highlight w:val="none"/>
        </w:rPr>
      </w:pPr>
      <w:r>
        <w:rPr>
          <w:rFonts w:hint="eastAsia" w:hAnsi="宋体"/>
          <w:highlight w:val="none"/>
        </w:rPr>
        <w:t>13.5承包人须遵守业主有关信息安全的规定；并且在系统上线后，对网站进行安全评估和针对性测试，之后提交评估和整改报告，符合国家等级保护二级的要求。</w:t>
      </w:r>
    </w:p>
    <w:p>
      <w:pPr>
        <w:pStyle w:val="8"/>
        <w:tabs>
          <w:tab w:val="left" w:pos="1391"/>
        </w:tabs>
        <w:spacing w:line="360" w:lineRule="auto"/>
        <w:jc w:val="left"/>
        <w:rPr>
          <w:rFonts w:ascii="宋体" w:hAnsi="宋体" w:eastAsia="宋体"/>
          <w:b/>
          <w:bCs/>
          <w:sz w:val="21"/>
          <w:highlight w:val="none"/>
        </w:rPr>
      </w:pPr>
      <w:bookmarkStart w:id="337" w:name="_Toc524457351"/>
      <w:bookmarkStart w:id="338" w:name="_Toc524458601"/>
      <w:bookmarkStart w:id="339" w:name="_Toc524847247"/>
      <w:bookmarkStart w:id="340" w:name="_Toc525200416"/>
      <w:bookmarkStart w:id="341" w:name="_Toc524689553"/>
      <w:bookmarkStart w:id="342" w:name="_Toc524516278"/>
      <w:bookmarkStart w:id="343" w:name="_Toc524495523"/>
      <w:bookmarkStart w:id="344" w:name="_Toc524491083"/>
      <w:bookmarkStart w:id="345" w:name="_Toc524404344"/>
      <w:bookmarkStart w:id="346" w:name="_Toc524494395"/>
      <w:bookmarkStart w:id="347" w:name="_Toc524494173"/>
      <w:bookmarkStart w:id="348" w:name="_Toc524333049"/>
      <w:bookmarkStart w:id="349" w:name="_Toc524342530"/>
      <w:bookmarkStart w:id="350" w:name="_Toc524439703"/>
      <w:bookmarkStart w:id="351" w:name="_Toc524342635"/>
      <w:bookmarkStart w:id="352" w:name="_Toc524332405"/>
      <w:bookmarkStart w:id="353" w:name="_Toc525376799"/>
      <w:bookmarkStart w:id="354" w:name="_Toc525011382"/>
      <w:bookmarkStart w:id="355" w:name="_Toc524452536"/>
      <w:bookmarkStart w:id="356" w:name="_Toc524439541"/>
      <w:bookmarkStart w:id="357" w:name="_Toc524494789"/>
      <w:bookmarkStart w:id="358" w:name="_Toc524342326"/>
      <w:bookmarkStart w:id="359" w:name="_Toc524341763"/>
      <w:bookmarkStart w:id="360" w:name="_Toc524493398"/>
      <w:bookmarkStart w:id="361" w:name="_Toc524486460"/>
      <w:bookmarkStart w:id="362" w:name="_Toc524496000"/>
      <w:bookmarkStart w:id="363" w:name="_Toc525397581"/>
      <w:bookmarkStart w:id="364" w:name="_Toc524404085"/>
      <w:bookmarkStart w:id="365" w:name="_Toc524516430"/>
      <w:bookmarkStart w:id="366" w:name="_Toc524747407"/>
      <w:bookmarkStart w:id="367" w:name="_Toc524847433"/>
      <w:bookmarkStart w:id="368" w:name="_Toc524746523"/>
      <w:bookmarkStart w:id="369" w:name="_Toc6311287"/>
      <w:bookmarkStart w:id="370" w:name="_Toc3796826"/>
      <w:bookmarkStart w:id="371" w:name="_Toc7867461"/>
      <w:bookmarkStart w:id="372" w:name="_Toc7600025"/>
      <w:bookmarkStart w:id="373" w:name="_Toc3795453"/>
      <w:bookmarkStart w:id="374" w:name="_Toc7599794"/>
      <w:bookmarkStart w:id="375" w:name="_Toc3795968"/>
      <w:r>
        <w:rPr>
          <w:rFonts w:hint="eastAsia" w:ascii="宋体" w:hAnsi="宋体" w:eastAsia="宋体"/>
          <w:b/>
          <w:bCs/>
          <w:sz w:val="21"/>
          <w:highlight w:val="none"/>
        </w:rPr>
        <w:t>14、 交付</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hint="eastAsia" w:ascii="宋体" w:hAnsi="宋体" w:eastAsia="宋体"/>
          <w:b/>
          <w:bCs/>
          <w:sz w:val="21"/>
          <w:highlight w:val="none"/>
        </w:rPr>
        <w:t>使用</w:t>
      </w:r>
      <w:bookmarkEnd w:id="369"/>
      <w:bookmarkEnd w:id="370"/>
      <w:bookmarkEnd w:id="371"/>
      <w:bookmarkEnd w:id="372"/>
      <w:bookmarkEnd w:id="373"/>
      <w:bookmarkEnd w:id="374"/>
      <w:bookmarkEnd w:id="375"/>
    </w:p>
    <w:p>
      <w:pPr>
        <w:pStyle w:val="19"/>
        <w:ind w:firstLine="420" w:firstLineChars="200"/>
        <w:rPr>
          <w:rFonts w:hAnsi="宋体"/>
          <w:highlight w:val="none"/>
        </w:rPr>
      </w:pPr>
      <w:r>
        <w:rPr>
          <w:rFonts w:hint="eastAsia" w:hAnsi="宋体"/>
          <w:highlight w:val="none"/>
        </w:rPr>
        <w:t>14.1项目全部完成交付业主使用，并已按合同规定圆满地通过了各项检验，承包人可以向业主提出交付使用报告，要求验收。</w:t>
      </w:r>
    </w:p>
    <w:p>
      <w:pPr>
        <w:pStyle w:val="8"/>
        <w:tabs>
          <w:tab w:val="left" w:pos="1391"/>
        </w:tabs>
        <w:spacing w:line="360" w:lineRule="auto"/>
        <w:jc w:val="left"/>
        <w:rPr>
          <w:rFonts w:ascii="宋体" w:hAnsi="宋体" w:eastAsia="宋体"/>
          <w:b/>
          <w:bCs/>
          <w:sz w:val="21"/>
          <w:highlight w:val="none"/>
        </w:rPr>
      </w:pPr>
      <w:bookmarkStart w:id="376" w:name="_Toc524341764"/>
      <w:bookmarkStart w:id="377" w:name="_Toc3796827"/>
      <w:bookmarkStart w:id="378" w:name="_Toc524494174"/>
      <w:bookmarkStart w:id="379" w:name="_Toc525397582"/>
      <w:bookmarkStart w:id="380" w:name="_Toc6311288"/>
      <w:bookmarkStart w:id="381" w:name="_Toc524496001"/>
      <w:bookmarkStart w:id="382" w:name="_Toc524494790"/>
      <w:bookmarkStart w:id="383" w:name="_Toc524342327"/>
      <w:bookmarkStart w:id="384" w:name="_Toc524342636"/>
      <w:bookmarkStart w:id="385" w:name="_Toc7867462"/>
      <w:bookmarkStart w:id="386" w:name="_Toc525011383"/>
      <w:bookmarkStart w:id="387" w:name="_Toc3795969"/>
      <w:bookmarkStart w:id="388" w:name="_Toc3795454"/>
      <w:bookmarkStart w:id="389" w:name="_Toc524486461"/>
      <w:bookmarkStart w:id="390" w:name="_Toc524342531"/>
      <w:bookmarkStart w:id="391" w:name="_Toc524332406"/>
      <w:bookmarkStart w:id="392" w:name="_Toc524439704"/>
      <w:bookmarkStart w:id="393" w:name="_Toc524439542"/>
      <w:bookmarkStart w:id="394" w:name="_Toc524404345"/>
      <w:bookmarkStart w:id="395" w:name="_Toc524847248"/>
      <w:bookmarkStart w:id="396" w:name="_Toc525200417"/>
      <w:bookmarkStart w:id="397" w:name="_Toc524333050"/>
      <w:bookmarkStart w:id="398" w:name="_Toc524746524"/>
      <w:bookmarkStart w:id="399" w:name="_Toc524689554"/>
      <w:bookmarkStart w:id="400" w:name="_Toc524847434"/>
      <w:bookmarkStart w:id="401" w:name="_Toc525376800"/>
      <w:bookmarkStart w:id="402" w:name="_Toc524457352"/>
      <w:bookmarkStart w:id="403" w:name="_Toc524516431"/>
      <w:bookmarkStart w:id="404" w:name="_Toc524747408"/>
      <w:bookmarkStart w:id="405" w:name="_Toc524404086"/>
      <w:bookmarkStart w:id="406" w:name="_Toc524516279"/>
      <w:bookmarkStart w:id="407" w:name="_Toc7600026"/>
      <w:bookmarkStart w:id="408" w:name="_Toc524494396"/>
      <w:bookmarkStart w:id="409" w:name="_Toc524491084"/>
      <w:bookmarkStart w:id="410" w:name="_Toc7599795"/>
      <w:bookmarkStart w:id="411" w:name="_Toc524493399"/>
      <w:bookmarkStart w:id="412" w:name="_Toc524458602"/>
      <w:bookmarkStart w:id="413" w:name="_Toc524495524"/>
      <w:bookmarkStart w:id="414" w:name="_Toc524452537"/>
      <w:r>
        <w:rPr>
          <w:rFonts w:hint="eastAsia" w:ascii="宋体" w:hAnsi="宋体" w:eastAsia="宋体"/>
          <w:b/>
          <w:bCs/>
          <w:sz w:val="21"/>
          <w:highlight w:val="none"/>
        </w:rPr>
        <w:t>15、 建设期及售后服务期</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19"/>
        <w:ind w:firstLine="420" w:firstLineChars="200"/>
        <w:rPr>
          <w:rFonts w:hAnsi="宋体"/>
          <w:highlight w:val="none"/>
        </w:rPr>
      </w:pPr>
      <w:r>
        <w:rPr>
          <w:rFonts w:hint="eastAsia" w:hAnsi="宋体"/>
          <w:highlight w:val="none"/>
        </w:rPr>
        <w:t>合同签定后，一个星期内开工。预期工期两个月(其中11月底前需完成全部设备的安装调试工作。工程项目通过验收后1年免费维修。</w:t>
      </w:r>
    </w:p>
    <w:p>
      <w:pPr>
        <w:pStyle w:val="8"/>
        <w:tabs>
          <w:tab w:val="left" w:pos="1391"/>
        </w:tabs>
        <w:spacing w:line="360" w:lineRule="auto"/>
        <w:jc w:val="left"/>
        <w:rPr>
          <w:rFonts w:ascii="宋体" w:hAnsi="宋体" w:eastAsia="宋体"/>
          <w:b/>
          <w:bCs/>
          <w:sz w:val="21"/>
          <w:highlight w:val="none"/>
        </w:rPr>
      </w:pPr>
      <w:bookmarkStart w:id="415" w:name="_Toc524516280"/>
      <w:bookmarkStart w:id="416" w:name="_Toc524747409"/>
      <w:bookmarkStart w:id="417" w:name="_Toc7600027"/>
      <w:bookmarkStart w:id="418" w:name="_Toc524333051"/>
      <w:bookmarkStart w:id="419" w:name="_Toc7599796"/>
      <w:bookmarkStart w:id="420" w:name="_Toc525011384"/>
      <w:bookmarkStart w:id="421" w:name="_Toc524342532"/>
      <w:bookmarkStart w:id="422" w:name="_Toc7867463"/>
      <w:bookmarkStart w:id="423" w:name="_Toc524494791"/>
      <w:bookmarkStart w:id="424" w:name="_Toc525376801"/>
      <w:bookmarkStart w:id="425" w:name="_Toc524496002"/>
      <w:bookmarkStart w:id="426" w:name="_Toc525200418"/>
      <w:bookmarkStart w:id="427" w:name="_Toc524458603"/>
      <w:bookmarkStart w:id="428" w:name="_Toc524457353"/>
      <w:bookmarkStart w:id="429" w:name="_Toc524404346"/>
      <w:bookmarkStart w:id="430" w:name="_Toc524494397"/>
      <w:bookmarkStart w:id="431" w:name="_Toc524486462"/>
      <w:bookmarkStart w:id="432" w:name="_Toc524439543"/>
      <w:bookmarkStart w:id="433" w:name="_Toc524516432"/>
      <w:bookmarkStart w:id="434" w:name="_Toc524847435"/>
      <w:bookmarkStart w:id="435" w:name="_Toc524847249"/>
      <w:bookmarkStart w:id="436" w:name="_Toc524494175"/>
      <w:bookmarkStart w:id="437" w:name="_Toc524495525"/>
      <w:bookmarkStart w:id="438" w:name="_Toc524341765"/>
      <w:bookmarkStart w:id="439" w:name="_Toc524746525"/>
      <w:bookmarkStart w:id="440" w:name="_Toc3796828"/>
      <w:bookmarkStart w:id="441" w:name="_Toc524439705"/>
      <w:bookmarkStart w:id="442" w:name="_Toc524689555"/>
      <w:bookmarkStart w:id="443" w:name="_Toc3795455"/>
      <w:bookmarkStart w:id="444" w:name="_Toc524342637"/>
      <w:bookmarkStart w:id="445" w:name="_Toc524493400"/>
      <w:bookmarkStart w:id="446" w:name="_Toc525397583"/>
      <w:bookmarkStart w:id="447" w:name="_Toc524404087"/>
      <w:bookmarkStart w:id="448" w:name="_Toc524452538"/>
      <w:bookmarkStart w:id="449" w:name="_Toc3795970"/>
      <w:bookmarkStart w:id="450" w:name="_Toc6311289"/>
      <w:bookmarkStart w:id="451" w:name="_Toc524332407"/>
      <w:bookmarkStart w:id="452" w:name="_Toc524342328"/>
      <w:bookmarkStart w:id="453" w:name="_Toc524491085"/>
      <w:r>
        <w:rPr>
          <w:rFonts w:hint="eastAsia" w:ascii="宋体" w:hAnsi="宋体" w:eastAsia="宋体"/>
          <w:b/>
          <w:bCs/>
          <w:sz w:val="21"/>
          <w:highlight w:val="none"/>
        </w:rPr>
        <w:t>16、 验收</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19"/>
        <w:ind w:firstLine="420" w:firstLineChars="200"/>
        <w:rPr>
          <w:rFonts w:hAnsi="宋体"/>
          <w:highlight w:val="none"/>
        </w:rPr>
      </w:pPr>
      <w:r>
        <w:rPr>
          <w:rFonts w:hint="eastAsia" w:hAnsi="宋体"/>
          <w:highlight w:val="none"/>
        </w:rPr>
        <w:t>16.1在系统的试运行期结束后，由业主组织进行验收，出具验收意见。验收不合格者，由承包人负责返工，费用由承包人自理，并赔偿由此给业主造成的损失。</w:t>
      </w:r>
    </w:p>
    <w:p>
      <w:pPr>
        <w:pStyle w:val="7"/>
        <w:rPr>
          <w:rFonts w:ascii="宋体" w:hAnsi="宋体"/>
          <w:sz w:val="21"/>
          <w:szCs w:val="21"/>
          <w:highlight w:val="none"/>
        </w:rPr>
      </w:pPr>
      <w:bookmarkStart w:id="454" w:name="_Toc37246800"/>
      <w:r>
        <w:rPr>
          <w:rFonts w:hint="eastAsia" w:ascii="宋体" w:hAnsi="宋体"/>
          <w:sz w:val="21"/>
          <w:szCs w:val="21"/>
          <w:highlight w:val="none"/>
        </w:rPr>
        <w:t>四、费用与支付</w:t>
      </w:r>
      <w:bookmarkEnd w:id="454"/>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17、费用</w:t>
      </w:r>
    </w:p>
    <w:p>
      <w:pPr>
        <w:spacing w:line="360" w:lineRule="auto"/>
        <w:ind w:firstLine="420" w:firstLineChars="200"/>
        <w:textAlignment w:val="bottom"/>
        <w:rPr>
          <w:szCs w:val="21"/>
          <w:highlight w:val="none"/>
        </w:rPr>
      </w:pPr>
      <w:r>
        <w:rPr>
          <w:rFonts w:hint="eastAsia"/>
          <w:szCs w:val="21"/>
          <w:highlight w:val="none"/>
        </w:rPr>
        <w:t>业主应按合同条款的有关规定，按时向承包人支付费用，以及承包人额外服务的费用</w:t>
      </w:r>
      <w:r>
        <w:rPr>
          <w:szCs w:val="21"/>
          <w:highlight w:val="none"/>
        </w:rPr>
        <w:t>。</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18、支付时间</w:t>
      </w:r>
    </w:p>
    <w:p>
      <w:pPr>
        <w:spacing w:line="360" w:lineRule="auto"/>
        <w:ind w:firstLine="420" w:firstLineChars="200"/>
        <w:textAlignment w:val="bottom"/>
        <w:rPr>
          <w:szCs w:val="21"/>
          <w:highlight w:val="none"/>
        </w:rPr>
      </w:pPr>
      <w:r>
        <w:rPr>
          <w:rFonts w:hint="eastAsia"/>
          <w:szCs w:val="21"/>
          <w:highlight w:val="none"/>
        </w:rPr>
        <w:t>11月底前完成全部设备的安装调试工作后支付至合同总价的60%，项目交工验收合格并经审计核定后付至审定价的97％，余款在缺陷责任期满后一个月内付清。以上付款均不计利息。</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19、有异议的支付</w:t>
      </w:r>
    </w:p>
    <w:p>
      <w:pPr>
        <w:spacing w:line="360" w:lineRule="auto"/>
        <w:ind w:firstLine="420" w:firstLineChars="200"/>
        <w:textAlignment w:val="bottom"/>
        <w:rPr>
          <w:szCs w:val="21"/>
          <w:highlight w:val="none"/>
        </w:rPr>
      </w:pPr>
      <w:r>
        <w:rPr>
          <w:rFonts w:hint="eastAsia"/>
          <w:szCs w:val="21"/>
          <w:highlight w:val="none"/>
        </w:rPr>
        <w:t>如果业主对承包人提交的付款申请有异议时，业主应立即发出书面通知要求承包人澄清，此时，应在收到承包人书面澄清</w:t>
      </w:r>
      <w:r>
        <w:rPr>
          <w:szCs w:val="21"/>
          <w:highlight w:val="none"/>
        </w:rPr>
        <w:t>(</w:t>
      </w:r>
      <w:r>
        <w:rPr>
          <w:rFonts w:hint="eastAsia"/>
          <w:szCs w:val="21"/>
          <w:highlight w:val="none"/>
        </w:rPr>
        <w:t>以承包人签发的日期为准</w:t>
      </w:r>
      <w:r>
        <w:rPr>
          <w:szCs w:val="21"/>
          <w:highlight w:val="none"/>
        </w:rPr>
        <w:t>)</w:t>
      </w:r>
      <w:r>
        <w:rPr>
          <w:rFonts w:hint="eastAsia"/>
          <w:szCs w:val="21"/>
          <w:highlight w:val="none"/>
        </w:rPr>
        <w:t>之日起30天内支付。如果承包人在收到业主要求书面澄清的通知后15天内</w:t>
      </w:r>
      <w:r>
        <w:rPr>
          <w:szCs w:val="21"/>
          <w:highlight w:val="none"/>
        </w:rPr>
        <w:t>(</w:t>
      </w:r>
      <w:r>
        <w:rPr>
          <w:rFonts w:hint="eastAsia"/>
          <w:szCs w:val="21"/>
          <w:highlight w:val="none"/>
        </w:rPr>
        <w:t>以业主签发通知的日期为准</w:t>
      </w:r>
      <w:r>
        <w:rPr>
          <w:szCs w:val="21"/>
          <w:highlight w:val="none"/>
        </w:rPr>
        <w:t>)</w:t>
      </w:r>
      <w:r>
        <w:rPr>
          <w:rFonts w:hint="eastAsia"/>
          <w:szCs w:val="21"/>
          <w:highlight w:val="none"/>
        </w:rPr>
        <w:t>未做任何书面答复，则业主不予支付，直到承包人作出书面澄清为止。</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20、审查</w:t>
      </w:r>
    </w:p>
    <w:p>
      <w:pPr>
        <w:spacing w:line="360" w:lineRule="auto"/>
        <w:ind w:left="2" w:leftChars="1" w:firstLine="420" w:firstLineChars="200"/>
        <w:textAlignment w:val="bottom"/>
        <w:rPr>
          <w:szCs w:val="21"/>
          <w:highlight w:val="none"/>
        </w:rPr>
      </w:pPr>
      <w:r>
        <w:rPr>
          <w:rFonts w:hint="eastAsia"/>
          <w:szCs w:val="21"/>
          <w:highlight w:val="none"/>
        </w:rPr>
        <w:t>承包人应保存能清楚证明有关项目工作时间和支付费用的记录，并在业主要求时允许业主指派的人员进行审查</w:t>
      </w:r>
      <w:r>
        <w:rPr>
          <w:szCs w:val="21"/>
          <w:highlight w:val="none"/>
        </w:rPr>
        <w:t>。</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21、合同费用的调整</w:t>
      </w:r>
    </w:p>
    <w:p>
      <w:pPr>
        <w:spacing w:line="360" w:lineRule="auto"/>
        <w:ind w:firstLine="420" w:firstLineChars="200"/>
        <w:textAlignment w:val="bottom"/>
        <w:rPr>
          <w:szCs w:val="21"/>
          <w:highlight w:val="none"/>
        </w:rPr>
      </w:pPr>
      <w:r>
        <w:rPr>
          <w:rFonts w:hint="eastAsia"/>
          <w:szCs w:val="21"/>
          <w:highlight w:val="none"/>
        </w:rPr>
        <w:t>在合同实施期间，不因国家颁布了新的政策、法规、标准而调整合同费用。</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22、 安全、保卫与环境保护</w:t>
      </w:r>
    </w:p>
    <w:p>
      <w:pPr>
        <w:spacing w:line="360" w:lineRule="auto"/>
        <w:ind w:firstLine="420" w:firstLineChars="200"/>
        <w:rPr>
          <w:szCs w:val="21"/>
          <w:highlight w:val="none"/>
        </w:rPr>
      </w:pPr>
      <w:r>
        <w:rPr>
          <w:rFonts w:hint="eastAsia"/>
          <w:szCs w:val="21"/>
          <w:highlight w:val="none"/>
        </w:rPr>
        <w:t>承包人在进行外业时，应采取相应的安全、保卫和环境保护措施，承包人未能采取有效的措施，而发生的与此有关的人身伤亡、罚款、索赔、损失赔偿、诉讼费用及其他一切责任应由承包人负责。</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23 、保险</w:t>
      </w:r>
    </w:p>
    <w:p>
      <w:pPr>
        <w:spacing w:line="360" w:lineRule="auto"/>
        <w:ind w:firstLine="420" w:firstLineChars="200"/>
        <w:rPr>
          <w:szCs w:val="21"/>
          <w:highlight w:val="none"/>
        </w:rPr>
      </w:pPr>
      <w:r>
        <w:rPr>
          <w:rFonts w:hint="eastAsia"/>
          <w:szCs w:val="21"/>
          <w:highlight w:val="none"/>
        </w:rPr>
        <w:t>承包人应为实施本项目，参加业主风险以外的其它有关的雇员责任保险，以使本项目顺利进行。</w:t>
      </w:r>
    </w:p>
    <w:p>
      <w:pPr>
        <w:pStyle w:val="7"/>
        <w:rPr>
          <w:rFonts w:ascii="宋体" w:hAnsi="宋体"/>
          <w:sz w:val="21"/>
          <w:szCs w:val="21"/>
          <w:highlight w:val="none"/>
        </w:rPr>
      </w:pPr>
      <w:bookmarkStart w:id="455" w:name="_Toc7867472"/>
      <w:bookmarkStart w:id="456" w:name="_Toc6311298"/>
      <w:bookmarkStart w:id="457" w:name="_Toc7600036"/>
      <w:bookmarkStart w:id="458" w:name="_Toc7599805"/>
      <w:bookmarkStart w:id="459" w:name="_Toc37246801"/>
      <w:r>
        <w:rPr>
          <w:rFonts w:hint="eastAsia" w:ascii="宋体" w:hAnsi="宋体"/>
          <w:sz w:val="21"/>
          <w:szCs w:val="21"/>
          <w:highlight w:val="none"/>
        </w:rPr>
        <w:t>五、</w:t>
      </w:r>
      <w:bookmarkEnd w:id="455"/>
      <w:bookmarkEnd w:id="456"/>
      <w:bookmarkEnd w:id="457"/>
      <w:bookmarkEnd w:id="458"/>
      <w:r>
        <w:rPr>
          <w:rFonts w:hint="eastAsia" w:ascii="宋体" w:hAnsi="宋体"/>
          <w:sz w:val="21"/>
          <w:szCs w:val="21"/>
          <w:highlight w:val="none"/>
        </w:rPr>
        <w:t>合同的生效</w:t>
      </w:r>
      <w:r>
        <w:rPr>
          <w:rFonts w:ascii="宋体" w:hAnsi="宋体"/>
          <w:sz w:val="21"/>
          <w:szCs w:val="21"/>
          <w:highlight w:val="none"/>
        </w:rPr>
        <w:t>、</w:t>
      </w:r>
      <w:r>
        <w:rPr>
          <w:rFonts w:hint="eastAsia" w:ascii="宋体" w:hAnsi="宋体"/>
          <w:sz w:val="21"/>
          <w:szCs w:val="21"/>
          <w:highlight w:val="none"/>
        </w:rPr>
        <w:t>变更与终止</w:t>
      </w:r>
      <w:bookmarkEnd w:id="459"/>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24、合同的生效</w:t>
      </w:r>
    </w:p>
    <w:p>
      <w:pPr>
        <w:spacing w:line="360" w:lineRule="auto"/>
        <w:ind w:firstLine="420" w:firstLineChars="200"/>
        <w:textAlignment w:val="bottom"/>
        <w:rPr>
          <w:szCs w:val="21"/>
          <w:highlight w:val="none"/>
        </w:rPr>
      </w:pPr>
      <w:r>
        <w:rPr>
          <w:rFonts w:hint="eastAsia"/>
          <w:szCs w:val="21"/>
          <w:highlight w:val="none"/>
        </w:rPr>
        <w:t>合同书自双方签字盖章后所有合同文件生效</w:t>
      </w:r>
      <w:r>
        <w:rPr>
          <w:szCs w:val="21"/>
          <w:highlight w:val="none"/>
        </w:rPr>
        <w:t>。</w:t>
      </w:r>
      <w:r>
        <w:rPr>
          <w:rFonts w:hint="eastAsia"/>
          <w:szCs w:val="21"/>
          <w:highlight w:val="none"/>
        </w:rPr>
        <w:t>承包人工作的开始和完成时间按照合同书的规定执行</w:t>
      </w:r>
      <w:r>
        <w:rPr>
          <w:szCs w:val="21"/>
          <w:highlight w:val="none"/>
        </w:rPr>
        <w:t>。</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25、延误</w:t>
      </w:r>
    </w:p>
    <w:p>
      <w:pPr>
        <w:spacing w:line="360" w:lineRule="auto"/>
        <w:ind w:firstLine="420" w:firstLineChars="200"/>
        <w:textAlignment w:val="bottom"/>
        <w:rPr>
          <w:szCs w:val="21"/>
          <w:highlight w:val="none"/>
        </w:rPr>
      </w:pPr>
      <w:r>
        <w:rPr>
          <w:rFonts w:hint="eastAsia"/>
          <w:szCs w:val="21"/>
          <w:highlight w:val="none"/>
        </w:rPr>
        <w:t>由于业主或不可抗力等因素，导致服务增加和时间延续则：</w:t>
      </w:r>
    </w:p>
    <w:p>
      <w:pPr>
        <w:spacing w:line="360" w:lineRule="auto"/>
        <w:ind w:firstLine="420" w:firstLineChars="200"/>
        <w:textAlignment w:val="bottom"/>
        <w:rPr>
          <w:szCs w:val="21"/>
          <w:highlight w:val="none"/>
        </w:rPr>
      </w:pPr>
      <w:r>
        <w:rPr>
          <w:rFonts w:hint="eastAsia"/>
          <w:szCs w:val="21"/>
          <w:highlight w:val="none"/>
        </w:rPr>
        <w:t>（1） 承包人应将此情况与可能产生的影响尽快通知业主，并采取合理措施使损失减少到最小；</w:t>
      </w:r>
    </w:p>
    <w:p>
      <w:pPr>
        <w:spacing w:line="360" w:lineRule="auto"/>
        <w:ind w:firstLine="420" w:firstLineChars="200"/>
        <w:textAlignment w:val="bottom"/>
        <w:rPr>
          <w:szCs w:val="21"/>
          <w:highlight w:val="none"/>
        </w:rPr>
      </w:pPr>
      <w:r>
        <w:rPr>
          <w:rFonts w:hint="eastAsia"/>
          <w:szCs w:val="21"/>
          <w:highlight w:val="none"/>
        </w:rPr>
        <w:t>（2）承包人应保持详细原始记录</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业主在与承包人协商后应相应地延长承包人的工作期限或增付费用。</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26、 变更</w:t>
      </w:r>
    </w:p>
    <w:p>
      <w:pPr>
        <w:spacing w:line="360" w:lineRule="auto"/>
        <w:ind w:firstLine="420" w:firstLineChars="200"/>
        <w:rPr>
          <w:szCs w:val="21"/>
          <w:highlight w:val="none"/>
        </w:rPr>
      </w:pPr>
      <w:r>
        <w:rPr>
          <w:rFonts w:hint="eastAsia"/>
          <w:szCs w:val="21"/>
          <w:highlight w:val="none"/>
        </w:rPr>
        <w:t>除合同另有规定外，承包人应提交变更工程设计建议书，此类建议书的准备和提交应视为已含入施工配合服务报价中</w:t>
      </w:r>
      <w:r>
        <w:rPr>
          <w:szCs w:val="21"/>
          <w:highlight w:val="none"/>
        </w:rPr>
        <w:t>，</w:t>
      </w:r>
      <w:r>
        <w:rPr>
          <w:rFonts w:hint="eastAsia"/>
          <w:szCs w:val="21"/>
          <w:highlight w:val="none"/>
        </w:rPr>
        <w:t>业主不再另行支付费用。</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27、 推迟与终止</w:t>
      </w:r>
    </w:p>
    <w:p>
      <w:pPr>
        <w:spacing w:line="360" w:lineRule="auto"/>
        <w:ind w:firstLine="420" w:firstLineChars="200"/>
        <w:textAlignment w:val="bottom"/>
        <w:rPr>
          <w:szCs w:val="21"/>
          <w:highlight w:val="none"/>
        </w:rPr>
      </w:pPr>
      <w:r>
        <w:rPr>
          <w:rFonts w:hint="eastAsia"/>
          <w:szCs w:val="21"/>
          <w:highlight w:val="none"/>
        </w:rPr>
        <w:t>27.1业主可以在至少28天以前以书面通知承包人暂停全部或部分开发工作或终止本合同书，一旦收到此类通知，承包人应立即安排停止计划并将开支减到最小</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27.2业主认为承包人无正当理由而未履行本合同规定的责任与义务时，应书面通知承包人，并说明理由</w:t>
      </w:r>
      <w:r>
        <w:rPr>
          <w:szCs w:val="21"/>
          <w:highlight w:val="none"/>
        </w:rPr>
        <w:t>。</w:t>
      </w:r>
      <w:r>
        <w:rPr>
          <w:rFonts w:hint="eastAsia"/>
          <w:szCs w:val="21"/>
          <w:highlight w:val="none"/>
        </w:rPr>
        <w:t>若业主在21天内没有收到满意的答复，业主可以发出进一步的通知终止本合同，但此进一步的通知必须在第一个通知发出28天后发出</w:t>
      </w:r>
      <w:r>
        <w:rPr>
          <w:szCs w:val="21"/>
          <w:highlight w:val="none"/>
        </w:rPr>
        <w:t>。</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28、 合同终止不影响权利和责任</w:t>
      </w:r>
    </w:p>
    <w:p>
      <w:pPr>
        <w:spacing w:line="360" w:lineRule="auto"/>
        <w:ind w:firstLine="420" w:firstLineChars="200"/>
        <w:textAlignment w:val="bottom"/>
        <w:rPr>
          <w:szCs w:val="21"/>
          <w:highlight w:val="none"/>
        </w:rPr>
      </w:pPr>
      <w:r>
        <w:rPr>
          <w:rFonts w:hint="eastAsia"/>
          <w:szCs w:val="21"/>
          <w:highlight w:val="none"/>
        </w:rPr>
        <w:t>本合同的终止，不应损害和影响各方应有的权利</w:t>
      </w:r>
      <w:r>
        <w:rPr>
          <w:szCs w:val="21"/>
          <w:highlight w:val="none"/>
        </w:rPr>
        <w:t>、</w:t>
      </w:r>
      <w:r>
        <w:rPr>
          <w:rFonts w:hint="eastAsia"/>
          <w:szCs w:val="21"/>
          <w:highlight w:val="none"/>
        </w:rPr>
        <w:t>索赔要求和应负的责任</w:t>
      </w:r>
      <w:r>
        <w:rPr>
          <w:szCs w:val="21"/>
          <w:highlight w:val="none"/>
        </w:rPr>
        <w:t>。</w:t>
      </w:r>
    </w:p>
    <w:p>
      <w:pPr>
        <w:pStyle w:val="7"/>
        <w:rPr>
          <w:rFonts w:ascii="宋体" w:hAnsi="宋体"/>
          <w:sz w:val="21"/>
          <w:szCs w:val="21"/>
          <w:highlight w:val="none"/>
        </w:rPr>
      </w:pPr>
      <w:bookmarkStart w:id="460" w:name="_Toc37246802"/>
      <w:r>
        <w:rPr>
          <w:rFonts w:hint="eastAsia" w:ascii="宋体" w:hAnsi="宋体"/>
          <w:sz w:val="21"/>
          <w:szCs w:val="21"/>
          <w:highlight w:val="none"/>
        </w:rPr>
        <w:t>六、违约与赔偿</w:t>
      </w:r>
      <w:bookmarkEnd w:id="460"/>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29、 业主的违约</w:t>
      </w:r>
    </w:p>
    <w:p>
      <w:pPr>
        <w:spacing w:line="360" w:lineRule="auto"/>
        <w:ind w:firstLine="420" w:firstLineChars="200"/>
        <w:textAlignment w:val="bottom"/>
        <w:rPr>
          <w:szCs w:val="21"/>
          <w:highlight w:val="none"/>
        </w:rPr>
      </w:pPr>
      <w:r>
        <w:rPr>
          <w:rFonts w:hint="eastAsia"/>
          <w:szCs w:val="21"/>
          <w:highlight w:val="none"/>
        </w:rPr>
        <w:t>29.1由于业主变更项目需求内容或提供的资料不准确</w:t>
      </w:r>
      <w:r>
        <w:rPr>
          <w:szCs w:val="21"/>
          <w:highlight w:val="none"/>
        </w:rPr>
        <w:t>，</w:t>
      </w:r>
      <w:r>
        <w:rPr>
          <w:rFonts w:hint="eastAsia"/>
          <w:szCs w:val="21"/>
          <w:highlight w:val="none"/>
        </w:rPr>
        <w:t>或所提交资料作较大修改</w:t>
      </w:r>
      <w:r>
        <w:rPr>
          <w:szCs w:val="21"/>
          <w:highlight w:val="none"/>
        </w:rPr>
        <w:t>，</w:t>
      </w:r>
      <w:r>
        <w:rPr>
          <w:rFonts w:hint="eastAsia"/>
          <w:szCs w:val="21"/>
          <w:highlight w:val="none"/>
        </w:rPr>
        <w:t>或未按期提供必需的资料或工作条件而造成承包人返工</w:t>
      </w:r>
      <w:r>
        <w:rPr>
          <w:szCs w:val="21"/>
          <w:highlight w:val="none"/>
        </w:rPr>
        <w:t>、</w:t>
      </w:r>
      <w:r>
        <w:rPr>
          <w:rFonts w:hint="eastAsia"/>
          <w:szCs w:val="21"/>
          <w:highlight w:val="none"/>
        </w:rPr>
        <w:t>停工</w:t>
      </w:r>
      <w:r>
        <w:rPr>
          <w:szCs w:val="21"/>
          <w:highlight w:val="none"/>
        </w:rPr>
        <w:t>、</w:t>
      </w:r>
      <w:r>
        <w:rPr>
          <w:rFonts w:hint="eastAsia"/>
          <w:szCs w:val="21"/>
          <w:highlight w:val="none"/>
        </w:rPr>
        <w:t>窝工，业主应按承包人增加的工作量增付费用；由于业主方要求加快项目进度提前完成设计和开发工作而增加人员导致费用的增加，应另行计列</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29.2业主超过合同规定的日期支付费用时，应偿付逾期的违约金</w:t>
      </w:r>
      <w:r>
        <w:rPr>
          <w:szCs w:val="21"/>
          <w:highlight w:val="none"/>
        </w:rPr>
        <w:t>。</w:t>
      </w:r>
      <w:r>
        <w:rPr>
          <w:rFonts w:hint="eastAsia"/>
          <w:szCs w:val="21"/>
          <w:highlight w:val="none"/>
        </w:rPr>
        <w:t>偿付办法与金额按合同条款的规定办理</w:t>
      </w:r>
      <w:r>
        <w:rPr>
          <w:szCs w:val="21"/>
          <w:highlight w:val="none"/>
        </w:rPr>
        <w:t>。</w:t>
      </w:r>
    </w:p>
    <w:p>
      <w:pPr>
        <w:spacing w:line="360" w:lineRule="auto"/>
        <w:ind w:firstLine="420" w:firstLineChars="200"/>
        <w:textAlignment w:val="bottom"/>
        <w:rPr>
          <w:szCs w:val="21"/>
          <w:highlight w:val="none"/>
        </w:rPr>
      </w:pPr>
      <w:r>
        <w:rPr>
          <w:rFonts w:hint="eastAsia"/>
          <w:szCs w:val="21"/>
          <w:highlight w:val="none"/>
        </w:rPr>
        <w:t>29.3在合同履行期间，业主要求终止或解除合同（由业主原因造成），业主除应按承包人完成的实际工作量支付费用外，还应按剩余合同价的5%~10%向承包人支付违约金。</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30、承包人的违约</w:t>
      </w:r>
    </w:p>
    <w:p>
      <w:pPr>
        <w:spacing w:line="360" w:lineRule="auto"/>
        <w:ind w:firstLine="420" w:firstLineChars="200"/>
        <w:textAlignment w:val="bottom"/>
        <w:rPr>
          <w:szCs w:val="21"/>
          <w:highlight w:val="none"/>
        </w:rPr>
      </w:pPr>
      <w:r>
        <w:rPr>
          <w:rFonts w:hint="eastAsia"/>
          <w:szCs w:val="21"/>
          <w:highlight w:val="none"/>
        </w:rPr>
        <w:t>30.1 如果承包人将本项目转让或者未经业主同意私自分包出去</w:t>
      </w:r>
      <w:r>
        <w:rPr>
          <w:szCs w:val="21"/>
          <w:highlight w:val="none"/>
        </w:rPr>
        <w:t>，</w:t>
      </w:r>
      <w:r>
        <w:rPr>
          <w:rFonts w:hint="eastAsia"/>
          <w:szCs w:val="21"/>
          <w:highlight w:val="none"/>
        </w:rPr>
        <w:t>业主将有权中止合同</w:t>
      </w:r>
      <w:r>
        <w:rPr>
          <w:szCs w:val="21"/>
          <w:highlight w:val="none"/>
        </w:rPr>
        <w:t>，</w:t>
      </w:r>
      <w:r>
        <w:rPr>
          <w:rFonts w:hint="eastAsia"/>
          <w:szCs w:val="21"/>
          <w:highlight w:val="none"/>
        </w:rPr>
        <w:t>并按合同价的5%~10%扣除承包人的违约金。</w:t>
      </w:r>
    </w:p>
    <w:p>
      <w:pPr>
        <w:spacing w:line="360" w:lineRule="auto"/>
        <w:ind w:firstLine="420" w:firstLineChars="200"/>
        <w:textAlignment w:val="bottom"/>
        <w:rPr>
          <w:szCs w:val="21"/>
          <w:highlight w:val="none"/>
        </w:rPr>
      </w:pPr>
      <w:r>
        <w:rPr>
          <w:rFonts w:hint="eastAsia"/>
          <w:szCs w:val="21"/>
          <w:highlight w:val="none"/>
        </w:rPr>
        <w:t>30.2承包人未按照国家相应的现行的强制性技术标准或规范、规程进行设计开发，业主将按合同价的5%~10%扣除承包人的违约金。</w:t>
      </w:r>
    </w:p>
    <w:p>
      <w:pPr>
        <w:spacing w:line="360" w:lineRule="auto"/>
        <w:ind w:firstLine="420" w:firstLineChars="200"/>
        <w:textAlignment w:val="bottom"/>
        <w:rPr>
          <w:szCs w:val="21"/>
          <w:highlight w:val="none"/>
        </w:rPr>
      </w:pPr>
      <w:r>
        <w:rPr>
          <w:rFonts w:hint="eastAsia"/>
          <w:szCs w:val="21"/>
          <w:highlight w:val="none"/>
        </w:rPr>
        <w:t>30.3若设计开发成果质量低劣或承包人工作不能达到业主满意的程度，业主可单方面终止合同，停止支付，而无须承担任何责任。因承包人的工作对工程造成损害的，承包人必须负责修复和赔偿。</w:t>
      </w:r>
    </w:p>
    <w:p>
      <w:pPr>
        <w:spacing w:line="360" w:lineRule="auto"/>
        <w:ind w:firstLine="420" w:firstLineChars="200"/>
        <w:textAlignment w:val="bottom"/>
        <w:rPr>
          <w:szCs w:val="21"/>
          <w:highlight w:val="none"/>
        </w:rPr>
      </w:pPr>
      <w:r>
        <w:rPr>
          <w:rFonts w:hint="eastAsia"/>
          <w:szCs w:val="21"/>
          <w:highlight w:val="none"/>
        </w:rPr>
        <w:t>30.4所有违约金或赔偿金均可在业主应付的任何费用或履约担保中扣除。</w:t>
      </w:r>
    </w:p>
    <w:p>
      <w:pPr>
        <w:pStyle w:val="7"/>
        <w:rPr>
          <w:rFonts w:ascii="宋体" w:hAnsi="宋体"/>
          <w:sz w:val="21"/>
          <w:szCs w:val="21"/>
          <w:highlight w:val="none"/>
        </w:rPr>
      </w:pPr>
      <w:bookmarkStart w:id="461" w:name="_Toc37246803"/>
      <w:r>
        <w:rPr>
          <w:rFonts w:hint="eastAsia" w:ascii="宋体" w:hAnsi="宋体"/>
          <w:sz w:val="21"/>
          <w:szCs w:val="21"/>
          <w:highlight w:val="none"/>
        </w:rPr>
        <w:t>七、其他</w:t>
      </w:r>
      <w:bookmarkEnd w:id="461"/>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31、 法律</w:t>
      </w:r>
    </w:p>
    <w:p>
      <w:pPr>
        <w:spacing w:line="360" w:lineRule="auto"/>
        <w:ind w:firstLine="420" w:firstLineChars="200"/>
        <w:rPr>
          <w:rFonts w:ascii="宋体" w:hAnsi="宋体"/>
          <w:szCs w:val="21"/>
          <w:highlight w:val="none"/>
        </w:rPr>
      </w:pPr>
      <w:r>
        <w:rPr>
          <w:rFonts w:hint="eastAsia"/>
          <w:szCs w:val="21"/>
          <w:highlight w:val="none"/>
        </w:rPr>
        <w:t>31.1</w:t>
      </w:r>
      <w:r>
        <w:rPr>
          <w:rFonts w:hint="eastAsia" w:ascii="宋体" w:hAnsi="宋体"/>
          <w:szCs w:val="21"/>
          <w:highlight w:val="none"/>
        </w:rPr>
        <w:t>承包人应遵守国家关于计算机软件开发和知识产权保护的法律法规，本合同条款未尽事宜，合同双方应参照有关法律法规执行。</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32、 知识产权</w:t>
      </w:r>
    </w:p>
    <w:p>
      <w:pPr>
        <w:spacing w:line="360" w:lineRule="auto"/>
        <w:ind w:firstLine="420" w:firstLineChars="200"/>
        <w:rPr>
          <w:rFonts w:ascii="宋体" w:hAnsi="宋体"/>
          <w:szCs w:val="21"/>
          <w:highlight w:val="none"/>
        </w:rPr>
      </w:pPr>
      <w:r>
        <w:rPr>
          <w:rFonts w:hint="eastAsia"/>
          <w:szCs w:val="21"/>
          <w:highlight w:val="none"/>
        </w:rPr>
        <w:t>32.1</w:t>
      </w:r>
      <w:r>
        <w:rPr>
          <w:rFonts w:hint="eastAsia" w:ascii="宋体" w:hAnsi="宋体"/>
          <w:szCs w:val="21"/>
          <w:highlight w:val="none"/>
        </w:rPr>
        <w:t xml:space="preserve"> 承包人应保证不会出现任何第三方对承包人所提供的所有软件（含因开发需要采购的中间件、操作系统等平台软件）提出知识产权争议。若出现上述争议，一律由承包方负责解决争议全部责任。由此发生的一切费用均由承包人承担。</w:t>
      </w:r>
    </w:p>
    <w:p>
      <w:pPr>
        <w:spacing w:line="360" w:lineRule="auto"/>
        <w:ind w:firstLine="420" w:firstLineChars="200"/>
        <w:rPr>
          <w:rFonts w:ascii="宋体" w:hAnsi="宋体"/>
          <w:szCs w:val="21"/>
          <w:highlight w:val="none"/>
        </w:rPr>
      </w:pPr>
      <w:r>
        <w:rPr>
          <w:rFonts w:hint="eastAsia"/>
          <w:szCs w:val="21"/>
          <w:highlight w:val="none"/>
        </w:rPr>
        <w:t xml:space="preserve">32.2 </w:t>
      </w:r>
      <w:r>
        <w:rPr>
          <w:rFonts w:hint="eastAsia" w:ascii="宋体" w:hAnsi="宋体"/>
          <w:szCs w:val="21"/>
          <w:highlight w:val="none"/>
        </w:rPr>
        <w:t>承包人承诺由承包人根据本合同所开发的系统软件的知识产权在交付使用时即归业主所有，因开发需要采购的中间件、操作系统等平台软件除外。承包人在其开发的应用软件交付使用时应将该软件的完整可执行代码、完整源代码及所有技术文档一并提供给业主。</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33、利益的冲突</w:t>
      </w:r>
    </w:p>
    <w:p>
      <w:pPr>
        <w:spacing w:line="360" w:lineRule="auto"/>
        <w:ind w:firstLine="420" w:firstLineChars="200"/>
        <w:textAlignment w:val="bottom"/>
        <w:rPr>
          <w:szCs w:val="21"/>
          <w:highlight w:val="none"/>
        </w:rPr>
      </w:pPr>
      <w:r>
        <w:rPr>
          <w:rFonts w:hint="eastAsia"/>
          <w:szCs w:val="21"/>
          <w:highlight w:val="none"/>
        </w:rPr>
        <w:t>33.1除合同另有规定外，承包人及其雇员不应接受本合同规定以外的与本项目有关的利益和报酬; 承包人不得参与与业主的利益相冲突的任何活动</w:t>
      </w:r>
      <w:r>
        <w:rPr>
          <w:szCs w:val="21"/>
          <w:highlight w:val="none"/>
        </w:rPr>
        <w:t>。</w:t>
      </w:r>
    </w:p>
    <w:p>
      <w:pPr>
        <w:pStyle w:val="8"/>
        <w:tabs>
          <w:tab w:val="left" w:pos="1391"/>
        </w:tabs>
        <w:spacing w:line="360" w:lineRule="auto"/>
        <w:jc w:val="left"/>
        <w:rPr>
          <w:rFonts w:ascii="宋体" w:hAnsi="宋体" w:eastAsia="宋体"/>
          <w:b/>
          <w:bCs/>
          <w:sz w:val="21"/>
          <w:highlight w:val="none"/>
        </w:rPr>
      </w:pPr>
      <w:r>
        <w:rPr>
          <w:rFonts w:hint="eastAsia" w:ascii="宋体" w:hAnsi="宋体" w:eastAsia="宋体"/>
          <w:b/>
          <w:bCs/>
          <w:sz w:val="21"/>
          <w:highlight w:val="none"/>
        </w:rPr>
        <w:t>34、争议解决</w:t>
      </w:r>
    </w:p>
    <w:p>
      <w:pPr>
        <w:spacing w:line="360" w:lineRule="auto"/>
        <w:ind w:firstLine="420" w:firstLineChars="200"/>
        <w:textAlignment w:val="bottom"/>
        <w:rPr>
          <w:szCs w:val="21"/>
          <w:highlight w:val="none"/>
        </w:rPr>
      </w:pPr>
      <w:r>
        <w:rPr>
          <w:rFonts w:hint="eastAsia"/>
          <w:szCs w:val="21"/>
          <w:highlight w:val="none"/>
        </w:rPr>
        <w:t>34.1本合同在执行过程中如有分歧，由双方协商解决。</w:t>
      </w:r>
    </w:p>
    <w:p>
      <w:pPr>
        <w:spacing w:line="360" w:lineRule="auto"/>
        <w:ind w:firstLine="420" w:firstLineChars="200"/>
        <w:textAlignment w:val="bottom"/>
        <w:rPr>
          <w:szCs w:val="21"/>
          <w:highlight w:val="none"/>
        </w:rPr>
      </w:pPr>
      <w:r>
        <w:rPr>
          <w:rFonts w:hint="eastAsia"/>
          <w:szCs w:val="21"/>
          <w:highlight w:val="none"/>
        </w:rPr>
        <w:t>34.2协商未果,可提请南通仲裁委员会仲裁。</w:t>
      </w:r>
    </w:p>
    <w:p>
      <w:pPr>
        <w:snapToGrid w:val="0"/>
        <w:spacing w:line="300" w:lineRule="auto"/>
        <w:contextualSpacing/>
        <w:rPr>
          <w:szCs w:val="21"/>
          <w:highlight w:val="none"/>
        </w:rPr>
      </w:pPr>
    </w:p>
    <w:p>
      <w:pPr>
        <w:snapToGrid w:val="0"/>
        <w:spacing w:line="300" w:lineRule="auto"/>
        <w:contextualSpacing/>
        <w:rPr>
          <w:szCs w:val="21"/>
          <w:highlight w:val="none"/>
        </w:rPr>
      </w:pPr>
    </w:p>
    <w:p>
      <w:pPr>
        <w:jc w:val="center"/>
        <w:rPr>
          <w:b/>
          <w:bCs/>
          <w:sz w:val="30"/>
          <w:szCs w:val="21"/>
          <w:highlight w:val="none"/>
        </w:rPr>
      </w:pPr>
      <w:r>
        <w:rPr>
          <w:rFonts w:ascii="宋体" w:hAnsi="宋体"/>
          <w:sz w:val="28"/>
          <w:szCs w:val="28"/>
          <w:highlight w:val="none"/>
        </w:rPr>
        <w:br w:type="page"/>
      </w:r>
      <w:r>
        <w:rPr>
          <w:rFonts w:hint="eastAsia"/>
          <w:b/>
          <w:bCs/>
          <w:sz w:val="30"/>
          <w:highlight w:val="none"/>
        </w:rPr>
        <w:t>合同协议书</w:t>
      </w:r>
    </w:p>
    <w:p>
      <w:pPr>
        <w:spacing w:line="360" w:lineRule="auto"/>
        <w:rPr>
          <w:b/>
          <w:bCs/>
          <w:szCs w:val="21"/>
          <w:highlight w:val="none"/>
        </w:rPr>
      </w:pPr>
    </w:p>
    <w:p>
      <w:pPr>
        <w:adjustRightInd w:val="0"/>
        <w:snapToGrid w:val="0"/>
        <w:spacing w:line="360" w:lineRule="auto"/>
        <w:ind w:firstLine="420" w:firstLineChars="200"/>
        <w:rPr>
          <w:szCs w:val="21"/>
          <w:highlight w:val="none"/>
        </w:rPr>
      </w:pPr>
      <w:r>
        <w:rPr>
          <w:rFonts w:hint="eastAsia"/>
          <w:szCs w:val="21"/>
          <w:highlight w:val="none"/>
        </w:rPr>
        <w:t>本合同书由</w:t>
      </w:r>
      <w:r>
        <w:rPr>
          <w:rFonts w:hint="eastAsia"/>
          <w:szCs w:val="21"/>
          <w:highlight w:val="none"/>
          <w:u w:val="single"/>
        </w:rPr>
        <w:t>南通市公路事业发展中心</w:t>
      </w:r>
      <w:r>
        <w:rPr>
          <w:rFonts w:hint="eastAsia"/>
          <w:szCs w:val="21"/>
          <w:highlight w:val="none"/>
        </w:rPr>
        <w:t>（以下简称发包人）与（以下简称承包人）共同签署。</w:t>
      </w:r>
    </w:p>
    <w:p>
      <w:pPr>
        <w:adjustRightInd w:val="0"/>
        <w:snapToGrid w:val="0"/>
        <w:spacing w:line="360" w:lineRule="auto"/>
        <w:ind w:firstLine="420" w:firstLineChars="200"/>
        <w:rPr>
          <w:szCs w:val="21"/>
          <w:highlight w:val="none"/>
        </w:rPr>
      </w:pPr>
      <w:r>
        <w:rPr>
          <w:rFonts w:hint="eastAsia"/>
          <w:szCs w:val="21"/>
          <w:highlight w:val="none"/>
        </w:rPr>
        <w:t>鉴于发包人拟开展</w:t>
      </w:r>
      <w:r>
        <w:rPr>
          <w:rFonts w:hint="eastAsia"/>
          <w:szCs w:val="21"/>
          <w:highlight w:val="none"/>
          <w:u w:val="single"/>
        </w:rPr>
        <w:t>南通市公路事业发展中心如皋分中心党员政治生活馆重建项目</w:t>
      </w:r>
      <w:r>
        <w:rPr>
          <w:rFonts w:hint="eastAsia"/>
          <w:szCs w:val="21"/>
          <w:highlight w:val="none"/>
        </w:rPr>
        <w:t>的研究，并通过中标通知书接受了承包人为</w:t>
      </w:r>
      <w:r>
        <w:rPr>
          <w:rFonts w:hint="eastAsia"/>
          <w:szCs w:val="21"/>
          <w:highlight w:val="none"/>
          <w:u w:val="single"/>
        </w:rPr>
        <w:t>南通市公路事业发展中心如皋分中心党员政治生活馆重建项目</w:t>
      </w:r>
      <w:r>
        <w:rPr>
          <w:rFonts w:hint="eastAsia"/>
          <w:szCs w:val="21"/>
          <w:highlight w:val="none"/>
        </w:rPr>
        <w:t>所做的投标，双方达成如下协议：</w:t>
      </w:r>
    </w:p>
    <w:p>
      <w:pPr>
        <w:adjustRightInd w:val="0"/>
        <w:snapToGrid w:val="0"/>
        <w:spacing w:line="360" w:lineRule="auto"/>
        <w:ind w:firstLine="420" w:firstLineChars="200"/>
        <w:rPr>
          <w:szCs w:val="21"/>
          <w:highlight w:val="none"/>
        </w:rPr>
      </w:pPr>
      <w:r>
        <w:rPr>
          <w:rFonts w:hint="eastAsia"/>
          <w:szCs w:val="21"/>
          <w:highlight w:val="none"/>
        </w:rPr>
        <w:t>1、下列文件应作为本合同的组成部分：</w:t>
      </w:r>
    </w:p>
    <w:p>
      <w:pPr>
        <w:adjustRightInd w:val="0"/>
        <w:snapToGrid w:val="0"/>
        <w:spacing w:line="360" w:lineRule="auto"/>
        <w:ind w:firstLine="420" w:firstLineChars="200"/>
        <w:rPr>
          <w:highlight w:val="none"/>
        </w:rPr>
      </w:pPr>
      <w:r>
        <w:rPr>
          <w:rFonts w:hint="eastAsia"/>
          <w:highlight w:val="none"/>
        </w:rPr>
        <w:t>(</w:t>
      </w:r>
      <w:r>
        <w:rPr>
          <w:highlight w:val="none"/>
        </w:rPr>
        <w:t>1)</w:t>
      </w:r>
      <w:r>
        <w:rPr>
          <w:rFonts w:hint="eastAsia"/>
          <w:highlight w:val="none"/>
        </w:rPr>
        <w:t>合同协议书及附件（含补遗书等澄清文件，如果有）；</w:t>
      </w:r>
    </w:p>
    <w:p>
      <w:pPr>
        <w:adjustRightInd w:val="0"/>
        <w:snapToGrid w:val="0"/>
        <w:spacing w:line="360" w:lineRule="auto"/>
        <w:ind w:firstLine="420" w:firstLineChars="200"/>
        <w:rPr>
          <w:highlight w:val="none"/>
        </w:rPr>
      </w:pPr>
      <w:r>
        <w:rPr>
          <w:highlight w:val="none"/>
        </w:rPr>
        <w:t>(2)</w:t>
      </w:r>
      <w:r>
        <w:rPr>
          <w:rFonts w:hint="eastAsia"/>
          <w:highlight w:val="none"/>
        </w:rPr>
        <w:t>中标通知书；</w:t>
      </w:r>
    </w:p>
    <w:p>
      <w:pPr>
        <w:adjustRightInd w:val="0"/>
        <w:snapToGrid w:val="0"/>
        <w:spacing w:line="360" w:lineRule="auto"/>
        <w:ind w:firstLine="420" w:firstLineChars="200"/>
        <w:rPr>
          <w:highlight w:val="none"/>
        </w:rPr>
      </w:pPr>
      <w:r>
        <w:rPr>
          <w:rFonts w:hint="eastAsia"/>
          <w:highlight w:val="none"/>
        </w:rPr>
        <w:t>(</w:t>
      </w:r>
      <w:r>
        <w:rPr>
          <w:highlight w:val="none"/>
        </w:rPr>
        <w:t>3)</w:t>
      </w:r>
      <w:r>
        <w:rPr>
          <w:rFonts w:hint="eastAsia"/>
          <w:highlight w:val="none"/>
        </w:rPr>
        <w:t>投标书；</w:t>
      </w:r>
    </w:p>
    <w:p>
      <w:pPr>
        <w:adjustRightInd w:val="0"/>
        <w:snapToGrid w:val="0"/>
        <w:spacing w:line="360" w:lineRule="auto"/>
        <w:ind w:firstLine="420" w:firstLineChars="200"/>
        <w:rPr>
          <w:highlight w:val="none"/>
        </w:rPr>
      </w:pPr>
      <w:r>
        <w:rPr>
          <w:rFonts w:hint="eastAsia"/>
          <w:highlight w:val="none"/>
        </w:rPr>
        <w:t>(</w:t>
      </w:r>
      <w:r>
        <w:rPr>
          <w:highlight w:val="none"/>
        </w:rPr>
        <w:t>4)</w:t>
      </w:r>
      <w:r>
        <w:rPr>
          <w:rFonts w:hint="eastAsia"/>
          <w:highlight w:val="none"/>
        </w:rPr>
        <w:t>合同条款；</w:t>
      </w:r>
    </w:p>
    <w:p>
      <w:pPr>
        <w:adjustRightInd w:val="0"/>
        <w:snapToGrid w:val="0"/>
        <w:spacing w:line="360" w:lineRule="auto"/>
        <w:ind w:firstLine="420" w:firstLineChars="200"/>
        <w:rPr>
          <w:highlight w:val="none"/>
        </w:rPr>
      </w:pPr>
      <w:r>
        <w:rPr>
          <w:rFonts w:hint="eastAsia"/>
          <w:highlight w:val="none"/>
        </w:rPr>
        <w:t>(</w:t>
      </w:r>
      <w:r>
        <w:rPr>
          <w:highlight w:val="none"/>
        </w:rPr>
        <w:t>5)</w:t>
      </w:r>
      <w:r>
        <w:rPr>
          <w:rFonts w:hint="eastAsia"/>
          <w:highlight w:val="none"/>
        </w:rPr>
        <w:t>项目任务书；</w:t>
      </w:r>
    </w:p>
    <w:p>
      <w:pPr>
        <w:adjustRightInd w:val="0"/>
        <w:snapToGrid w:val="0"/>
        <w:spacing w:line="360" w:lineRule="auto"/>
        <w:ind w:firstLine="420" w:firstLineChars="200"/>
        <w:rPr>
          <w:highlight w:val="none"/>
        </w:rPr>
      </w:pPr>
      <w:r>
        <w:rPr>
          <w:rFonts w:hint="eastAsia"/>
          <w:highlight w:val="none"/>
        </w:rPr>
        <w:t>(</w:t>
      </w:r>
      <w:r>
        <w:rPr>
          <w:highlight w:val="none"/>
        </w:rPr>
        <w:t>6)</w:t>
      </w:r>
      <w:r>
        <w:rPr>
          <w:rFonts w:hint="eastAsia"/>
          <w:highlight w:val="none"/>
        </w:rPr>
        <w:t>技术标准与规范；</w:t>
      </w:r>
    </w:p>
    <w:p>
      <w:pPr>
        <w:adjustRightInd w:val="0"/>
        <w:snapToGrid w:val="0"/>
        <w:spacing w:line="360" w:lineRule="auto"/>
        <w:ind w:firstLine="420" w:firstLineChars="200"/>
        <w:rPr>
          <w:highlight w:val="none"/>
        </w:rPr>
      </w:pPr>
      <w:r>
        <w:rPr>
          <w:rFonts w:hint="eastAsia"/>
          <w:highlight w:val="none"/>
        </w:rPr>
        <w:t>(</w:t>
      </w:r>
      <w:r>
        <w:rPr>
          <w:highlight w:val="none"/>
        </w:rPr>
        <w:t>7)</w:t>
      </w:r>
      <w:r>
        <w:rPr>
          <w:rFonts w:hint="eastAsia"/>
          <w:highlight w:val="none"/>
        </w:rPr>
        <w:t>研究工作量及报价清单；</w:t>
      </w:r>
    </w:p>
    <w:p>
      <w:pPr>
        <w:adjustRightInd w:val="0"/>
        <w:snapToGrid w:val="0"/>
        <w:spacing w:line="360" w:lineRule="auto"/>
        <w:ind w:firstLine="420" w:firstLineChars="200"/>
        <w:rPr>
          <w:highlight w:val="none"/>
        </w:rPr>
      </w:pPr>
      <w:r>
        <w:rPr>
          <w:rFonts w:hint="eastAsia"/>
          <w:highlight w:val="none"/>
        </w:rPr>
        <w:t>(</w:t>
      </w:r>
      <w:r>
        <w:rPr>
          <w:highlight w:val="none"/>
        </w:rPr>
        <w:t>8)</w:t>
      </w:r>
      <w:r>
        <w:rPr>
          <w:rFonts w:hint="eastAsia"/>
          <w:highlight w:val="none"/>
        </w:rPr>
        <w:t>项目负责人及项目主要参与人员的基本情况；</w:t>
      </w:r>
    </w:p>
    <w:p>
      <w:pPr>
        <w:adjustRightInd w:val="0"/>
        <w:snapToGrid w:val="0"/>
        <w:spacing w:line="360" w:lineRule="auto"/>
        <w:ind w:firstLine="420" w:firstLineChars="200"/>
        <w:rPr>
          <w:highlight w:val="none"/>
        </w:rPr>
      </w:pPr>
      <w:r>
        <w:rPr>
          <w:rFonts w:hint="eastAsia"/>
          <w:highlight w:val="none"/>
        </w:rPr>
        <w:t>(</w:t>
      </w:r>
      <w:r>
        <w:rPr>
          <w:highlight w:val="none"/>
        </w:rPr>
        <w:t>9)</w:t>
      </w:r>
      <w:r>
        <w:rPr>
          <w:rFonts w:hint="eastAsia"/>
          <w:highlight w:val="none"/>
        </w:rPr>
        <w:t>工作大纲；</w:t>
      </w:r>
    </w:p>
    <w:p>
      <w:pPr>
        <w:adjustRightInd w:val="0"/>
        <w:snapToGrid w:val="0"/>
        <w:spacing w:line="360" w:lineRule="auto"/>
        <w:ind w:firstLine="420" w:firstLineChars="200"/>
        <w:rPr>
          <w:highlight w:val="none"/>
        </w:rPr>
      </w:pPr>
      <w:r>
        <w:rPr>
          <w:rFonts w:hint="eastAsia"/>
          <w:highlight w:val="none"/>
        </w:rPr>
        <w:t>(</w:t>
      </w:r>
      <w:r>
        <w:rPr>
          <w:highlight w:val="none"/>
        </w:rPr>
        <w:t>10)</w:t>
      </w:r>
      <w:r>
        <w:rPr>
          <w:rFonts w:hint="eastAsia"/>
          <w:highlight w:val="none"/>
        </w:rPr>
        <w:t>构成合同的其它文件。</w:t>
      </w:r>
    </w:p>
    <w:p>
      <w:pPr>
        <w:adjustRightInd w:val="0"/>
        <w:snapToGrid w:val="0"/>
        <w:spacing w:line="360" w:lineRule="auto"/>
        <w:ind w:firstLine="420" w:firstLineChars="200"/>
        <w:rPr>
          <w:szCs w:val="21"/>
          <w:highlight w:val="none"/>
        </w:rPr>
      </w:pPr>
      <w:r>
        <w:rPr>
          <w:rFonts w:hint="eastAsia"/>
          <w:szCs w:val="21"/>
          <w:highlight w:val="none"/>
        </w:rPr>
        <w:t>上述文件应认为是互为补充和解释的，但如有不明确或不一致之处，以上面所列顺序在前者为准。</w:t>
      </w:r>
    </w:p>
    <w:p>
      <w:pPr>
        <w:tabs>
          <w:tab w:val="left" w:pos="1260"/>
        </w:tabs>
        <w:adjustRightInd w:val="0"/>
        <w:snapToGrid w:val="0"/>
        <w:spacing w:line="360" w:lineRule="auto"/>
        <w:ind w:firstLine="420" w:firstLineChars="200"/>
        <w:rPr>
          <w:highlight w:val="none"/>
        </w:rPr>
      </w:pPr>
      <w:r>
        <w:rPr>
          <w:rFonts w:hint="eastAsia"/>
          <w:szCs w:val="21"/>
          <w:highlight w:val="none"/>
        </w:rPr>
        <w:t>2、本项目</w:t>
      </w:r>
      <w:r>
        <w:rPr>
          <w:rFonts w:hint="eastAsia" w:ascii="宋体" w:hAnsi="宋体"/>
          <w:highlight w:val="none"/>
        </w:rPr>
        <w:t>签约合同价：人民币（大写）：元（</w:t>
      </w:r>
      <w:r>
        <w:rPr>
          <w:rFonts w:ascii="宋体" w:hAnsi="宋体"/>
          <w:highlight w:val="none"/>
        </w:rPr>
        <w:t>¥</w:t>
      </w:r>
      <w:r>
        <w:rPr>
          <w:rFonts w:hint="eastAsia" w:ascii="宋体" w:hAnsi="宋体"/>
          <w:highlight w:val="none"/>
        </w:rPr>
        <w:t>：）。</w:t>
      </w:r>
    </w:p>
    <w:p>
      <w:pPr>
        <w:tabs>
          <w:tab w:val="left" w:pos="1800"/>
        </w:tabs>
        <w:snapToGrid w:val="0"/>
        <w:spacing w:line="360" w:lineRule="auto"/>
        <w:ind w:firstLine="426"/>
        <w:rPr>
          <w:highlight w:val="none"/>
        </w:rPr>
      </w:pPr>
      <w:r>
        <w:rPr>
          <w:rFonts w:hint="eastAsia"/>
          <w:highlight w:val="none"/>
        </w:rPr>
        <w:t>3、项目负责人为，主要人员名单详见附件。</w:t>
      </w:r>
    </w:p>
    <w:p>
      <w:pPr>
        <w:snapToGrid w:val="0"/>
        <w:spacing w:line="360" w:lineRule="auto"/>
        <w:ind w:firstLine="420" w:firstLineChars="200"/>
        <w:rPr>
          <w:szCs w:val="21"/>
          <w:highlight w:val="none"/>
        </w:rPr>
      </w:pPr>
      <w:r>
        <w:rPr>
          <w:szCs w:val="21"/>
          <w:highlight w:val="none"/>
        </w:rPr>
        <w:t>4</w:t>
      </w:r>
      <w:r>
        <w:rPr>
          <w:rFonts w:hint="eastAsia"/>
          <w:szCs w:val="21"/>
          <w:highlight w:val="none"/>
        </w:rPr>
        <w:t>、项目进度安排：</w:t>
      </w:r>
    </w:p>
    <w:p>
      <w:pPr>
        <w:snapToGrid w:val="0"/>
        <w:spacing w:line="360" w:lineRule="auto"/>
        <w:ind w:firstLine="420" w:firstLineChars="200"/>
        <w:rPr>
          <w:szCs w:val="21"/>
          <w:highlight w:val="none"/>
          <w:shd w:val="clear" w:color="auto" w:fill="FFFFFF"/>
        </w:rPr>
      </w:pPr>
      <w:r>
        <w:rPr>
          <w:rFonts w:hint="eastAsia"/>
          <w:szCs w:val="21"/>
          <w:highlight w:val="none"/>
          <w:shd w:val="clear" w:color="auto" w:fill="FFFFFF"/>
        </w:rPr>
        <w:t>合同签定后，一个星期内开工。预期工期两个月(其中11月底前需完成全部设备的安装调试工作。工程项目通过验收后1年免费维修</w:t>
      </w:r>
    </w:p>
    <w:p>
      <w:pPr>
        <w:snapToGrid w:val="0"/>
        <w:spacing w:line="360" w:lineRule="auto"/>
        <w:ind w:firstLine="420" w:firstLineChars="200"/>
        <w:rPr>
          <w:szCs w:val="21"/>
          <w:highlight w:val="none"/>
          <w:shd w:val="clear" w:color="auto" w:fill="FFFFFF"/>
        </w:rPr>
      </w:pPr>
      <w:r>
        <w:rPr>
          <w:rFonts w:hint="eastAsia"/>
          <w:szCs w:val="21"/>
          <w:highlight w:val="none"/>
          <w:shd w:val="clear" w:color="auto" w:fill="FFFFFF"/>
        </w:rPr>
        <w:t>5、质量要求：详见项目需求。</w:t>
      </w:r>
    </w:p>
    <w:p>
      <w:pPr>
        <w:adjustRightInd w:val="0"/>
        <w:snapToGrid w:val="0"/>
        <w:spacing w:line="360" w:lineRule="auto"/>
        <w:ind w:firstLine="420" w:firstLineChars="200"/>
        <w:rPr>
          <w:szCs w:val="21"/>
          <w:highlight w:val="none"/>
        </w:rPr>
      </w:pPr>
      <w:r>
        <w:rPr>
          <w:rFonts w:hint="eastAsia"/>
          <w:szCs w:val="21"/>
          <w:highlight w:val="none"/>
        </w:rPr>
        <w:t>6、支付：</w:t>
      </w:r>
    </w:p>
    <w:p>
      <w:pPr>
        <w:adjustRightInd w:val="0"/>
        <w:snapToGrid w:val="0"/>
        <w:spacing w:line="360" w:lineRule="auto"/>
        <w:ind w:firstLine="420" w:firstLineChars="200"/>
        <w:rPr>
          <w:szCs w:val="21"/>
          <w:highlight w:val="none"/>
        </w:rPr>
      </w:pPr>
      <w:r>
        <w:rPr>
          <w:rFonts w:hint="eastAsia"/>
          <w:szCs w:val="21"/>
          <w:highlight w:val="none"/>
        </w:rPr>
        <w:t>本项目为总价合同，合同价为元（大写元）</w:t>
      </w:r>
    </w:p>
    <w:p>
      <w:pPr>
        <w:adjustRightInd w:val="0"/>
        <w:snapToGrid w:val="0"/>
        <w:spacing w:line="360" w:lineRule="auto"/>
        <w:ind w:firstLine="420" w:firstLineChars="200"/>
        <w:jc w:val="left"/>
        <w:rPr>
          <w:szCs w:val="21"/>
          <w:highlight w:val="none"/>
        </w:rPr>
      </w:pPr>
      <w:r>
        <w:rPr>
          <w:rFonts w:hint="eastAsia"/>
          <w:szCs w:val="21"/>
          <w:highlight w:val="none"/>
        </w:rPr>
        <w:t>11月底前完成全部设备的安装调试工作后支付至合同总价的60%，项目交工验收合格并经审计核定后付至审定价的97％，余款在缺陷责任期满后一个月内付清。以上付款均不计利息</w:t>
      </w:r>
    </w:p>
    <w:p>
      <w:pPr>
        <w:adjustRightInd w:val="0"/>
        <w:snapToGrid w:val="0"/>
        <w:spacing w:line="360" w:lineRule="auto"/>
        <w:ind w:firstLine="420" w:firstLineChars="200"/>
        <w:rPr>
          <w:szCs w:val="21"/>
          <w:highlight w:val="none"/>
        </w:rPr>
      </w:pPr>
      <w:r>
        <w:rPr>
          <w:rFonts w:hint="eastAsia"/>
          <w:szCs w:val="21"/>
          <w:highlight w:val="none"/>
        </w:rPr>
        <w:t>7</w:t>
      </w:r>
      <w:r>
        <w:rPr>
          <w:szCs w:val="21"/>
          <w:highlight w:val="none"/>
        </w:rPr>
        <w:t>、</w:t>
      </w:r>
      <w:r>
        <w:rPr>
          <w:rFonts w:hint="eastAsia"/>
          <w:szCs w:val="21"/>
          <w:highlight w:val="none"/>
        </w:rPr>
        <w:t>发包人和承包人双方的责任和义务及违约条款遵照合同条款的规定。</w:t>
      </w:r>
    </w:p>
    <w:p>
      <w:pPr>
        <w:spacing w:line="360" w:lineRule="auto"/>
        <w:ind w:firstLine="439"/>
        <w:rPr>
          <w:highlight w:val="none"/>
        </w:rPr>
      </w:pPr>
      <w:r>
        <w:rPr>
          <w:rFonts w:hint="eastAsia"/>
          <w:szCs w:val="21"/>
          <w:highlight w:val="none"/>
        </w:rPr>
        <w:t>8、</w:t>
      </w:r>
      <w:r>
        <w:rPr>
          <w:rFonts w:hint="eastAsia"/>
          <w:highlight w:val="none"/>
        </w:rPr>
        <w:t>承包人承诺按合同约定承担本项目的相关服务。</w:t>
      </w:r>
    </w:p>
    <w:p>
      <w:pPr>
        <w:spacing w:line="360" w:lineRule="auto"/>
        <w:ind w:firstLine="439"/>
        <w:rPr>
          <w:highlight w:val="none"/>
        </w:rPr>
      </w:pPr>
      <w:r>
        <w:rPr>
          <w:rFonts w:hint="eastAsia"/>
          <w:highlight w:val="none"/>
        </w:rPr>
        <w:t>9、作为完成本合同的报酬，业主在此立约，保证按照本合同规定的时间和方式向承包人支付合同价款。</w:t>
      </w:r>
    </w:p>
    <w:p>
      <w:pPr>
        <w:spacing w:line="360" w:lineRule="auto"/>
        <w:ind w:firstLine="439"/>
        <w:rPr>
          <w:highlight w:val="none"/>
        </w:rPr>
      </w:pPr>
      <w:r>
        <w:rPr>
          <w:rFonts w:hint="eastAsia"/>
          <w:highlight w:val="none"/>
        </w:rPr>
        <w:t>10、本协议书在承包人提供履约担保后，由双方法定代表人或其授权的代理人签字并加盖公章后生效，缺陷责任终止后失效。</w:t>
      </w:r>
    </w:p>
    <w:p>
      <w:pPr>
        <w:spacing w:line="360" w:lineRule="auto"/>
        <w:ind w:firstLine="439"/>
        <w:rPr>
          <w:highlight w:val="none"/>
        </w:rPr>
      </w:pPr>
      <w:r>
        <w:rPr>
          <w:rFonts w:hint="eastAsia"/>
          <w:highlight w:val="none"/>
        </w:rPr>
        <w:t>11、本协议书正本二份、副本四份，合同双方各执正本一份，副本贰份，当正本与副本内容不一致时，以正本为准。</w:t>
      </w:r>
    </w:p>
    <w:p>
      <w:pPr>
        <w:spacing w:line="360" w:lineRule="auto"/>
        <w:ind w:firstLine="439"/>
        <w:rPr>
          <w:highlight w:val="none"/>
        </w:rPr>
      </w:pPr>
      <w:r>
        <w:rPr>
          <w:rFonts w:hint="eastAsia"/>
          <w:highlight w:val="none"/>
        </w:rPr>
        <w:t>12、本合同协议书未尽事宜由双方协商解决。</w:t>
      </w:r>
    </w:p>
    <w:p>
      <w:pPr>
        <w:tabs>
          <w:tab w:val="left" w:pos="1260"/>
        </w:tabs>
        <w:rPr>
          <w:highlight w:val="none"/>
        </w:rPr>
      </w:pPr>
    </w:p>
    <w:p>
      <w:pPr>
        <w:tabs>
          <w:tab w:val="left" w:pos="1260"/>
        </w:tabs>
        <w:rPr>
          <w:highlight w:val="none"/>
        </w:rPr>
      </w:pPr>
    </w:p>
    <w:p>
      <w:pPr>
        <w:tabs>
          <w:tab w:val="left" w:pos="1260"/>
        </w:tabs>
        <w:rPr>
          <w:highlight w:val="none"/>
        </w:rPr>
      </w:pPr>
    </w:p>
    <w:p>
      <w:pPr>
        <w:tabs>
          <w:tab w:val="left" w:pos="1260"/>
        </w:tabs>
        <w:rPr>
          <w:highlight w:val="none"/>
        </w:rPr>
      </w:pPr>
    </w:p>
    <w:p>
      <w:pPr>
        <w:tabs>
          <w:tab w:val="left" w:pos="1260"/>
        </w:tabs>
        <w:rPr>
          <w:highlight w:val="none"/>
        </w:rPr>
      </w:pPr>
    </w:p>
    <w:p>
      <w:pPr>
        <w:tabs>
          <w:tab w:val="left" w:pos="1260"/>
        </w:tabs>
        <w:rPr>
          <w:highlight w:val="none"/>
        </w:rPr>
      </w:pPr>
    </w:p>
    <w:p>
      <w:pPr>
        <w:tabs>
          <w:tab w:val="left" w:pos="1260"/>
        </w:tabs>
        <w:rPr>
          <w:highlight w:val="none"/>
        </w:rPr>
      </w:pPr>
    </w:p>
    <w:p>
      <w:pPr>
        <w:spacing w:line="480" w:lineRule="auto"/>
        <w:rPr>
          <w:rFonts w:ascii="宋体" w:hAnsi="宋体"/>
          <w:szCs w:val="21"/>
          <w:highlight w:val="none"/>
        </w:rPr>
      </w:pPr>
      <w:r>
        <w:rPr>
          <w:rFonts w:hint="eastAsia" w:ascii="宋体" w:hAnsi="宋体"/>
          <w:szCs w:val="21"/>
          <w:highlight w:val="none"/>
        </w:rPr>
        <w:t>发包人：（盖单位章）          承包人：（盖单位章）</w:t>
      </w:r>
    </w:p>
    <w:p>
      <w:pPr>
        <w:spacing w:line="480" w:lineRule="auto"/>
        <w:rPr>
          <w:rFonts w:ascii="宋体" w:hAnsi="宋体"/>
          <w:szCs w:val="21"/>
          <w:highlight w:val="none"/>
        </w:rPr>
      </w:pPr>
      <w:r>
        <w:rPr>
          <w:rFonts w:hint="eastAsia" w:ascii="宋体" w:hAnsi="宋体"/>
          <w:szCs w:val="21"/>
          <w:highlight w:val="none"/>
        </w:rPr>
        <w:t>法定代表人或其委托代理人：（签字）        法定代表人或其委托代理人：（签字）</w:t>
      </w:r>
    </w:p>
    <w:p>
      <w:pPr>
        <w:spacing w:line="480" w:lineRule="auto"/>
        <w:ind w:firstLine="630" w:firstLineChars="300"/>
        <w:rPr>
          <w:rFonts w:ascii="宋体" w:hAnsi="宋体"/>
          <w:szCs w:val="21"/>
          <w:highlight w:val="none"/>
        </w:rPr>
      </w:pPr>
      <w:r>
        <w:rPr>
          <w:rFonts w:hint="eastAsia" w:ascii="宋体" w:hAnsi="宋体"/>
          <w:szCs w:val="21"/>
          <w:highlight w:val="none"/>
        </w:rPr>
        <w:t>年月日                          年月日</w:t>
      </w:r>
    </w:p>
    <w:p>
      <w:pPr>
        <w:tabs>
          <w:tab w:val="left" w:pos="4395"/>
          <w:tab w:val="left" w:pos="4678"/>
          <w:tab w:val="left" w:pos="4820"/>
        </w:tabs>
        <w:spacing w:line="460" w:lineRule="exact"/>
        <w:ind w:firstLine="360"/>
        <w:rPr>
          <w:b/>
          <w:spacing w:val="2"/>
          <w:sz w:val="24"/>
          <w:highlight w:val="none"/>
        </w:rPr>
        <w:sectPr>
          <w:pgSz w:w="11906" w:h="16838"/>
          <w:pgMar w:top="1440" w:right="1800" w:bottom="1440" w:left="1800" w:header="851" w:footer="992" w:gutter="0"/>
          <w:cols w:space="425" w:num="1"/>
          <w:docGrid w:type="lines" w:linePitch="312" w:charSpace="0"/>
        </w:sectPr>
      </w:pPr>
    </w:p>
    <w:p>
      <w:pPr>
        <w:spacing w:line="360" w:lineRule="auto"/>
        <w:jc w:val="center"/>
        <w:rPr>
          <w:b/>
          <w:bCs/>
          <w:sz w:val="28"/>
          <w:szCs w:val="28"/>
          <w:highlight w:val="none"/>
        </w:rPr>
      </w:pPr>
      <w:bookmarkStart w:id="462" w:name="_Toc43024026"/>
      <w:r>
        <w:rPr>
          <w:rFonts w:hint="eastAsia"/>
          <w:b/>
          <w:bCs/>
          <w:sz w:val="28"/>
          <w:szCs w:val="28"/>
          <w:highlight w:val="none"/>
        </w:rPr>
        <w:t>廉政合同</w:t>
      </w:r>
      <w:bookmarkEnd w:id="462"/>
      <w:r>
        <w:rPr>
          <w:rFonts w:hint="eastAsia"/>
          <w:b/>
          <w:bCs/>
          <w:sz w:val="28"/>
          <w:szCs w:val="28"/>
          <w:highlight w:val="none"/>
        </w:rPr>
        <w:t>协议书</w:t>
      </w:r>
    </w:p>
    <w:p>
      <w:pPr>
        <w:pStyle w:val="19"/>
        <w:adjustRightInd w:val="0"/>
        <w:snapToGrid w:val="0"/>
        <w:ind w:firstLine="420" w:firstLineChars="200"/>
        <w:rPr>
          <w:rFonts w:ascii="Times New Roman" w:hAnsi="Times New Roman"/>
          <w:snapToGrid w:val="0"/>
          <w:kern w:val="0"/>
          <w:highlight w:val="none"/>
        </w:rPr>
      </w:pPr>
      <w:r>
        <w:rPr>
          <w:rFonts w:hint="eastAsia" w:ascii="Times New Roman" w:hAnsi="Times New Roman"/>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Times New Roman" w:hAnsi="Times New Roman"/>
          <w:highlight w:val="none"/>
          <w:u w:val="single"/>
        </w:rPr>
        <w:t>南通市公路事业发展中心</w:t>
      </w:r>
      <w:r>
        <w:rPr>
          <w:rFonts w:hint="eastAsia" w:ascii="Times New Roman" w:hAnsi="Times New Roman"/>
          <w:highlight w:val="none"/>
        </w:rPr>
        <w:t>（以下称甲方）与（以下称乙方），特订立如下合同。</w:t>
      </w:r>
    </w:p>
    <w:p>
      <w:pPr>
        <w:adjustRightInd w:val="0"/>
        <w:snapToGrid w:val="0"/>
        <w:spacing w:beforeLines="15" w:afterLines="15" w:line="360" w:lineRule="auto"/>
        <w:ind w:firstLine="420" w:firstLineChars="200"/>
        <w:rPr>
          <w:szCs w:val="21"/>
          <w:highlight w:val="none"/>
        </w:rPr>
      </w:pPr>
      <w:r>
        <w:rPr>
          <w:rFonts w:hint="eastAsia"/>
          <w:szCs w:val="21"/>
          <w:highlight w:val="none"/>
        </w:rPr>
        <w:t>第一条甲方、乙方双方的权利和义务</w:t>
      </w:r>
    </w:p>
    <w:p>
      <w:pPr>
        <w:adjustRightInd w:val="0"/>
        <w:snapToGrid w:val="0"/>
        <w:spacing w:beforeLines="15" w:afterLines="15" w:line="360" w:lineRule="auto"/>
        <w:ind w:firstLine="420" w:firstLineChars="200"/>
        <w:rPr>
          <w:szCs w:val="21"/>
          <w:highlight w:val="none"/>
        </w:rPr>
      </w:pPr>
      <w:r>
        <w:rPr>
          <w:rFonts w:hint="eastAsia"/>
          <w:szCs w:val="21"/>
          <w:highlight w:val="none"/>
        </w:rPr>
        <w:t>（一）严格遵守党和国家有关法律法规及交通部的有关规定。</w:t>
      </w:r>
    </w:p>
    <w:p>
      <w:pPr>
        <w:adjustRightInd w:val="0"/>
        <w:snapToGrid w:val="0"/>
        <w:spacing w:beforeLines="15" w:afterLines="15" w:line="360" w:lineRule="auto"/>
        <w:ind w:firstLine="420" w:firstLineChars="200"/>
        <w:rPr>
          <w:szCs w:val="21"/>
          <w:highlight w:val="none"/>
        </w:rPr>
      </w:pPr>
      <w:r>
        <w:rPr>
          <w:rFonts w:hint="eastAsia"/>
          <w:szCs w:val="21"/>
          <w:highlight w:val="none"/>
        </w:rPr>
        <w:t>（二）严格遵守</w:t>
      </w:r>
      <w:r>
        <w:rPr>
          <w:rFonts w:hint="eastAsia"/>
          <w:szCs w:val="21"/>
          <w:highlight w:val="none"/>
          <w:u w:val="single"/>
        </w:rPr>
        <w:t>南通市公路事业发展中心如皋分中心党员政治生活馆重建项目</w:t>
      </w:r>
      <w:r>
        <w:rPr>
          <w:rFonts w:hint="eastAsia"/>
          <w:szCs w:val="21"/>
          <w:highlight w:val="none"/>
        </w:rPr>
        <w:t>的合同文件，自觉按合同办事。</w:t>
      </w:r>
    </w:p>
    <w:p>
      <w:pPr>
        <w:adjustRightInd w:val="0"/>
        <w:snapToGrid w:val="0"/>
        <w:spacing w:beforeLines="15" w:afterLines="15" w:line="360" w:lineRule="auto"/>
        <w:ind w:firstLine="420" w:firstLineChars="200"/>
        <w:rPr>
          <w:szCs w:val="21"/>
          <w:highlight w:val="none"/>
        </w:rPr>
      </w:pPr>
      <w:r>
        <w:rPr>
          <w:rFonts w:hint="eastAsia"/>
          <w:szCs w:val="21"/>
          <w:highlight w:val="none"/>
        </w:rPr>
        <w:t>（三）双方的业务活动坚持公开、公正、诚信、透明的原则（除法律认定的商业秘密和合同文件另有规定之外），不得损害国家和集体利益，违反工程建设管理规章制度。</w:t>
      </w:r>
    </w:p>
    <w:p>
      <w:pPr>
        <w:adjustRightInd w:val="0"/>
        <w:snapToGrid w:val="0"/>
        <w:spacing w:beforeLines="15" w:afterLines="15" w:line="360" w:lineRule="auto"/>
        <w:ind w:firstLine="420" w:firstLineChars="200"/>
        <w:rPr>
          <w:szCs w:val="21"/>
          <w:highlight w:val="none"/>
        </w:rPr>
      </w:pPr>
      <w:r>
        <w:rPr>
          <w:rFonts w:hint="eastAsia"/>
          <w:szCs w:val="21"/>
          <w:highlight w:val="none"/>
        </w:rPr>
        <w:t>（四）建立健全廉政制度，开展廉政教育，设立廉政告示牌，公布举报电话，监督并认真查处违法违纪行为。</w:t>
      </w:r>
    </w:p>
    <w:p>
      <w:pPr>
        <w:adjustRightInd w:val="0"/>
        <w:snapToGrid w:val="0"/>
        <w:spacing w:beforeLines="15" w:afterLines="15" w:line="360" w:lineRule="auto"/>
        <w:ind w:firstLine="420" w:firstLineChars="200"/>
        <w:rPr>
          <w:szCs w:val="21"/>
          <w:highlight w:val="none"/>
        </w:rPr>
      </w:pPr>
      <w:r>
        <w:rPr>
          <w:rFonts w:hint="eastAsia"/>
          <w:szCs w:val="21"/>
          <w:highlight w:val="none"/>
        </w:rPr>
        <w:t>（五）发现对方在业务活动中有违反廉政规定的行为，有及时提醒对方纠正的权利和义务。</w:t>
      </w:r>
    </w:p>
    <w:p>
      <w:pPr>
        <w:adjustRightInd w:val="0"/>
        <w:snapToGrid w:val="0"/>
        <w:spacing w:beforeLines="15" w:afterLines="15" w:line="360" w:lineRule="auto"/>
        <w:ind w:firstLine="420" w:firstLineChars="200"/>
        <w:rPr>
          <w:szCs w:val="21"/>
          <w:highlight w:val="none"/>
        </w:rPr>
      </w:pPr>
      <w:r>
        <w:rPr>
          <w:rFonts w:hint="eastAsia"/>
          <w:szCs w:val="21"/>
          <w:highlight w:val="none"/>
        </w:rPr>
        <w:t>（六）发现对方严重违反本合同义务条款的行为，有向其上级有关部门举报、建议给予处理并要求告之处理结果的权利。</w:t>
      </w:r>
    </w:p>
    <w:p>
      <w:pPr>
        <w:adjustRightInd w:val="0"/>
        <w:snapToGrid w:val="0"/>
        <w:spacing w:beforeLines="15" w:afterLines="15" w:line="360" w:lineRule="auto"/>
        <w:ind w:firstLine="420" w:firstLineChars="200"/>
        <w:rPr>
          <w:szCs w:val="21"/>
          <w:highlight w:val="none"/>
        </w:rPr>
      </w:pPr>
      <w:r>
        <w:rPr>
          <w:rFonts w:hint="eastAsia"/>
          <w:szCs w:val="21"/>
          <w:highlight w:val="none"/>
        </w:rPr>
        <w:t>第二条甲方的义务</w:t>
      </w:r>
    </w:p>
    <w:p>
      <w:pPr>
        <w:adjustRightInd w:val="0"/>
        <w:snapToGrid w:val="0"/>
        <w:spacing w:beforeLines="15" w:afterLines="15" w:line="360" w:lineRule="auto"/>
        <w:ind w:firstLine="420" w:firstLineChars="200"/>
        <w:rPr>
          <w:szCs w:val="21"/>
          <w:highlight w:val="none"/>
        </w:rPr>
      </w:pPr>
      <w:r>
        <w:rPr>
          <w:rFonts w:hint="eastAsia"/>
          <w:szCs w:val="21"/>
          <w:highlight w:val="none"/>
        </w:rPr>
        <w:t>（一）甲方及其工作人员不得索要或接受乙方的礼金、有价证券和贵重物品，不得由乙方报销任何应由甲方或个人支付的费用等。</w:t>
      </w:r>
    </w:p>
    <w:p>
      <w:pPr>
        <w:adjustRightInd w:val="0"/>
        <w:snapToGrid w:val="0"/>
        <w:spacing w:beforeLines="15" w:afterLines="15" w:line="360" w:lineRule="auto"/>
        <w:ind w:firstLine="420" w:firstLineChars="200"/>
        <w:rPr>
          <w:szCs w:val="21"/>
          <w:highlight w:val="none"/>
        </w:rPr>
      </w:pPr>
      <w:r>
        <w:rPr>
          <w:rFonts w:hint="eastAsia"/>
          <w:szCs w:val="21"/>
          <w:highlight w:val="none"/>
        </w:rPr>
        <w:t>（二）甲方工作人员不得参加乙方安排的宴请和娱乐活动；不得接受乙方提供的通讯工具、交通工具和高档办公用品等。</w:t>
      </w:r>
    </w:p>
    <w:p>
      <w:pPr>
        <w:adjustRightInd w:val="0"/>
        <w:snapToGrid w:val="0"/>
        <w:spacing w:beforeLines="15" w:afterLines="15" w:line="360" w:lineRule="auto"/>
        <w:ind w:firstLine="420" w:firstLineChars="200"/>
        <w:rPr>
          <w:szCs w:val="21"/>
          <w:highlight w:val="none"/>
        </w:rPr>
      </w:pPr>
      <w:r>
        <w:rPr>
          <w:rFonts w:hint="eastAsia"/>
          <w:szCs w:val="21"/>
          <w:highlight w:val="none"/>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beforeLines="15" w:afterLines="15" w:line="360" w:lineRule="auto"/>
        <w:ind w:firstLine="420" w:firstLineChars="200"/>
        <w:rPr>
          <w:szCs w:val="21"/>
          <w:highlight w:val="none"/>
        </w:rPr>
      </w:pPr>
      <w:r>
        <w:rPr>
          <w:rFonts w:hint="eastAsia"/>
          <w:szCs w:val="21"/>
          <w:highlight w:val="none"/>
        </w:rPr>
        <w:t>（四）甲方工作人员的配偶、子女不得从事与甲方工程有关的材料设备供应、工程分包、劳务等经济活动等。</w:t>
      </w:r>
    </w:p>
    <w:p>
      <w:pPr>
        <w:adjustRightInd w:val="0"/>
        <w:snapToGrid w:val="0"/>
        <w:spacing w:beforeLines="15" w:afterLines="15" w:line="360" w:lineRule="auto"/>
        <w:ind w:firstLine="420" w:firstLineChars="200"/>
        <w:rPr>
          <w:szCs w:val="21"/>
          <w:highlight w:val="none"/>
        </w:rPr>
      </w:pPr>
      <w:r>
        <w:rPr>
          <w:rFonts w:hint="eastAsia"/>
          <w:szCs w:val="21"/>
          <w:highlight w:val="none"/>
        </w:rPr>
        <w:t>（五）甲方及其工作人员不得以任何理由向乙方推荐分包单位，不得要求乙方购买合同规定外的材料和设备。</w:t>
      </w:r>
    </w:p>
    <w:p>
      <w:pPr>
        <w:adjustRightInd w:val="0"/>
        <w:snapToGrid w:val="0"/>
        <w:spacing w:beforeLines="15" w:afterLines="15" w:line="360" w:lineRule="auto"/>
        <w:ind w:firstLine="420" w:firstLineChars="200"/>
        <w:rPr>
          <w:szCs w:val="21"/>
          <w:highlight w:val="none"/>
        </w:rPr>
      </w:pPr>
      <w:r>
        <w:rPr>
          <w:rFonts w:hint="eastAsia"/>
          <w:szCs w:val="21"/>
          <w:highlight w:val="none"/>
        </w:rPr>
        <w:t>第三条乙方义务</w:t>
      </w:r>
    </w:p>
    <w:p>
      <w:pPr>
        <w:adjustRightInd w:val="0"/>
        <w:snapToGrid w:val="0"/>
        <w:spacing w:beforeLines="15" w:afterLines="15" w:line="360" w:lineRule="auto"/>
        <w:ind w:firstLine="420" w:firstLineChars="200"/>
        <w:rPr>
          <w:szCs w:val="21"/>
          <w:highlight w:val="none"/>
        </w:rPr>
      </w:pPr>
      <w:r>
        <w:rPr>
          <w:rFonts w:hint="eastAsia"/>
          <w:szCs w:val="21"/>
          <w:highlight w:val="none"/>
        </w:rPr>
        <w:t>（一）乙方不得以任何理由向甲方及其工作人员行贿或馈赠礼金、有价证券、贵重礼品。</w:t>
      </w:r>
    </w:p>
    <w:p>
      <w:pPr>
        <w:adjustRightInd w:val="0"/>
        <w:snapToGrid w:val="0"/>
        <w:spacing w:beforeLines="15" w:afterLines="15" w:line="360" w:lineRule="auto"/>
        <w:ind w:firstLine="420" w:firstLineChars="200"/>
        <w:rPr>
          <w:szCs w:val="21"/>
          <w:highlight w:val="none"/>
        </w:rPr>
      </w:pPr>
      <w:r>
        <w:rPr>
          <w:rFonts w:hint="eastAsia"/>
          <w:szCs w:val="21"/>
          <w:highlight w:val="none"/>
        </w:rPr>
        <w:t>（二）乙方不得以任何名义为甲方及其工作人员报销应由甲方单位或个人支付的任何费用。</w:t>
      </w:r>
    </w:p>
    <w:p>
      <w:pPr>
        <w:adjustRightInd w:val="0"/>
        <w:snapToGrid w:val="0"/>
        <w:spacing w:beforeLines="15" w:afterLines="15" w:line="360" w:lineRule="auto"/>
        <w:ind w:firstLine="420" w:firstLineChars="200"/>
        <w:rPr>
          <w:szCs w:val="21"/>
          <w:highlight w:val="none"/>
        </w:rPr>
      </w:pPr>
      <w:r>
        <w:rPr>
          <w:rFonts w:hint="eastAsia"/>
          <w:szCs w:val="21"/>
          <w:highlight w:val="none"/>
        </w:rPr>
        <w:t>（三）乙方不得以任何理由安排甲方工作人员参加宴请及娱乐活动。</w:t>
      </w:r>
    </w:p>
    <w:p>
      <w:pPr>
        <w:adjustRightInd w:val="0"/>
        <w:snapToGrid w:val="0"/>
        <w:spacing w:beforeLines="15" w:afterLines="15" w:line="360" w:lineRule="auto"/>
        <w:ind w:firstLine="420" w:firstLineChars="200"/>
        <w:rPr>
          <w:szCs w:val="21"/>
          <w:highlight w:val="none"/>
        </w:rPr>
      </w:pPr>
      <w:r>
        <w:rPr>
          <w:rFonts w:hint="eastAsia"/>
          <w:szCs w:val="21"/>
          <w:highlight w:val="none"/>
        </w:rPr>
        <w:t>（四）乙方不得为甲方单位和个人购置或提供通讯工具、交通工具和高档办公用品等。</w:t>
      </w:r>
    </w:p>
    <w:p>
      <w:pPr>
        <w:adjustRightInd w:val="0"/>
        <w:snapToGrid w:val="0"/>
        <w:spacing w:beforeLines="15" w:afterLines="15" w:line="360" w:lineRule="auto"/>
        <w:ind w:firstLine="420" w:firstLineChars="200"/>
        <w:rPr>
          <w:szCs w:val="21"/>
          <w:highlight w:val="none"/>
        </w:rPr>
      </w:pPr>
      <w:r>
        <w:rPr>
          <w:rFonts w:hint="eastAsia"/>
          <w:szCs w:val="21"/>
          <w:highlight w:val="none"/>
        </w:rPr>
        <w:t>第四条违约责任</w:t>
      </w:r>
    </w:p>
    <w:p>
      <w:pPr>
        <w:adjustRightInd w:val="0"/>
        <w:snapToGrid w:val="0"/>
        <w:spacing w:beforeLines="15" w:afterLines="15" w:line="360" w:lineRule="auto"/>
        <w:ind w:firstLine="420" w:firstLineChars="200"/>
        <w:rPr>
          <w:szCs w:val="21"/>
          <w:highlight w:val="none"/>
        </w:rPr>
      </w:pPr>
      <w:r>
        <w:rPr>
          <w:rFonts w:hint="eastAsia"/>
          <w:szCs w:val="21"/>
          <w:highlight w:val="none"/>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beforeLines="15" w:afterLines="15" w:line="360" w:lineRule="auto"/>
        <w:ind w:firstLine="420" w:firstLineChars="200"/>
        <w:rPr>
          <w:szCs w:val="21"/>
          <w:highlight w:val="none"/>
        </w:rPr>
      </w:pPr>
      <w:r>
        <w:rPr>
          <w:rFonts w:hint="eastAsia"/>
          <w:szCs w:val="21"/>
          <w:highlight w:val="none"/>
        </w:rPr>
        <w:t>（二）乙方及其工作人员违反本合同第一、三条，按管理权限，依据有关规定给予党纪、政纪或组织处理；给甲方单位造成经济损失的，应予以赔偿；并按照违纪违法认定金额的双倍承担违约金。合同款项未完全支付的，违约金在支付时予以扣减；合同款已支付乙方或未支付款不足以支付违约金的，乙方另行支付违约金。情节严重的，发包人建议交通主管部门给予承包人一至三年内不得进入其主管的公路建设市场的处罚。</w:t>
      </w:r>
    </w:p>
    <w:p>
      <w:pPr>
        <w:adjustRightInd w:val="0"/>
        <w:snapToGrid w:val="0"/>
        <w:spacing w:beforeLines="15" w:afterLines="15" w:line="360" w:lineRule="auto"/>
        <w:ind w:firstLine="420" w:firstLineChars="200"/>
        <w:rPr>
          <w:szCs w:val="21"/>
          <w:highlight w:val="none"/>
        </w:rPr>
      </w:pPr>
      <w:r>
        <w:rPr>
          <w:rFonts w:hint="eastAsia"/>
          <w:szCs w:val="21"/>
          <w:highlight w:val="none"/>
        </w:rPr>
        <w:t>第五条本合同有效期为甲方、乙方双方签署的</w:t>
      </w:r>
      <w:r>
        <w:rPr>
          <w:rFonts w:hint="eastAsia"/>
          <w:szCs w:val="21"/>
          <w:highlight w:val="none"/>
          <w:u w:val="single"/>
        </w:rPr>
        <w:t>南通市公路事业发展中心如皋分中心党员政治生活馆重建项目</w:t>
      </w:r>
      <w:r>
        <w:rPr>
          <w:rFonts w:hint="eastAsia"/>
          <w:szCs w:val="21"/>
          <w:highlight w:val="none"/>
        </w:rPr>
        <w:t>项目合同签订期限。</w:t>
      </w:r>
    </w:p>
    <w:p>
      <w:pPr>
        <w:adjustRightInd w:val="0"/>
        <w:snapToGrid w:val="0"/>
        <w:spacing w:beforeLines="15" w:afterLines="15" w:line="360" w:lineRule="auto"/>
        <w:ind w:firstLine="420" w:firstLineChars="200"/>
        <w:rPr>
          <w:szCs w:val="21"/>
          <w:highlight w:val="none"/>
        </w:rPr>
      </w:pPr>
      <w:r>
        <w:rPr>
          <w:rFonts w:hint="eastAsia"/>
          <w:szCs w:val="21"/>
          <w:highlight w:val="none"/>
        </w:rPr>
        <w:t>第六条  本合同作为</w:t>
      </w:r>
      <w:r>
        <w:rPr>
          <w:rFonts w:hint="eastAsia"/>
          <w:szCs w:val="21"/>
          <w:highlight w:val="none"/>
          <w:u w:val="single"/>
        </w:rPr>
        <w:t>南通市公路事业发展中心如皋分中心党员政治生活馆重建项目</w:t>
      </w:r>
      <w:r>
        <w:rPr>
          <w:rFonts w:hint="eastAsia"/>
          <w:szCs w:val="21"/>
          <w:highlight w:val="none"/>
        </w:rPr>
        <w:t>项目合同的附件，与</w:t>
      </w:r>
      <w:r>
        <w:rPr>
          <w:rStyle w:val="39"/>
          <w:rFonts w:hint="eastAsia"/>
          <w:highlight w:val="none"/>
        </w:rPr>
        <w:t>该</w:t>
      </w:r>
      <w:r>
        <w:rPr>
          <w:rFonts w:hint="eastAsia"/>
          <w:szCs w:val="21"/>
          <w:highlight w:val="none"/>
        </w:rPr>
        <w:t>合同具有同等的法律效力，经合同双方签署立即生效。</w:t>
      </w:r>
    </w:p>
    <w:p>
      <w:pPr>
        <w:adjustRightInd w:val="0"/>
        <w:snapToGrid w:val="0"/>
        <w:spacing w:beforeLines="15" w:afterLines="15" w:line="360" w:lineRule="auto"/>
        <w:ind w:firstLine="420" w:firstLineChars="200"/>
        <w:rPr>
          <w:szCs w:val="21"/>
          <w:highlight w:val="none"/>
        </w:rPr>
      </w:pPr>
      <w:r>
        <w:rPr>
          <w:rFonts w:hint="eastAsia"/>
          <w:szCs w:val="21"/>
          <w:highlight w:val="none"/>
        </w:rPr>
        <w:t>第八条本合同共六份，双各执三份。</w:t>
      </w:r>
    </w:p>
    <w:p>
      <w:pPr>
        <w:adjustRightInd w:val="0"/>
        <w:snapToGrid w:val="0"/>
        <w:spacing w:beforeLines="15" w:afterLines="15" w:line="360" w:lineRule="auto"/>
        <w:ind w:firstLine="420" w:firstLineChars="200"/>
        <w:rPr>
          <w:szCs w:val="21"/>
          <w:highlight w:val="none"/>
        </w:rPr>
      </w:pPr>
    </w:p>
    <w:p>
      <w:pPr>
        <w:adjustRightInd w:val="0"/>
        <w:snapToGrid w:val="0"/>
        <w:spacing w:beforeLines="15" w:afterLines="15" w:line="360" w:lineRule="auto"/>
        <w:ind w:firstLine="420" w:firstLineChars="200"/>
        <w:rPr>
          <w:szCs w:val="21"/>
          <w:highlight w:val="none"/>
        </w:rPr>
      </w:pPr>
    </w:p>
    <w:p>
      <w:pPr>
        <w:adjustRightInd w:val="0"/>
        <w:snapToGrid w:val="0"/>
        <w:spacing w:beforeLines="15" w:afterLines="15" w:line="360" w:lineRule="auto"/>
        <w:ind w:firstLine="420" w:firstLineChars="200"/>
        <w:rPr>
          <w:szCs w:val="21"/>
          <w:highlight w:val="none"/>
        </w:rPr>
      </w:pPr>
      <w:r>
        <w:rPr>
          <w:rFonts w:hint="eastAsia"/>
          <w:szCs w:val="21"/>
          <w:highlight w:val="none"/>
        </w:rPr>
        <w:t>甲方：</w:t>
      </w:r>
      <w:r>
        <w:rPr>
          <w:szCs w:val="21"/>
          <w:highlight w:val="none"/>
          <w:u w:val="single"/>
        </w:rPr>
        <w:t xml:space="preserve">  (</w:t>
      </w:r>
      <w:r>
        <w:rPr>
          <w:rFonts w:hint="eastAsia"/>
          <w:szCs w:val="21"/>
          <w:highlight w:val="none"/>
          <w:u w:val="single"/>
        </w:rPr>
        <w:t>盖章</w:t>
      </w:r>
      <w:r>
        <w:rPr>
          <w:szCs w:val="21"/>
          <w:highlight w:val="none"/>
          <w:u w:val="single"/>
        </w:rPr>
        <w:t xml:space="preserve">)  </w:t>
      </w:r>
      <w:r>
        <w:rPr>
          <w:rFonts w:hint="eastAsia"/>
          <w:szCs w:val="21"/>
          <w:highlight w:val="none"/>
        </w:rPr>
        <w:t xml:space="preserve">                乙方：</w:t>
      </w:r>
      <w:r>
        <w:rPr>
          <w:szCs w:val="21"/>
          <w:highlight w:val="none"/>
          <w:u w:val="single"/>
        </w:rPr>
        <w:t xml:space="preserve">  (</w:t>
      </w:r>
      <w:r>
        <w:rPr>
          <w:rFonts w:hint="eastAsia"/>
          <w:szCs w:val="21"/>
          <w:highlight w:val="none"/>
          <w:u w:val="single"/>
        </w:rPr>
        <w:t>盖章</w:t>
      </w:r>
      <w:r>
        <w:rPr>
          <w:szCs w:val="21"/>
          <w:highlight w:val="none"/>
          <w:u w:val="single"/>
        </w:rPr>
        <w:t xml:space="preserve">)  </w:t>
      </w:r>
    </w:p>
    <w:p>
      <w:pPr>
        <w:pStyle w:val="19"/>
        <w:adjustRightInd w:val="0"/>
        <w:snapToGrid w:val="0"/>
        <w:spacing w:beforeLines="15" w:afterLines="15"/>
        <w:ind w:firstLine="420" w:firstLineChars="200"/>
        <w:rPr>
          <w:rFonts w:ascii="Times New Roman" w:hAnsi="Times New Roman"/>
          <w:highlight w:val="none"/>
        </w:rPr>
      </w:pPr>
      <w:r>
        <w:rPr>
          <w:rFonts w:hint="eastAsia" w:ascii="Times New Roman" w:hAnsi="Times New Roman"/>
          <w:highlight w:val="none"/>
        </w:rPr>
        <w:t>法定代表人          法定代表人</w:t>
      </w:r>
    </w:p>
    <w:p>
      <w:pPr>
        <w:pStyle w:val="19"/>
        <w:adjustRightInd w:val="0"/>
        <w:snapToGrid w:val="0"/>
        <w:spacing w:beforeLines="15" w:afterLines="15"/>
        <w:ind w:firstLine="420" w:firstLineChars="200"/>
        <w:rPr>
          <w:rFonts w:ascii="Times New Roman" w:hAnsi="Times New Roman"/>
          <w:highlight w:val="none"/>
        </w:rPr>
      </w:pPr>
      <w:r>
        <w:rPr>
          <w:rFonts w:hint="eastAsia" w:ascii="Times New Roman" w:hAnsi="Times New Roman"/>
          <w:highlight w:val="none"/>
        </w:rPr>
        <w:t>或其授权的代理人：          或其授权的代理人：</w:t>
      </w:r>
    </w:p>
    <w:p>
      <w:pPr>
        <w:spacing w:after="60" w:line="360" w:lineRule="auto"/>
        <w:rPr>
          <w:rFonts w:ascii="宋体" w:hAnsi="宋体"/>
          <w:sz w:val="28"/>
          <w:szCs w:val="28"/>
          <w:highlight w:val="none"/>
        </w:rPr>
      </w:pPr>
      <w:r>
        <w:rPr>
          <w:rFonts w:hint="eastAsia"/>
          <w:szCs w:val="21"/>
          <w:highlight w:val="none"/>
        </w:rPr>
        <w:t>日期：               日期：</w:t>
      </w:r>
    </w:p>
    <w:p>
      <w:pPr>
        <w:autoSpaceDE w:val="0"/>
        <w:autoSpaceDN w:val="0"/>
        <w:adjustRightInd w:val="0"/>
        <w:spacing w:line="360" w:lineRule="auto"/>
        <w:rPr>
          <w:rFonts w:ascii="宋体" w:hAnsi="宋体" w:cs="宋体"/>
          <w:sz w:val="24"/>
          <w:highlight w:val="none"/>
          <w:lang w:val="zh-CN"/>
        </w:rPr>
      </w:pPr>
    </w:p>
    <w:bookmarkEnd w:id="8"/>
    <w:bookmarkEnd w:id="9"/>
    <w:p>
      <w:pPr>
        <w:pStyle w:val="5"/>
        <w:spacing w:before="0" w:after="0" w:line="360" w:lineRule="auto"/>
        <w:jc w:val="center"/>
        <w:rPr>
          <w:rFonts w:ascii="宋体" w:hAnsi="宋体"/>
          <w:highlight w:val="none"/>
        </w:rPr>
      </w:pPr>
      <w:r>
        <w:rPr>
          <w:rFonts w:ascii="宋体" w:hAnsi="宋体"/>
          <w:sz w:val="40"/>
          <w:highlight w:val="none"/>
        </w:rPr>
        <w:br w:type="page"/>
      </w:r>
      <w:bookmarkStart w:id="463" w:name="_Toc8163752"/>
      <w:r>
        <w:rPr>
          <w:rFonts w:hint="eastAsia" w:ascii="宋体" w:hAnsi="宋体"/>
          <w:sz w:val="36"/>
          <w:szCs w:val="36"/>
          <w:highlight w:val="none"/>
        </w:rPr>
        <w:t>第六部分 质疑提出和处理</w:t>
      </w:r>
      <w:bookmarkEnd w:id="463"/>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一、质疑的提出</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1、质疑人必须是参与所质疑项目采购活动的供应商。</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2、领取招标文件的供应商应当在知道或者应知其权益受到损害之日起</w:t>
      </w:r>
      <w:r>
        <w:rPr>
          <w:rFonts w:hint="eastAsia" w:ascii="宋体" w:hAnsi="宋体" w:cs="宋体"/>
          <w:sz w:val="24"/>
          <w:szCs w:val="22"/>
          <w:highlight w:val="none"/>
        </w:rPr>
        <w:t>7个工作日内，以书面形式向采购代理机构提出质疑，联系部门、电话、地址等信息见本文件第一部分磋商公告第八条</w:t>
      </w:r>
      <w:r>
        <w:rPr>
          <w:rFonts w:hint="eastAsia" w:ascii="宋体" w:hAnsi="宋体" w:cs="宋体"/>
          <w:sz w:val="24"/>
          <w:szCs w:val="22"/>
          <w:highlight w:val="none"/>
          <w:lang w:val="zh-CN"/>
        </w:rPr>
        <w:t>；应知其权益受到损害之日见《中华人民共和国政府采购法实施条例》第五十三条。</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3、提出质疑时，必须坚持</w:t>
      </w:r>
      <w:r>
        <w:rPr>
          <w:rFonts w:hint="eastAsia" w:ascii="宋体" w:hAnsi="宋体" w:cs="宋体"/>
          <w:b/>
          <w:sz w:val="24"/>
          <w:szCs w:val="22"/>
          <w:highlight w:val="none"/>
          <w:lang w:val="zh-CN"/>
        </w:rPr>
        <w:t>“谁主张，谁举证”、“实事求是”的原则</w:t>
      </w:r>
      <w:r>
        <w:rPr>
          <w:rFonts w:hint="eastAsia" w:ascii="宋体" w:hAnsi="宋体" w:cs="宋体"/>
          <w:sz w:val="24"/>
          <w:szCs w:val="22"/>
          <w:highlight w:val="none"/>
          <w:lang w:val="zh-CN"/>
        </w:rPr>
        <w:t>，不能臆测。属于须由法定部门调查、侦查或先行作出相关认定的事项，质疑人应当依法申请具有法定职权的部门查清、认定，并将相关结果提供给采购人。采购人不具有法定调查、认定权限。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4、对本次招标有质疑的，</w:t>
      </w:r>
      <w:r>
        <w:rPr>
          <w:rFonts w:hint="eastAsia" w:ascii="宋体" w:hAnsi="宋体" w:cs="宋体"/>
          <w:b/>
          <w:sz w:val="24"/>
          <w:szCs w:val="22"/>
          <w:highlight w:val="none"/>
          <w:lang w:val="zh-CN"/>
        </w:rPr>
        <w:t>实行实名制，</w:t>
      </w:r>
      <w:r>
        <w:rPr>
          <w:rFonts w:hint="eastAsia" w:ascii="宋体" w:hAnsi="宋体" w:cs="宋体"/>
          <w:sz w:val="24"/>
          <w:szCs w:val="22"/>
          <w:highlight w:val="none"/>
          <w:lang w:val="zh-CN"/>
        </w:rPr>
        <w:t>不得进行虚假、恶意质疑。质疑人应在质疑有效期内以书面形式提出《质疑函》（格式请下载），《质疑函》内容应符合《政府采购质疑和投诉办法》第十二条规定。同时，质疑人应保证其提出的质疑内容及相关佐证材料的真实性及来源的合法性，并承担相应的法律责任。</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相关佐证材料要具备客观性、关联性、合法性，无法查实的（如宣传册、媒体报道、猜测、推理等）不能作为佐证材料。</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采购人、采购代理单位不负责搜集相关佐证材料等工作。</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二、《质疑函》的受理和回复</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1、《质疑函》由质疑人的法定代表人或在授权有效期内的参加本次招标授权人送达采购代理单位。质疑人可以委托代理人进行质疑，代理人提出质疑的，应当提交质疑人签署的授权委托书，授权委托书内容应当符合《政府采购质疑和投诉办法》相关规定。</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2、对符合提出质疑要求的，采购代理单位予以受理。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3、对不符合提出质疑要求的，出具《质疑退回通知书》并提出相关补充材料要求，质疑人未在规定的时间内提供补充佐证材料的，视同放弃质疑。</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4、采购代理单位负责将质疑人提出的质疑相关材料提供给相关专家或评委审核，并将审核意见回复质疑人。</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三、质疑处理</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采购人、采购代理机构认为供应商质疑不成立，或者成立但未对中标、成交结果构成影响的，继续开展采购活动；认为供应商质疑成立且影响或者可能影响中标、成交结果的，按照下列情况处理：</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（一）对采购文件提出的质疑，依法通过澄清或者修改可以继续开展采购活动的，澄清或者修改采购文件后继续开展采购活动；否则应当修改采购文件后重新开展采购活动。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质疑答复导致中标、成交结果改变的，采购人或者采购代理机构应当将有关情况书面报告本级财政部门。</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rPr>
        <w:t>注：</w:t>
      </w:r>
      <w:r>
        <w:rPr>
          <w:rFonts w:hint="eastAsia" w:ascii="宋体" w:hAnsi="宋体" w:cs="宋体"/>
          <w:sz w:val="24"/>
          <w:szCs w:val="22"/>
          <w:highlight w:val="none"/>
          <w:lang w:val="zh-CN"/>
        </w:rPr>
        <w:t>质疑人承担使用虚假材料或恶意方式质疑的法律责任。</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四、无佐证材料的举报作违约处理。</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供应商不得进行不提供相关佐证材料（含无法查实的如宣传册、媒体报道、猜测、推理等）向有关部门的举报，否则作违约处理。采购人有权取消其相应的会员资格，同时对其在1至3年内禁入由采购人组织的政府采购活动的违约处理。</w:t>
      </w:r>
    </w:p>
    <w:p>
      <w:pPr>
        <w:autoSpaceDE w:val="0"/>
        <w:autoSpaceDN w:val="0"/>
        <w:adjustRightInd w:val="0"/>
        <w:spacing w:line="360" w:lineRule="auto"/>
        <w:ind w:firstLine="482" w:firstLineChars="200"/>
        <w:outlineLvl w:val="1"/>
        <w:rPr>
          <w:rFonts w:ascii="宋体" w:hAnsi="宋体" w:cs="宋体"/>
          <w:b/>
          <w:sz w:val="24"/>
          <w:highlight w:val="none"/>
          <w:lang w:val="zh-CN"/>
        </w:rPr>
      </w:pPr>
      <w:r>
        <w:rPr>
          <w:rFonts w:hint="eastAsia" w:ascii="宋体" w:hAnsi="宋体" w:cs="宋体"/>
          <w:b/>
          <w:sz w:val="24"/>
          <w:highlight w:val="none"/>
          <w:lang w:val="zh-CN"/>
        </w:rPr>
        <w:t>五、投诉不成立的作违约处理。</w:t>
      </w:r>
    </w:p>
    <w:p>
      <w:pPr>
        <w:autoSpaceDE w:val="0"/>
        <w:autoSpaceDN w:val="0"/>
        <w:adjustRightInd w:val="0"/>
        <w:spacing w:line="360" w:lineRule="auto"/>
        <w:ind w:firstLine="480" w:firstLineChars="200"/>
        <w:rPr>
          <w:rFonts w:ascii="宋体" w:hAnsi="宋体" w:cs="宋体"/>
          <w:sz w:val="24"/>
          <w:szCs w:val="22"/>
          <w:highlight w:val="none"/>
          <w:lang w:val="zh-CN"/>
        </w:rPr>
      </w:pPr>
      <w:r>
        <w:rPr>
          <w:rFonts w:hint="eastAsia" w:ascii="宋体" w:hAnsi="宋体" w:cs="宋体"/>
          <w:sz w:val="24"/>
          <w:szCs w:val="22"/>
          <w:highlight w:val="none"/>
          <w:lang w:val="zh-CN"/>
        </w:rPr>
        <w:t>供应商进行质疑后，采购人回复质疑不成立，供应商仍进行投诉的，并最终投诉不成立的，作违约处理。采购人有权取消其相应的会员资格，同时对其在1至3年内禁入由采购人组织的政府采购活动的违约处理。</w:t>
      </w:r>
    </w:p>
    <w:p>
      <w:pPr>
        <w:autoSpaceDE w:val="0"/>
        <w:autoSpaceDN w:val="0"/>
        <w:adjustRightInd w:val="0"/>
        <w:spacing w:line="360" w:lineRule="auto"/>
        <w:ind w:firstLine="482" w:firstLineChars="200"/>
        <w:rPr>
          <w:rFonts w:ascii="宋体" w:hAnsi="宋体" w:cs="宋体"/>
          <w:b/>
          <w:sz w:val="24"/>
          <w:szCs w:val="22"/>
          <w:highlight w:val="none"/>
          <w:lang w:val="zh-CN"/>
        </w:rPr>
      </w:pPr>
      <w:r>
        <w:rPr>
          <w:rFonts w:hint="eastAsia" w:ascii="宋体" w:hAnsi="宋体" w:cs="宋体"/>
          <w:b/>
          <w:sz w:val="24"/>
          <w:szCs w:val="22"/>
          <w:highlight w:val="none"/>
          <w:lang w:val="zh-CN"/>
        </w:rPr>
        <w:t>六、《质疑函》、《质疑回复函》，质疑、举报、投诉不成立的等相关情况，视情在南通公共资源交易网、省、国家级等相关媒体予以披露。并建议相关政府采购机构对该供应商同步实施1至3年内禁入。</w:t>
      </w:r>
    </w:p>
    <w:p>
      <w:pPr>
        <w:pStyle w:val="5"/>
        <w:spacing w:before="0" w:after="0" w:line="360" w:lineRule="auto"/>
        <w:jc w:val="center"/>
        <w:rPr>
          <w:rFonts w:ascii="宋体" w:hAnsi="宋体"/>
          <w:highlight w:val="none"/>
        </w:rPr>
      </w:pPr>
      <w:r>
        <w:rPr>
          <w:rFonts w:ascii="宋体" w:hAnsi="宋体"/>
          <w:sz w:val="40"/>
          <w:highlight w:val="none"/>
        </w:rPr>
        <w:br w:type="page"/>
      </w:r>
      <w:bookmarkStart w:id="464" w:name="_Toc8163753"/>
      <w:r>
        <w:rPr>
          <w:rFonts w:hint="eastAsia" w:ascii="宋体" w:hAnsi="宋体"/>
          <w:sz w:val="36"/>
          <w:szCs w:val="36"/>
          <w:highlight w:val="none"/>
        </w:rPr>
        <w:t>第七部分 响应文件组成</w:t>
      </w:r>
      <w:bookmarkEnd w:id="464"/>
    </w:p>
    <w:p>
      <w:pPr>
        <w:adjustRightInd w:val="0"/>
        <w:snapToGrid w:val="0"/>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响应文件由资格审查文件、商务技术响应文件、报价响应文件三部分组成。本次竞争性磋商采用资格后审方式，供应商须将资格审查文件作为响应文件组成部分，按磋商文件要求装订密封后一起递交。</w:t>
      </w:r>
    </w:p>
    <w:p>
      <w:pPr>
        <w:adjustRightInd w:val="0"/>
        <w:snapToGrid w:val="0"/>
        <w:spacing w:line="360" w:lineRule="auto"/>
        <w:ind w:firstLine="482" w:firstLineChars="200"/>
        <w:jc w:val="left"/>
        <w:rPr>
          <w:rFonts w:ascii="宋体" w:hAnsi="宋体"/>
          <w:b/>
          <w:kern w:val="0"/>
          <w:sz w:val="24"/>
          <w:highlight w:val="none"/>
        </w:rPr>
      </w:pPr>
      <w:r>
        <w:rPr>
          <w:rFonts w:hint="eastAsia" w:ascii="宋体" w:hAnsi="宋体"/>
          <w:b/>
          <w:kern w:val="0"/>
          <w:sz w:val="24"/>
          <w:highlight w:val="none"/>
        </w:rPr>
        <w:t>一、资格审查文件（不能出现报价，一正两副，单独密封并牢固装订）</w:t>
      </w:r>
    </w:p>
    <w:p>
      <w:pPr>
        <w:adjustRightInd w:val="0"/>
        <w:snapToGrid w:val="0"/>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1、供应商</w:t>
      </w:r>
      <w:r>
        <w:rPr>
          <w:rFonts w:ascii="宋体" w:hAnsi="宋体"/>
          <w:kern w:val="0"/>
          <w:sz w:val="24"/>
          <w:highlight w:val="none"/>
        </w:rPr>
        <w:t>应为中国大陆境内合法注册的独立法人</w:t>
      </w:r>
      <w:r>
        <w:rPr>
          <w:rFonts w:hint="eastAsia" w:ascii="宋体" w:hAnsi="宋体"/>
          <w:kern w:val="0"/>
          <w:sz w:val="24"/>
          <w:highlight w:val="none"/>
        </w:rPr>
        <w:t>单位，提供有效的营业执照复印件。</w:t>
      </w:r>
    </w:p>
    <w:p>
      <w:pPr>
        <w:adjustRightInd w:val="0"/>
        <w:snapToGrid w:val="0"/>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2、供应商具有2019年度</w:t>
      </w:r>
      <w:r>
        <w:rPr>
          <w:rFonts w:ascii="宋体" w:hAnsi="宋体"/>
          <w:kern w:val="0"/>
          <w:sz w:val="24"/>
          <w:highlight w:val="none"/>
        </w:rPr>
        <w:t>的</w:t>
      </w:r>
      <w:r>
        <w:rPr>
          <w:rFonts w:hint="eastAsia" w:ascii="宋体" w:hAnsi="宋体"/>
          <w:kern w:val="0"/>
          <w:sz w:val="24"/>
          <w:highlight w:val="none"/>
        </w:rPr>
        <w:t>经会计师事务所出具的</w:t>
      </w:r>
      <w:r>
        <w:rPr>
          <w:rFonts w:ascii="宋体" w:hAnsi="宋体"/>
          <w:kern w:val="0"/>
          <w:sz w:val="24"/>
          <w:highlight w:val="none"/>
        </w:rPr>
        <w:t>财务</w:t>
      </w:r>
      <w:r>
        <w:rPr>
          <w:rFonts w:hint="eastAsia" w:ascii="宋体" w:hAnsi="宋体"/>
          <w:kern w:val="0"/>
          <w:sz w:val="24"/>
          <w:highlight w:val="none"/>
        </w:rPr>
        <w:t>审计</w:t>
      </w:r>
      <w:r>
        <w:rPr>
          <w:rFonts w:ascii="宋体" w:hAnsi="宋体"/>
          <w:kern w:val="0"/>
          <w:sz w:val="24"/>
          <w:highlight w:val="none"/>
        </w:rPr>
        <w:t>报告（成立不满一年不需提供）</w:t>
      </w:r>
      <w:r>
        <w:rPr>
          <w:rFonts w:hint="eastAsia" w:ascii="宋体" w:hAnsi="宋体"/>
          <w:kern w:val="0"/>
          <w:sz w:val="24"/>
          <w:highlight w:val="none"/>
        </w:rPr>
        <w:t>，提供</w:t>
      </w:r>
      <w:r>
        <w:rPr>
          <w:rFonts w:ascii="宋体" w:hAnsi="宋体"/>
          <w:kern w:val="0"/>
          <w:sz w:val="24"/>
          <w:highlight w:val="none"/>
        </w:rPr>
        <w:t>财务</w:t>
      </w:r>
      <w:r>
        <w:rPr>
          <w:rFonts w:hint="eastAsia" w:ascii="宋体" w:hAnsi="宋体"/>
          <w:kern w:val="0"/>
          <w:sz w:val="24"/>
          <w:highlight w:val="none"/>
        </w:rPr>
        <w:t>审计</w:t>
      </w:r>
      <w:r>
        <w:rPr>
          <w:rFonts w:ascii="宋体" w:hAnsi="宋体"/>
          <w:kern w:val="0"/>
          <w:sz w:val="24"/>
          <w:highlight w:val="none"/>
        </w:rPr>
        <w:t>报告</w:t>
      </w:r>
      <w:r>
        <w:rPr>
          <w:rFonts w:hint="eastAsia" w:ascii="宋体" w:hAnsi="宋体"/>
          <w:kern w:val="0"/>
          <w:sz w:val="24"/>
          <w:highlight w:val="none"/>
        </w:rPr>
        <w:t>复印件。</w:t>
      </w:r>
    </w:p>
    <w:p>
      <w:pPr>
        <w:adjustRightInd w:val="0"/>
        <w:snapToGrid w:val="0"/>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3、供应商须提供参与本次项目政府采购活动前三年内，在经营活动中没有重大违法记录的书面《资格声明函》（格式参见第八章）。</w:t>
      </w:r>
    </w:p>
    <w:p>
      <w:pPr>
        <w:autoSpaceDE w:val="0"/>
        <w:autoSpaceDN w:val="0"/>
        <w:adjustRightInd w:val="0"/>
        <w:spacing w:line="360" w:lineRule="auto"/>
        <w:ind w:firstLine="480" w:firstLineChars="200"/>
        <w:rPr>
          <w:rFonts w:ascii="宋体" w:hAnsi="宋体" w:cs="宋体"/>
          <w:sz w:val="24"/>
          <w:highlight w:val="none"/>
        </w:rPr>
      </w:pPr>
      <w:r>
        <w:rPr>
          <w:rFonts w:hint="eastAsia" w:ascii="宋体" w:hAnsi="宋体"/>
          <w:kern w:val="0"/>
          <w:sz w:val="24"/>
          <w:highlight w:val="none"/>
        </w:rPr>
        <w:t>4、</w:t>
      </w:r>
      <w:r>
        <w:rPr>
          <w:rFonts w:hint="eastAsia" w:ascii="宋体" w:hAnsi="宋体" w:cs="宋体"/>
          <w:sz w:val="24"/>
          <w:highlight w:val="none"/>
          <w:lang w:val="zh-CN"/>
        </w:rPr>
        <w:t>未被</w:t>
      </w:r>
      <w:r>
        <w:rPr>
          <w:rFonts w:hint="eastAsia" w:ascii="宋体" w:hAnsi="宋体" w:cs="宋体"/>
          <w:sz w:val="24"/>
          <w:highlight w:val="none"/>
        </w:rPr>
        <w:t>“</w:t>
      </w:r>
      <w:r>
        <w:rPr>
          <w:rFonts w:hint="eastAsia" w:ascii="宋体" w:hAnsi="宋体" w:cs="宋体"/>
          <w:sz w:val="24"/>
          <w:highlight w:val="none"/>
          <w:lang w:val="zh-CN"/>
        </w:rPr>
        <w:t>信用中国</w:t>
      </w:r>
      <w:r>
        <w:rPr>
          <w:rFonts w:hint="eastAsia" w:ascii="宋体" w:hAnsi="宋体" w:cs="宋体"/>
          <w:sz w:val="24"/>
          <w:highlight w:val="none"/>
        </w:rPr>
        <w:t>”</w:t>
      </w:r>
      <w:r>
        <w:rPr>
          <w:rFonts w:hint="eastAsia" w:ascii="宋体" w:hAnsi="宋体" w:cs="宋体"/>
          <w:sz w:val="24"/>
          <w:highlight w:val="none"/>
          <w:lang w:val="zh-CN"/>
        </w:rPr>
        <w:t>网站</w:t>
      </w:r>
      <w:r>
        <w:rPr>
          <w:rFonts w:hint="eastAsia" w:ascii="宋体" w:hAnsi="宋体" w:cs="宋体"/>
          <w:sz w:val="24"/>
          <w:highlight w:val="none"/>
        </w:rPr>
        <w:t>（www.creditchina.gov.cn）</w:t>
      </w:r>
      <w:r>
        <w:rPr>
          <w:rFonts w:hint="eastAsia" w:ascii="宋体" w:hAnsi="宋体" w:cs="宋体"/>
          <w:sz w:val="24"/>
          <w:highlight w:val="none"/>
          <w:lang w:val="zh-CN"/>
        </w:rPr>
        <w:t>列入失信被执行人、重大税收违法案件当事人名单、政府采购严重失信行为记录名单的截图。</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5</w:t>
      </w:r>
      <w:r>
        <w:rPr>
          <w:rFonts w:hint="eastAsia" w:ascii="宋体" w:hAnsi="宋体" w:cs="宋体"/>
          <w:sz w:val="24"/>
          <w:highlight w:val="none"/>
          <w:lang w:val="zh-CN"/>
        </w:rPr>
        <w:t>、关于资格文件的声明函（格式参见第七章）。</w:t>
      </w:r>
    </w:p>
    <w:p>
      <w:pPr>
        <w:autoSpaceDE w:val="0"/>
        <w:autoSpaceDN w:val="0"/>
        <w:adjustRightInd w:val="0"/>
        <w:spacing w:line="360" w:lineRule="auto"/>
        <w:ind w:firstLine="482" w:firstLineChars="200"/>
        <w:rPr>
          <w:rFonts w:ascii="宋体" w:hAnsi="宋体" w:cs="宋体"/>
          <w:b/>
          <w:sz w:val="24"/>
          <w:highlight w:val="none"/>
          <w:lang w:val="zh-CN"/>
        </w:rPr>
      </w:pPr>
      <w:r>
        <w:rPr>
          <w:rFonts w:hint="eastAsia" w:ascii="宋体" w:hAnsi="宋体" w:cs="宋体"/>
          <w:b/>
          <w:sz w:val="24"/>
          <w:highlight w:val="none"/>
        </w:rPr>
        <w:t>上述复印件均需加盖供应商公章，</w:t>
      </w:r>
      <w:r>
        <w:rPr>
          <w:rFonts w:hint="eastAsia" w:ascii="宋体" w:hAnsi="宋体" w:cs="宋体"/>
          <w:b/>
          <w:sz w:val="24"/>
          <w:highlight w:val="none"/>
          <w:lang w:val="zh-CN"/>
        </w:rPr>
        <w:t>法定代表人授权委托书原件，投标代表本人身份证复印件（投标代表身份证原件随身备查）。</w:t>
      </w:r>
    </w:p>
    <w:p>
      <w:pPr>
        <w:adjustRightInd w:val="0"/>
        <w:snapToGrid w:val="0"/>
        <w:spacing w:line="480" w:lineRule="exact"/>
        <w:ind w:firstLine="472" w:firstLineChars="196"/>
        <w:jc w:val="left"/>
        <w:rPr>
          <w:rFonts w:ascii="宋体" w:hAnsi="宋体" w:cs="宋体"/>
          <w:bCs/>
          <w:sz w:val="24"/>
          <w:highlight w:val="none"/>
        </w:rPr>
      </w:pPr>
      <w:r>
        <w:rPr>
          <w:rFonts w:hint="eastAsia" w:ascii="宋体" w:hAnsi="宋体" w:cs="宋体"/>
          <w:b/>
          <w:sz w:val="24"/>
          <w:highlight w:val="none"/>
          <w:lang w:val="zh-CN"/>
        </w:rPr>
        <w:t>二、</w:t>
      </w:r>
      <w:r>
        <w:rPr>
          <w:rFonts w:hint="eastAsia" w:ascii="宋体" w:hAnsi="宋体" w:cs="宋体"/>
          <w:b/>
          <w:bCs/>
          <w:sz w:val="24"/>
          <w:highlight w:val="none"/>
        </w:rPr>
        <w:t>商务技术文件（单独密封）</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1、竞争性磋商响应函（格式参见第七章）。</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2、供应商一般情况表（格式参见第七章）。</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3、评标办法中所涉及的事项需提供的所有资料。</w:t>
      </w:r>
    </w:p>
    <w:p>
      <w:pPr>
        <w:spacing w:line="480" w:lineRule="exact"/>
        <w:ind w:firstLine="480" w:firstLineChars="200"/>
        <w:rPr>
          <w:rFonts w:ascii="宋体" w:hAnsi="宋体" w:cs="宋体"/>
          <w:sz w:val="24"/>
          <w:highlight w:val="none"/>
        </w:rPr>
      </w:pPr>
      <w:r>
        <w:rPr>
          <w:rFonts w:hint="eastAsia" w:ascii="宋体" w:hAnsi="宋体" w:cs="宋体"/>
          <w:sz w:val="24"/>
          <w:highlight w:val="none"/>
        </w:rPr>
        <w:t>4、评标办法中未涉及的事项，供应商认为需要提交的其他资料。</w:t>
      </w:r>
    </w:p>
    <w:p>
      <w:pPr>
        <w:snapToGrid w:val="0"/>
        <w:spacing w:line="480" w:lineRule="exact"/>
        <w:ind w:firstLine="480" w:firstLineChars="200"/>
        <w:rPr>
          <w:rFonts w:ascii="宋体" w:hAnsi="宋体" w:cs="宋体"/>
          <w:bCs/>
          <w:sz w:val="24"/>
          <w:highlight w:val="none"/>
        </w:rPr>
      </w:pPr>
      <w:r>
        <w:rPr>
          <w:rFonts w:hint="eastAsia" w:ascii="宋体" w:hAnsi="宋体" w:cs="宋体"/>
          <w:sz w:val="24"/>
          <w:highlight w:val="none"/>
        </w:rPr>
        <w:t>注：为方便评委评审，请供应商按评标办法中所涉及的事项顺序进行编制，可以补充相关材料。</w:t>
      </w:r>
    </w:p>
    <w:p>
      <w:pPr>
        <w:snapToGrid w:val="0"/>
        <w:spacing w:line="520" w:lineRule="exact"/>
        <w:ind w:firstLine="482" w:firstLineChars="200"/>
        <w:rPr>
          <w:rFonts w:ascii="宋体" w:hAnsi="宋体"/>
          <w:b/>
          <w:kern w:val="0"/>
          <w:sz w:val="24"/>
          <w:highlight w:val="none"/>
        </w:rPr>
      </w:pPr>
      <w:r>
        <w:rPr>
          <w:rFonts w:hint="eastAsia" w:ascii="宋体" w:hAnsi="宋体"/>
          <w:b/>
          <w:kern w:val="0"/>
          <w:sz w:val="24"/>
          <w:highlight w:val="none"/>
        </w:rPr>
        <w:t>特别提醒：“资格审查文件”、“商务技术文件”所须提供的材料（须加盖供应商公章）按磋商文件要求装订，密封，递交。“资格审查文件”、“商务技术文件”所涉及相关资料等证明材料原件请带至开标现场备查。未携带原件或因携带原件不全所引起的后果由供应商自行承担。</w:t>
      </w:r>
    </w:p>
    <w:p>
      <w:pPr>
        <w:autoSpaceDE w:val="0"/>
        <w:autoSpaceDN w:val="0"/>
        <w:adjustRightInd w:val="0"/>
        <w:spacing w:line="360" w:lineRule="auto"/>
        <w:ind w:firstLine="482" w:firstLineChars="200"/>
        <w:outlineLvl w:val="1"/>
        <w:rPr>
          <w:rFonts w:ascii="宋体" w:hAnsi="宋体"/>
          <w:b/>
          <w:kern w:val="0"/>
          <w:sz w:val="24"/>
          <w:highlight w:val="none"/>
        </w:rPr>
      </w:pPr>
      <w:r>
        <w:rPr>
          <w:rFonts w:hint="eastAsia" w:ascii="宋体" w:hAnsi="宋体"/>
          <w:b/>
          <w:kern w:val="0"/>
          <w:sz w:val="24"/>
          <w:highlight w:val="none"/>
        </w:rPr>
        <w:t>三、价格响应文件：一式两份（单独密封并牢固装订）</w:t>
      </w:r>
    </w:p>
    <w:p>
      <w:pPr>
        <w:adjustRightInd w:val="0"/>
        <w:snapToGrid w:val="0"/>
        <w:spacing w:line="480" w:lineRule="exact"/>
        <w:ind w:firstLine="480" w:firstLineChars="200"/>
        <w:jc w:val="left"/>
        <w:rPr>
          <w:rFonts w:ascii="宋体" w:hAnsi="宋体" w:cs="宋体"/>
          <w:bCs/>
          <w:sz w:val="24"/>
          <w:highlight w:val="none"/>
          <w:lang w:val="zh-CN"/>
        </w:rPr>
      </w:pPr>
      <w:r>
        <w:rPr>
          <w:rFonts w:hint="eastAsia" w:ascii="宋体" w:hAnsi="宋体" w:cs="宋体"/>
          <w:bCs/>
          <w:sz w:val="24"/>
          <w:highlight w:val="none"/>
          <w:lang w:val="zh-CN"/>
        </w:rPr>
        <w:t>1、</w:t>
      </w:r>
      <w:r>
        <w:rPr>
          <w:rFonts w:hint="eastAsia" w:ascii="宋体" w:hAnsi="宋体" w:cs="宋体"/>
          <w:sz w:val="24"/>
          <w:highlight w:val="none"/>
        </w:rPr>
        <w:t>磋商响应报价总表（格式参见第七章）。</w:t>
      </w: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autoSpaceDE w:val="0"/>
        <w:autoSpaceDN w:val="0"/>
        <w:adjustRightInd w:val="0"/>
        <w:spacing w:line="360" w:lineRule="auto"/>
        <w:jc w:val="center"/>
        <w:outlineLvl w:val="1"/>
        <w:rPr>
          <w:rFonts w:ascii="宋体" w:hAnsi="宋体" w:cs="宋体"/>
          <w:sz w:val="24"/>
          <w:highlight w:val="none"/>
          <w:lang w:val="zh-CN"/>
        </w:rPr>
      </w:pPr>
    </w:p>
    <w:p>
      <w:pPr>
        <w:rPr>
          <w:rFonts w:ascii="宋体" w:hAnsi="宋体" w:cs="宋体"/>
          <w:b/>
          <w:sz w:val="28"/>
          <w:szCs w:val="28"/>
          <w:highlight w:val="none"/>
        </w:rPr>
      </w:pPr>
      <w:r>
        <w:rPr>
          <w:rFonts w:hint="eastAsia" w:ascii="宋体" w:hAnsi="宋体" w:cs="宋体"/>
          <w:b/>
          <w:sz w:val="28"/>
          <w:szCs w:val="28"/>
          <w:highlight w:val="none"/>
        </w:rPr>
        <w:br w:type="page"/>
      </w:r>
    </w:p>
    <w:p>
      <w:pPr>
        <w:snapToGrid w:val="0"/>
        <w:spacing w:line="520" w:lineRule="exact"/>
        <w:rPr>
          <w:rFonts w:ascii="宋体" w:hAnsi="宋体" w:cs="宋体"/>
          <w:b/>
          <w:bCs/>
          <w:sz w:val="28"/>
          <w:szCs w:val="28"/>
          <w:highlight w:val="none"/>
        </w:rPr>
      </w:pPr>
      <w:r>
        <w:rPr>
          <w:rFonts w:hint="eastAsia" w:ascii="宋体" w:hAnsi="宋体" w:cs="宋体"/>
          <w:b/>
          <w:sz w:val="28"/>
          <w:szCs w:val="28"/>
          <w:highlight w:val="none"/>
        </w:rPr>
        <w:t>附件：</w:t>
      </w:r>
    </w:p>
    <w:p>
      <w:pPr>
        <w:snapToGrid w:val="0"/>
        <w:spacing w:line="520" w:lineRule="exact"/>
        <w:jc w:val="center"/>
        <w:outlineLvl w:val="3"/>
        <w:rPr>
          <w:rFonts w:ascii="宋体" w:hAnsi="宋体" w:cs="宋体"/>
          <w:b/>
          <w:sz w:val="28"/>
          <w:szCs w:val="28"/>
          <w:highlight w:val="none"/>
        </w:rPr>
      </w:pPr>
      <w:r>
        <w:rPr>
          <w:rFonts w:hint="eastAsia" w:ascii="宋体" w:hAnsi="宋体" w:cs="宋体"/>
          <w:b/>
          <w:sz w:val="28"/>
          <w:szCs w:val="28"/>
          <w:highlight w:val="none"/>
        </w:rPr>
        <w:t>1、法定代表人身份证明</w:t>
      </w:r>
    </w:p>
    <w:p>
      <w:pPr>
        <w:snapToGrid w:val="0"/>
        <w:spacing w:line="520" w:lineRule="exact"/>
        <w:jc w:val="center"/>
        <w:rPr>
          <w:rFonts w:ascii="宋体" w:hAnsi="宋体" w:cs="宋体"/>
          <w:sz w:val="24"/>
          <w:highlight w:val="none"/>
        </w:rPr>
      </w:pPr>
      <w:r>
        <w:rPr>
          <w:rFonts w:hint="eastAsia" w:ascii="宋体" w:hAnsi="宋体" w:cs="宋体"/>
          <w:sz w:val="24"/>
          <w:highlight w:val="none"/>
        </w:rPr>
        <w:t>（如法定代表人参加磋商，须出示此证明）</w:t>
      </w:r>
    </w:p>
    <w:p>
      <w:pPr>
        <w:snapToGrid w:val="0"/>
        <w:spacing w:line="520" w:lineRule="exact"/>
        <w:jc w:val="center"/>
        <w:rPr>
          <w:rFonts w:ascii="宋体" w:hAnsi="宋体" w:cs="宋体"/>
          <w:sz w:val="24"/>
          <w:highlight w:val="none"/>
        </w:rPr>
      </w:pPr>
    </w:p>
    <w:p>
      <w:pPr>
        <w:snapToGrid w:val="0"/>
        <w:spacing w:line="520" w:lineRule="exact"/>
        <w:rPr>
          <w:rFonts w:ascii="宋体" w:hAnsi="宋体" w:cs="宋体"/>
          <w:sz w:val="24"/>
          <w:highlight w:val="none"/>
          <w:u w:val="single"/>
        </w:rPr>
      </w:pPr>
      <w:r>
        <w:rPr>
          <w:rFonts w:hint="eastAsia" w:ascii="宋体" w:hAnsi="宋体" w:cs="宋体"/>
          <w:sz w:val="24"/>
          <w:highlight w:val="none"/>
          <w:u w:val="single"/>
        </w:rPr>
        <w:t xml:space="preserve">南通市公路事业发展中心： </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我公司法定代表人</w:t>
      </w:r>
      <w:r>
        <w:rPr>
          <w:rFonts w:hint="eastAsia" w:ascii="宋体" w:hAnsi="宋体" w:cs="宋体"/>
          <w:sz w:val="24"/>
          <w:highlight w:val="none"/>
          <w:u w:val="single"/>
        </w:rPr>
        <w:t xml:space="preserve">     　　　   </w:t>
      </w:r>
      <w:r>
        <w:rPr>
          <w:rFonts w:hint="eastAsia" w:ascii="宋体" w:hAnsi="宋体" w:cs="宋体"/>
          <w:sz w:val="24"/>
          <w:highlight w:val="none"/>
        </w:rPr>
        <w:t>参加贵单位组织的（竞争性磋商项目名称及项目编号)项目的磋商活动，全权代表我公司处理竞争性磋商的有关事宜。</w:t>
      </w:r>
    </w:p>
    <w:p>
      <w:pPr>
        <w:snapToGrid w:val="0"/>
        <w:spacing w:line="520" w:lineRule="exact"/>
        <w:rPr>
          <w:rFonts w:ascii="宋体" w:hAnsi="宋体" w:cs="宋体"/>
          <w:sz w:val="24"/>
          <w:highlight w:val="none"/>
        </w:rPr>
      </w:pPr>
    </w:p>
    <w:p>
      <w:pPr>
        <w:snapToGrid w:val="0"/>
        <w:spacing w:line="520" w:lineRule="exact"/>
        <w:rPr>
          <w:rFonts w:ascii="宋体" w:hAnsi="宋体" w:cs="宋体"/>
          <w:sz w:val="24"/>
          <w:highlight w:val="none"/>
        </w:rPr>
      </w:pPr>
      <w:r>
        <w:rPr>
          <w:rFonts w:hint="eastAsia" w:ascii="宋体" w:hAnsi="宋体" w:cs="宋体"/>
          <w:sz w:val="24"/>
          <w:highlight w:val="none"/>
        </w:rPr>
        <w:t>附：法定代表人情况：</w:t>
      </w:r>
    </w:p>
    <w:p>
      <w:pPr>
        <w:snapToGrid w:val="0"/>
        <w:spacing w:line="520" w:lineRule="exact"/>
        <w:rPr>
          <w:rFonts w:ascii="宋体" w:hAnsi="宋体" w:cs="宋体"/>
          <w:sz w:val="24"/>
          <w:highlight w:val="none"/>
          <w:u w:val="single"/>
        </w:rPr>
      </w:pPr>
      <w:r>
        <w:rPr>
          <w:rFonts w:hint="eastAsia" w:ascii="宋体" w:hAnsi="宋体" w:cs="宋体"/>
          <w:sz w:val="24"/>
          <w:highlight w:val="none"/>
        </w:rPr>
        <w:t>姓名：性别：年龄：职务：</w:t>
      </w:r>
    </w:p>
    <w:p>
      <w:pPr>
        <w:snapToGrid w:val="0"/>
        <w:spacing w:line="520" w:lineRule="exact"/>
        <w:rPr>
          <w:rFonts w:ascii="宋体" w:hAnsi="宋体" w:cs="宋体"/>
          <w:sz w:val="24"/>
          <w:highlight w:val="none"/>
        </w:rPr>
      </w:pPr>
      <w:r>
        <w:rPr>
          <w:rFonts w:hint="eastAsia" w:ascii="宋体" w:hAnsi="宋体" w:cs="宋体"/>
          <w:sz w:val="24"/>
          <w:highlight w:val="none"/>
        </w:rPr>
        <w:t>身份证号码：</w:t>
      </w:r>
    </w:p>
    <w:p>
      <w:pPr>
        <w:snapToGrid w:val="0"/>
        <w:spacing w:line="520" w:lineRule="exact"/>
        <w:rPr>
          <w:rFonts w:ascii="宋体" w:hAnsi="宋体" w:cs="宋体"/>
          <w:sz w:val="24"/>
          <w:highlight w:val="none"/>
          <w:u w:val="single"/>
        </w:rPr>
      </w:pPr>
      <w:r>
        <w:rPr>
          <w:rFonts w:hint="eastAsia" w:ascii="宋体" w:hAnsi="宋体" w:cs="宋体"/>
          <w:sz w:val="24"/>
          <w:highlight w:val="none"/>
        </w:rPr>
        <w:t>手机：传真：</w:t>
      </w:r>
    </w:p>
    <w:p>
      <w:pPr>
        <w:snapToGrid w:val="0"/>
        <w:spacing w:line="520" w:lineRule="exact"/>
        <w:rPr>
          <w:rFonts w:ascii="宋体" w:hAnsi="宋体" w:cs="宋体"/>
          <w:sz w:val="24"/>
          <w:highlight w:val="none"/>
        </w:rPr>
      </w:pPr>
      <w:r>
        <w:rPr>
          <w:rFonts w:hint="eastAsia" w:ascii="宋体" w:hAnsi="宋体" w:cs="宋体"/>
          <w:sz w:val="24"/>
          <w:highlight w:val="none"/>
        </w:rPr>
        <w:t> </w:t>
      </w:r>
    </w:p>
    <w:p>
      <w:pPr>
        <w:snapToGrid w:val="0"/>
        <w:spacing w:line="520" w:lineRule="exact"/>
        <w:rPr>
          <w:rFonts w:ascii="宋体" w:hAnsi="宋体" w:cs="宋体"/>
          <w:sz w:val="24"/>
          <w:highlight w:val="none"/>
        </w:rPr>
      </w:pPr>
    </w:p>
    <w:p>
      <w:pPr>
        <w:snapToGrid w:val="0"/>
        <w:spacing w:line="520" w:lineRule="exact"/>
        <w:rPr>
          <w:rFonts w:ascii="宋体" w:hAnsi="宋体" w:cs="宋体"/>
          <w:sz w:val="24"/>
          <w:highlight w:val="none"/>
        </w:rPr>
      </w:pPr>
      <w:r>
        <w:rPr>
          <w:rFonts w:hint="eastAsia" w:ascii="宋体" w:hAnsi="宋体" w:cs="宋体"/>
          <w:sz w:val="24"/>
          <w:highlight w:val="none"/>
        </w:rPr>
        <w:t>单位名称（公章）                  法定代表人（签字或盖章）</w:t>
      </w:r>
    </w:p>
    <w:p>
      <w:pPr>
        <w:snapToGrid w:val="0"/>
        <w:spacing w:line="520" w:lineRule="exact"/>
        <w:ind w:firstLine="1200" w:firstLineChars="500"/>
        <w:rPr>
          <w:rFonts w:ascii="宋体" w:hAnsi="宋体" w:cs="宋体"/>
          <w:sz w:val="24"/>
          <w:highlight w:val="none"/>
        </w:rPr>
      </w:pPr>
      <w:r>
        <w:rPr>
          <w:rFonts w:hint="eastAsia" w:ascii="宋体" w:hAnsi="宋体" w:cs="宋体"/>
          <w:sz w:val="24"/>
          <w:highlight w:val="none"/>
        </w:rPr>
        <w:t xml:space="preserve">年   月   日                 年   月    日  </w:t>
      </w:r>
    </w:p>
    <w:p>
      <w:pPr>
        <w:snapToGrid w:val="0"/>
        <w:spacing w:line="520" w:lineRule="exact"/>
        <w:rPr>
          <w:rFonts w:ascii="宋体" w:hAnsi="宋体" w:cs="宋体"/>
          <w:sz w:val="24"/>
          <w:highlight w:val="none"/>
        </w:rPr>
      </w:pPr>
    </w:p>
    <w:p>
      <w:pPr>
        <w:snapToGrid w:val="0"/>
        <w:spacing w:line="520" w:lineRule="exact"/>
        <w:rPr>
          <w:rFonts w:ascii="宋体" w:hAnsi="宋体" w:cs="宋体"/>
          <w:sz w:val="24"/>
          <w:highlight w:val="none"/>
        </w:rPr>
      </w:pPr>
      <w:r>
        <w:rPr>
          <w:rFonts w:hint="eastAsia" w:ascii="宋体" w:hAnsi="宋体" w:cs="宋体"/>
          <w:sz w:val="24"/>
          <w:highlight w:val="none"/>
        </w:rPr>
        <w:t>法定代表人身份证复印件</w:t>
      </w:r>
    </w:p>
    <w:p>
      <w:pPr>
        <w:snapToGrid w:val="0"/>
        <w:spacing w:line="520" w:lineRule="exact"/>
        <w:rPr>
          <w:rFonts w:ascii="宋体" w:hAnsi="宋体" w:cs="宋体"/>
          <w:sz w:val="24"/>
          <w:highlight w:val="none"/>
        </w:rPr>
      </w:pPr>
    </w:p>
    <w:p>
      <w:pPr>
        <w:snapToGrid w:val="0"/>
        <w:spacing w:line="520" w:lineRule="exact"/>
        <w:ind w:firstLine="2280" w:firstLineChars="950"/>
        <w:rPr>
          <w:rFonts w:ascii="宋体" w:hAnsi="宋体" w:cs="宋体"/>
          <w:sz w:val="24"/>
          <w:highlight w:val="none"/>
        </w:rPr>
      </w:pPr>
      <w:r>
        <w:rPr>
          <w:rFonts w:hint="eastAsia" w:ascii="宋体" w:hAnsi="宋体" w:cs="宋体"/>
          <w:sz w:val="24"/>
          <w:highlight w:val="none"/>
        </w:rPr>
        <w:t>（粘贴此处）</w:t>
      </w:r>
    </w:p>
    <w:p>
      <w:pPr>
        <w:snapToGrid w:val="0"/>
        <w:spacing w:line="520" w:lineRule="exact"/>
        <w:ind w:firstLine="482" w:firstLineChars="200"/>
        <w:rPr>
          <w:rFonts w:ascii="宋体" w:hAnsi="宋体" w:cs="宋体"/>
          <w:b/>
          <w:bCs/>
          <w:sz w:val="24"/>
          <w:highlight w:val="none"/>
        </w:rPr>
      </w:pPr>
      <w:r>
        <w:rPr>
          <w:rFonts w:hint="eastAsia" w:ascii="宋体" w:hAnsi="宋体" w:cs="宋体"/>
          <w:b/>
          <w:bCs/>
          <w:sz w:val="24"/>
          <w:highlight w:val="none"/>
        </w:rPr>
        <w:t>注:参加磋商时法定代表人将身份证原件带至磋商现场备查。</w:t>
      </w:r>
    </w:p>
    <w:p>
      <w:pPr>
        <w:snapToGrid w:val="0"/>
        <w:spacing w:line="520" w:lineRule="exact"/>
        <w:jc w:val="center"/>
        <w:outlineLvl w:val="3"/>
        <w:rPr>
          <w:rFonts w:ascii="宋体" w:hAnsi="宋体" w:cs="宋体"/>
          <w:b/>
          <w:sz w:val="28"/>
          <w:szCs w:val="28"/>
          <w:highlight w:val="none"/>
        </w:rPr>
      </w:pPr>
      <w:r>
        <w:rPr>
          <w:rFonts w:hint="eastAsia" w:ascii="宋体" w:hAnsi="宋体" w:cs="宋体"/>
          <w:b/>
          <w:sz w:val="24"/>
          <w:highlight w:val="none"/>
        </w:rPr>
        <w:br w:type="page"/>
      </w:r>
      <w:r>
        <w:rPr>
          <w:rFonts w:hint="eastAsia" w:ascii="宋体" w:hAnsi="宋体" w:cs="宋体"/>
          <w:b/>
          <w:sz w:val="28"/>
          <w:szCs w:val="28"/>
          <w:highlight w:val="none"/>
        </w:rPr>
        <w:t>2、授权委托书</w:t>
      </w:r>
    </w:p>
    <w:p>
      <w:pPr>
        <w:snapToGrid w:val="0"/>
        <w:spacing w:line="520" w:lineRule="exact"/>
        <w:jc w:val="center"/>
        <w:rPr>
          <w:rFonts w:ascii="宋体" w:hAnsi="宋体" w:cs="宋体"/>
          <w:bCs/>
          <w:sz w:val="24"/>
          <w:highlight w:val="none"/>
        </w:rPr>
      </w:pPr>
      <w:r>
        <w:rPr>
          <w:rFonts w:hint="eastAsia" w:ascii="宋体" w:hAnsi="宋体" w:cs="宋体"/>
          <w:bCs/>
          <w:sz w:val="24"/>
          <w:highlight w:val="none"/>
        </w:rPr>
        <w:t>（如被授权人参加磋商，须出示此证明）</w:t>
      </w:r>
    </w:p>
    <w:p>
      <w:pPr>
        <w:snapToGrid w:val="0"/>
        <w:spacing w:line="480" w:lineRule="exact"/>
        <w:rPr>
          <w:rFonts w:ascii="宋体" w:hAnsi="宋体" w:cs="宋体"/>
          <w:bCs/>
          <w:sz w:val="24"/>
          <w:highlight w:val="none"/>
        </w:rPr>
      </w:pPr>
    </w:p>
    <w:p>
      <w:pPr>
        <w:snapToGrid w:val="0"/>
        <w:spacing w:line="480" w:lineRule="exact"/>
        <w:rPr>
          <w:rFonts w:ascii="宋体" w:hAnsi="宋体" w:cs="宋体"/>
          <w:sz w:val="24"/>
          <w:highlight w:val="none"/>
          <w:u w:val="single"/>
        </w:rPr>
      </w:pPr>
      <w:r>
        <w:rPr>
          <w:rFonts w:hint="eastAsia" w:ascii="宋体" w:hAnsi="宋体" w:cs="宋体"/>
          <w:sz w:val="24"/>
          <w:highlight w:val="none"/>
          <w:u w:val="single"/>
        </w:rPr>
        <w:t>南通市公路事业发展中心：</w:t>
      </w:r>
    </w:p>
    <w:p>
      <w:pPr>
        <w:snapToGrid w:val="0"/>
        <w:spacing w:line="480" w:lineRule="exact"/>
        <w:ind w:firstLine="480" w:firstLineChars="200"/>
        <w:rPr>
          <w:rFonts w:hAnsi="宋体" w:cs="宋体"/>
          <w:sz w:val="24"/>
          <w:highlight w:val="none"/>
        </w:rPr>
      </w:pPr>
      <w:r>
        <w:rPr>
          <w:rFonts w:hint="eastAsia" w:hAnsi="宋体" w:cs="宋体"/>
          <w:sz w:val="24"/>
          <w:highlight w:val="none"/>
        </w:rPr>
        <w:t>兹授权</w:t>
      </w:r>
      <w:r>
        <w:rPr>
          <w:rFonts w:hint="eastAsia" w:hAnsi="宋体" w:cs="宋体"/>
          <w:sz w:val="24"/>
          <w:highlight w:val="none"/>
          <w:u w:val="single"/>
        </w:rPr>
        <w:t xml:space="preserve">               （</w:t>
      </w:r>
      <w:r>
        <w:rPr>
          <w:rFonts w:hint="eastAsia" w:hAnsi="宋体" w:cs="宋体"/>
          <w:sz w:val="24"/>
          <w:highlight w:val="none"/>
        </w:rPr>
        <w:t>被授权人的姓名）代表我公司参加（</w:t>
      </w:r>
      <w:r>
        <w:rPr>
          <w:rFonts w:hint="eastAsia" w:ascii="宋体" w:hAnsi="宋体" w:cs="宋体"/>
          <w:sz w:val="24"/>
          <w:highlight w:val="none"/>
        </w:rPr>
        <w:t>竞争性磋商项目名称及项目编号</w:t>
      </w:r>
      <w:r>
        <w:rPr>
          <w:rFonts w:hint="eastAsia" w:hAnsi="宋体" w:cs="宋体"/>
          <w:sz w:val="24"/>
          <w:highlight w:val="none"/>
        </w:rPr>
        <w:t>)项目的政府采购活动，全权处理一切与该项目招标有关的事务。其在办理上述事宜过程中所签署的所有文件我公司均予以承认。</w:t>
      </w:r>
    </w:p>
    <w:p>
      <w:pPr>
        <w:pStyle w:val="19"/>
        <w:adjustRightInd w:val="0"/>
        <w:snapToGrid w:val="0"/>
        <w:spacing w:line="500" w:lineRule="exact"/>
        <w:ind w:firstLine="480" w:firstLineChars="200"/>
        <w:jc w:val="left"/>
        <w:rPr>
          <w:rFonts w:hAnsi="宋体" w:cs="宋体"/>
          <w:kern w:val="0"/>
          <w:sz w:val="24"/>
          <w:szCs w:val="24"/>
          <w:highlight w:val="none"/>
        </w:rPr>
      </w:pPr>
    </w:p>
    <w:p>
      <w:pPr>
        <w:pStyle w:val="19"/>
        <w:adjustRightInd w:val="0"/>
        <w:snapToGrid w:val="0"/>
        <w:spacing w:line="500" w:lineRule="exact"/>
        <w:ind w:firstLine="480" w:firstLineChars="200"/>
        <w:jc w:val="left"/>
        <w:rPr>
          <w:rFonts w:hAnsi="宋体" w:cs="宋体"/>
          <w:kern w:val="0"/>
          <w:sz w:val="24"/>
          <w:szCs w:val="24"/>
          <w:highlight w:val="none"/>
        </w:rPr>
      </w:pPr>
      <w:r>
        <w:rPr>
          <w:rFonts w:hint="eastAsia" w:hAnsi="宋体" w:cs="宋体"/>
          <w:kern w:val="0"/>
          <w:sz w:val="24"/>
          <w:szCs w:val="24"/>
          <w:highlight w:val="none"/>
        </w:rPr>
        <w:t>被授权人无转委托权，特此委托。</w:t>
      </w:r>
    </w:p>
    <w:p>
      <w:pPr>
        <w:pStyle w:val="19"/>
        <w:adjustRightInd w:val="0"/>
        <w:snapToGrid w:val="0"/>
        <w:spacing w:line="500" w:lineRule="exact"/>
        <w:ind w:firstLine="480" w:firstLineChars="200"/>
        <w:jc w:val="left"/>
        <w:rPr>
          <w:rFonts w:hAnsi="宋体" w:cs="宋体"/>
          <w:kern w:val="0"/>
          <w:sz w:val="24"/>
          <w:szCs w:val="24"/>
          <w:highlight w:val="none"/>
        </w:rPr>
      </w:pPr>
    </w:p>
    <w:p>
      <w:pPr>
        <w:spacing w:line="480" w:lineRule="exact"/>
        <w:rPr>
          <w:rFonts w:hAnsi="宋体" w:cs="宋体"/>
          <w:sz w:val="24"/>
          <w:highlight w:val="none"/>
        </w:rPr>
      </w:pPr>
      <w:r>
        <w:rPr>
          <w:rFonts w:hint="eastAsia" w:hAnsi="宋体" w:cs="宋体"/>
          <w:sz w:val="24"/>
          <w:highlight w:val="none"/>
        </w:rPr>
        <w:t>附：被授权人情况：</w:t>
      </w:r>
    </w:p>
    <w:p>
      <w:pPr>
        <w:spacing w:line="480" w:lineRule="exact"/>
        <w:rPr>
          <w:rFonts w:hAnsi="宋体" w:cs="宋体"/>
          <w:sz w:val="24"/>
          <w:highlight w:val="none"/>
          <w:u w:val="single"/>
        </w:rPr>
      </w:pPr>
      <w:r>
        <w:rPr>
          <w:rFonts w:hint="eastAsia" w:hAnsi="宋体" w:cs="宋体"/>
          <w:sz w:val="24"/>
          <w:highlight w:val="none"/>
        </w:rPr>
        <w:t>姓名： 性别：年龄：职务：</w:t>
      </w:r>
    </w:p>
    <w:p>
      <w:pPr>
        <w:spacing w:line="480" w:lineRule="exact"/>
        <w:rPr>
          <w:rFonts w:hAnsi="宋体" w:cs="宋体"/>
          <w:sz w:val="24"/>
          <w:highlight w:val="none"/>
        </w:rPr>
      </w:pPr>
      <w:r>
        <w:rPr>
          <w:rFonts w:hint="eastAsia" w:hAnsi="宋体" w:cs="宋体"/>
          <w:sz w:val="24"/>
          <w:highlight w:val="none"/>
        </w:rPr>
        <w:t>身份证号码：</w:t>
      </w:r>
    </w:p>
    <w:p>
      <w:pPr>
        <w:spacing w:line="480" w:lineRule="exact"/>
        <w:rPr>
          <w:rFonts w:hAnsi="宋体" w:cs="宋体"/>
          <w:sz w:val="24"/>
          <w:highlight w:val="none"/>
        </w:rPr>
      </w:pPr>
      <w:r>
        <w:rPr>
          <w:rFonts w:hint="eastAsia" w:hAnsi="宋体" w:cs="宋体"/>
          <w:sz w:val="24"/>
          <w:highlight w:val="none"/>
        </w:rPr>
        <w:t>手机：传真：</w:t>
      </w:r>
    </w:p>
    <w:p>
      <w:pPr>
        <w:spacing w:line="480" w:lineRule="exact"/>
        <w:rPr>
          <w:rFonts w:hAnsi="宋体" w:cs="宋体"/>
          <w:sz w:val="24"/>
          <w:highlight w:val="none"/>
        </w:rPr>
      </w:pPr>
      <w:r>
        <w:rPr>
          <w:rFonts w:hint="eastAsia" w:hAnsi="宋体" w:cs="宋体"/>
          <w:sz w:val="24"/>
          <w:highlight w:val="none"/>
        </w:rPr>
        <w:t>单位名称（公章）             法定代表人（签字或盖章）</w:t>
      </w:r>
    </w:p>
    <w:p>
      <w:pPr>
        <w:spacing w:line="480" w:lineRule="exact"/>
        <w:ind w:firstLine="1200" w:firstLineChars="500"/>
        <w:rPr>
          <w:rFonts w:hAnsi="宋体" w:cs="宋体"/>
          <w:sz w:val="24"/>
          <w:highlight w:val="none"/>
        </w:rPr>
      </w:pPr>
      <w:r>
        <w:rPr>
          <w:rFonts w:hint="eastAsia" w:hAnsi="宋体" w:cs="宋体"/>
          <w:sz w:val="24"/>
          <w:highlight w:val="none"/>
        </w:rPr>
        <w:t xml:space="preserve">年   月   日                 年   月    日  </w:t>
      </w:r>
    </w:p>
    <w:p>
      <w:pPr>
        <w:spacing w:line="480" w:lineRule="exact"/>
        <w:rPr>
          <w:rFonts w:hAnsi="宋体" w:cs="宋体"/>
          <w:sz w:val="24"/>
          <w:highlight w:val="none"/>
        </w:rPr>
      </w:pPr>
    </w:p>
    <w:p>
      <w:pPr>
        <w:snapToGrid w:val="0"/>
        <w:spacing w:line="520" w:lineRule="exact"/>
        <w:rPr>
          <w:rFonts w:ascii="宋体" w:hAnsi="宋体" w:cs="宋体"/>
          <w:sz w:val="24"/>
          <w:highlight w:val="none"/>
        </w:rPr>
      </w:pPr>
      <w:r>
        <w:rPr>
          <w:rFonts w:hint="eastAsia" w:ascii="宋体" w:hAnsi="宋体" w:cs="宋体"/>
          <w:sz w:val="24"/>
          <w:highlight w:val="none"/>
        </w:rPr>
        <w:t>法定代表人身份证复印件</w:t>
      </w:r>
    </w:p>
    <w:p>
      <w:pPr>
        <w:snapToGrid w:val="0"/>
        <w:spacing w:line="520" w:lineRule="exact"/>
        <w:rPr>
          <w:rFonts w:ascii="宋体" w:hAnsi="宋体" w:cs="宋体"/>
          <w:sz w:val="24"/>
          <w:highlight w:val="none"/>
        </w:rPr>
      </w:pPr>
    </w:p>
    <w:p>
      <w:pPr>
        <w:snapToGrid w:val="0"/>
        <w:spacing w:line="520" w:lineRule="exact"/>
        <w:ind w:firstLine="2280" w:firstLineChars="950"/>
        <w:rPr>
          <w:rFonts w:ascii="宋体" w:hAnsi="宋体" w:cs="宋体"/>
          <w:sz w:val="24"/>
          <w:highlight w:val="none"/>
        </w:rPr>
      </w:pPr>
      <w:r>
        <w:rPr>
          <w:rFonts w:hint="eastAsia" w:ascii="宋体" w:hAnsi="宋体" w:cs="宋体"/>
          <w:sz w:val="24"/>
          <w:highlight w:val="none"/>
        </w:rPr>
        <w:t>（粘贴此处）</w:t>
      </w:r>
    </w:p>
    <w:p>
      <w:pPr>
        <w:spacing w:line="480" w:lineRule="exact"/>
        <w:rPr>
          <w:rFonts w:hAnsi="宋体" w:cs="宋体"/>
          <w:sz w:val="24"/>
          <w:highlight w:val="none"/>
        </w:rPr>
      </w:pPr>
    </w:p>
    <w:p>
      <w:pPr>
        <w:spacing w:line="480" w:lineRule="exact"/>
        <w:rPr>
          <w:rFonts w:hAnsi="宋体" w:cs="宋体"/>
          <w:sz w:val="24"/>
          <w:highlight w:val="none"/>
        </w:rPr>
      </w:pPr>
    </w:p>
    <w:p>
      <w:pPr>
        <w:spacing w:line="480" w:lineRule="exact"/>
        <w:rPr>
          <w:rFonts w:hAnsi="宋体" w:cs="宋体"/>
          <w:sz w:val="24"/>
          <w:highlight w:val="none"/>
        </w:rPr>
      </w:pPr>
      <w:r>
        <w:rPr>
          <w:rFonts w:hint="eastAsia" w:hAnsi="宋体" w:cs="宋体"/>
          <w:sz w:val="24"/>
          <w:highlight w:val="none"/>
        </w:rPr>
        <w:t>被授权人身份证复印件</w:t>
      </w:r>
    </w:p>
    <w:p>
      <w:pPr>
        <w:spacing w:line="480" w:lineRule="exact"/>
        <w:rPr>
          <w:rFonts w:hAnsi="宋体" w:cs="宋体"/>
          <w:sz w:val="24"/>
          <w:highlight w:val="none"/>
        </w:rPr>
      </w:pPr>
    </w:p>
    <w:p>
      <w:pPr>
        <w:spacing w:line="480" w:lineRule="exact"/>
        <w:ind w:firstLine="2280" w:firstLineChars="950"/>
        <w:rPr>
          <w:rFonts w:hAnsi="宋体" w:cs="宋体"/>
          <w:b/>
          <w:bCs/>
          <w:sz w:val="24"/>
          <w:highlight w:val="none"/>
        </w:rPr>
      </w:pPr>
      <w:r>
        <w:rPr>
          <w:rFonts w:hint="eastAsia" w:hAnsi="宋体" w:cs="宋体"/>
          <w:sz w:val="24"/>
          <w:highlight w:val="none"/>
        </w:rPr>
        <w:t>（粘贴此处）</w:t>
      </w:r>
    </w:p>
    <w:p>
      <w:pPr>
        <w:spacing w:line="480" w:lineRule="exact"/>
        <w:ind w:firstLine="482" w:firstLineChars="200"/>
        <w:rPr>
          <w:rFonts w:hAnsi="宋体" w:cs="宋体"/>
          <w:b/>
          <w:bCs/>
          <w:sz w:val="24"/>
          <w:highlight w:val="none"/>
        </w:rPr>
      </w:pPr>
      <w:r>
        <w:rPr>
          <w:rFonts w:hint="eastAsia" w:hAnsi="宋体" w:cs="宋体"/>
          <w:b/>
          <w:bCs/>
          <w:sz w:val="24"/>
          <w:highlight w:val="none"/>
        </w:rPr>
        <w:t>注:参加磋商时被授权人将身份证原件带至磋商现场备查。</w:t>
      </w:r>
    </w:p>
    <w:p>
      <w:pPr>
        <w:snapToGrid w:val="0"/>
        <w:spacing w:line="520" w:lineRule="exact"/>
        <w:jc w:val="center"/>
        <w:outlineLvl w:val="3"/>
        <w:rPr>
          <w:rFonts w:ascii="宋体" w:hAnsi="宋体" w:cs="宋体"/>
          <w:b/>
          <w:sz w:val="28"/>
          <w:szCs w:val="28"/>
          <w:highlight w:val="none"/>
        </w:rPr>
      </w:pPr>
    </w:p>
    <w:p>
      <w:pPr>
        <w:snapToGrid w:val="0"/>
        <w:spacing w:beforeLines="150" w:afterLines="50" w:line="420" w:lineRule="exact"/>
        <w:jc w:val="center"/>
        <w:outlineLvl w:val="4"/>
        <w:rPr>
          <w:rFonts w:ascii="宋体" w:hAnsi="宋体"/>
          <w:b/>
          <w:bCs/>
          <w:sz w:val="30"/>
          <w:szCs w:val="30"/>
          <w:highlight w:val="none"/>
        </w:rPr>
      </w:pPr>
      <w:r>
        <w:rPr>
          <w:rFonts w:hint="eastAsia" w:ascii="宋体" w:hAnsi="宋体"/>
          <w:b/>
          <w:bCs/>
          <w:sz w:val="30"/>
          <w:szCs w:val="30"/>
          <w:highlight w:val="none"/>
        </w:rPr>
        <w:t>3、资格声明函</w:t>
      </w:r>
    </w:p>
    <w:p>
      <w:pPr>
        <w:spacing w:line="560" w:lineRule="exact"/>
        <w:rPr>
          <w:rFonts w:ascii="宋体" w:hAnsi="宋体"/>
          <w:bCs/>
          <w:sz w:val="24"/>
          <w:highlight w:val="none"/>
          <w:u w:val="single"/>
        </w:rPr>
      </w:pPr>
      <w:r>
        <w:rPr>
          <w:rFonts w:hint="eastAsia" w:ascii="宋体" w:hAnsi="宋体"/>
          <w:bCs/>
          <w:sz w:val="24"/>
          <w:highlight w:val="none"/>
          <w:u w:val="single"/>
        </w:rPr>
        <w:t>南通市公路事业发展中心：</w:t>
      </w:r>
    </w:p>
    <w:p>
      <w:pPr>
        <w:spacing w:line="560" w:lineRule="exact"/>
        <w:rPr>
          <w:rFonts w:ascii="宋体" w:hAnsi="宋体"/>
          <w:sz w:val="24"/>
          <w:highlight w:val="none"/>
        </w:rPr>
      </w:pPr>
      <w:r>
        <w:rPr>
          <w:rFonts w:hint="eastAsia" w:ascii="宋体" w:hAnsi="宋体"/>
          <w:sz w:val="24"/>
          <w:highlight w:val="none"/>
        </w:rPr>
        <w:t xml:space="preserve">    我单位（供应商名称）郑重声明：</w:t>
      </w:r>
    </w:p>
    <w:p>
      <w:pPr>
        <w:spacing w:line="560" w:lineRule="exact"/>
        <w:ind w:firstLine="480"/>
        <w:rPr>
          <w:rFonts w:ascii="宋体" w:hAnsi="宋体" w:cs="宋体"/>
          <w:sz w:val="24"/>
          <w:highlight w:val="none"/>
        </w:rPr>
      </w:pPr>
      <w:r>
        <w:rPr>
          <w:rFonts w:hint="eastAsia" w:ascii="宋体" w:hAnsi="宋体"/>
          <w:sz w:val="24"/>
          <w:highlight w:val="none"/>
        </w:rPr>
        <w:t>我单位</w:t>
      </w:r>
      <w:r>
        <w:rPr>
          <w:rFonts w:hint="eastAsia" w:ascii="宋体" w:hAnsi="宋体" w:cs="宋体"/>
          <w:sz w:val="24"/>
          <w:highlight w:val="none"/>
        </w:rPr>
        <w:t>具有独立承担民事责任的能力；</w:t>
      </w:r>
    </w:p>
    <w:p>
      <w:pPr>
        <w:spacing w:line="560" w:lineRule="exact"/>
        <w:ind w:firstLine="480"/>
        <w:rPr>
          <w:rFonts w:ascii="宋体" w:hAnsi="宋体" w:cs="宋体"/>
          <w:sz w:val="24"/>
          <w:highlight w:val="none"/>
        </w:rPr>
      </w:pPr>
      <w:r>
        <w:rPr>
          <w:rFonts w:hint="eastAsia" w:ascii="宋体" w:hAnsi="宋体"/>
          <w:sz w:val="24"/>
          <w:highlight w:val="none"/>
        </w:rPr>
        <w:t>我单位</w:t>
      </w:r>
      <w:r>
        <w:rPr>
          <w:rFonts w:hint="eastAsia" w:ascii="宋体" w:hAnsi="宋体" w:cs="宋体"/>
          <w:sz w:val="24"/>
          <w:highlight w:val="none"/>
        </w:rPr>
        <w:t>具有良好的商业信誉和健全的财务会计制度；</w:t>
      </w:r>
    </w:p>
    <w:p>
      <w:pPr>
        <w:spacing w:line="560" w:lineRule="exact"/>
        <w:ind w:firstLine="480"/>
        <w:rPr>
          <w:rFonts w:ascii="宋体" w:hAnsi="宋体" w:cs="宋体"/>
          <w:sz w:val="24"/>
          <w:highlight w:val="none"/>
        </w:rPr>
      </w:pPr>
      <w:r>
        <w:rPr>
          <w:rFonts w:hint="eastAsia" w:ascii="宋体" w:hAnsi="宋体"/>
          <w:sz w:val="24"/>
          <w:highlight w:val="none"/>
        </w:rPr>
        <w:t>我单位</w:t>
      </w:r>
      <w:r>
        <w:rPr>
          <w:rFonts w:hint="eastAsia" w:ascii="宋体" w:hAnsi="宋体" w:cs="宋体"/>
          <w:sz w:val="24"/>
          <w:highlight w:val="none"/>
        </w:rPr>
        <w:t>具有履行合同所必需的设备和专业技术能力；</w:t>
      </w:r>
    </w:p>
    <w:p>
      <w:pPr>
        <w:spacing w:line="560" w:lineRule="exact"/>
        <w:ind w:firstLine="480"/>
        <w:rPr>
          <w:rFonts w:ascii="宋体" w:hAnsi="宋体" w:cs="宋体"/>
          <w:sz w:val="24"/>
          <w:highlight w:val="none"/>
        </w:rPr>
      </w:pPr>
      <w:r>
        <w:rPr>
          <w:rFonts w:hint="eastAsia" w:ascii="宋体" w:hAnsi="宋体"/>
          <w:sz w:val="24"/>
          <w:highlight w:val="none"/>
        </w:rPr>
        <w:t>我单位</w:t>
      </w:r>
      <w:r>
        <w:rPr>
          <w:rFonts w:hint="eastAsia" w:ascii="宋体" w:hAnsi="宋体" w:cs="宋体"/>
          <w:sz w:val="24"/>
          <w:highlight w:val="none"/>
        </w:rPr>
        <w:t>有依法缴纳税收和社会保障资金的良好记录；</w:t>
      </w:r>
    </w:p>
    <w:p>
      <w:pPr>
        <w:spacing w:line="560" w:lineRule="exact"/>
        <w:ind w:firstLine="480"/>
        <w:rPr>
          <w:rFonts w:ascii="宋体" w:hAnsi="宋体"/>
          <w:sz w:val="24"/>
          <w:highlight w:val="none"/>
        </w:rPr>
      </w:pPr>
      <w:r>
        <w:rPr>
          <w:rFonts w:hint="eastAsia" w:ascii="宋体" w:hAnsi="宋体"/>
          <w:sz w:val="24"/>
          <w:highlight w:val="none"/>
        </w:rPr>
        <w:t>我单位参加政府采购活动前3年内在经营活动中（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sz w:val="24"/>
          <w:highlight w:val="none"/>
        </w:rPr>
      </w:pPr>
    </w:p>
    <w:p>
      <w:pPr>
        <w:spacing w:line="420" w:lineRule="exact"/>
        <w:ind w:firstLine="6360" w:firstLineChars="2650"/>
        <w:rPr>
          <w:rFonts w:ascii="宋体" w:hAnsi="宋体"/>
          <w:sz w:val="24"/>
          <w:highlight w:val="none"/>
        </w:rPr>
      </w:pPr>
      <w:r>
        <w:rPr>
          <w:rFonts w:hint="eastAsia" w:ascii="宋体" w:hAnsi="宋体"/>
          <w:sz w:val="24"/>
          <w:highlight w:val="none"/>
        </w:rPr>
        <w:t xml:space="preserve"> 声明人：（公章）</w:t>
      </w:r>
    </w:p>
    <w:p>
      <w:pPr>
        <w:spacing w:line="420" w:lineRule="exact"/>
        <w:jc w:val="right"/>
        <w:rPr>
          <w:rFonts w:ascii="宋体" w:hAnsi="宋体"/>
          <w:sz w:val="24"/>
          <w:highlight w:val="none"/>
        </w:rPr>
      </w:pPr>
      <w:r>
        <w:rPr>
          <w:rFonts w:hint="eastAsia" w:ascii="宋体" w:hAnsi="宋体"/>
          <w:sz w:val="24"/>
          <w:highlight w:val="none"/>
        </w:rPr>
        <w:t xml:space="preserve">                                                   年     月    日</w:t>
      </w:r>
    </w:p>
    <w:p>
      <w:pPr>
        <w:numPr>
          <w:ilvl w:val="0"/>
          <w:numId w:val="3"/>
        </w:numPr>
        <w:snapToGrid w:val="0"/>
        <w:spacing w:line="360" w:lineRule="auto"/>
        <w:jc w:val="center"/>
        <w:outlineLvl w:val="4"/>
        <w:rPr>
          <w:rFonts w:ascii="宋体" w:hAnsi="宋体" w:cs="宋体"/>
          <w:b/>
          <w:bCs/>
          <w:sz w:val="28"/>
          <w:szCs w:val="28"/>
          <w:highlight w:val="none"/>
        </w:rPr>
      </w:pPr>
      <w:r>
        <w:rPr>
          <w:rFonts w:ascii="宋体" w:hAnsi="宋体" w:cs="宋体"/>
          <w:b/>
          <w:sz w:val="28"/>
          <w:szCs w:val="28"/>
          <w:highlight w:val="none"/>
        </w:rPr>
        <w:br w:type="page"/>
      </w:r>
      <w:r>
        <w:rPr>
          <w:rFonts w:hint="eastAsia" w:ascii="宋体" w:hAnsi="宋体" w:cs="宋体"/>
          <w:b/>
          <w:bCs/>
          <w:sz w:val="28"/>
          <w:szCs w:val="28"/>
          <w:highlight w:val="none"/>
        </w:rPr>
        <w:t>关于资格文件的声明函</w:t>
      </w:r>
    </w:p>
    <w:p>
      <w:pPr>
        <w:pStyle w:val="2"/>
        <w:ind w:firstLine="0" w:firstLineChars="0"/>
        <w:rPr>
          <w:highlight w:val="none"/>
        </w:rPr>
      </w:pPr>
    </w:p>
    <w:p>
      <w:pPr>
        <w:snapToGrid w:val="0"/>
        <w:spacing w:line="360" w:lineRule="auto"/>
        <w:rPr>
          <w:rFonts w:ascii="宋体" w:hAnsi="宋体"/>
          <w:bCs/>
          <w:sz w:val="24"/>
          <w:highlight w:val="none"/>
          <w:u w:val="single"/>
        </w:rPr>
      </w:pPr>
      <w:r>
        <w:rPr>
          <w:rFonts w:hint="eastAsia" w:ascii="宋体" w:hAnsi="宋体" w:cs="宋体"/>
          <w:sz w:val="24"/>
          <w:highlight w:val="none"/>
          <w:u w:val="single"/>
        </w:rPr>
        <w:t>南通市公路事业发展中心：</w:t>
      </w:r>
    </w:p>
    <w:p>
      <w:pPr>
        <w:overflowPunct w:val="0"/>
        <w:adjustRightInd w:val="0"/>
        <w:spacing w:line="360" w:lineRule="auto"/>
        <w:ind w:firstLine="660"/>
        <w:jc w:val="left"/>
        <w:textAlignment w:val="baseline"/>
        <w:rPr>
          <w:rFonts w:ascii="宋体" w:hAnsi="宋体"/>
          <w:sz w:val="24"/>
          <w:highlight w:val="none"/>
        </w:rPr>
      </w:pPr>
      <w:r>
        <w:rPr>
          <w:rFonts w:hint="eastAsia" w:ascii="宋体" w:hAnsi="宋体"/>
          <w:sz w:val="24"/>
          <w:highlight w:val="none"/>
        </w:rPr>
        <w:t>本公司愿就由贵单位组织实施的（</w:t>
      </w:r>
      <w:r>
        <w:rPr>
          <w:rFonts w:hint="eastAsia" w:ascii="宋体" w:hAnsi="宋体" w:cs="宋体"/>
          <w:sz w:val="24"/>
          <w:highlight w:val="none"/>
        </w:rPr>
        <w:t>项目名称及项目编号</w:t>
      </w:r>
      <w:r>
        <w:rPr>
          <w:rFonts w:hint="eastAsia" w:ascii="宋体" w:hAnsi="宋体"/>
          <w:sz w:val="24"/>
          <w:highlight w:val="none"/>
        </w:rPr>
        <w:t>)的活动参与磋商</w:t>
      </w:r>
      <w:r>
        <w:rPr>
          <w:rFonts w:hint="eastAsia" w:ascii="宋体" w:hAnsi="宋体" w:cs="宋体"/>
          <w:sz w:val="24"/>
          <w:highlight w:val="none"/>
        </w:rPr>
        <w:t>。本公司所提交的磋商文件中所有关于资格的文件、证明和陈述均是真实的、准确的。若与真实情况不符，本公司愿意承担由此而产生的一切后果</w:t>
      </w:r>
      <w:r>
        <w:rPr>
          <w:rFonts w:hint="eastAsia" w:ascii="宋体" w:hAnsi="宋体"/>
          <w:sz w:val="24"/>
          <w:highlight w:val="none"/>
        </w:rPr>
        <w:t>。</w:t>
      </w:r>
    </w:p>
    <w:p>
      <w:pPr>
        <w:overflowPunct w:val="0"/>
        <w:adjustRightInd w:val="0"/>
        <w:spacing w:line="360" w:lineRule="auto"/>
        <w:ind w:firstLine="420"/>
        <w:jc w:val="left"/>
        <w:textAlignment w:val="baseline"/>
        <w:rPr>
          <w:rFonts w:ascii="宋体" w:hAnsi="宋体"/>
          <w:sz w:val="24"/>
          <w:highlight w:val="none"/>
        </w:rPr>
      </w:pPr>
    </w:p>
    <w:p>
      <w:pPr>
        <w:overflowPunct w:val="0"/>
        <w:adjustRightInd w:val="0"/>
        <w:spacing w:line="360" w:lineRule="auto"/>
        <w:ind w:firstLine="420"/>
        <w:jc w:val="left"/>
        <w:textAlignment w:val="baseline"/>
        <w:rPr>
          <w:rFonts w:ascii="宋体" w:hAnsi="宋体"/>
          <w:sz w:val="24"/>
          <w:highlight w:val="none"/>
        </w:rPr>
      </w:pP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 xml:space="preserve">参加磋商单位（盖章）：   </w:t>
      </w: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法定代表人或委托代理人（签字）：</w:t>
      </w:r>
    </w:p>
    <w:p>
      <w:pPr>
        <w:snapToGrid w:val="0"/>
        <w:spacing w:line="520" w:lineRule="exact"/>
        <w:jc w:val="right"/>
        <w:rPr>
          <w:rFonts w:ascii="宋体" w:hAnsi="宋体" w:cs="宋体"/>
          <w:sz w:val="24"/>
          <w:highlight w:val="none"/>
        </w:rPr>
      </w:pPr>
      <w:r>
        <w:rPr>
          <w:rFonts w:hint="eastAsia" w:ascii="宋体" w:hAnsi="宋体" w:cs="宋体"/>
          <w:sz w:val="24"/>
          <w:highlight w:val="none"/>
        </w:rPr>
        <w:t xml:space="preserve"> 年      月     日</w:t>
      </w:r>
    </w:p>
    <w:p>
      <w:pPr>
        <w:snapToGrid w:val="0"/>
        <w:spacing w:line="520" w:lineRule="exact"/>
        <w:jc w:val="center"/>
        <w:outlineLvl w:val="3"/>
        <w:rPr>
          <w:rFonts w:ascii="宋体" w:hAnsi="宋体" w:cs="宋体"/>
          <w:b/>
          <w:sz w:val="28"/>
          <w:szCs w:val="28"/>
          <w:highlight w:val="none"/>
        </w:rPr>
      </w:pPr>
    </w:p>
    <w:p>
      <w:pPr>
        <w:snapToGrid w:val="0"/>
        <w:spacing w:line="520" w:lineRule="exact"/>
        <w:jc w:val="center"/>
        <w:outlineLvl w:val="3"/>
        <w:rPr>
          <w:rFonts w:ascii="宋体" w:hAnsi="宋体" w:cs="宋体"/>
          <w:b/>
          <w:sz w:val="28"/>
          <w:szCs w:val="28"/>
          <w:highlight w:val="none"/>
        </w:rPr>
      </w:pPr>
    </w:p>
    <w:p>
      <w:pPr>
        <w:snapToGrid w:val="0"/>
        <w:spacing w:line="520" w:lineRule="exact"/>
        <w:jc w:val="center"/>
        <w:outlineLvl w:val="3"/>
        <w:rPr>
          <w:rFonts w:ascii="宋体" w:hAnsi="宋体" w:cs="宋体"/>
          <w:bCs/>
          <w:sz w:val="28"/>
          <w:szCs w:val="28"/>
          <w:highlight w:val="none"/>
        </w:rPr>
      </w:pPr>
      <w:r>
        <w:rPr>
          <w:rFonts w:ascii="宋体" w:hAnsi="宋体" w:cs="宋体"/>
          <w:b/>
          <w:sz w:val="28"/>
          <w:szCs w:val="28"/>
          <w:highlight w:val="none"/>
        </w:rPr>
        <w:br w:type="page"/>
      </w:r>
      <w:r>
        <w:rPr>
          <w:rFonts w:hint="eastAsia" w:ascii="宋体" w:hAnsi="宋体" w:cs="宋体"/>
          <w:b/>
          <w:bCs/>
          <w:sz w:val="28"/>
          <w:szCs w:val="28"/>
          <w:highlight w:val="none"/>
        </w:rPr>
        <w:t>5、竞争性磋商响应函</w:t>
      </w:r>
      <w:r>
        <w:rPr>
          <w:rFonts w:hint="eastAsia" w:ascii="宋体" w:hAnsi="宋体" w:cs="宋体"/>
          <w:bCs/>
          <w:sz w:val="28"/>
          <w:szCs w:val="28"/>
          <w:highlight w:val="none"/>
        </w:rPr>
        <w:t>（</w:t>
      </w:r>
      <w:r>
        <w:rPr>
          <w:rFonts w:hint="eastAsia" w:ascii="宋体" w:hAnsi="宋体" w:cs="宋体"/>
          <w:bCs/>
          <w:sz w:val="28"/>
          <w:szCs w:val="28"/>
          <w:highlight w:val="none"/>
          <w:u w:val="single"/>
        </w:rPr>
        <w:t>格式不得变动</w:t>
      </w:r>
      <w:r>
        <w:rPr>
          <w:rFonts w:hint="eastAsia" w:ascii="宋体" w:hAnsi="宋体" w:cs="宋体"/>
          <w:bCs/>
          <w:sz w:val="28"/>
          <w:szCs w:val="28"/>
          <w:highlight w:val="none"/>
        </w:rPr>
        <w:t>）</w:t>
      </w:r>
    </w:p>
    <w:p>
      <w:pPr>
        <w:pStyle w:val="2"/>
        <w:rPr>
          <w:highlight w:val="none"/>
        </w:rPr>
      </w:pPr>
    </w:p>
    <w:p>
      <w:pPr>
        <w:snapToGrid w:val="0"/>
        <w:spacing w:line="520" w:lineRule="exact"/>
        <w:rPr>
          <w:rFonts w:ascii="宋体" w:hAnsi="宋体" w:cs="宋体"/>
          <w:sz w:val="24"/>
          <w:highlight w:val="none"/>
          <w:u w:val="single"/>
        </w:rPr>
      </w:pPr>
      <w:r>
        <w:rPr>
          <w:rFonts w:hint="eastAsia" w:ascii="宋体" w:hAnsi="宋体" w:cs="宋体"/>
          <w:sz w:val="24"/>
          <w:highlight w:val="none"/>
          <w:u w:val="single"/>
        </w:rPr>
        <w:t>南通市公路事业发展中心：</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依据贵单位委托代理机构组织的（磋商项目名称及项目编号)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1、同意并接受竞争性磋商文件的各项要求，遵守竞争性磋商文件中的各项规定，按竞争性磋商文件的要求提供报价。</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3、我公司已毫无保留地向贵方提供一切所需的证明材料。</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5、一旦成交，我方承诺无正当理由拒绝签订合同，将被贵方取消成交资格，同意贵方将磋商保证金作为违约金全额不予退还的处理。</w:t>
      </w:r>
    </w:p>
    <w:p>
      <w:pPr>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6、</w:t>
      </w:r>
      <w:r>
        <w:rPr>
          <w:rFonts w:hint="eastAsia" w:ascii="宋体" w:hAnsi="宋体" w:cs="宋体"/>
          <w:b/>
          <w:sz w:val="24"/>
          <w:highlight w:val="none"/>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hAnsi="宋体" w:cs="宋体"/>
          <w:sz w:val="24"/>
          <w:highlight w:val="none"/>
        </w:rPr>
      </w:pP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 xml:space="preserve">参加磋商单位（盖章）：   </w:t>
      </w: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法定代表人或委托代理人（签字）：</w:t>
      </w:r>
    </w:p>
    <w:p>
      <w:pPr>
        <w:kinsoku w:val="0"/>
        <w:topLinePunct/>
        <w:snapToGrid w:val="0"/>
        <w:spacing w:line="560" w:lineRule="exact"/>
        <w:rPr>
          <w:rFonts w:ascii="宋体" w:hAnsi="宋体" w:cs="仿宋_GB2312"/>
          <w:sz w:val="24"/>
          <w:highlight w:val="none"/>
        </w:rPr>
      </w:pPr>
      <w:r>
        <w:rPr>
          <w:rFonts w:hint="eastAsia" w:ascii="宋体" w:hAnsi="宋体" w:cs="宋体"/>
          <w:sz w:val="24"/>
          <w:highlight w:val="none"/>
        </w:rPr>
        <w:t xml:space="preserve"> 年      月     日</w:t>
      </w:r>
    </w:p>
    <w:p>
      <w:pPr>
        <w:snapToGrid w:val="0"/>
        <w:spacing w:line="520" w:lineRule="exact"/>
        <w:jc w:val="center"/>
        <w:outlineLvl w:val="3"/>
        <w:rPr>
          <w:rFonts w:ascii="宋体" w:hAnsi="宋体" w:cs="宋体"/>
          <w:b/>
          <w:sz w:val="28"/>
          <w:szCs w:val="28"/>
          <w:highlight w:val="none"/>
        </w:rPr>
      </w:pPr>
    </w:p>
    <w:p>
      <w:pPr>
        <w:snapToGrid w:val="0"/>
        <w:spacing w:line="520" w:lineRule="exact"/>
        <w:jc w:val="center"/>
        <w:outlineLvl w:val="3"/>
        <w:rPr>
          <w:rFonts w:ascii="宋体" w:hAnsi="宋体" w:cs="宋体"/>
          <w:b/>
          <w:sz w:val="28"/>
          <w:szCs w:val="28"/>
          <w:highlight w:val="none"/>
        </w:rPr>
      </w:pPr>
    </w:p>
    <w:p>
      <w:pPr>
        <w:spacing w:line="480" w:lineRule="exact"/>
        <w:jc w:val="center"/>
        <w:rPr>
          <w:rFonts w:ascii="宋体" w:hAnsi="宋体" w:cs="宋体"/>
          <w:b/>
          <w:sz w:val="28"/>
          <w:szCs w:val="28"/>
          <w:highlight w:val="none"/>
        </w:rPr>
      </w:pPr>
      <w:bookmarkStart w:id="465" w:name="_Toc425960671"/>
      <w:r>
        <w:rPr>
          <w:rFonts w:ascii="宋体" w:hAnsi="宋体"/>
          <w:b/>
          <w:bCs/>
          <w:sz w:val="28"/>
          <w:szCs w:val="28"/>
          <w:highlight w:val="none"/>
        </w:rPr>
        <w:br w:type="page"/>
      </w:r>
      <w:bookmarkEnd w:id="465"/>
      <w:r>
        <w:rPr>
          <w:rFonts w:hint="eastAsia" w:ascii="宋体" w:hAnsi="宋体"/>
          <w:b/>
          <w:bCs/>
          <w:sz w:val="28"/>
          <w:szCs w:val="28"/>
          <w:highlight w:val="none"/>
        </w:rPr>
        <w:t>6</w:t>
      </w:r>
      <w:r>
        <w:rPr>
          <w:rFonts w:hint="eastAsia" w:ascii="宋体" w:hAnsi="宋体" w:cs="宋体"/>
          <w:b/>
          <w:sz w:val="28"/>
          <w:szCs w:val="28"/>
          <w:highlight w:val="none"/>
        </w:rPr>
        <w:t>、供应商一般情况表</w:t>
      </w:r>
    </w:p>
    <w:tbl>
      <w:tblPr>
        <w:tblStyle w:val="32"/>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1050"/>
        <w:gridCol w:w="945"/>
        <w:gridCol w:w="210"/>
        <w:gridCol w:w="735"/>
        <w:gridCol w:w="307"/>
        <w:gridCol w:w="743"/>
        <w:gridCol w:w="57"/>
        <w:gridCol w:w="258"/>
        <w:gridCol w:w="420"/>
        <w:gridCol w:w="687"/>
        <w:gridCol w:w="115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highlight w:val="none"/>
              </w:rPr>
            </w:pPr>
            <w:r>
              <w:rPr>
                <w:rFonts w:hint="eastAsia" w:ascii="宋体" w:hAnsi="宋体" w:cs="宋体"/>
                <w:highlight w:val="none"/>
              </w:rPr>
              <w:t>单位全称</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highlight w:val="none"/>
              </w:rPr>
            </w:pPr>
            <w:r>
              <w:rPr>
                <w:rFonts w:hint="eastAsia" w:ascii="宋体" w:hAnsi="宋体" w:cs="宋体"/>
                <w:highlight w:val="none"/>
              </w:rPr>
              <w:t>主要业务</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cs="宋体"/>
                <w:highlight w:val="none"/>
              </w:rPr>
              <w:t>营业执照注册号</w:t>
            </w:r>
          </w:p>
        </w:tc>
        <w:tc>
          <w:tcPr>
            <w:tcW w:w="4047"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highlight w:val="none"/>
              </w:rPr>
            </w:pPr>
          </w:p>
        </w:tc>
        <w:tc>
          <w:tcPr>
            <w:tcW w:w="1365" w:type="dxa"/>
            <w:gridSpan w:val="3"/>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cs="宋体"/>
                <w:highlight w:val="none"/>
              </w:rPr>
              <w:t>建立日期</w:t>
            </w:r>
          </w:p>
        </w:tc>
        <w:tc>
          <w:tcPr>
            <w:tcW w:w="2294"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spacing w:val="-12"/>
                <w:kern w:val="10"/>
                <w:highlight w:val="none"/>
              </w:rPr>
            </w:pPr>
            <w:r>
              <w:rPr>
                <w:rFonts w:hint="eastAsia" w:ascii="宋体" w:hAnsi="宋体" w:cs="宋体"/>
                <w:spacing w:val="-12"/>
                <w:kern w:val="10"/>
                <w:highlight w:val="none"/>
              </w:rPr>
              <w:t>现有职工情况</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rPr>
                <w:rFonts w:ascii="宋体" w:hAnsi="宋体"/>
                <w:highlight w:val="none"/>
              </w:rPr>
            </w:pPr>
            <w:r>
              <w:rPr>
                <w:rFonts w:hint="eastAsia" w:ascii="宋体" w:hAnsi="宋体" w:cs="宋体"/>
                <w:highlight w:val="none"/>
              </w:rPr>
              <w:t>现有人数         人，其中高级     人，中级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spacing w:val="-12"/>
                <w:kern w:val="10"/>
                <w:highlight w:val="none"/>
              </w:rPr>
            </w:pPr>
            <w:r>
              <w:rPr>
                <w:rFonts w:hint="eastAsia" w:ascii="宋体" w:hAnsi="宋体" w:cs="宋体"/>
                <w:spacing w:val="-12"/>
                <w:kern w:val="10"/>
                <w:highlight w:val="none"/>
              </w:rPr>
              <w:t>办公地点</w:t>
            </w:r>
          </w:p>
        </w:tc>
        <w:tc>
          <w:tcPr>
            <w:tcW w:w="4047" w:type="dxa"/>
            <w:gridSpan w:val="7"/>
            <w:tcBorders>
              <w:top w:val="single" w:color="auto" w:sz="4" w:space="0"/>
              <w:left w:val="single" w:color="auto" w:sz="4" w:space="0"/>
              <w:right w:val="single" w:color="auto" w:sz="4" w:space="0"/>
            </w:tcBorders>
            <w:noWrap/>
          </w:tcPr>
          <w:p>
            <w:pPr>
              <w:spacing w:line="500" w:lineRule="exact"/>
              <w:rPr>
                <w:rFonts w:ascii="宋体" w:hAnsi="宋体" w:cs="宋体"/>
                <w:highlight w:val="none"/>
              </w:rPr>
            </w:pPr>
          </w:p>
        </w:tc>
        <w:tc>
          <w:tcPr>
            <w:tcW w:w="1365" w:type="dxa"/>
            <w:gridSpan w:val="3"/>
            <w:tcBorders>
              <w:top w:val="single" w:color="auto" w:sz="4" w:space="0"/>
              <w:left w:val="single" w:color="auto" w:sz="4" w:space="0"/>
              <w:right w:val="single" w:color="auto" w:sz="4" w:space="0"/>
            </w:tcBorders>
            <w:noWrap/>
          </w:tcPr>
          <w:p>
            <w:pPr>
              <w:spacing w:line="500" w:lineRule="exact"/>
              <w:rPr>
                <w:rFonts w:ascii="宋体" w:hAnsi="宋体" w:cs="宋体"/>
                <w:highlight w:val="none"/>
              </w:rPr>
            </w:pPr>
            <w:r>
              <w:rPr>
                <w:rFonts w:hint="eastAsia" w:ascii="宋体" w:hAnsi="宋体" w:cs="宋体"/>
                <w:highlight w:val="none"/>
              </w:rPr>
              <w:t>邮编</w:t>
            </w:r>
          </w:p>
        </w:tc>
        <w:tc>
          <w:tcPr>
            <w:tcW w:w="2294" w:type="dxa"/>
            <w:gridSpan w:val="2"/>
            <w:tcBorders>
              <w:top w:val="single" w:color="auto" w:sz="4" w:space="0"/>
              <w:left w:val="single" w:color="auto" w:sz="4" w:space="0"/>
              <w:right w:val="single" w:color="auto" w:sz="4" w:space="0"/>
            </w:tcBorders>
            <w:noWrap/>
          </w:tcPr>
          <w:p>
            <w:pPr>
              <w:spacing w:line="5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spacing w:val="-12"/>
                <w:kern w:val="10"/>
                <w:highlight w:val="none"/>
              </w:rPr>
            </w:pPr>
            <w:r>
              <w:rPr>
                <w:rFonts w:hint="eastAsia" w:ascii="宋体" w:hAnsi="宋体" w:cs="宋体"/>
                <w:spacing w:val="-12"/>
                <w:kern w:val="10"/>
                <w:highlight w:val="none"/>
              </w:rPr>
              <w:t>联系电话</w:t>
            </w:r>
          </w:p>
        </w:tc>
        <w:tc>
          <w:tcPr>
            <w:tcW w:w="4047" w:type="dxa"/>
            <w:gridSpan w:val="7"/>
            <w:tcBorders>
              <w:left w:val="single" w:color="auto" w:sz="4" w:space="0"/>
              <w:bottom w:val="single" w:color="auto" w:sz="4" w:space="0"/>
              <w:right w:val="single" w:color="auto" w:sz="4" w:space="0"/>
            </w:tcBorders>
            <w:noWrap/>
          </w:tcPr>
          <w:p>
            <w:pPr>
              <w:spacing w:line="500" w:lineRule="exact"/>
              <w:rPr>
                <w:rFonts w:ascii="宋体" w:hAnsi="宋体" w:cs="宋体"/>
                <w:highlight w:val="none"/>
              </w:rPr>
            </w:pPr>
          </w:p>
        </w:tc>
        <w:tc>
          <w:tcPr>
            <w:tcW w:w="1365" w:type="dxa"/>
            <w:gridSpan w:val="3"/>
            <w:tcBorders>
              <w:left w:val="single" w:color="auto" w:sz="4" w:space="0"/>
              <w:bottom w:val="single" w:color="auto" w:sz="4" w:space="0"/>
              <w:right w:val="single" w:color="auto" w:sz="4" w:space="0"/>
            </w:tcBorders>
            <w:noWrap/>
          </w:tcPr>
          <w:p>
            <w:pPr>
              <w:spacing w:line="500" w:lineRule="exact"/>
              <w:rPr>
                <w:rFonts w:ascii="宋体" w:hAnsi="宋体" w:cs="宋体"/>
                <w:highlight w:val="none"/>
              </w:rPr>
            </w:pPr>
            <w:r>
              <w:rPr>
                <w:rFonts w:hint="eastAsia" w:ascii="宋体" w:hAnsi="宋体" w:cs="宋体"/>
                <w:highlight w:val="none"/>
              </w:rPr>
              <w:t>传真</w:t>
            </w:r>
          </w:p>
        </w:tc>
        <w:tc>
          <w:tcPr>
            <w:tcW w:w="2294" w:type="dxa"/>
            <w:gridSpan w:val="2"/>
            <w:tcBorders>
              <w:left w:val="single" w:color="auto" w:sz="4" w:space="0"/>
              <w:bottom w:val="single" w:color="auto" w:sz="4" w:space="0"/>
              <w:right w:val="single" w:color="auto" w:sz="4" w:space="0"/>
            </w:tcBorders>
            <w:noWrap/>
          </w:tcPr>
          <w:p>
            <w:pPr>
              <w:spacing w:line="500" w:lineRule="exact"/>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cs="宋体"/>
                <w:highlight w:val="none"/>
              </w:rPr>
              <w:t>法定代表人姓名</w:t>
            </w:r>
          </w:p>
        </w:tc>
        <w:tc>
          <w:tcPr>
            <w:tcW w:w="1050"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c>
          <w:tcPr>
            <w:tcW w:w="945"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职务</w:t>
            </w:r>
          </w:p>
        </w:tc>
        <w:tc>
          <w:tcPr>
            <w:tcW w:w="1252"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c>
          <w:tcPr>
            <w:tcW w:w="1058"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职称</w:t>
            </w:r>
          </w:p>
        </w:tc>
        <w:tc>
          <w:tcPr>
            <w:tcW w:w="1107" w:type="dxa"/>
            <w:gridSpan w:val="2"/>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c>
          <w:tcPr>
            <w:tcW w:w="1155"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联系电话</w:t>
            </w:r>
          </w:p>
        </w:tc>
        <w:tc>
          <w:tcPr>
            <w:tcW w:w="1139"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highlight w:val="none"/>
              </w:rPr>
            </w:pPr>
            <w:r>
              <w:rPr>
                <w:rFonts w:hint="eastAsia" w:ascii="宋体" w:hAnsi="宋体" w:cs="宋体"/>
                <w:highlight w:val="none"/>
              </w:rPr>
              <w:t>技术负责人姓名</w:t>
            </w:r>
          </w:p>
        </w:tc>
        <w:tc>
          <w:tcPr>
            <w:tcW w:w="1050" w:type="dxa"/>
            <w:tcBorders>
              <w:left w:val="single" w:color="auto" w:sz="4" w:space="0"/>
              <w:right w:val="single" w:color="auto" w:sz="4" w:space="0"/>
            </w:tcBorders>
            <w:noWrap/>
          </w:tcPr>
          <w:p>
            <w:pPr>
              <w:spacing w:line="500" w:lineRule="exact"/>
              <w:jc w:val="center"/>
              <w:rPr>
                <w:rFonts w:ascii="宋体" w:hAnsi="宋体"/>
                <w:highlight w:val="none"/>
              </w:rPr>
            </w:pPr>
          </w:p>
        </w:tc>
        <w:tc>
          <w:tcPr>
            <w:tcW w:w="945" w:type="dxa"/>
            <w:tcBorders>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职务</w:t>
            </w:r>
          </w:p>
        </w:tc>
        <w:tc>
          <w:tcPr>
            <w:tcW w:w="1252" w:type="dxa"/>
            <w:gridSpan w:val="3"/>
            <w:tcBorders>
              <w:left w:val="single" w:color="auto" w:sz="4" w:space="0"/>
              <w:right w:val="single" w:color="auto" w:sz="4" w:space="0"/>
            </w:tcBorders>
            <w:noWrap/>
          </w:tcPr>
          <w:p>
            <w:pPr>
              <w:spacing w:line="500" w:lineRule="exact"/>
              <w:jc w:val="center"/>
              <w:rPr>
                <w:rFonts w:ascii="宋体" w:hAnsi="宋体"/>
                <w:highlight w:val="none"/>
              </w:rPr>
            </w:pPr>
          </w:p>
        </w:tc>
        <w:tc>
          <w:tcPr>
            <w:tcW w:w="1058" w:type="dxa"/>
            <w:gridSpan w:val="3"/>
            <w:tcBorders>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职称</w:t>
            </w:r>
          </w:p>
        </w:tc>
        <w:tc>
          <w:tcPr>
            <w:tcW w:w="1107" w:type="dxa"/>
            <w:gridSpan w:val="2"/>
            <w:tcBorders>
              <w:left w:val="single" w:color="auto" w:sz="4" w:space="0"/>
              <w:right w:val="single" w:color="auto" w:sz="4" w:space="0"/>
            </w:tcBorders>
            <w:noWrap/>
          </w:tcPr>
          <w:p>
            <w:pPr>
              <w:spacing w:line="500" w:lineRule="exact"/>
              <w:jc w:val="center"/>
              <w:rPr>
                <w:rFonts w:ascii="宋体" w:hAnsi="宋体"/>
                <w:highlight w:val="none"/>
              </w:rPr>
            </w:pPr>
          </w:p>
        </w:tc>
        <w:tc>
          <w:tcPr>
            <w:tcW w:w="1155" w:type="dxa"/>
            <w:tcBorders>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联系电话</w:t>
            </w:r>
          </w:p>
        </w:tc>
        <w:tc>
          <w:tcPr>
            <w:tcW w:w="1139" w:type="dxa"/>
            <w:tcBorders>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cs="宋体"/>
                <w:highlight w:val="none"/>
              </w:rPr>
            </w:pPr>
            <w:r>
              <w:rPr>
                <w:rFonts w:hint="eastAsia" w:ascii="宋体" w:hAnsi="宋体" w:cs="宋体"/>
                <w:highlight w:val="none"/>
              </w:rPr>
              <w:t>联系人姓名</w:t>
            </w:r>
          </w:p>
        </w:tc>
        <w:tc>
          <w:tcPr>
            <w:tcW w:w="1050" w:type="dxa"/>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c>
          <w:tcPr>
            <w:tcW w:w="945" w:type="dxa"/>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职务</w:t>
            </w:r>
          </w:p>
        </w:tc>
        <w:tc>
          <w:tcPr>
            <w:tcW w:w="1252"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c>
          <w:tcPr>
            <w:tcW w:w="1058"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联系电话</w:t>
            </w:r>
          </w:p>
        </w:tc>
        <w:tc>
          <w:tcPr>
            <w:tcW w:w="1107" w:type="dxa"/>
            <w:gridSpan w:val="2"/>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c>
          <w:tcPr>
            <w:tcW w:w="1155" w:type="dxa"/>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邮箱</w:t>
            </w:r>
          </w:p>
        </w:tc>
        <w:tc>
          <w:tcPr>
            <w:tcW w:w="1139" w:type="dxa"/>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企业资质名称及等级</w:t>
            </w:r>
          </w:p>
        </w:tc>
        <w:tc>
          <w:tcPr>
            <w:tcW w:w="2205"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c>
          <w:tcPr>
            <w:tcW w:w="1785"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企业资质证书号</w:t>
            </w:r>
          </w:p>
        </w:tc>
        <w:tc>
          <w:tcPr>
            <w:tcW w:w="1422" w:type="dxa"/>
            <w:gridSpan w:val="4"/>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c>
          <w:tcPr>
            <w:tcW w:w="1155"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有效期</w:t>
            </w:r>
          </w:p>
        </w:tc>
        <w:tc>
          <w:tcPr>
            <w:tcW w:w="1139" w:type="dxa"/>
            <w:tcBorders>
              <w:top w:val="single" w:color="auto" w:sz="4" w:space="0"/>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spacing w:val="-12"/>
                <w:kern w:val="10"/>
                <w:highlight w:val="none"/>
              </w:rPr>
              <w:t>…</w:t>
            </w:r>
          </w:p>
        </w:tc>
        <w:tc>
          <w:tcPr>
            <w:tcW w:w="2205" w:type="dxa"/>
            <w:gridSpan w:val="3"/>
            <w:tcBorders>
              <w:left w:val="single" w:color="auto" w:sz="4" w:space="0"/>
              <w:right w:val="single" w:color="auto" w:sz="4" w:space="0"/>
            </w:tcBorders>
            <w:noWrap/>
          </w:tcPr>
          <w:p>
            <w:pPr>
              <w:spacing w:line="500" w:lineRule="exact"/>
              <w:jc w:val="center"/>
              <w:rPr>
                <w:rFonts w:ascii="宋体" w:hAnsi="宋体"/>
                <w:highlight w:val="none"/>
              </w:rPr>
            </w:pPr>
          </w:p>
        </w:tc>
        <w:tc>
          <w:tcPr>
            <w:tcW w:w="1785" w:type="dxa"/>
            <w:gridSpan w:val="3"/>
            <w:tcBorders>
              <w:left w:val="single" w:color="auto" w:sz="4" w:space="0"/>
              <w:right w:val="single" w:color="auto" w:sz="4" w:space="0"/>
            </w:tcBorders>
            <w:noWrap/>
          </w:tcPr>
          <w:p>
            <w:pPr>
              <w:spacing w:line="500" w:lineRule="exact"/>
              <w:jc w:val="center"/>
              <w:rPr>
                <w:rFonts w:ascii="宋体" w:hAnsi="宋体"/>
                <w:highlight w:val="none"/>
              </w:rPr>
            </w:pPr>
          </w:p>
        </w:tc>
        <w:tc>
          <w:tcPr>
            <w:tcW w:w="1422" w:type="dxa"/>
            <w:gridSpan w:val="4"/>
            <w:tcBorders>
              <w:left w:val="single" w:color="auto" w:sz="4" w:space="0"/>
              <w:right w:val="single" w:color="auto" w:sz="4" w:space="0"/>
            </w:tcBorders>
            <w:noWrap/>
          </w:tcPr>
          <w:p>
            <w:pPr>
              <w:spacing w:line="500" w:lineRule="exact"/>
              <w:jc w:val="center"/>
              <w:rPr>
                <w:rFonts w:ascii="宋体" w:hAnsi="宋体"/>
                <w:highlight w:val="none"/>
              </w:rPr>
            </w:pPr>
          </w:p>
        </w:tc>
        <w:tc>
          <w:tcPr>
            <w:tcW w:w="1155" w:type="dxa"/>
            <w:tcBorders>
              <w:left w:val="single" w:color="auto" w:sz="4" w:space="0"/>
              <w:right w:val="single" w:color="auto" w:sz="4" w:space="0"/>
            </w:tcBorders>
            <w:noWrap/>
          </w:tcPr>
          <w:p>
            <w:pPr>
              <w:spacing w:line="500" w:lineRule="exact"/>
              <w:jc w:val="center"/>
              <w:rPr>
                <w:rFonts w:ascii="宋体" w:hAnsi="宋体"/>
                <w:highlight w:val="none"/>
              </w:rPr>
            </w:pPr>
          </w:p>
        </w:tc>
        <w:tc>
          <w:tcPr>
            <w:tcW w:w="1139" w:type="dxa"/>
            <w:tcBorders>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spacing w:val="-12"/>
                <w:kern w:val="10"/>
                <w:highlight w:val="none"/>
              </w:rPr>
              <w:t>…</w:t>
            </w:r>
          </w:p>
        </w:tc>
        <w:tc>
          <w:tcPr>
            <w:tcW w:w="2205" w:type="dxa"/>
            <w:gridSpan w:val="3"/>
            <w:tcBorders>
              <w:left w:val="single" w:color="auto" w:sz="4" w:space="0"/>
              <w:right w:val="single" w:color="auto" w:sz="4" w:space="0"/>
            </w:tcBorders>
            <w:noWrap/>
          </w:tcPr>
          <w:p>
            <w:pPr>
              <w:spacing w:line="500" w:lineRule="exact"/>
              <w:jc w:val="center"/>
              <w:rPr>
                <w:rFonts w:ascii="宋体" w:hAnsi="宋体"/>
                <w:highlight w:val="none"/>
              </w:rPr>
            </w:pPr>
          </w:p>
        </w:tc>
        <w:tc>
          <w:tcPr>
            <w:tcW w:w="1785" w:type="dxa"/>
            <w:gridSpan w:val="3"/>
            <w:tcBorders>
              <w:left w:val="single" w:color="auto" w:sz="4" w:space="0"/>
              <w:right w:val="single" w:color="auto" w:sz="4" w:space="0"/>
            </w:tcBorders>
            <w:noWrap/>
          </w:tcPr>
          <w:p>
            <w:pPr>
              <w:spacing w:line="500" w:lineRule="exact"/>
              <w:jc w:val="center"/>
              <w:rPr>
                <w:rFonts w:ascii="宋体" w:hAnsi="宋体"/>
                <w:highlight w:val="none"/>
              </w:rPr>
            </w:pPr>
          </w:p>
        </w:tc>
        <w:tc>
          <w:tcPr>
            <w:tcW w:w="1422" w:type="dxa"/>
            <w:gridSpan w:val="4"/>
            <w:tcBorders>
              <w:left w:val="single" w:color="auto" w:sz="4" w:space="0"/>
              <w:right w:val="single" w:color="auto" w:sz="4" w:space="0"/>
            </w:tcBorders>
            <w:noWrap/>
          </w:tcPr>
          <w:p>
            <w:pPr>
              <w:spacing w:line="500" w:lineRule="exact"/>
              <w:jc w:val="center"/>
              <w:rPr>
                <w:rFonts w:ascii="宋体" w:hAnsi="宋体"/>
                <w:highlight w:val="none"/>
              </w:rPr>
            </w:pPr>
          </w:p>
        </w:tc>
        <w:tc>
          <w:tcPr>
            <w:tcW w:w="1155" w:type="dxa"/>
            <w:tcBorders>
              <w:left w:val="single" w:color="auto" w:sz="4" w:space="0"/>
              <w:right w:val="single" w:color="auto" w:sz="4" w:space="0"/>
            </w:tcBorders>
            <w:noWrap/>
          </w:tcPr>
          <w:p>
            <w:pPr>
              <w:spacing w:line="500" w:lineRule="exact"/>
              <w:jc w:val="center"/>
              <w:rPr>
                <w:rFonts w:ascii="宋体" w:hAnsi="宋体"/>
                <w:highlight w:val="none"/>
              </w:rPr>
            </w:pPr>
          </w:p>
        </w:tc>
        <w:tc>
          <w:tcPr>
            <w:tcW w:w="1139" w:type="dxa"/>
            <w:tcBorders>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spacing w:val="-12"/>
                <w:kern w:val="10"/>
                <w:highlight w:val="none"/>
              </w:rPr>
            </w:pPr>
            <w:r>
              <w:rPr>
                <w:rFonts w:hint="eastAsia" w:ascii="宋体" w:hAnsi="宋体" w:cs="宋体"/>
                <w:highlight w:val="none"/>
              </w:rPr>
              <w:t>基本户开户行</w:t>
            </w:r>
          </w:p>
        </w:tc>
        <w:tc>
          <w:tcPr>
            <w:tcW w:w="2940" w:type="dxa"/>
            <w:gridSpan w:val="4"/>
            <w:tcBorders>
              <w:left w:val="single" w:color="auto" w:sz="4" w:space="0"/>
              <w:right w:val="single" w:color="auto" w:sz="4" w:space="0"/>
            </w:tcBorders>
            <w:noWrap/>
          </w:tcPr>
          <w:p>
            <w:pPr>
              <w:spacing w:line="500" w:lineRule="exact"/>
              <w:jc w:val="center"/>
              <w:rPr>
                <w:rFonts w:ascii="宋体" w:hAnsi="宋体"/>
                <w:highlight w:val="none"/>
              </w:rPr>
            </w:pPr>
          </w:p>
        </w:tc>
        <w:tc>
          <w:tcPr>
            <w:tcW w:w="1785" w:type="dxa"/>
            <w:gridSpan w:val="5"/>
            <w:tcBorders>
              <w:left w:val="single" w:color="auto" w:sz="4" w:space="0"/>
              <w:right w:val="single" w:color="auto" w:sz="4" w:space="0"/>
            </w:tcBorders>
            <w:noWrap/>
          </w:tcPr>
          <w:p>
            <w:pPr>
              <w:spacing w:line="500" w:lineRule="exact"/>
              <w:jc w:val="center"/>
              <w:rPr>
                <w:rFonts w:ascii="宋体" w:hAnsi="宋体"/>
                <w:highlight w:val="none"/>
              </w:rPr>
            </w:pPr>
            <w:r>
              <w:rPr>
                <w:rFonts w:hint="eastAsia" w:ascii="宋体" w:hAnsi="宋体"/>
                <w:highlight w:val="none"/>
              </w:rPr>
              <w:t>基本户户名</w:t>
            </w:r>
          </w:p>
        </w:tc>
        <w:tc>
          <w:tcPr>
            <w:tcW w:w="2981" w:type="dxa"/>
            <w:gridSpan w:val="3"/>
            <w:tcBorders>
              <w:left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highlight w:val="none"/>
              </w:rPr>
            </w:pPr>
            <w:r>
              <w:rPr>
                <w:rFonts w:hint="eastAsia" w:ascii="宋体" w:hAnsi="宋体" w:cs="宋体"/>
                <w:highlight w:val="none"/>
              </w:rPr>
              <w:t>基本户账户</w:t>
            </w:r>
          </w:p>
        </w:tc>
        <w:tc>
          <w:tcPr>
            <w:tcW w:w="2940" w:type="dxa"/>
            <w:gridSpan w:val="4"/>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c>
          <w:tcPr>
            <w:tcW w:w="1785" w:type="dxa"/>
            <w:gridSpan w:val="5"/>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c>
          <w:tcPr>
            <w:tcW w:w="2981"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highlight w:val="none"/>
              </w:rPr>
            </w:pPr>
            <w:r>
              <w:rPr>
                <w:rFonts w:hint="eastAsia" w:ascii="宋体" w:hAnsi="宋体" w:cs="宋体"/>
                <w:highlight w:val="none"/>
              </w:rPr>
              <w:t>信用等级</w:t>
            </w:r>
          </w:p>
        </w:tc>
        <w:tc>
          <w:tcPr>
            <w:tcW w:w="7706" w:type="dxa"/>
            <w:gridSpan w:val="12"/>
            <w:tcBorders>
              <w:left w:val="single" w:color="auto" w:sz="4" w:space="0"/>
              <w:bottom w:val="single" w:color="auto" w:sz="4" w:space="0"/>
              <w:right w:val="single" w:color="auto" w:sz="4" w:space="0"/>
            </w:tcBorders>
            <w:noWrap/>
          </w:tcPr>
          <w:p>
            <w:pPr>
              <w:spacing w:line="500" w:lineRule="exact"/>
              <w:rPr>
                <w:rFonts w:ascii="宋体" w:hAnsi="宋体"/>
                <w:highlight w:val="none"/>
              </w:rPr>
            </w:pPr>
          </w:p>
        </w:tc>
      </w:tr>
    </w:tbl>
    <w:p>
      <w:pPr>
        <w:spacing w:line="400" w:lineRule="exact"/>
        <w:rPr>
          <w:rFonts w:ascii="宋体" w:hAnsi="宋体"/>
          <w:b/>
          <w:highlight w:val="none"/>
        </w:rPr>
      </w:pPr>
      <w:r>
        <w:rPr>
          <w:rFonts w:hint="eastAsia" w:ascii="宋体" w:hAnsi="宋体"/>
          <w:b/>
          <w:highlight w:val="none"/>
        </w:rPr>
        <w:t>注：1. 所填写的“企业资质名称及等级、证书号、有效期”等基本信息应至少对应本项目资格审查要求，否则不能通过资格审查。</w:t>
      </w:r>
    </w:p>
    <w:p>
      <w:pPr>
        <w:spacing w:line="400" w:lineRule="exact"/>
        <w:ind w:firstLine="413" w:firstLineChars="196"/>
        <w:rPr>
          <w:rFonts w:ascii="宋体" w:hAnsi="宋体" w:cs="宋体"/>
          <w:b/>
          <w:highlight w:val="none"/>
        </w:rPr>
      </w:pPr>
      <w:r>
        <w:rPr>
          <w:rFonts w:hint="eastAsia" w:ascii="宋体" w:hAnsi="宋体" w:cs="宋体"/>
          <w:b/>
          <w:highlight w:val="none"/>
        </w:rPr>
        <w:t>2.本表后附如下资料至少包括以下：（1）营业执照副本、资质证书副本（全本）及基本账户开户许可证的彩色复印件或彩色扫描件。</w:t>
      </w:r>
    </w:p>
    <w:p>
      <w:pPr>
        <w:spacing w:line="400" w:lineRule="exact"/>
        <w:ind w:firstLine="413" w:firstLineChars="196"/>
        <w:rPr>
          <w:rFonts w:ascii="宋体" w:hAnsi="宋体" w:cs="宋体"/>
          <w:b/>
          <w:highlight w:val="none"/>
        </w:rPr>
      </w:pPr>
      <w:r>
        <w:rPr>
          <w:rFonts w:hint="eastAsia" w:ascii="宋体" w:hAnsi="宋体" w:cs="宋体"/>
          <w:b/>
          <w:highlight w:val="none"/>
        </w:rPr>
        <w:t>3.在“信用中国”网站（http://www.creditchina.gov.cn/）查询的信用情况截图。</w:t>
      </w:r>
    </w:p>
    <w:p>
      <w:pPr>
        <w:spacing w:line="400" w:lineRule="exact"/>
        <w:ind w:firstLine="413" w:firstLineChars="196"/>
        <w:rPr>
          <w:rFonts w:ascii="宋体" w:hAnsi="宋体" w:cs="宋体"/>
          <w:b/>
          <w:highlight w:val="none"/>
        </w:rPr>
      </w:pPr>
      <w:r>
        <w:rPr>
          <w:rFonts w:hint="eastAsia" w:ascii="宋体" w:hAnsi="宋体" w:cs="宋体"/>
          <w:b/>
          <w:highlight w:val="none"/>
        </w:rPr>
        <w:t>4.在国家企业信用信息公示系统（http://www.gsxt.gov.cn/）查询的信用情况截图。</w:t>
      </w:r>
    </w:p>
    <w:p>
      <w:pPr>
        <w:spacing w:line="400" w:lineRule="exact"/>
        <w:ind w:firstLine="413" w:firstLineChars="196"/>
        <w:rPr>
          <w:rFonts w:ascii="宋体" w:hAnsi="宋体" w:cs="宋体"/>
          <w:b/>
          <w:highlight w:val="none"/>
        </w:rPr>
      </w:pPr>
    </w:p>
    <w:p>
      <w:pPr>
        <w:spacing w:line="400" w:lineRule="exact"/>
        <w:ind w:firstLine="413" w:firstLineChars="196"/>
        <w:rPr>
          <w:rFonts w:ascii="宋体" w:hAnsi="宋体" w:cs="宋体"/>
          <w:b/>
          <w:highlight w:val="none"/>
        </w:rPr>
      </w:pPr>
    </w:p>
    <w:p>
      <w:pPr>
        <w:spacing w:line="400" w:lineRule="exact"/>
        <w:ind w:firstLine="413" w:firstLineChars="196"/>
        <w:rPr>
          <w:rFonts w:ascii="宋体" w:hAnsi="宋体" w:cs="宋体"/>
          <w:b/>
          <w:highlight w:val="none"/>
        </w:rPr>
        <w:sectPr>
          <w:footerReference r:id="rId3" w:type="default"/>
          <w:pgSz w:w="11906" w:h="16838"/>
          <w:pgMar w:top="1418" w:right="1418" w:bottom="1418" w:left="1418" w:header="851" w:footer="992" w:gutter="0"/>
          <w:cols w:space="720" w:num="1"/>
          <w:titlePg/>
          <w:docGrid w:type="lines" w:linePitch="312" w:charSpace="0"/>
        </w:sectPr>
      </w:pPr>
    </w:p>
    <w:p>
      <w:pPr>
        <w:spacing w:line="480" w:lineRule="exact"/>
        <w:jc w:val="center"/>
        <w:rPr>
          <w:rFonts w:ascii="宋体" w:hAnsi="宋体"/>
          <w:b/>
          <w:bCs/>
          <w:sz w:val="28"/>
          <w:szCs w:val="28"/>
          <w:highlight w:val="none"/>
        </w:rPr>
      </w:pPr>
      <w:r>
        <w:rPr>
          <w:rFonts w:hint="eastAsia" w:ascii="宋体" w:hAnsi="宋体"/>
          <w:b/>
          <w:bCs/>
          <w:sz w:val="28"/>
          <w:szCs w:val="28"/>
          <w:highlight w:val="none"/>
        </w:rPr>
        <w:t>7、投入本项目的人员情况表</w:t>
      </w:r>
    </w:p>
    <w:tbl>
      <w:tblPr>
        <w:tblStyle w:val="32"/>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1155"/>
        <w:gridCol w:w="735"/>
        <w:gridCol w:w="1260"/>
        <w:gridCol w:w="945"/>
        <w:gridCol w:w="945"/>
        <w:gridCol w:w="1575"/>
        <w:gridCol w:w="1627"/>
        <w:gridCol w:w="1628"/>
        <w:gridCol w:w="1627"/>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noWrap/>
            <w:vAlign w:val="center"/>
          </w:tcPr>
          <w:p>
            <w:pPr>
              <w:jc w:val="center"/>
              <w:rPr>
                <w:rFonts w:ascii="宋体" w:hAnsi="宋体"/>
                <w:highlight w:val="none"/>
              </w:rPr>
            </w:pPr>
            <w:r>
              <w:rPr>
                <w:rFonts w:hint="eastAsia" w:ascii="宋体" w:hAnsi="宋体"/>
                <w:highlight w:val="none"/>
              </w:rPr>
              <w:t>序</w:t>
            </w:r>
          </w:p>
          <w:p>
            <w:pPr>
              <w:jc w:val="center"/>
              <w:rPr>
                <w:rFonts w:ascii="宋体" w:hAnsi="宋体"/>
                <w:highlight w:val="none"/>
              </w:rPr>
            </w:pPr>
            <w:r>
              <w:rPr>
                <w:rFonts w:hint="eastAsia" w:ascii="宋体" w:hAnsi="宋体"/>
                <w:highlight w:val="none"/>
              </w:rPr>
              <w:t>号</w:t>
            </w:r>
          </w:p>
        </w:tc>
        <w:tc>
          <w:tcPr>
            <w:tcW w:w="1365" w:type="dxa"/>
            <w:noWrap/>
            <w:vAlign w:val="center"/>
          </w:tcPr>
          <w:p>
            <w:pPr>
              <w:jc w:val="center"/>
              <w:rPr>
                <w:rFonts w:ascii="宋体" w:hAnsi="宋体"/>
                <w:highlight w:val="none"/>
              </w:rPr>
            </w:pPr>
            <w:r>
              <w:rPr>
                <w:rFonts w:hint="eastAsia" w:ascii="宋体" w:hAnsi="宋体"/>
                <w:highlight w:val="none"/>
              </w:rPr>
              <w:t>在本项目中担任职务</w:t>
            </w:r>
          </w:p>
        </w:tc>
        <w:tc>
          <w:tcPr>
            <w:tcW w:w="1155" w:type="dxa"/>
            <w:noWrap/>
            <w:vAlign w:val="center"/>
          </w:tcPr>
          <w:p>
            <w:pPr>
              <w:jc w:val="center"/>
              <w:rPr>
                <w:rFonts w:ascii="宋体" w:hAnsi="宋体"/>
                <w:highlight w:val="none"/>
              </w:rPr>
            </w:pPr>
            <w:r>
              <w:rPr>
                <w:rFonts w:hint="eastAsia" w:ascii="宋体" w:hAnsi="宋体"/>
                <w:highlight w:val="none"/>
              </w:rPr>
              <w:t>姓 名</w:t>
            </w:r>
          </w:p>
        </w:tc>
        <w:tc>
          <w:tcPr>
            <w:tcW w:w="735" w:type="dxa"/>
            <w:noWrap/>
            <w:vAlign w:val="center"/>
          </w:tcPr>
          <w:p>
            <w:pPr>
              <w:jc w:val="center"/>
              <w:rPr>
                <w:rFonts w:ascii="宋体" w:hAnsi="宋体"/>
                <w:highlight w:val="none"/>
              </w:rPr>
            </w:pPr>
            <w:r>
              <w:rPr>
                <w:rFonts w:hint="eastAsia" w:ascii="宋体" w:hAnsi="宋体"/>
                <w:highlight w:val="none"/>
              </w:rPr>
              <w:t>年龄</w:t>
            </w:r>
          </w:p>
        </w:tc>
        <w:tc>
          <w:tcPr>
            <w:tcW w:w="1260" w:type="dxa"/>
            <w:noWrap/>
            <w:vAlign w:val="center"/>
          </w:tcPr>
          <w:p>
            <w:pPr>
              <w:jc w:val="center"/>
              <w:rPr>
                <w:rFonts w:ascii="宋体" w:hAnsi="宋体"/>
                <w:highlight w:val="none"/>
              </w:rPr>
            </w:pPr>
            <w:r>
              <w:rPr>
                <w:rFonts w:hint="eastAsia" w:ascii="宋体" w:hAnsi="宋体"/>
                <w:highlight w:val="none"/>
              </w:rPr>
              <w:t>技术职称</w:t>
            </w:r>
          </w:p>
        </w:tc>
        <w:tc>
          <w:tcPr>
            <w:tcW w:w="945" w:type="dxa"/>
            <w:noWrap/>
            <w:vAlign w:val="center"/>
          </w:tcPr>
          <w:p>
            <w:pPr>
              <w:jc w:val="center"/>
              <w:rPr>
                <w:rFonts w:ascii="宋体" w:hAnsi="宋体"/>
                <w:highlight w:val="none"/>
              </w:rPr>
            </w:pPr>
            <w:r>
              <w:rPr>
                <w:rFonts w:hint="eastAsia" w:ascii="宋体" w:hAnsi="宋体"/>
                <w:highlight w:val="none"/>
              </w:rPr>
              <w:t>工 作</w:t>
            </w:r>
          </w:p>
          <w:p>
            <w:pPr>
              <w:jc w:val="center"/>
              <w:rPr>
                <w:rFonts w:ascii="宋体" w:hAnsi="宋体"/>
                <w:highlight w:val="none"/>
              </w:rPr>
            </w:pPr>
            <w:r>
              <w:rPr>
                <w:rFonts w:hint="eastAsia" w:ascii="宋体" w:hAnsi="宋体"/>
                <w:highlight w:val="none"/>
              </w:rPr>
              <w:t>年 限</w:t>
            </w:r>
          </w:p>
        </w:tc>
        <w:tc>
          <w:tcPr>
            <w:tcW w:w="945" w:type="dxa"/>
            <w:noWrap/>
            <w:vAlign w:val="center"/>
          </w:tcPr>
          <w:p>
            <w:pPr>
              <w:jc w:val="center"/>
              <w:rPr>
                <w:rFonts w:ascii="宋体" w:hAnsi="宋体"/>
                <w:highlight w:val="none"/>
              </w:rPr>
            </w:pPr>
            <w:r>
              <w:rPr>
                <w:rFonts w:hint="eastAsia" w:ascii="宋体" w:hAnsi="宋体"/>
                <w:highlight w:val="none"/>
              </w:rPr>
              <w:t>学 历</w:t>
            </w:r>
          </w:p>
        </w:tc>
        <w:tc>
          <w:tcPr>
            <w:tcW w:w="1575" w:type="dxa"/>
            <w:noWrap/>
            <w:vAlign w:val="center"/>
          </w:tcPr>
          <w:p>
            <w:pPr>
              <w:jc w:val="center"/>
              <w:rPr>
                <w:rFonts w:ascii="宋体" w:hAnsi="宋体"/>
                <w:highlight w:val="none"/>
              </w:rPr>
            </w:pPr>
            <w:r>
              <w:rPr>
                <w:rFonts w:hint="eastAsia" w:ascii="宋体" w:hAnsi="宋体"/>
                <w:highlight w:val="none"/>
              </w:rPr>
              <w:t>专  业</w:t>
            </w:r>
          </w:p>
        </w:tc>
        <w:tc>
          <w:tcPr>
            <w:tcW w:w="1627" w:type="dxa"/>
            <w:noWrap/>
            <w:vAlign w:val="center"/>
          </w:tcPr>
          <w:p>
            <w:pPr>
              <w:jc w:val="center"/>
              <w:rPr>
                <w:rFonts w:ascii="宋体" w:hAnsi="宋体"/>
                <w:highlight w:val="none"/>
              </w:rPr>
            </w:pPr>
            <w:r>
              <w:rPr>
                <w:rFonts w:hint="eastAsia" w:ascii="宋体" w:hAnsi="宋体"/>
                <w:highlight w:val="none"/>
              </w:rPr>
              <w:t>执业资格名称</w:t>
            </w:r>
          </w:p>
        </w:tc>
        <w:tc>
          <w:tcPr>
            <w:tcW w:w="1628" w:type="dxa"/>
            <w:noWrap/>
            <w:vAlign w:val="center"/>
          </w:tcPr>
          <w:p>
            <w:pPr>
              <w:jc w:val="center"/>
              <w:rPr>
                <w:rFonts w:ascii="宋体" w:hAnsi="宋体"/>
                <w:highlight w:val="none"/>
              </w:rPr>
            </w:pPr>
            <w:r>
              <w:rPr>
                <w:rFonts w:hint="eastAsia" w:ascii="宋体" w:hAnsi="宋体"/>
                <w:highlight w:val="none"/>
              </w:rPr>
              <w:t>执业资格等级</w:t>
            </w:r>
          </w:p>
        </w:tc>
        <w:tc>
          <w:tcPr>
            <w:tcW w:w="1627" w:type="dxa"/>
            <w:noWrap/>
            <w:vAlign w:val="center"/>
          </w:tcPr>
          <w:p>
            <w:pPr>
              <w:jc w:val="center"/>
              <w:rPr>
                <w:rFonts w:ascii="宋体" w:hAnsi="宋体"/>
                <w:highlight w:val="none"/>
              </w:rPr>
            </w:pPr>
            <w:r>
              <w:rPr>
                <w:rFonts w:hint="eastAsia" w:ascii="宋体" w:hAnsi="宋体"/>
                <w:highlight w:val="none"/>
              </w:rPr>
              <w:t>执业资格编号</w:t>
            </w:r>
          </w:p>
        </w:tc>
        <w:tc>
          <w:tcPr>
            <w:tcW w:w="1733" w:type="dxa"/>
            <w:noWrap/>
            <w:vAlign w:val="center"/>
          </w:tcPr>
          <w:p>
            <w:pPr>
              <w:jc w:val="center"/>
              <w:rPr>
                <w:rFonts w:ascii="宋体" w:hAnsi="宋体"/>
                <w:highlight w:val="none"/>
              </w:rPr>
            </w:pPr>
            <w:r>
              <w:rPr>
                <w:rFonts w:hint="eastAsia" w:ascii="宋体" w:hAnsi="宋体"/>
                <w:highlight w:val="none"/>
              </w:rPr>
              <w:t>执业资格有效期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highlight w:val="none"/>
              </w:rPr>
            </w:pPr>
          </w:p>
        </w:tc>
        <w:tc>
          <w:tcPr>
            <w:tcW w:w="1365" w:type="dxa"/>
            <w:noWrap/>
            <w:vAlign w:val="center"/>
          </w:tcPr>
          <w:p>
            <w:pPr>
              <w:jc w:val="center"/>
              <w:rPr>
                <w:rFonts w:ascii="宋体" w:hAnsi="宋体"/>
                <w:highlight w:val="none"/>
              </w:rPr>
            </w:pPr>
          </w:p>
        </w:tc>
        <w:tc>
          <w:tcPr>
            <w:tcW w:w="1155" w:type="dxa"/>
            <w:noWrap/>
            <w:vAlign w:val="center"/>
          </w:tcPr>
          <w:p>
            <w:pPr>
              <w:jc w:val="center"/>
              <w:rPr>
                <w:rFonts w:ascii="宋体" w:hAnsi="宋体"/>
                <w:highlight w:val="none"/>
              </w:rPr>
            </w:pPr>
          </w:p>
        </w:tc>
        <w:tc>
          <w:tcPr>
            <w:tcW w:w="735" w:type="dxa"/>
            <w:noWrap/>
            <w:vAlign w:val="center"/>
          </w:tcPr>
          <w:p>
            <w:pPr>
              <w:jc w:val="center"/>
              <w:rPr>
                <w:rFonts w:ascii="宋体" w:hAnsi="宋体"/>
                <w:highlight w:val="none"/>
              </w:rPr>
            </w:pPr>
          </w:p>
        </w:tc>
        <w:tc>
          <w:tcPr>
            <w:tcW w:w="1260"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945" w:type="dxa"/>
            <w:noWrap/>
            <w:vAlign w:val="center"/>
          </w:tcPr>
          <w:p>
            <w:pPr>
              <w:jc w:val="center"/>
              <w:rPr>
                <w:rFonts w:ascii="宋体" w:hAnsi="宋体"/>
                <w:highlight w:val="none"/>
              </w:rPr>
            </w:pPr>
          </w:p>
        </w:tc>
        <w:tc>
          <w:tcPr>
            <w:tcW w:w="1575"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628" w:type="dxa"/>
            <w:noWrap/>
            <w:vAlign w:val="center"/>
          </w:tcPr>
          <w:p>
            <w:pPr>
              <w:jc w:val="center"/>
              <w:rPr>
                <w:rFonts w:ascii="宋体" w:hAnsi="宋体"/>
                <w:highlight w:val="none"/>
              </w:rPr>
            </w:pPr>
          </w:p>
        </w:tc>
        <w:tc>
          <w:tcPr>
            <w:tcW w:w="1627" w:type="dxa"/>
            <w:noWrap/>
            <w:vAlign w:val="center"/>
          </w:tcPr>
          <w:p>
            <w:pPr>
              <w:jc w:val="center"/>
              <w:rPr>
                <w:rFonts w:ascii="宋体" w:hAnsi="宋体"/>
                <w:highlight w:val="none"/>
              </w:rPr>
            </w:pPr>
          </w:p>
        </w:tc>
        <w:tc>
          <w:tcPr>
            <w:tcW w:w="1733" w:type="dxa"/>
            <w:noWrap/>
            <w:vAlign w:val="center"/>
          </w:tcPr>
          <w:p>
            <w:pPr>
              <w:jc w:val="center"/>
              <w:rPr>
                <w:rFonts w:ascii="宋体" w:hAnsi="宋体"/>
                <w:highlight w:val="none"/>
              </w:rPr>
            </w:pPr>
          </w:p>
        </w:tc>
      </w:tr>
    </w:tbl>
    <w:p>
      <w:pPr>
        <w:ind w:firstLine="540" w:firstLineChars="300"/>
        <w:rPr>
          <w:rFonts w:ascii="宋体"/>
          <w:sz w:val="18"/>
          <w:szCs w:val="18"/>
          <w:highlight w:val="none"/>
        </w:rPr>
      </w:pPr>
    </w:p>
    <w:p>
      <w:pPr>
        <w:autoSpaceDE w:val="0"/>
        <w:autoSpaceDN w:val="0"/>
        <w:spacing w:line="360" w:lineRule="auto"/>
        <w:rPr>
          <w:rFonts w:ascii="宋体" w:hAnsi="宋体" w:cs="宋体"/>
          <w:b/>
          <w:highlight w:val="none"/>
        </w:rPr>
      </w:pPr>
      <w:r>
        <w:rPr>
          <w:rFonts w:hint="eastAsia" w:ascii="宋体" w:hAnsi="宋体" w:cs="宋体"/>
          <w:b/>
          <w:highlight w:val="none"/>
        </w:rPr>
        <w:t>注：1.本表后附相关人员</w:t>
      </w:r>
      <w:r>
        <w:rPr>
          <w:rFonts w:hint="eastAsia" w:ascii="宋体" w:hAnsi="宋体"/>
          <w:b/>
          <w:highlight w:val="none"/>
        </w:rPr>
        <w:t>身份证、职称证书、学历证书、</w:t>
      </w:r>
      <w:r>
        <w:rPr>
          <w:rFonts w:hint="eastAsia" w:ascii="宋体" w:hAnsi="宋体" w:cs="宋体"/>
          <w:b/>
          <w:highlight w:val="none"/>
        </w:rPr>
        <w:t>资格证书等证明材料的彩色复印件或彩色扫描件。</w:t>
      </w:r>
    </w:p>
    <w:p>
      <w:pPr>
        <w:autoSpaceDE w:val="0"/>
        <w:autoSpaceDN w:val="0"/>
        <w:spacing w:line="360" w:lineRule="auto"/>
        <w:rPr>
          <w:rFonts w:ascii="宋体" w:hAnsi="宋体" w:cs="宋体"/>
          <w:b/>
          <w:highlight w:val="none"/>
        </w:rPr>
      </w:pPr>
      <w:r>
        <w:rPr>
          <w:rFonts w:hint="eastAsia" w:ascii="宋体" w:hAnsi="宋体" w:cs="宋体"/>
          <w:b/>
          <w:highlight w:val="none"/>
        </w:rPr>
        <w:t xml:space="preserve">    2.本表后附投入本标段人员</w:t>
      </w:r>
      <w:r>
        <w:rPr>
          <w:rFonts w:hint="eastAsia" w:ascii="宋体" w:hAnsi="宋体"/>
          <w:b/>
          <w:szCs w:val="21"/>
          <w:highlight w:val="none"/>
        </w:rPr>
        <w:t>的社保证明材料原件。</w:t>
      </w:r>
    </w:p>
    <w:p>
      <w:pPr>
        <w:autoSpaceDE w:val="0"/>
        <w:autoSpaceDN w:val="0"/>
        <w:spacing w:line="360" w:lineRule="auto"/>
        <w:ind w:firstLine="422" w:firstLineChars="200"/>
        <w:rPr>
          <w:rFonts w:ascii="宋体" w:hAnsi="宋体" w:cs="宋体"/>
          <w:b/>
          <w:highlight w:val="none"/>
        </w:rPr>
      </w:pPr>
      <w:r>
        <w:rPr>
          <w:rFonts w:hint="eastAsia" w:ascii="宋体" w:hAnsi="宋体" w:cs="宋体"/>
          <w:b/>
          <w:highlight w:val="none"/>
        </w:rPr>
        <w:t>3.人员一旦确定，中标后原则上不再变更，如需变更需征得招标人同意。</w:t>
      </w:r>
    </w:p>
    <w:p>
      <w:pPr>
        <w:spacing w:line="400" w:lineRule="exact"/>
        <w:ind w:firstLine="413" w:firstLineChars="196"/>
        <w:rPr>
          <w:rFonts w:ascii="宋体" w:hAnsi="宋体" w:cs="宋体"/>
          <w:b/>
          <w:highlight w:val="none"/>
        </w:rPr>
      </w:pPr>
    </w:p>
    <w:p>
      <w:pPr>
        <w:spacing w:line="400" w:lineRule="exact"/>
        <w:ind w:firstLine="413" w:firstLineChars="196"/>
        <w:rPr>
          <w:rFonts w:ascii="宋体" w:hAnsi="宋体" w:cs="宋体"/>
          <w:b/>
          <w:highlight w:val="none"/>
        </w:rPr>
      </w:pPr>
    </w:p>
    <w:p>
      <w:pPr>
        <w:spacing w:line="400" w:lineRule="exact"/>
        <w:ind w:firstLine="413" w:firstLineChars="196"/>
        <w:rPr>
          <w:rFonts w:ascii="宋体" w:hAnsi="宋体" w:cs="宋体"/>
          <w:b/>
          <w:highlight w:val="none"/>
        </w:rPr>
      </w:pPr>
    </w:p>
    <w:p>
      <w:pPr>
        <w:spacing w:line="480" w:lineRule="exact"/>
        <w:jc w:val="center"/>
        <w:rPr>
          <w:rFonts w:ascii="宋体" w:hAnsi="宋体"/>
          <w:b/>
          <w:bCs/>
          <w:sz w:val="28"/>
          <w:szCs w:val="28"/>
          <w:highlight w:val="none"/>
        </w:rPr>
      </w:pPr>
      <w:r>
        <w:rPr>
          <w:rFonts w:hint="eastAsia" w:ascii="宋体" w:hAnsi="宋体"/>
          <w:b/>
          <w:bCs/>
          <w:sz w:val="28"/>
          <w:szCs w:val="28"/>
          <w:highlight w:val="none"/>
        </w:rPr>
        <w:t>8、拟投入本标段主要人员经历表</w:t>
      </w:r>
    </w:p>
    <w:tbl>
      <w:tblPr>
        <w:tblStyle w:val="32"/>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1050"/>
        <w:gridCol w:w="1155"/>
        <w:gridCol w:w="1470"/>
        <w:gridCol w:w="1260"/>
        <w:gridCol w:w="1947"/>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ign w:val="center"/>
          </w:tcPr>
          <w:p>
            <w:pPr>
              <w:jc w:val="center"/>
              <w:rPr>
                <w:highlight w:val="none"/>
              </w:rPr>
            </w:pPr>
            <w:r>
              <w:rPr>
                <w:rFonts w:hint="eastAsia"/>
                <w:highlight w:val="none"/>
              </w:rPr>
              <w:t>序</w:t>
            </w:r>
          </w:p>
          <w:p>
            <w:pPr>
              <w:jc w:val="center"/>
              <w:rPr>
                <w:highlight w:val="none"/>
              </w:rPr>
            </w:pPr>
            <w:r>
              <w:rPr>
                <w:rFonts w:hint="eastAsia"/>
                <w:highlight w:val="none"/>
              </w:rPr>
              <w:t>号</w:t>
            </w:r>
          </w:p>
        </w:tc>
        <w:tc>
          <w:tcPr>
            <w:tcW w:w="1365" w:type="dxa"/>
            <w:noWrap/>
            <w:vAlign w:val="center"/>
          </w:tcPr>
          <w:p>
            <w:pPr>
              <w:jc w:val="center"/>
              <w:rPr>
                <w:highlight w:val="none"/>
              </w:rPr>
            </w:pPr>
            <w:r>
              <w:rPr>
                <w:rFonts w:hint="eastAsia"/>
                <w:highlight w:val="none"/>
              </w:rPr>
              <w:t>在本项目中</w:t>
            </w:r>
          </w:p>
          <w:p>
            <w:pPr>
              <w:jc w:val="center"/>
              <w:rPr>
                <w:highlight w:val="none"/>
              </w:rPr>
            </w:pPr>
            <w:r>
              <w:rPr>
                <w:rFonts w:hint="eastAsia"/>
                <w:highlight w:val="none"/>
              </w:rPr>
              <w:t>担任职务</w:t>
            </w:r>
          </w:p>
        </w:tc>
        <w:tc>
          <w:tcPr>
            <w:tcW w:w="1050" w:type="dxa"/>
            <w:noWrap/>
            <w:vAlign w:val="center"/>
          </w:tcPr>
          <w:p>
            <w:pPr>
              <w:jc w:val="center"/>
              <w:rPr>
                <w:highlight w:val="none"/>
              </w:rPr>
            </w:pPr>
            <w:r>
              <w:rPr>
                <w:rFonts w:hint="eastAsia"/>
                <w:highlight w:val="none"/>
              </w:rPr>
              <w:t>姓 名</w:t>
            </w:r>
          </w:p>
        </w:tc>
        <w:tc>
          <w:tcPr>
            <w:tcW w:w="1155" w:type="dxa"/>
            <w:noWrap/>
            <w:vAlign w:val="center"/>
          </w:tcPr>
          <w:p>
            <w:pPr>
              <w:jc w:val="center"/>
              <w:rPr>
                <w:highlight w:val="none"/>
              </w:rPr>
            </w:pPr>
            <w:r>
              <w:rPr>
                <w:rFonts w:hint="eastAsia"/>
                <w:highlight w:val="none"/>
              </w:rPr>
              <w:t>开工时间</w:t>
            </w:r>
          </w:p>
        </w:tc>
        <w:tc>
          <w:tcPr>
            <w:tcW w:w="1470" w:type="dxa"/>
            <w:noWrap/>
            <w:vAlign w:val="center"/>
          </w:tcPr>
          <w:p>
            <w:pPr>
              <w:jc w:val="center"/>
              <w:rPr>
                <w:highlight w:val="none"/>
              </w:rPr>
            </w:pPr>
            <w:r>
              <w:rPr>
                <w:rFonts w:hint="eastAsia"/>
                <w:highlight w:val="none"/>
              </w:rPr>
              <w:t>竣工时间</w:t>
            </w:r>
          </w:p>
        </w:tc>
        <w:tc>
          <w:tcPr>
            <w:tcW w:w="1260" w:type="dxa"/>
            <w:noWrap/>
            <w:vAlign w:val="center"/>
          </w:tcPr>
          <w:p>
            <w:pPr>
              <w:jc w:val="center"/>
              <w:rPr>
                <w:highlight w:val="none"/>
              </w:rPr>
            </w:pPr>
            <w:r>
              <w:rPr>
                <w:rFonts w:hint="eastAsia"/>
                <w:highlight w:val="none"/>
              </w:rPr>
              <w:t>项目职务</w:t>
            </w:r>
          </w:p>
        </w:tc>
        <w:tc>
          <w:tcPr>
            <w:tcW w:w="1947" w:type="dxa"/>
            <w:noWrap/>
            <w:vAlign w:val="center"/>
          </w:tcPr>
          <w:p>
            <w:pPr>
              <w:jc w:val="center"/>
              <w:rPr>
                <w:highlight w:val="none"/>
              </w:rPr>
            </w:pPr>
            <w:r>
              <w:rPr>
                <w:rFonts w:hint="eastAsia"/>
                <w:highlight w:val="none"/>
              </w:rPr>
              <w:t>项目名称</w:t>
            </w:r>
          </w:p>
        </w:tc>
        <w:tc>
          <w:tcPr>
            <w:tcW w:w="6348" w:type="dxa"/>
            <w:noWrap/>
            <w:vAlign w:val="center"/>
          </w:tcPr>
          <w:p>
            <w:pPr>
              <w:jc w:val="center"/>
              <w:rPr>
                <w:highlight w:val="none"/>
              </w:rPr>
            </w:pPr>
            <w:r>
              <w:rPr>
                <w:rFonts w:hint="eastAsia"/>
                <w:highlight w:val="none"/>
              </w:rPr>
              <w:t>项   目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365" w:type="dxa"/>
            <w:noWrap/>
            <w:vAlign w:val="center"/>
          </w:tcPr>
          <w:p>
            <w:pPr>
              <w:jc w:val="center"/>
              <w:rPr>
                <w:highlight w:val="none"/>
              </w:rPr>
            </w:pPr>
          </w:p>
        </w:tc>
        <w:tc>
          <w:tcPr>
            <w:tcW w:w="1050" w:type="dxa"/>
            <w:noWrap/>
            <w:vAlign w:val="center"/>
          </w:tcPr>
          <w:p>
            <w:pPr>
              <w:jc w:val="center"/>
              <w:rPr>
                <w:highlight w:val="none"/>
              </w:rPr>
            </w:pPr>
          </w:p>
        </w:tc>
        <w:tc>
          <w:tcPr>
            <w:tcW w:w="1155" w:type="dxa"/>
            <w:noWrap/>
            <w:vAlign w:val="center"/>
          </w:tcPr>
          <w:p>
            <w:pPr>
              <w:jc w:val="center"/>
              <w:rPr>
                <w:highlight w:val="none"/>
              </w:rPr>
            </w:pPr>
          </w:p>
        </w:tc>
        <w:tc>
          <w:tcPr>
            <w:tcW w:w="1470" w:type="dxa"/>
            <w:noWrap/>
            <w:vAlign w:val="center"/>
          </w:tcPr>
          <w:p>
            <w:pPr>
              <w:jc w:val="center"/>
              <w:rPr>
                <w:highlight w:val="none"/>
              </w:rPr>
            </w:pPr>
          </w:p>
        </w:tc>
        <w:tc>
          <w:tcPr>
            <w:tcW w:w="1260" w:type="dxa"/>
            <w:noWrap/>
            <w:vAlign w:val="center"/>
          </w:tcPr>
          <w:p>
            <w:pPr>
              <w:jc w:val="center"/>
              <w:rPr>
                <w:highlight w:val="none"/>
              </w:rPr>
            </w:pPr>
          </w:p>
        </w:tc>
        <w:tc>
          <w:tcPr>
            <w:tcW w:w="1947" w:type="dxa"/>
            <w:noWrap/>
            <w:vAlign w:val="center"/>
          </w:tcPr>
          <w:p>
            <w:pPr>
              <w:jc w:val="center"/>
              <w:rPr>
                <w:highlight w:val="none"/>
              </w:rPr>
            </w:pPr>
          </w:p>
        </w:tc>
        <w:tc>
          <w:tcPr>
            <w:tcW w:w="6348" w:type="dxa"/>
            <w:noWrap/>
            <w:vAlign w:val="center"/>
          </w:tcPr>
          <w:p>
            <w:pPr>
              <w:jc w:val="center"/>
              <w:rPr>
                <w:highlight w:val="none"/>
              </w:rPr>
            </w:pPr>
          </w:p>
        </w:tc>
      </w:tr>
    </w:tbl>
    <w:p>
      <w:pPr>
        <w:rPr>
          <w:highlight w:val="none"/>
        </w:rPr>
      </w:pPr>
    </w:p>
    <w:p>
      <w:pPr>
        <w:tabs>
          <w:tab w:val="left" w:pos="6740"/>
        </w:tabs>
        <w:autoSpaceDE w:val="0"/>
        <w:autoSpaceDN w:val="0"/>
        <w:adjustRightInd w:val="0"/>
        <w:spacing w:line="360" w:lineRule="auto"/>
        <w:rPr>
          <w:rFonts w:ascii="宋体" w:hAnsi="宋体"/>
          <w:b/>
          <w:highlight w:val="none"/>
        </w:rPr>
      </w:pPr>
      <w:r>
        <w:rPr>
          <w:rFonts w:hint="eastAsia" w:ascii="宋体" w:hAnsi="宋体" w:cs="宋体"/>
          <w:b/>
          <w:highlight w:val="none"/>
        </w:rPr>
        <w:t>注：本表后附拟投入本标段主要人员</w:t>
      </w:r>
      <w:r>
        <w:rPr>
          <w:rFonts w:hint="eastAsia" w:ascii="宋体" w:hAnsi="宋体"/>
          <w:b/>
          <w:highlight w:val="none"/>
        </w:rPr>
        <w:t>业绩证明材料（至少包括合同以及能反映项目内容、规模等的资料</w:t>
      </w:r>
      <w:r>
        <w:rPr>
          <w:rFonts w:ascii="宋体" w:hAnsi="宋体"/>
          <w:b/>
          <w:highlight w:val="none"/>
        </w:rPr>
        <w:t>）</w:t>
      </w:r>
      <w:r>
        <w:rPr>
          <w:rFonts w:hint="eastAsia" w:ascii="宋体" w:hAnsi="宋体"/>
          <w:b/>
          <w:highlight w:val="none"/>
        </w:rPr>
        <w:t>的彩色复印件或彩色扫描件；证明材料前应附证明材料清单，证明材料应按人员、项目放置并用彩页隔开，同时在彩页上注明对应的清单名称。</w:t>
      </w:r>
    </w:p>
    <w:p>
      <w:pPr>
        <w:tabs>
          <w:tab w:val="left" w:pos="6740"/>
        </w:tabs>
        <w:autoSpaceDE w:val="0"/>
        <w:autoSpaceDN w:val="0"/>
        <w:adjustRightInd w:val="0"/>
        <w:spacing w:line="360" w:lineRule="auto"/>
        <w:rPr>
          <w:rFonts w:ascii="宋体" w:hAnsi="宋体"/>
          <w:highlight w:val="none"/>
        </w:rPr>
      </w:pPr>
    </w:p>
    <w:p>
      <w:pPr>
        <w:tabs>
          <w:tab w:val="left" w:pos="6740"/>
        </w:tabs>
        <w:autoSpaceDE w:val="0"/>
        <w:autoSpaceDN w:val="0"/>
        <w:adjustRightInd w:val="0"/>
        <w:spacing w:line="360" w:lineRule="auto"/>
        <w:rPr>
          <w:rFonts w:ascii="宋体" w:hAnsi="宋体"/>
          <w:highlight w:val="none"/>
        </w:rPr>
      </w:pPr>
    </w:p>
    <w:p>
      <w:pPr>
        <w:spacing w:line="400" w:lineRule="exact"/>
        <w:jc w:val="left"/>
        <w:rPr>
          <w:rFonts w:ascii="宋体" w:hAnsi="宋体" w:cs="宋体"/>
          <w:b/>
          <w:highlight w:val="none"/>
        </w:rPr>
      </w:pPr>
    </w:p>
    <w:p>
      <w:pPr>
        <w:spacing w:line="400" w:lineRule="exact"/>
        <w:jc w:val="left"/>
        <w:rPr>
          <w:rFonts w:ascii="宋体" w:hAnsi="宋体" w:cs="宋体"/>
          <w:b/>
          <w:highlight w:val="none"/>
        </w:rPr>
      </w:pPr>
    </w:p>
    <w:p>
      <w:pPr>
        <w:spacing w:line="480" w:lineRule="exact"/>
        <w:jc w:val="center"/>
        <w:rPr>
          <w:rFonts w:ascii="宋体" w:hAnsi="宋体"/>
          <w:b/>
          <w:bCs/>
          <w:sz w:val="28"/>
          <w:szCs w:val="28"/>
          <w:highlight w:val="none"/>
        </w:rPr>
      </w:pPr>
      <w:r>
        <w:rPr>
          <w:rFonts w:hint="eastAsia" w:ascii="宋体" w:hAnsi="宋体"/>
          <w:b/>
          <w:bCs/>
          <w:sz w:val="28"/>
          <w:szCs w:val="28"/>
          <w:highlight w:val="none"/>
        </w:rPr>
        <w:t>9、已建工程表</w:t>
      </w:r>
    </w:p>
    <w:tbl>
      <w:tblPr>
        <w:tblStyle w:val="32"/>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70"/>
        <w:gridCol w:w="997"/>
        <w:gridCol w:w="1234"/>
        <w:gridCol w:w="919"/>
        <w:gridCol w:w="945"/>
        <w:gridCol w:w="1575"/>
        <w:gridCol w:w="1026"/>
        <w:gridCol w:w="1155"/>
        <w:gridCol w:w="5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ign w:val="center"/>
          </w:tcPr>
          <w:p>
            <w:pPr>
              <w:jc w:val="center"/>
              <w:rPr>
                <w:highlight w:val="none"/>
              </w:rPr>
            </w:pPr>
            <w:r>
              <w:rPr>
                <w:rFonts w:hint="eastAsia"/>
                <w:highlight w:val="none"/>
              </w:rPr>
              <w:t>序</w:t>
            </w:r>
          </w:p>
          <w:p>
            <w:pPr>
              <w:jc w:val="center"/>
              <w:rPr>
                <w:highlight w:val="none"/>
              </w:rPr>
            </w:pPr>
            <w:r>
              <w:rPr>
                <w:rFonts w:hint="eastAsia"/>
                <w:highlight w:val="none"/>
              </w:rPr>
              <w:t>号</w:t>
            </w:r>
          </w:p>
        </w:tc>
        <w:tc>
          <w:tcPr>
            <w:tcW w:w="1470" w:type="dxa"/>
            <w:noWrap/>
            <w:vAlign w:val="center"/>
          </w:tcPr>
          <w:p>
            <w:pPr>
              <w:jc w:val="center"/>
              <w:rPr>
                <w:highlight w:val="none"/>
              </w:rPr>
            </w:pPr>
            <w:r>
              <w:rPr>
                <w:rFonts w:hint="eastAsia"/>
                <w:highlight w:val="none"/>
              </w:rPr>
              <w:t>项目名称</w:t>
            </w:r>
          </w:p>
        </w:tc>
        <w:tc>
          <w:tcPr>
            <w:tcW w:w="997" w:type="dxa"/>
            <w:noWrap/>
            <w:vAlign w:val="center"/>
          </w:tcPr>
          <w:p>
            <w:pPr>
              <w:jc w:val="center"/>
              <w:rPr>
                <w:highlight w:val="none"/>
              </w:rPr>
            </w:pPr>
            <w:r>
              <w:rPr>
                <w:rFonts w:hint="eastAsia"/>
                <w:highlight w:val="none"/>
              </w:rPr>
              <w:t>合同开</w:t>
            </w:r>
          </w:p>
          <w:p>
            <w:pPr>
              <w:jc w:val="center"/>
              <w:rPr>
                <w:highlight w:val="none"/>
              </w:rPr>
            </w:pPr>
            <w:r>
              <w:rPr>
                <w:rFonts w:hint="eastAsia"/>
                <w:highlight w:val="none"/>
              </w:rPr>
              <w:t>工时间</w:t>
            </w:r>
          </w:p>
        </w:tc>
        <w:tc>
          <w:tcPr>
            <w:tcW w:w="1234" w:type="dxa"/>
            <w:noWrap/>
            <w:vAlign w:val="center"/>
          </w:tcPr>
          <w:p>
            <w:pPr>
              <w:jc w:val="center"/>
              <w:rPr>
                <w:highlight w:val="none"/>
              </w:rPr>
            </w:pPr>
            <w:r>
              <w:rPr>
                <w:rFonts w:hint="eastAsia"/>
                <w:highlight w:val="none"/>
              </w:rPr>
              <w:t>合同交(竣)工时间</w:t>
            </w:r>
          </w:p>
        </w:tc>
        <w:tc>
          <w:tcPr>
            <w:tcW w:w="919" w:type="dxa"/>
            <w:noWrap/>
            <w:vAlign w:val="center"/>
          </w:tcPr>
          <w:p>
            <w:pPr>
              <w:jc w:val="center"/>
              <w:rPr>
                <w:highlight w:val="none"/>
              </w:rPr>
            </w:pPr>
            <w:r>
              <w:rPr>
                <w:rFonts w:hint="eastAsia"/>
                <w:highlight w:val="none"/>
              </w:rPr>
              <w:t>项 目</w:t>
            </w:r>
          </w:p>
          <w:p>
            <w:pPr>
              <w:jc w:val="center"/>
              <w:rPr>
                <w:highlight w:val="none"/>
              </w:rPr>
            </w:pPr>
            <w:r>
              <w:rPr>
                <w:rFonts w:hint="eastAsia"/>
                <w:highlight w:val="none"/>
              </w:rPr>
              <w:t>负责人</w:t>
            </w:r>
          </w:p>
        </w:tc>
        <w:tc>
          <w:tcPr>
            <w:tcW w:w="945" w:type="dxa"/>
            <w:noWrap/>
            <w:vAlign w:val="center"/>
          </w:tcPr>
          <w:p>
            <w:pPr>
              <w:jc w:val="center"/>
              <w:rPr>
                <w:highlight w:val="none"/>
              </w:rPr>
            </w:pPr>
            <w:r>
              <w:rPr>
                <w:rFonts w:hint="eastAsia"/>
                <w:highlight w:val="none"/>
              </w:rPr>
              <w:t>技 术</w:t>
            </w:r>
          </w:p>
          <w:p>
            <w:pPr>
              <w:jc w:val="center"/>
              <w:rPr>
                <w:highlight w:val="none"/>
              </w:rPr>
            </w:pPr>
            <w:r>
              <w:rPr>
                <w:rFonts w:hint="eastAsia"/>
                <w:highlight w:val="none"/>
              </w:rPr>
              <w:t>负责人</w:t>
            </w:r>
          </w:p>
        </w:tc>
        <w:tc>
          <w:tcPr>
            <w:tcW w:w="1575" w:type="dxa"/>
            <w:noWrap/>
            <w:vAlign w:val="center"/>
          </w:tcPr>
          <w:p>
            <w:pPr>
              <w:jc w:val="center"/>
              <w:rPr>
                <w:rFonts w:ascii="宋体" w:hAnsi="宋体"/>
                <w:highlight w:val="none"/>
              </w:rPr>
            </w:pPr>
            <w:r>
              <w:rPr>
                <w:rFonts w:hint="eastAsia" w:ascii="宋体" w:hAnsi="宋体"/>
                <w:highlight w:val="none"/>
              </w:rPr>
              <w:t>发包人名称</w:t>
            </w:r>
          </w:p>
        </w:tc>
        <w:tc>
          <w:tcPr>
            <w:tcW w:w="1026" w:type="dxa"/>
            <w:noWrap/>
            <w:vAlign w:val="center"/>
          </w:tcPr>
          <w:p>
            <w:pPr>
              <w:jc w:val="center"/>
              <w:rPr>
                <w:rFonts w:ascii="宋体" w:hAnsi="宋体"/>
                <w:highlight w:val="none"/>
              </w:rPr>
            </w:pPr>
            <w:r>
              <w:rPr>
                <w:rFonts w:hint="eastAsia" w:ascii="宋体" w:hAnsi="宋体"/>
                <w:highlight w:val="none"/>
              </w:rPr>
              <w:t>发包人</w:t>
            </w:r>
          </w:p>
          <w:p>
            <w:pPr>
              <w:jc w:val="center"/>
              <w:rPr>
                <w:rFonts w:ascii="宋体" w:hAnsi="宋体"/>
                <w:highlight w:val="none"/>
              </w:rPr>
            </w:pPr>
            <w:r>
              <w:rPr>
                <w:rFonts w:hint="eastAsia" w:ascii="宋体" w:hAnsi="宋体"/>
                <w:highlight w:val="none"/>
              </w:rPr>
              <w:t>联系人</w:t>
            </w:r>
          </w:p>
        </w:tc>
        <w:tc>
          <w:tcPr>
            <w:tcW w:w="1155" w:type="dxa"/>
            <w:noWrap/>
            <w:vAlign w:val="center"/>
          </w:tcPr>
          <w:p>
            <w:pPr>
              <w:jc w:val="center"/>
              <w:rPr>
                <w:rFonts w:ascii="宋体" w:hAnsi="宋体"/>
                <w:highlight w:val="none"/>
              </w:rPr>
            </w:pPr>
            <w:r>
              <w:rPr>
                <w:rFonts w:hint="eastAsia" w:ascii="宋体" w:hAnsi="宋体"/>
                <w:highlight w:val="none"/>
              </w:rPr>
              <w:t>联系电话</w:t>
            </w:r>
          </w:p>
        </w:tc>
        <w:tc>
          <w:tcPr>
            <w:tcW w:w="5274" w:type="dxa"/>
            <w:noWrap/>
            <w:vAlign w:val="center"/>
          </w:tcPr>
          <w:p>
            <w:pPr>
              <w:jc w:val="center"/>
              <w:rPr>
                <w:rFonts w:ascii="宋体" w:hAnsi="宋体"/>
                <w:highlight w:val="none"/>
              </w:rPr>
            </w:pPr>
            <w:r>
              <w:rPr>
                <w:rFonts w:hint="eastAsia" w:ascii="宋体" w:hAnsi="宋体"/>
                <w:highlight w:val="none"/>
              </w:rPr>
              <w:t>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highlight w:val="none"/>
              </w:rPr>
            </w:pPr>
          </w:p>
        </w:tc>
        <w:tc>
          <w:tcPr>
            <w:tcW w:w="1470" w:type="dxa"/>
            <w:noWrap/>
            <w:vAlign w:val="center"/>
          </w:tcPr>
          <w:p>
            <w:pPr>
              <w:jc w:val="center"/>
              <w:rPr>
                <w:highlight w:val="none"/>
              </w:rPr>
            </w:pPr>
          </w:p>
        </w:tc>
        <w:tc>
          <w:tcPr>
            <w:tcW w:w="997" w:type="dxa"/>
            <w:noWrap/>
            <w:vAlign w:val="center"/>
          </w:tcPr>
          <w:p>
            <w:pPr>
              <w:jc w:val="center"/>
              <w:rPr>
                <w:highlight w:val="none"/>
              </w:rPr>
            </w:pPr>
          </w:p>
        </w:tc>
        <w:tc>
          <w:tcPr>
            <w:tcW w:w="1234" w:type="dxa"/>
            <w:noWrap/>
            <w:vAlign w:val="center"/>
          </w:tcPr>
          <w:p>
            <w:pPr>
              <w:jc w:val="center"/>
              <w:rPr>
                <w:highlight w:val="none"/>
              </w:rPr>
            </w:pPr>
          </w:p>
        </w:tc>
        <w:tc>
          <w:tcPr>
            <w:tcW w:w="919" w:type="dxa"/>
            <w:noWrap/>
            <w:vAlign w:val="center"/>
          </w:tcPr>
          <w:p>
            <w:pPr>
              <w:jc w:val="center"/>
              <w:rPr>
                <w:highlight w:val="none"/>
              </w:rPr>
            </w:pPr>
          </w:p>
        </w:tc>
        <w:tc>
          <w:tcPr>
            <w:tcW w:w="945" w:type="dxa"/>
            <w:noWrap/>
            <w:vAlign w:val="center"/>
          </w:tcPr>
          <w:p>
            <w:pPr>
              <w:jc w:val="center"/>
              <w:rPr>
                <w:highlight w:val="none"/>
              </w:rPr>
            </w:pPr>
          </w:p>
        </w:tc>
        <w:tc>
          <w:tcPr>
            <w:tcW w:w="1575" w:type="dxa"/>
            <w:noWrap/>
            <w:vAlign w:val="center"/>
          </w:tcPr>
          <w:p>
            <w:pPr>
              <w:jc w:val="center"/>
              <w:rPr>
                <w:highlight w:val="none"/>
              </w:rPr>
            </w:pPr>
          </w:p>
        </w:tc>
        <w:tc>
          <w:tcPr>
            <w:tcW w:w="1026" w:type="dxa"/>
            <w:noWrap/>
            <w:vAlign w:val="center"/>
          </w:tcPr>
          <w:p>
            <w:pPr>
              <w:jc w:val="center"/>
              <w:rPr>
                <w:highlight w:val="none"/>
              </w:rPr>
            </w:pPr>
          </w:p>
        </w:tc>
        <w:tc>
          <w:tcPr>
            <w:tcW w:w="1155" w:type="dxa"/>
            <w:noWrap/>
            <w:vAlign w:val="center"/>
          </w:tcPr>
          <w:p>
            <w:pPr>
              <w:jc w:val="center"/>
              <w:rPr>
                <w:highlight w:val="none"/>
              </w:rPr>
            </w:pPr>
          </w:p>
        </w:tc>
        <w:tc>
          <w:tcPr>
            <w:tcW w:w="5274" w:type="dxa"/>
            <w:noWrap/>
            <w:vAlign w:val="center"/>
          </w:tcPr>
          <w:p>
            <w:pPr>
              <w:jc w:val="center"/>
              <w:rPr>
                <w:highlight w:val="none"/>
              </w:rPr>
            </w:pPr>
          </w:p>
        </w:tc>
      </w:tr>
    </w:tbl>
    <w:p>
      <w:pPr>
        <w:rPr>
          <w:rFonts w:ascii="宋体" w:hAnsi="宋体"/>
          <w:b/>
          <w:highlight w:val="none"/>
        </w:rPr>
        <w:sectPr>
          <w:pgSz w:w="16838" w:h="11906" w:orient="landscape"/>
          <w:pgMar w:top="1361" w:right="1327" w:bottom="1361" w:left="1327" w:header="851" w:footer="992" w:gutter="0"/>
          <w:cols w:space="720" w:num="1"/>
          <w:docGrid w:linePitch="312" w:charSpace="0"/>
        </w:sectPr>
      </w:pPr>
      <w:r>
        <w:rPr>
          <w:rFonts w:hint="eastAsia" w:ascii="宋体" w:hAnsi="宋体" w:cs="宋体"/>
          <w:b/>
          <w:highlight w:val="none"/>
        </w:rPr>
        <w:t>注：本表后投标人已建工程项目对应的合同等业绩证明</w:t>
      </w:r>
      <w:r>
        <w:rPr>
          <w:rFonts w:hint="eastAsia" w:ascii="宋体" w:hAnsi="宋体"/>
          <w:b/>
          <w:highlight w:val="none"/>
        </w:rPr>
        <w:t>材料（至少包括合同以及能反映项目内容、规模等的资料</w:t>
      </w:r>
      <w:r>
        <w:rPr>
          <w:rFonts w:ascii="宋体" w:hAnsi="宋体"/>
          <w:b/>
          <w:highlight w:val="none"/>
        </w:rPr>
        <w:t>）</w:t>
      </w:r>
      <w:r>
        <w:rPr>
          <w:rFonts w:hint="eastAsia" w:ascii="宋体" w:hAnsi="宋体"/>
          <w:b/>
          <w:highlight w:val="none"/>
        </w:rPr>
        <w:t>的彩色复印件或彩色扫描件；证明材料前应附证明材料清单，证明材料应按项目放置并用彩页隔开，同时在彩页上注明对应的清单名称。</w:t>
      </w:r>
    </w:p>
    <w:p>
      <w:pPr>
        <w:snapToGrid w:val="0"/>
        <w:spacing w:line="520" w:lineRule="exact"/>
        <w:jc w:val="center"/>
        <w:outlineLvl w:val="3"/>
        <w:rPr>
          <w:rFonts w:ascii="宋体" w:hAnsi="宋体" w:cs="宋体"/>
          <w:b/>
          <w:sz w:val="28"/>
          <w:szCs w:val="28"/>
          <w:highlight w:val="none"/>
        </w:rPr>
      </w:pPr>
      <w:r>
        <w:rPr>
          <w:rFonts w:hint="eastAsia" w:ascii="宋体" w:hAnsi="宋体" w:cs="宋体"/>
          <w:b/>
          <w:bCs/>
          <w:sz w:val="28"/>
          <w:szCs w:val="28"/>
          <w:highlight w:val="none"/>
        </w:rPr>
        <w:t>10、</w:t>
      </w:r>
      <w:r>
        <w:rPr>
          <w:rFonts w:hint="eastAsia" w:ascii="宋体" w:hAnsi="宋体" w:cs="宋体"/>
          <w:b/>
          <w:sz w:val="28"/>
          <w:szCs w:val="28"/>
          <w:highlight w:val="none"/>
        </w:rPr>
        <w:t>磋商响应报价总表（首次）</w:t>
      </w:r>
    </w:p>
    <w:p>
      <w:pPr>
        <w:pStyle w:val="114"/>
        <w:spacing w:line="520" w:lineRule="exact"/>
        <w:rPr>
          <w:rFonts w:hAnsi="宋体" w:cs="宋体"/>
          <w:sz w:val="24"/>
          <w:highlight w:val="none"/>
        </w:rPr>
      </w:pPr>
      <w:r>
        <w:rPr>
          <w:rFonts w:hint="eastAsia" w:hAnsi="宋体" w:cs="宋体"/>
          <w:sz w:val="24"/>
          <w:highlight w:val="none"/>
          <w:u w:val="single"/>
        </w:rPr>
        <w:t>南通市公路事业发展中心：</w:t>
      </w:r>
    </w:p>
    <w:p>
      <w:pPr>
        <w:spacing w:line="520" w:lineRule="exact"/>
        <w:ind w:firstLine="600" w:firstLineChars="250"/>
        <w:jc w:val="left"/>
        <w:rPr>
          <w:rFonts w:ascii="宋体" w:hAnsi="宋体"/>
          <w:sz w:val="24"/>
          <w:highlight w:val="none"/>
        </w:rPr>
      </w:pPr>
      <w:r>
        <w:rPr>
          <w:rFonts w:hint="eastAsia" w:ascii="宋体" w:hAnsi="宋体"/>
          <w:sz w:val="24"/>
          <w:highlight w:val="none"/>
        </w:rPr>
        <w:t>1、我方已仔细研究了</w:t>
      </w:r>
      <w:r>
        <w:rPr>
          <w:rFonts w:hint="eastAsia" w:ascii="宋体" w:hAnsi="宋体" w:cs="宋体"/>
          <w:sz w:val="24"/>
          <w:highlight w:val="none"/>
        </w:rPr>
        <w:t>项目</w:t>
      </w:r>
      <w:r>
        <w:rPr>
          <w:rFonts w:hint="eastAsia" w:ascii="宋体" w:hAnsi="宋体"/>
          <w:sz w:val="24"/>
          <w:highlight w:val="none"/>
        </w:rPr>
        <w:t>的</w:t>
      </w:r>
      <w:r>
        <w:rPr>
          <w:rFonts w:hint="eastAsia" w:ascii="宋体" w:hAnsi="宋体" w:cs="宋体"/>
          <w:kern w:val="0"/>
          <w:sz w:val="24"/>
          <w:highlight w:val="none"/>
        </w:rPr>
        <w:t>竞争性磋商文件</w:t>
      </w:r>
      <w:r>
        <w:rPr>
          <w:rFonts w:hint="eastAsia" w:ascii="宋体" w:hAnsi="宋体"/>
          <w:sz w:val="24"/>
          <w:highlight w:val="none"/>
        </w:rPr>
        <w:t>的全部内容，愿意就该标段服务费给出如下报价：</w:t>
      </w:r>
    </w:p>
    <w:p>
      <w:pPr>
        <w:spacing w:line="520" w:lineRule="exact"/>
        <w:ind w:firstLine="480" w:firstLineChars="200"/>
        <w:jc w:val="left"/>
        <w:rPr>
          <w:rFonts w:ascii="宋体" w:hAnsi="宋体"/>
          <w:sz w:val="24"/>
          <w:highlight w:val="none"/>
        </w:rPr>
      </w:pPr>
      <w:r>
        <w:rPr>
          <w:rFonts w:hint="eastAsia" w:ascii="宋体" w:hAnsi="宋体"/>
          <w:sz w:val="24"/>
          <w:highlight w:val="none"/>
        </w:rPr>
        <w:t>磋商报价总计（首次）：¥元，大写：人民币元；</w:t>
      </w:r>
    </w:p>
    <w:p>
      <w:pPr>
        <w:snapToGrid w:val="0"/>
        <w:spacing w:line="520" w:lineRule="exact"/>
        <w:ind w:firstLine="496" w:firstLineChars="206"/>
        <w:rPr>
          <w:rFonts w:ascii="宋体" w:hAnsi="宋体" w:cs="宋体"/>
          <w:b/>
          <w:sz w:val="24"/>
          <w:highlight w:val="none"/>
        </w:rPr>
      </w:pPr>
      <w:r>
        <w:rPr>
          <w:rFonts w:hint="eastAsia" w:ascii="宋体" w:hAnsi="宋体" w:cs="宋体"/>
          <w:b/>
          <w:sz w:val="24"/>
          <w:highlight w:val="none"/>
        </w:rPr>
        <w:t>注：第二次、第三次报价将在开标现场填写，响应文件密封提交时只需填写磋商报价总计（首次）的报价。</w:t>
      </w:r>
    </w:p>
    <w:p>
      <w:pPr>
        <w:spacing w:line="360" w:lineRule="auto"/>
        <w:ind w:left="600"/>
        <w:jc w:val="left"/>
        <w:rPr>
          <w:rFonts w:ascii="宋体" w:hAnsi="宋体"/>
          <w:sz w:val="10"/>
          <w:szCs w:val="10"/>
          <w:highlight w:val="none"/>
        </w:rPr>
      </w:pPr>
    </w:p>
    <w:p>
      <w:pPr>
        <w:spacing w:line="360" w:lineRule="auto"/>
        <w:ind w:firstLine="600" w:firstLineChars="250"/>
        <w:jc w:val="left"/>
        <w:rPr>
          <w:rFonts w:ascii="宋体" w:hAnsi="宋体"/>
          <w:sz w:val="24"/>
          <w:highlight w:val="none"/>
        </w:rPr>
      </w:pPr>
      <w:r>
        <w:rPr>
          <w:rFonts w:hint="eastAsia" w:ascii="宋体" w:hAnsi="宋体"/>
          <w:sz w:val="24"/>
          <w:highlight w:val="none"/>
        </w:rPr>
        <w:t>2、我方承诺在服务期限内，按竞</w:t>
      </w:r>
      <w:r>
        <w:rPr>
          <w:rFonts w:hint="eastAsia" w:ascii="宋体" w:hAnsi="宋体" w:cs="宋体"/>
          <w:sz w:val="24"/>
          <w:highlight w:val="none"/>
        </w:rPr>
        <w:t>争性磋商文件的规定履行合同责任和义务</w:t>
      </w:r>
      <w:r>
        <w:rPr>
          <w:rFonts w:hint="eastAsia" w:ascii="宋体" w:hAnsi="宋体"/>
          <w:sz w:val="24"/>
          <w:highlight w:val="none"/>
        </w:rPr>
        <w:t>，实现服务目标。</w:t>
      </w:r>
    </w:p>
    <w:p>
      <w:pPr>
        <w:spacing w:line="360" w:lineRule="auto"/>
        <w:ind w:firstLine="600" w:firstLineChars="250"/>
        <w:rPr>
          <w:rFonts w:ascii="宋体" w:hAnsi="宋体"/>
          <w:sz w:val="24"/>
          <w:highlight w:val="none"/>
        </w:rPr>
      </w:pPr>
      <w:r>
        <w:rPr>
          <w:rFonts w:hint="eastAsia" w:ascii="宋体" w:hAnsi="宋体"/>
          <w:sz w:val="24"/>
          <w:highlight w:val="none"/>
        </w:rPr>
        <w:t>3、我方承诺在竞争性磋商文件规定的投标有效期内不修改、撤销响应文件。</w:t>
      </w:r>
    </w:p>
    <w:p>
      <w:pPr>
        <w:spacing w:line="360" w:lineRule="auto"/>
        <w:ind w:firstLine="600" w:firstLineChars="250"/>
        <w:rPr>
          <w:rFonts w:ascii="宋体" w:hAnsi="宋体"/>
          <w:sz w:val="24"/>
          <w:highlight w:val="none"/>
        </w:rPr>
      </w:pPr>
      <w:r>
        <w:rPr>
          <w:rFonts w:hint="eastAsia" w:ascii="宋体" w:hAnsi="宋体"/>
          <w:sz w:val="24"/>
          <w:highlight w:val="none"/>
        </w:rPr>
        <w:t>4、我方中标：</w:t>
      </w:r>
    </w:p>
    <w:p>
      <w:pPr>
        <w:spacing w:line="360" w:lineRule="auto"/>
        <w:ind w:firstLine="480" w:firstLineChars="200"/>
        <w:rPr>
          <w:rFonts w:ascii="宋体" w:hAnsi="宋体"/>
          <w:sz w:val="24"/>
          <w:highlight w:val="none"/>
        </w:rPr>
      </w:pPr>
      <w:r>
        <w:rPr>
          <w:rFonts w:hint="eastAsia" w:ascii="宋体" w:hAnsi="宋体"/>
          <w:sz w:val="24"/>
          <w:highlight w:val="none"/>
        </w:rPr>
        <w:t>（1）我方承诺在收到成交通知书后，在成交通知书规定的期限内与你方签订合同。</w:t>
      </w:r>
    </w:p>
    <w:p>
      <w:pPr>
        <w:spacing w:line="360" w:lineRule="auto"/>
        <w:ind w:firstLine="480" w:firstLineChars="200"/>
        <w:rPr>
          <w:rFonts w:ascii="宋体" w:hAnsi="宋体"/>
          <w:sz w:val="24"/>
          <w:highlight w:val="none"/>
        </w:rPr>
      </w:pPr>
      <w:r>
        <w:rPr>
          <w:rFonts w:hint="eastAsia" w:ascii="宋体" w:hAnsi="宋体"/>
          <w:sz w:val="24"/>
          <w:highlight w:val="none"/>
        </w:rPr>
        <w:t>（2）我方承诺按照竞争性磋商文件规定向你方递交履约保证金。</w:t>
      </w:r>
    </w:p>
    <w:p>
      <w:pPr>
        <w:spacing w:line="360" w:lineRule="auto"/>
        <w:ind w:firstLine="480" w:firstLineChars="200"/>
        <w:rPr>
          <w:rFonts w:ascii="宋体" w:hAnsi="宋体"/>
          <w:sz w:val="24"/>
          <w:highlight w:val="none"/>
        </w:rPr>
      </w:pPr>
      <w:r>
        <w:rPr>
          <w:rFonts w:hint="eastAsia" w:ascii="宋体" w:hAnsi="宋体"/>
          <w:sz w:val="24"/>
          <w:highlight w:val="none"/>
        </w:rPr>
        <w:t>（3）我方将严格履行本响应文件中的全部承诺和责任，并遵守竞争性磋商文件中对磋商单位的所有规定。</w:t>
      </w:r>
    </w:p>
    <w:p>
      <w:pPr>
        <w:spacing w:line="360" w:lineRule="auto"/>
        <w:ind w:firstLine="600" w:firstLineChars="250"/>
        <w:rPr>
          <w:rFonts w:ascii="宋体" w:hAnsi="宋体"/>
          <w:sz w:val="24"/>
          <w:highlight w:val="none"/>
        </w:rPr>
      </w:pPr>
      <w:r>
        <w:rPr>
          <w:rFonts w:hint="eastAsia" w:ascii="宋体" w:hAnsi="宋体"/>
          <w:sz w:val="24"/>
          <w:highlight w:val="none"/>
        </w:rPr>
        <w:t>5、我方在此声明，所递交的响应文件及有关资料内容完整、真实和准确，且不存在第二章</w:t>
      </w:r>
      <w:r>
        <w:rPr>
          <w:rFonts w:hint="eastAsia" w:ascii="宋体" w:hAnsi="宋体" w:cs="宋体"/>
          <w:sz w:val="24"/>
          <w:highlight w:val="none"/>
        </w:rPr>
        <w:t>磋商</w:t>
      </w:r>
      <w:r>
        <w:rPr>
          <w:rFonts w:hint="eastAsia" w:ascii="宋体" w:hAnsi="宋体"/>
          <w:sz w:val="24"/>
          <w:highlight w:val="none"/>
        </w:rPr>
        <w:t xml:space="preserve">供应商须知第八项第二条规定的任何一种情形。  </w:t>
      </w:r>
    </w:p>
    <w:p>
      <w:pPr>
        <w:spacing w:line="360" w:lineRule="auto"/>
        <w:ind w:firstLine="600" w:firstLineChars="250"/>
        <w:rPr>
          <w:rFonts w:ascii="宋体" w:hAnsi="宋体"/>
          <w:sz w:val="24"/>
          <w:highlight w:val="none"/>
        </w:rPr>
      </w:pPr>
      <w:r>
        <w:rPr>
          <w:rFonts w:hint="eastAsia" w:ascii="宋体" w:hAnsi="宋体"/>
          <w:sz w:val="24"/>
          <w:highlight w:val="none"/>
        </w:rPr>
        <w:t>6、（其他补充说明）。</w:t>
      </w:r>
    </w:p>
    <w:p>
      <w:pPr>
        <w:pStyle w:val="114"/>
        <w:tabs>
          <w:tab w:val="left" w:pos="5665"/>
          <w:tab w:val="right" w:pos="8360"/>
        </w:tabs>
        <w:spacing w:line="360" w:lineRule="auto"/>
        <w:ind w:right="42" w:firstLine="1560" w:firstLineChars="650"/>
        <w:rPr>
          <w:rFonts w:hAnsi="宋体" w:cs="宋体"/>
          <w:sz w:val="24"/>
          <w:highlight w:val="none"/>
        </w:rPr>
      </w:pPr>
    </w:p>
    <w:p>
      <w:pPr>
        <w:pStyle w:val="114"/>
        <w:tabs>
          <w:tab w:val="left" w:pos="5665"/>
          <w:tab w:val="right" w:pos="8360"/>
        </w:tabs>
        <w:spacing w:line="360" w:lineRule="auto"/>
        <w:ind w:right="42" w:firstLine="1560" w:firstLineChars="650"/>
        <w:rPr>
          <w:rFonts w:hAnsi="宋体" w:cs="宋体"/>
          <w:sz w:val="24"/>
          <w:highlight w:val="none"/>
        </w:rPr>
      </w:pP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 xml:space="preserve">参加磋商单位（盖章）：   </w:t>
      </w:r>
    </w:p>
    <w:p>
      <w:pPr>
        <w:kinsoku w:val="0"/>
        <w:topLinePunct/>
        <w:snapToGrid w:val="0"/>
        <w:spacing w:line="560" w:lineRule="exact"/>
        <w:rPr>
          <w:rFonts w:ascii="宋体" w:hAnsi="宋体" w:cs="仿宋_GB2312"/>
          <w:sz w:val="24"/>
          <w:highlight w:val="none"/>
        </w:rPr>
      </w:pPr>
      <w:r>
        <w:rPr>
          <w:rFonts w:hint="eastAsia" w:ascii="宋体" w:hAnsi="宋体" w:cs="仿宋_GB2312"/>
          <w:sz w:val="24"/>
          <w:highlight w:val="none"/>
        </w:rPr>
        <w:t>法定代表人或委托代理人（签字）：</w:t>
      </w:r>
    </w:p>
    <w:p>
      <w:pPr>
        <w:pStyle w:val="114"/>
        <w:tabs>
          <w:tab w:val="left" w:pos="5665"/>
          <w:tab w:val="right" w:pos="8360"/>
        </w:tabs>
        <w:spacing w:line="360" w:lineRule="auto"/>
        <w:ind w:right="42"/>
        <w:rPr>
          <w:rFonts w:hAnsi="宋体" w:cs="宋体"/>
          <w:sz w:val="24"/>
          <w:highlight w:val="none"/>
          <w:u w:val="single"/>
        </w:rPr>
      </w:pPr>
    </w:p>
    <w:p>
      <w:pPr>
        <w:pStyle w:val="114"/>
        <w:tabs>
          <w:tab w:val="left" w:pos="5665"/>
          <w:tab w:val="right" w:pos="8360"/>
        </w:tabs>
        <w:spacing w:line="360" w:lineRule="auto"/>
        <w:ind w:right="42" w:firstLine="240" w:firstLineChars="100"/>
        <w:jc w:val="left"/>
        <w:rPr>
          <w:rFonts w:hAnsi="宋体" w:cs="宋体"/>
          <w:sz w:val="24"/>
          <w:highlight w:val="none"/>
        </w:rPr>
      </w:pPr>
    </w:p>
    <w:p>
      <w:pPr>
        <w:pStyle w:val="114"/>
        <w:tabs>
          <w:tab w:val="left" w:pos="5665"/>
          <w:tab w:val="right" w:pos="8360"/>
        </w:tabs>
        <w:spacing w:line="360" w:lineRule="auto"/>
        <w:ind w:right="42" w:firstLine="240" w:firstLineChars="100"/>
        <w:jc w:val="left"/>
        <w:rPr>
          <w:rFonts w:hAnsi="宋体" w:cs="宋体"/>
          <w:szCs w:val="28"/>
          <w:highlight w:val="none"/>
          <w:lang w:val="zh-CN"/>
        </w:rPr>
      </w:pPr>
      <w:r>
        <w:rPr>
          <w:rFonts w:hint="eastAsia" w:hAnsi="宋体" w:cs="宋体"/>
          <w:sz w:val="24"/>
          <w:highlight w:val="none"/>
        </w:rPr>
        <w:t xml:space="preserve">  年      月     日</w:t>
      </w:r>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b/>
        <w:bCs/>
        <w:sz w:val="24"/>
        <w:szCs w:val="24"/>
      </w:rPr>
      <w:fldChar w:fldCharType="begin"/>
    </w:r>
    <w:r>
      <w:rPr>
        <w:b/>
        <w:bCs/>
      </w:rPr>
      <w:instrText xml:space="preserve">PAGE</w:instrText>
    </w:r>
    <w:r>
      <w:rPr>
        <w:b/>
        <w:bCs/>
        <w:sz w:val="24"/>
        <w:szCs w:val="24"/>
      </w:rPr>
      <w:fldChar w:fldCharType="separate"/>
    </w:r>
    <w:r>
      <w:rPr>
        <w:b/>
        <w:bCs/>
      </w:rPr>
      <w:t>45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9C495"/>
    <w:multiLevelType w:val="singleLevel"/>
    <w:tmpl w:val="C8E9C495"/>
    <w:lvl w:ilvl="0" w:tentative="0">
      <w:start w:val="4"/>
      <w:numFmt w:val="chineseCounting"/>
      <w:suff w:val="nothing"/>
      <w:lvlText w:val="%1、"/>
      <w:lvlJc w:val="left"/>
      <w:rPr>
        <w:rFonts w:hint="eastAsia"/>
      </w:rPr>
    </w:lvl>
  </w:abstractNum>
  <w:abstractNum w:abstractNumId="1">
    <w:nsid w:val="F5D8E243"/>
    <w:multiLevelType w:val="singleLevel"/>
    <w:tmpl w:val="F5D8E243"/>
    <w:lvl w:ilvl="0" w:tentative="0">
      <w:start w:val="4"/>
      <w:numFmt w:val="decimal"/>
      <w:suff w:val="nothing"/>
      <w:lvlText w:val="%1、"/>
      <w:lvlJc w:val="left"/>
    </w:lvl>
  </w:abstractNum>
  <w:abstractNum w:abstractNumId="2">
    <w:nsid w:val="6948D9AD"/>
    <w:multiLevelType w:val="singleLevel"/>
    <w:tmpl w:val="6948D9A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66708D"/>
    <w:rsid w:val="00000546"/>
    <w:rsid w:val="00002A9B"/>
    <w:rsid w:val="00012A30"/>
    <w:rsid w:val="0002112A"/>
    <w:rsid w:val="00021B3F"/>
    <w:rsid w:val="0002410E"/>
    <w:rsid w:val="000274F9"/>
    <w:rsid w:val="00034346"/>
    <w:rsid w:val="00036EB6"/>
    <w:rsid w:val="00036F7E"/>
    <w:rsid w:val="0003726A"/>
    <w:rsid w:val="00046E7F"/>
    <w:rsid w:val="0006048F"/>
    <w:rsid w:val="0006293B"/>
    <w:rsid w:val="00063271"/>
    <w:rsid w:val="0006339F"/>
    <w:rsid w:val="000667DA"/>
    <w:rsid w:val="00071F57"/>
    <w:rsid w:val="00073424"/>
    <w:rsid w:val="00075B86"/>
    <w:rsid w:val="000839F1"/>
    <w:rsid w:val="000865D8"/>
    <w:rsid w:val="0008766A"/>
    <w:rsid w:val="00087D03"/>
    <w:rsid w:val="00091E11"/>
    <w:rsid w:val="00094A52"/>
    <w:rsid w:val="00094B87"/>
    <w:rsid w:val="000964D8"/>
    <w:rsid w:val="00096BFB"/>
    <w:rsid w:val="00096C58"/>
    <w:rsid w:val="000A096A"/>
    <w:rsid w:val="000A15A0"/>
    <w:rsid w:val="000A3F28"/>
    <w:rsid w:val="000B0A49"/>
    <w:rsid w:val="000B15D1"/>
    <w:rsid w:val="000B1991"/>
    <w:rsid w:val="000C27DD"/>
    <w:rsid w:val="000C7774"/>
    <w:rsid w:val="000C7D4E"/>
    <w:rsid w:val="000D2C29"/>
    <w:rsid w:val="000D3442"/>
    <w:rsid w:val="000D4848"/>
    <w:rsid w:val="000D53CE"/>
    <w:rsid w:val="000D5A2E"/>
    <w:rsid w:val="000D7507"/>
    <w:rsid w:val="000E3129"/>
    <w:rsid w:val="000E3178"/>
    <w:rsid w:val="000E386B"/>
    <w:rsid w:val="000E391B"/>
    <w:rsid w:val="000E69A2"/>
    <w:rsid w:val="000E76D0"/>
    <w:rsid w:val="000F0066"/>
    <w:rsid w:val="000F2065"/>
    <w:rsid w:val="000F420C"/>
    <w:rsid w:val="00104F7C"/>
    <w:rsid w:val="001053C5"/>
    <w:rsid w:val="00105A26"/>
    <w:rsid w:val="001072DB"/>
    <w:rsid w:val="001178DB"/>
    <w:rsid w:val="00117E6F"/>
    <w:rsid w:val="00122065"/>
    <w:rsid w:val="00122752"/>
    <w:rsid w:val="001235FD"/>
    <w:rsid w:val="0012703C"/>
    <w:rsid w:val="00130180"/>
    <w:rsid w:val="00135ACB"/>
    <w:rsid w:val="001363E8"/>
    <w:rsid w:val="00142759"/>
    <w:rsid w:val="001435A3"/>
    <w:rsid w:val="001462E0"/>
    <w:rsid w:val="00161A82"/>
    <w:rsid w:val="00164F7C"/>
    <w:rsid w:val="0017287D"/>
    <w:rsid w:val="0017324A"/>
    <w:rsid w:val="00177438"/>
    <w:rsid w:val="00184AD9"/>
    <w:rsid w:val="00186126"/>
    <w:rsid w:val="00190492"/>
    <w:rsid w:val="0019303E"/>
    <w:rsid w:val="00193A31"/>
    <w:rsid w:val="00193F84"/>
    <w:rsid w:val="0019566E"/>
    <w:rsid w:val="00195BE1"/>
    <w:rsid w:val="001964E7"/>
    <w:rsid w:val="001A0707"/>
    <w:rsid w:val="001A295A"/>
    <w:rsid w:val="001A7B4C"/>
    <w:rsid w:val="001B35A5"/>
    <w:rsid w:val="001B3E55"/>
    <w:rsid w:val="001B7843"/>
    <w:rsid w:val="001C0AC4"/>
    <w:rsid w:val="001C1246"/>
    <w:rsid w:val="001C325B"/>
    <w:rsid w:val="001D0D3C"/>
    <w:rsid w:val="001D3142"/>
    <w:rsid w:val="001D5E21"/>
    <w:rsid w:val="001F16AE"/>
    <w:rsid w:val="001F3292"/>
    <w:rsid w:val="001F34D5"/>
    <w:rsid w:val="001F50F6"/>
    <w:rsid w:val="00201005"/>
    <w:rsid w:val="00202420"/>
    <w:rsid w:val="002027DA"/>
    <w:rsid w:val="00215EAF"/>
    <w:rsid w:val="00223D7A"/>
    <w:rsid w:val="00224912"/>
    <w:rsid w:val="002258F3"/>
    <w:rsid w:val="00236355"/>
    <w:rsid w:val="00237012"/>
    <w:rsid w:val="0024022F"/>
    <w:rsid w:val="002406D4"/>
    <w:rsid w:val="00240A90"/>
    <w:rsid w:val="00241910"/>
    <w:rsid w:val="00245391"/>
    <w:rsid w:val="0025669B"/>
    <w:rsid w:val="002579BA"/>
    <w:rsid w:val="00260643"/>
    <w:rsid w:val="0026108B"/>
    <w:rsid w:val="002625F8"/>
    <w:rsid w:val="002629C0"/>
    <w:rsid w:val="002630CD"/>
    <w:rsid w:val="0026343B"/>
    <w:rsid w:val="00263FB2"/>
    <w:rsid w:val="00264FD3"/>
    <w:rsid w:val="00266D65"/>
    <w:rsid w:val="002674FC"/>
    <w:rsid w:val="00267852"/>
    <w:rsid w:val="00271272"/>
    <w:rsid w:val="00272ACF"/>
    <w:rsid w:val="002736FB"/>
    <w:rsid w:val="002774F2"/>
    <w:rsid w:val="0028167B"/>
    <w:rsid w:val="00287D53"/>
    <w:rsid w:val="00291435"/>
    <w:rsid w:val="0029283D"/>
    <w:rsid w:val="00294495"/>
    <w:rsid w:val="002945C7"/>
    <w:rsid w:val="002973EB"/>
    <w:rsid w:val="00297771"/>
    <w:rsid w:val="002A27C2"/>
    <w:rsid w:val="002A31EB"/>
    <w:rsid w:val="002A432D"/>
    <w:rsid w:val="002A537C"/>
    <w:rsid w:val="002A6D6C"/>
    <w:rsid w:val="002B0137"/>
    <w:rsid w:val="002B4F8A"/>
    <w:rsid w:val="002B766C"/>
    <w:rsid w:val="002C0FDF"/>
    <w:rsid w:val="002C368B"/>
    <w:rsid w:val="002C48CF"/>
    <w:rsid w:val="002D3D9A"/>
    <w:rsid w:val="002D3DCF"/>
    <w:rsid w:val="002D6AE9"/>
    <w:rsid w:val="002E0D30"/>
    <w:rsid w:val="002E5DDE"/>
    <w:rsid w:val="002E6B1F"/>
    <w:rsid w:val="002E7808"/>
    <w:rsid w:val="002F1659"/>
    <w:rsid w:val="002F40D5"/>
    <w:rsid w:val="002F4C7F"/>
    <w:rsid w:val="002F61AE"/>
    <w:rsid w:val="003016F6"/>
    <w:rsid w:val="003017D8"/>
    <w:rsid w:val="003017F0"/>
    <w:rsid w:val="00304FA6"/>
    <w:rsid w:val="00305B5A"/>
    <w:rsid w:val="00323C57"/>
    <w:rsid w:val="00323F5E"/>
    <w:rsid w:val="00326CD4"/>
    <w:rsid w:val="00327EF8"/>
    <w:rsid w:val="0033346D"/>
    <w:rsid w:val="00333C74"/>
    <w:rsid w:val="00333F95"/>
    <w:rsid w:val="00350899"/>
    <w:rsid w:val="0035101B"/>
    <w:rsid w:val="00352B24"/>
    <w:rsid w:val="00356D02"/>
    <w:rsid w:val="00357154"/>
    <w:rsid w:val="00365B97"/>
    <w:rsid w:val="00370716"/>
    <w:rsid w:val="0037482A"/>
    <w:rsid w:val="00374EDA"/>
    <w:rsid w:val="00375742"/>
    <w:rsid w:val="003777AF"/>
    <w:rsid w:val="00380C1C"/>
    <w:rsid w:val="0038377B"/>
    <w:rsid w:val="0038781F"/>
    <w:rsid w:val="0039135E"/>
    <w:rsid w:val="00391473"/>
    <w:rsid w:val="00394C24"/>
    <w:rsid w:val="00397448"/>
    <w:rsid w:val="003A21F9"/>
    <w:rsid w:val="003A5070"/>
    <w:rsid w:val="003A75DD"/>
    <w:rsid w:val="003B0CEC"/>
    <w:rsid w:val="003B156C"/>
    <w:rsid w:val="003B2D19"/>
    <w:rsid w:val="003B64EA"/>
    <w:rsid w:val="003C2537"/>
    <w:rsid w:val="003C290B"/>
    <w:rsid w:val="003C73D4"/>
    <w:rsid w:val="003D1841"/>
    <w:rsid w:val="003D1E69"/>
    <w:rsid w:val="003D6C4B"/>
    <w:rsid w:val="003E017B"/>
    <w:rsid w:val="003E4653"/>
    <w:rsid w:val="003E4C0A"/>
    <w:rsid w:val="003E565A"/>
    <w:rsid w:val="003F1302"/>
    <w:rsid w:val="003F1A03"/>
    <w:rsid w:val="003F1DF8"/>
    <w:rsid w:val="003F291E"/>
    <w:rsid w:val="003F4CA5"/>
    <w:rsid w:val="00401799"/>
    <w:rsid w:val="0040233A"/>
    <w:rsid w:val="00405393"/>
    <w:rsid w:val="004105DE"/>
    <w:rsid w:val="00411311"/>
    <w:rsid w:val="0041310F"/>
    <w:rsid w:val="0041654F"/>
    <w:rsid w:val="004178C5"/>
    <w:rsid w:val="0043024B"/>
    <w:rsid w:val="004307C8"/>
    <w:rsid w:val="0043494A"/>
    <w:rsid w:val="00437DC5"/>
    <w:rsid w:val="0044383D"/>
    <w:rsid w:val="00445426"/>
    <w:rsid w:val="0045090E"/>
    <w:rsid w:val="00451D8E"/>
    <w:rsid w:val="00454344"/>
    <w:rsid w:val="0046252B"/>
    <w:rsid w:val="00462E98"/>
    <w:rsid w:val="00462FB0"/>
    <w:rsid w:val="00472B9F"/>
    <w:rsid w:val="00472F1D"/>
    <w:rsid w:val="00477C17"/>
    <w:rsid w:val="00477F0F"/>
    <w:rsid w:val="00480125"/>
    <w:rsid w:val="00484AA8"/>
    <w:rsid w:val="00485409"/>
    <w:rsid w:val="00487660"/>
    <w:rsid w:val="00487D91"/>
    <w:rsid w:val="00487EF2"/>
    <w:rsid w:val="00495CB3"/>
    <w:rsid w:val="004A1E83"/>
    <w:rsid w:val="004B7CC5"/>
    <w:rsid w:val="004C0C94"/>
    <w:rsid w:val="004C367C"/>
    <w:rsid w:val="004C3EEB"/>
    <w:rsid w:val="004C6462"/>
    <w:rsid w:val="004C6799"/>
    <w:rsid w:val="004D0458"/>
    <w:rsid w:val="004E31C9"/>
    <w:rsid w:val="004E7CDB"/>
    <w:rsid w:val="004F1269"/>
    <w:rsid w:val="004F1A90"/>
    <w:rsid w:val="004F443E"/>
    <w:rsid w:val="004F7328"/>
    <w:rsid w:val="00501FEF"/>
    <w:rsid w:val="005029C5"/>
    <w:rsid w:val="00502C8A"/>
    <w:rsid w:val="00503728"/>
    <w:rsid w:val="005109F7"/>
    <w:rsid w:val="00515660"/>
    <w:rsid w:val="00515B9C"/>
    <w:rsid w:val="005175F9"/>
    <w:rsid w:val="00517A0B"/>
    <w:rsid w:val="0052074E"/>
    <w:rsid w:val="005235DD"/>
    <w:rsid w:val="00525373"/>
    <w:rsid w:val="005263BF"/>
    <w:rsid w:val="005306C7"/>
    <w:rsid w:val="0053219E"/>
    <w:rsid w:val="00533EF3"/>
    <w:rsid w:val="00535EFC"/>
    <w:rsid w:val="00536991"/>
    <w:rsid w:val="00537500"/>
    <w:rsid w:val="00540DF0"/>
    <w:rsid w:val="00541004"/>
    <w:rsid w:val="00541053"/>
    <w:rsid w:val="00542949"/>
    <w:rsid w:val="00550895"/>
    <w:rsid w:val="00556D35"/>
    <w:rsid w:val="00562E39"/>
    <w:rsid w:val="00565803"/>
    <w:rsid w:val="00565B7B"/>
    <w:rsid w:val="00566B4E"/>
    <w:rsid w:val="00566EE0"/>
    <w:rsid w:val="00577B0C"/>
    <w:rsid w:val="00580BF7"/>
    <w:rsid w:val="00581F8C"/>
    <w:rsid w:val="005823DC"/>
    <w:rsid w:val="00585198"/>
    <w:rsid w:val="00586A2A"/>
    <w:rsid w:val="00587AA8"/>
    <w:rsid w:val="0059579B"/>
    <w:rsid w:val="00597865"/>
    <w:rsid w:val="005A0E0A"/>
    <w:rsid w:val="005A21F5"/>
    <w:rsid w:val="005A7F48"/>
    <w:rsid w:val="005B0FBE"/>
    <w:rsid w:val="005B1402"/>
    <w:rsid w:val="005B183C"/>
    <w:rsid w:val="005B1C57"/>
    <w:rsid w:val="005B3D9B"/>
    <w:rsid w:val="005C2322"/>
    <w:rsid w:val="005C376A"/>
    <w:rsid w:val="005C5D43"/>
    <w:rsid w:val="005D2147"/>
    <w:rsid w:val="005F1BEF"/>
    <w:rsid w:val="005F33F4"/>
    <w:rsid w:val="005F347B"/>
    <w:rsid w:val="005F460D"/>
    <w:rsid w:val="00603E7F"/>
    <w:rsid w:val="006046E5"/>
    <w:rsid w:val="006052C7"/>
    <w:rsid w:val="00616173"/>
    <w:rsid w:val="00617585"/>
    <w:rsid w:val="00620BCF"/>
    <w:rsid w:val="006211B7"/>
    <w:rsid w:val="0062417D"/>
    <w:rsid w:val="00624A8D"/>
    <w:rsid w:val="0062722E"/>
    <w:rsid w:val="00630BF2"/>
    <w:rsid w:val="00634277"/>
    <w:rsid w:val="006359FE"/>
    <w:rsid w:val="00635E25"/>
    <w:rsid w:val="006426A8"/>
    <w:rsid w:val="006506C5"/>
    <w:rsid w:val="0065076A"/>
    <w:rsid w:val="00660DF2"/>
    <w:rsid w:val="00663BF8"/>
    <w:rsid w:val="00663FA8"/>
    <w:rsid w:val="0066708D"/>
    <w:rsid w:val="0066722F"/>
    <w:rsid w:val="0066729F"/>
    <w:rsid w:val="0066792B"/>
    <w:rsid w:val="00670779"/>
    <w:rsid w:val="0068012A"/>
    <w:rsid w:val="00681DC6"/>
    <w:rsid w:val="00683E0C"/>
    <w:rsid w:val="00685CB8"/>
    <w:rsid w:val="006873E2"/>
    <w:rsid w:val="00687EEB"/>
    <w:rsid w:val="00691F22"/>
    <w:rsid w:val="0069212E"/>
    <w:rsid w:val="00693B3A"/>
    <w:rsid w:val="00694A80"/>
    <w:rsid w:val="00694E8A"/>
    <w:rsid w:val="006A112A"/>
    <w:rsid w:val="006A1E9C"/>
    <w:rsid w:val="006A2358"/>
    <w:rsid w:val="006A4770"/>
    <w:rsid w:val="006A534B"/>
    <w:rsid w:val="006A7CBA"/>
    <w:rsid w:val="006B00DC"/>
    <w:rsid w:val="006B16FF"/>
    <w:rsid w:val="006B2E88"/>
    <w:rsid w:val="006B7AFF"/>
    <w:rsid w:val="006B7D34"/>
    <w:rsid w:val="006C6CDD"/>
    <w:rsid w:val="006C6EB0"/>
    <w:rsid w:val="006D77B1"/>
    <w:rsid w:val="006E008F"/>
    <w:rsid w:val="006E1D37"/>
    <w:rsid w:val="006E3CC9"/>
    <w:rsid w:val="006E6446"/>
    <w:rsid w:val="00701750"/>
    <w:rsid w:val="007025D6"/>
    <w:rsid w:val="00702D60"/>
    <w:rsid w:val="00702F14"/>
    <w:rsid w:val="0070429A"/>
    <w:rsid w:val="0071105F"/>
    <w:rsid w:val="0071149B"/>
    <w:rsid w:val="00713D30"/>
    <w:rsid w:val="00716914"/>
    <w:rsid w:val="00725A2F"/>
    <w:rsid w:val="00725F4F"/>
    <w:rsid w:val="00734092"/>
    <w:rsid w:val="00734E48"/>
    <w:rsid w:val="00737311"/>
    <w:rsid w:val="007410B2"/>
    <w:rsid w:val="00743236"/>
    <w:rsid w:val="0074797A"/>
    <w:rsid w:val="00747AA1"/>
    <w:rsid w:val="00762780"/>
    <w:rsid w:val="007639E7"/>
    <w:rsid w:val="00767602"/>
    <w:rsid w:val="00770418"/>
    <w:rsid w:val="00771BB5"/>
    <w:rsid w:val="00773465"/>
    <w:rsid w:val="0077434F"/>
    <w:rsid w:val="00776194"/>
    <w:rsid w:val="00782FF0"/>
    <w:rsid w:val="0078439F"/>
    <w:rsid w:val="00785605"/>
    <w:rsid w:val="0079107F"/>
    <w:rsid w:val="00791733"/>
    <w:rsid w:val="00795AFF"/>
    <w:rsid w:val="00796F1B"/>
    <w:rsid w:val="00797C4E"/>
    <w:rsid w:val="007A043A"/>
    <w:rsid w:val="007A0DB0"/>
    <w:rsid w:val="007A1CBE"/>
    <w:rsid w:val="007B0BCA"/>
    <w:rsid w:val="007B2B65"/>
    <w:rsid w:val="007B7E0C"/>
    <w:rsid w:val="007C6AE3"/>
    <w:rsid w:val="007C6C85"/>
    <w:rsid w:val="007D7074"/>
    <w:rsid w:val="007E0813"/>
    <w:rsid w:val="007E19D6"/>
    <w:rsid w:val="007F08EE"/>
    <w:rsid w:val="007F19E9"/>
    <w:rsid w:val="007F3988"/>
    <w:rsid w:val="00801F47"/>
    <w:rsid w:val="0080407B"/>
    <w:rsid w:val="00805BAE"/>
    <w:rsid w:val="008064CA"/>
    <w:rsid w:val="00810010"/>
    <w:rsid w:val="00810D6B"/>
    <w:rsid w:val="0081484F"/>
    <w:rsid w:val="00821FB3"/>
    <w:rsid w:val="00831B6F"/>
    <w:rsid w:val="00831CCD"/>
    <w:rsid w:val="00831D42"/>
    <w:rsid w:val="00832700"/>
    <w:rsid w:val="00832C60"/>
    <w:rsid w:val="00837949"/>
    <w:rsid w:val="00841DE5"/>
    <w:rsid w:val="00843544"/>
    <w:rsid w:val="00843C5A"/>
    <w:rsid w:val="00845B83"/>
    <w:rsid w:val="00846F6D"/>
    <w:rsid w:val="00850CE3"/>
    <w:rsid w:val="00852A6E"/>
    <w:rsid w:val="0086108F"/>
    <w:rsid w:val="00863727"/>
    <w:rsid w:val="00872E8A"/>
    <w:rsid w:val="00873605"/>
    <w:rsid w:val="00880152"/>
    <w:rsid w:val="0088225C"/>
    <w:rsid w:val="00882931"/>
    <w:rsid w:val="00886375"/>
    <w:rsid w:val="00886535"/>
    <w:rsid w:val="00890423"/>
    <w:rsid w:val="00890BC1"/>
    <w:rsid w:val="008919E2"/>
    <w:rsid w:val="00892730"/>
    <w:rsid w:val="008952C7"/>
    <w:rsid w:val="0089644C"/>
    <w:rsid w:val="008A1082"/>
    <w:rsid w:val="008A4B39"/>
    <w:rsid w:val="008A4D2C"/>
    <w:rsid w:val="008A7620"/>
    <w:rsid w:val="008B08A9"/>
    <w:rsid w:val="008B4F47"/>
    <w:rsid w:val="008B5BDB"/>
    <w:rsid w:val="008B7CEE"/>
    <w:rsid w:val="008C3455"/>
    <w:rsid w:val="008C3EEE"/>
    <w:rsid w:val="008C5FD3"/>
    <w:rsid w:val="008C62A0"/>
    <w:rsid w:val="008D071D"/>
    <w:rsid w:val="008D29EC"/>
    <w:rsid w:val="008D3BAE"/>
    <w:rsid w:val="008D42EE"/>
    <w:rsid w:val="008D6405"/>
    <w:rsid w:val="008E09E9"/>
    <w:rsid w:val="008E515F"/>
    <w:rsid w:val="008E5CB4"/>
    <w:rsid w:val="008E6F4A"/>
    <w:rsid w:val="008F124F"/>
    <w:rsid w:val="008F20DC"/>
    <w:rsid w:val="008F7D56"/>
    <w:rsid w:val="00900480"/>
    <w:rsid w:val="009018BE"/>
    <w:rsid w:val="00902509"/>
    <w:rsid w:val="009025B0"/>
    <w:rsid w:val="00902A8A"/>
    <w:rsid w:val="009033F8"/>
    <w:rsid w:val="0090411C"/>
    <w:rsid w:val="009112CA"/>
    <w:rsid w:val="00913048"/>
    <w:rsid w:val="00914A92"/>
    <w:rsid w:val="00922C58"/>
    <w:rsid w:val="00923257"/>
    <w:rsid w:val="00924A0A"/>
    <w:rsid w:val="00925885"/>
    <w:rsid w:val="00927D34"/>
    <w:rsid w:val="0093181C"/>
    <w:rsid w:val="009353BF"/>
    <w:rsid w:val="00937EA6"/>
    <w:rsid w:val="00941ED8"/>
    <w:rsid w:val="00946768"/>
    <w:rsid w:val="009515A5"/>
    <w:rsid w:val="00953113"/>
    <w:rsid w:val="00954AA3"/>
    <w:rsid w:val="009608DB"/>
    <w:rsid w:val="00964C1E"/>
    <w:rsid w:val="00965284"/>
    <w:rsid w:val="00966D34"/>
    <w:rsid w:val="00966FB5"/>
    <w:rsid w:val="00971894"/>
    <w:rsid w:val="00974F8E"/>
    <w:rsid w:val="009813F6"/>
    <w:rsid w:val="0098378B"/>
    <w:rsid w:val="009858BF"/>
    <w:rsid w:val="00987EB0"/>
    <w:rsid w:val="00991AA7"/>
    <w:rsid w:val="009927B7"/>
    <w:rsid w:val="00995E70"/>
    <w:rsid w:val="009A0F6F"/>
    <w:rsid w:val="009A1E89"/>
    <w:rsid w:val="009A2B66"/>
    <w:rsid w:val="009A308C"/>
    <w:rsid w:val="009A4705"/>
    <w:rsid w:val="009A5041"/>
    <w:rsid w:val="009A5ACF"/>
    <w:rsid w:val="009B0FBA"/>
    <w:rsid w:val="009B5005"/>
    <w:rsid w:val="009C12B7"/>
    <w:rsid w:val="009C1650"/>
    <w:rsid w:val="009C1AC8"/>
    <w:rsid w:val="009C2CAA"/>
    <w:rsid w:val="009C42B7"/>
    <w:rsid w:val="009C6306"/>
    <w:rsid w:val="009C6A89"/>
    <w:rsid w:val="009C77A9"/>
    <w:rsid w:val="009D190A"/>
    <w:rsid w:val="009D1C90"/>
    <w:rsid w:val="009D2916"/>
    <w:rsid w:val="009D77B2"/>
    <w:rsid w:val="009E46D3"/>
    <w:rsid w:val="009E5668"/>
    <w:rsid w:val="009F18DE"/>
    <w:rsid w:val="009F5ADC"/>
    <w:rsid w:val="00A00E10"/>
    <w:rsid w:val="00A05A21"/>
    <w:rsid w:val="00A065B4"/>
    <w:rsid w:val="00A13EF4"/>
    <w:rsid w:val="00A21EBB"/>
    <w:rsid w:val="00A22633"/>
    <w:rsid w:val="00A24A6E"/>
    <w:rsid w:val="00A30F43"/>
    <w:rsid w:val="00A3378B"/>
    <w:rsid w:val="00A37797"/>
    <w:rsid w:val="00A379E5"/>
    <w:rsid w:val="00A4107C"/>
    <w:rsid w:val="00A424B7"/>
    <w:rsid w:val="00A45A67"/>
    <w:rsid w:val="00A4605F"/>
    <w:rsid w:val="00A612A2"/>
    <w:rsid w:val="00A65405"/>
    <w:rsid w:val="00A72EA7"/>
    <w:rsid w:val="00A72F6D"/>
    <w:rsid w:val="00A76DDB"/>
    <w:rsid w:val="00A81D0B"/>
    <w:rsid w:val="00A87CC8"/>
    <w:rsid w:val="00A92D89"/>
    <w:rsid w:val="00A97341"/>
    <w:rsid w:val="00AA3A91"/>
    <w:rsid w:val="00AA421E"/>
    <w:rsid w:val="00AA490E"/>
    <w:rsid w:val="00AB4205"/>
    <w:rsid w:val="00AB6D95"/>
    <w:rsid w:val="00AB7912"/>
    <w:rsid w:val="00AC0E4C"/>
    <w:rsid w:val="00AC1353"/>
    <w:rsid w:val="00AC148D"/>
    <w:rsid w:val="00AC43D6"/>
    <w:rsid w:val="00AC520C"/>
    <w:rsid w:val="00AC5DDA"/>
    <w:rsid w:val="00AC5F46"/>
    <w:rsid w:val="00AD3266"/>
    <w:rsid w:val="00AD41C4"/>
    <w:rsid w:val="00AD69A8"/>
    <w:rsid w:val="00AE0C8E"/>
    <w:rsid w:val="00AE6B78"/>
    <w:rsid w:val="00AE74E7"/>
    <w:rsid w:val="00AF0629"/>
    <w:rsid w:val="00AF0742"/>
    <w:rsid w:val="00AF5A7C"/>
    <w:rsid w:val="00AF6740"/>
    <w:rsid w:val="00AF6BB8"/>
    <w:rsid w:val="00B01BDC"/>
    <w:rsid w:val="00B02035"/>
    <w:rsid w:val="00B06601"/>
    <w:rsid w:val="00B1163B"/>
    <w:rsid w:val="00B15D3B"/>
    <w:rsid w:val="00B1789B"/>
    <w:rsid w:val="00B207AD"/>
    <w:rsid w:val="00B20DF2"/>
    <w:rsid w:val="00B21D38"/>
    <w:rsid w:val="00B23E16"/>
    <w:rsid w:val="00B3094E"/>
    <w:rsid w:val="00B3335F"/>
    <w:rsid w:val="00B34572"/>
    <w:rsid w:val="00B35873"/>
    <w:rsid w:val="00B412F7"/>
    <w:rsid w:val="00B43AB6"/>
    <w:rsid w:val="00B441B2"/>
    <w:rsid w:val="00B50265"/>
    <w:rsid w:val="00B55B05"/>
    <w:rsid w:val="00B61197"/>
    <w:rsid w:val="00B652C5"/>
    <w:rsid w:val="00B67D26"/>
    <w:rsid w:val="00B742A1"/>
    <w:rsid w:val="00B754DE"/>
    <w:rsid w:val="00B87EC7"/>
    <w:rsid w:val="00B9038A"/>
    <w:rsid w:val="00B91592"/>
    <w:rsid w:val="00BA02FF"/>
    <w:rsid w:val="00BA11CB"/>
    <w:rsid w:val="00BA382F"/>
    <w:rsid w:val="00BA67E4"/>
    <w:rsid w:val="00BB26FB"/>
    <w:rsid w:val="00BB298A"/>
    <w:rsid w:val="00BB41C2"/>
    <w:rsid w:val="00BB4630"/>
    <w:rsid w:val="00BB6D60"/>
    <w:rsid w:val="00BC1555"/>
    <w:rsid w:val="00BC3B9A"/>
    <w:rsid w:val="00BC53E8"/>
    <w:rsid w:val="00BC6074"/>
    <w:rsid w:val="00BD1A40"/>
    <w:rsid w:val="00BD31AB"/>
    <w:rsid w:val="00BD34AC"/>
    <w:rsid w:val="00BD44DB"/>
    <w:rsid w:val="00BD697C"/>
    <w:rsid w:val="00BD76C2"/>
    <w:rsid w:val="00BE27F0"/>
    <w:rsid w:val="00BE5E4E"/>
    <w:rsid w:val="00BE61B1"/>
    <w:rsid w:val="00BF024A"/>
    <w:rsid w:val="00BF1E4F"/>
    <w:rsid w:val="00BF2DE0"/>
    <w:rsid w:val="00BF3EB7"/>
    <w:rsid w:val="00BF7191"/>
    <w:rsid w:val="00C01E44"/>
    <w:rsid w:val="00C077E4"/>
    <w:rsid w:val="00C1493F"/>
    <w:rsid w:val="00C23F54"/>
    <w:rsid w:val="00C25BFC"/>
    <w:rsid w:val="00C25C7D"/>
    <w:rsid w:val="00C32BB4"/>
    <w:rsid w:val="00C37B5D"/>
    <w:rsid w:val="00C43B6F"/>
    <w:rsid w:val="00C45B3B"/>
    <w:rsid w:val="00C511D9"/>
    <w:rsid w:val="00C53A06"/>
    <w:rsid w:val="00C53E85"/>
    <w:rsid w:val="00C55CF8"/>
    <w:rsid w:val="00C663B1"/>
    <w:rsid w:val="00C67E8A"/>
    <w:rsid w:val="00C72023"/>
    <w:rsid w:val="00C72447"/>
    <w:rsid w:val="00C7320D"/>
    <w:rsid w:val="00C764E1"/>
    <w:rsid w:val="00C83CCB"/>
    <w:rsid w:val="00C84302"/>
    <w:rsid w:val="00C85BF7"/>
    <w:rsid w:val="00C92344"/>
    <w:rsid w:val="00C97182"/>
    <w:rsid w:val="00CA295E"/>
    <w:rsid w:val="00CA296D"/>
    <w:rsid w:val="00CB1419"/>
    <w:rsid w:val="00CB166A"/>
    <w:rsid w:val="00CB4730"/>
    <w:rsid w:val="00CB716E"/>
    <w:rsid w:val="00CC1612"/>
    <w:rsid w:val="00CC1ADD"/>
    <w:rsid w:val="00CC233E"/>
    <w:rsid w:val="00CC5DC4"/>
    <w:rsid w:val="00CC61D1"/>
    <w:rsid w:val="00CE2670"/>
    <w:rsid w:val="00CE4EFB"/>
    <w:rsid w:val="00CE6D76"/>
    <w:rsid w:val="00CF22F2"/>
    <w:rsid w:val="00CF3169"/>
    <w:rsid w:val="00CF3DAC"/>
    <w:rsid w:val="00CF5D1A"/>
    <w:rsid w:val="00D03AA1"/>
    <w:rsid w:val="00D053A6"/>
    <w:rsid w:val="00D055A0"/>
    <w:rsid w:val="00D05AB1"/>
    <w:rsid w:val="00D05E72"/>
    <w:rsid w:val="00D073F4"/>
    <w:rsid w:val="00D10D13"/>
    <w:rsid w:val="00D118E4"/>
    <w:rsid w:val="00D2265D"/>
    <w:rsid w:val="00D27410"/>
    <w:rsid w:val="00D27924"/>
    <w:rsid w:val="00D3163D"/>
    <w:rsid w:val="00D36F4E"/>
    <w:rsid w:val="00D43EC0"/>
    <w:rsid w:val="00D44524"/>
    <w:rsid w:val="00D44736"/>
    <w:rsid w:val="00D46EBA"/>
    <w:rsid w:val="00D472D6"/>
    <w:rsid w:val="00D47D1C"/>
    <w:rsid w:val="00D51E8E"/>
    <w:rsid w:val="00D522EA"/>
    <w:rsid w:val="00D52729"/>
    <w:rsid w:val="00D53048"/>
    <w:rsid w:val="00D55D49"/>
    <w:rsid w:val="00D5700D"/>
    <w:rsid w:val="00D60235"/>
    <w:rsid w:val="00D6070F"/>
    <w:rsid w:val="00D61BA4"/>
    <w:rsid w:val="00D64622"/>
    <w:rsid w:val="00D65FAF"/>
    <w:rsid w:val="00D72B03"/>
    <w:rsid w:val="00D72E25"/>
    <w:rsid w:val="00D760EE"/>
    <w:rsid w:val="00D768BD"/>
    <w:rsid w:val="00D7744C"/>
    <w:rsid w:val="00D826EA"/>
    <w:rsid w:val="00D84A29"/>
    <w:rsid w:val="00D867A2"/>
    <w:rsid w:val="00D87299"/>
    <w:rsid w:val="00D90B24"/>
    <w:rsid w:val="00D94F23"/>
    <w:rsid w:val="00D95D93"/>
    <w:rsid w:val="00D96BD3"/>
    <w:rsid w:val="00D9714A"/>
    <w:rsid w:val="00DA0D61"/>
    <w:rsid w:val="00DA4756"/>
    <w:rsid w:val="00DA4B81"/>
    <w:rsid w:val="00DA54FA"/>
    <w:rsid w:val="00DB31A2"/>
    <w:rsid w:val="00DB4899"/>
    <w:rsid w:val="00DB4AC6"/>
    <w:rsid w:val="00DB6A4F"/>
    <w:rsid w:val="00DC048D"/>
    <w:rsid w:val="00DC10F7"/>
    <w:rsid w:val="00DC3244"/>
    <w:rsid w:val="00DD36A2"/>
    <w:rsid w:val="00DD3FD4"/>
    <w:rsid w:val="00DD58F5"/>
    <w:rsid w:val="00DD6A3D"/>
    <w:rsid w:val="00DD7014"/>
    <w:rsid w:val="00DE24BE"/>
    <w:rsid w:val="00DE29C4"/>
    <w:rsid w:val="00DE5425"/>
    <w:rsid w:val="00DE54FA"/>
    <w:rsid w:val="00DF07A3"/>
    <w:rsid w:val="00DF2506"/>
    <w:rsid w:val="00DF2E94"/>
    <w:rsid w:val="00DF30F2"/>
    <w:rsid w:val="00DF5516"/>
    <w:rsid w:val="00DF63AF"/>
    <w:rsid w:val="00E01DFD"/>
    <w:rsid w:val="00E02AD0"/>
    <w:rsid w:val="00E15584"/>
    <w:rsid w:val="00E1668F"/>
    <w:rsid w:val="00E16F09"/>
    <w:rsid w:val="00E17989"/>
    <w:rsid w:val="00E17D34"/>
    <w:rsid w:val="00E20C51"/>
    <w:rsid w:val="00E233DD"/>
    <w:rsid w:val="00E2701C"/>
    <w:rsid w:val="00E30039"/>
    <w:rsid w:val="00E32621"/>
    <w:rsid w:val="00E43B0C"/>
    <w:rsid w:val="00E45404"/>
    <w:rsid w:val="00E4593D"/>
    <w:rsid w:val="00E476DE"/>
    <w:rsid w:val="00E50863"/>
    <w:rsid w:val="00E71EF5"/>
    <w:rsid w:val="00E74A2D"/>
    <w:rsid w:val="00E75B35"/>
    <w:rsid w:val="00E83D00"/>
    <w:rsid w:val="00E87BB5"/>
    <w:rsid w:val="00E91B06"/>
    <w:rsid w:val="00E9417F"/>
    <w:rsid w:val="00E97124"/>
    <w:rsid w:val="00EA158B"/>
    <w:rsid w:val="00EA7E39"/>
    <w:rsid w:val="00EB7D0B"/>
    <w:rsid w:val="00EC12F0"/>
    <w:rsid w:val="00EC1DB9"/>
    <w:rsid w:val="00EC20D8"/>
    <w:rsid w:val="00EC3015"/>
    <w:rsid w:val="00EC7751"/>
    <w:rsid w:val="00ED05F6"/>
    <w:rsid w:val="00ED30F7"/>
    <w:rsid w:val="00ED555E"/>
    <w:rsid w:val="00ED5FD3"/>
    <w:rsid w:val="00ED7610"/>
    <w:rsid w:val="00EE1D10"/>
    <w:rsid w:val="00EE362A"/>
    <w:rsid w:val="00EF08AF"/>
    <w:rsid w:val="00EF3975"/>
    <w:rsid w:val="00EF4E11"/>
    <w:rsid w:val="00EF5B89"/>
    <w:rsid w:val="00EF6000"/>
    <w:rsid w:val="00EF6888"/>
    <w:rsid w:val="00F00889"/>
    <w:rsid w:val="00F03C65"/>
    <w:rsid w:val="00F045C2"/>
    <w:rsid w:val="00F10C3F"/>
    <w:rsid w:val="00F156F2"/>
    <w:rsid w:val="00F15D83"/>
    <w:rsid w:val="00F22A6D"/>
    <w:rsid w:val="00F22C7F"/>
    <w:rsid w:val="00F23389"/>
    <w:rsid w:val="00F24864"/>
    <w:rsid w:val="00F3244A"/>
    <w:rsid w:val="00F32BB8"/>
    <w:rsid w:val="00F338E7"/>
    <w:rsid w:val="00F359B7"/>
    <w:rsid w:val="00F37699"/>
    <w:rsid w:val="00F40C3A"/>
    <w:rsid w:val="00F4380F"/>
    <w:rsid w:val="00F43E18"/>
    <w:rsid w:val="00F5077B"/>
    <w:rsid w:val="00F52F5D"/>
    <w:rsid w:val="00F56142"/>
    <w:rsid w:val="00F57506"/>
    <w:rsid w:val="00F6142D"/>
    <w:rsid w:val="00F6226B"/>
    <w:rsid w:val="00F62354"/>
    <w:rsid w:val="00F64573"/>
    <w:rsid w:val="00F71986"/>
    <w:rsid w:val="00F73E54"/>
    <w:rsid w:val="00F73FE8"/>
    <w:rsid w:val="00F76AC1"/>
    <w:rsid w:val="00F77CC3"/>
    <w:rsid w:val="00F809E5"/>
    <w:rsid w:val="00F874DC"/>
    <w:rsid w:val="00F9247B"/>
    <w:rsid w:val="00FA317D"/>
    <w:rsid w:val="00FA385C"/>
    <w:rsid w:val="00FA7701"/>
    <w:rsid w:val="00FB04CD"/>
    <w:rsid w:val="00FB1943"/>
    <w:rsid w:val="00FB1B89"/>
    <w:rsid w:val="00FB737F"/>
    <w:rsid w:val="00FD0D1E"/>
    <w:rsid w:val="00FD1810"/>
    <w:rsid w:val="00FD53A0"/>
    <w:rsid w:val="00FE3698"/>
    <w:rsid w:val="00FE542E"/>
    <w:rsid w:val="00FE68A8"/>
    <w:rsid w:val="00FE7F3F"/>
    <w:rsid w:val="00FF0090"/>
    <w:rsid w:val="00FF0A5B"/>
    <w:rsid w:val="00FF172B"/>
    <w:rsid w:val="00FF20B4"/>
    <w:rsid w:val="00FF3207"/>
    <w:rsid w:val="00FF4176"/>
    <w:rsid w:val="0135711F"/>
    <w:rsid w:val="04636F44"/>
    <w:rsid w:val="05927A85"/>
    <w:rsid w:val="0614336D"/>
    <w:rsid w:val="06402CBC"/>
    <w:rsid w:val="07894D94"/>
    <w:rsid w:val="08246E46"/>
    <w:rsid w:val="083A5039"/>
    <w:rsid w:val="08A94EB3"/>
    <w:rsid w:val="08B91F0B"/>
    <w:rsid w:val="0A226AC3"/>
    <w:rsid w:val="0DC16807"/>
    <w:rsid w:val="0F0F60FC"/>
    <w:rsid w:val="10C54BB8"/>
    <w:rsid w:val="10DE74B3"/>
    <w:rsid w:val="10FC1026"/>
    <w:rsid w:val="116A5B83"/>
    <w:rsid w:val="11B64776"/>
    <w:rsid w:val="144712A2"/>
    <w:rsid w:val="176651A7"/>
    <w:rsid w:val="17F96FF5"/>
    <w:rsid w:val="1DE1185C"/>
    <w:rsid w:val="1F2E4480"/>
    <w:rsid w:val="20FE3B01"/>
    <w:rsid w:val="21156CFE"/>
    <w:rsid w:val="22CC432B"/>
    <w:rsid w:val="24267CF0"/>
    <w:rsid w:val="242E3681"/>
    <w:rsid w:val="254C5560"/>
    <w:rsid w:val="254D6AA2"/>
    <w:rsid w:val="28560A02"/>
    <w:rsid w:val="28A262AD"/>
    <w:rsid w:val="2ADC073E"/>
    <w:rsid w:val="2E7622CA"/>
    <w:rsid w:val="2ECD0464"/>
    <w:rsid w:val="31A842DA"/>
    <w:rsid w:val="31CA3AD3"/>
    <w:rsid w:val="324355DA"/>
    <w:rsid w:val="33E6570C"/>
    <w:rsid w:val="35273F6B"/>
    <w:rsid w:val="358F4A12"/>
    <w:rsid w:val="375B29B1"/>
    <w:rsid w:val="3760463F"/>
    <w:rsid w:val="3795459A"/>
    <w:rsid w:val="385864E2"/>
    <w:rsid w:val="39EA702F"/>
    <w:rsid w:val="3A6E6766"/>
    <w:rsid w:val="3DA723D0"/>
    <w:rsid w:val="3E0509C2"/>
    <w:rsid w:val="3F290549"/>
    <w:rsid w:val="3F3B0C9D"/>
    <w:rsid w:val="3FC012C8"/>
    <w:rsid w:val="41A32286"/>
    <w:rsid w:val="430D518B"/>
    <w:rsid w:val="43D953C8"/>
    <w:rsid w:val="461111AE"/>
    <w:rsid w:val="466E398E"/>
    <w:rsid w:val="47F66039"/>
    <w:rsid w:val="480D667C"/>
    <w:rsid w:val="4896615C"/>
    <w:rsid w:val="49044BF1"/>
    <w:rsid w:val="4C282565"/>
    <w:rsid w:val="4C7278A6"/>
    <w:rsid w:val="4CEA063D"/>
    <w:rsid w:val="4E0961E4"/>
    <w:rsid w:val="4E5E4615"/>
    <w:rsid w:val="4EA724EE"/>
    <w:rsid w:val="519A542A"/>
    <w:rsid w:val="51C53827"/>
    <w:rsid w:val="53390E6B"/>
    <w:rsid w:val="54211A97"/>
    <w:rsid w:val="559C25BF"/>
    <w:rsid w:val="57CE5070"/>
    <w:rsid w:val="58F81E84"/>
    <w:rsid w:val="5903712A"/>
    <w:rsid w:val="59A442A6"/>
    <w:rsid w:val="5A160809"/>
    <w:rsid w:val="5AF73118"/>
    <w:rsid w:val="5B565E63"/>
    <w:rsid w:val="5BE45DE4"/>
    <w:rsid w:val="5CDF4F13"/>
    <w:rsid w:val="5D3770A8"/>
    <w:rsid w:val="602E51FB"/>
    <w:rsid w:val="617759FF"/>
    <w:rsid w:val="61C31DC2"/>
    <w:rsid w:val="63130DD6"/>
    <w:rsid w:val="64900BC5"/>
    <w:rsid w:val="6550567C"/>
    <w:rsid w:val="66943D42"/>
    <w:rsid w:val="67482D0D"/>
    <w:rsid w:val="67737999"/>
    <w:rsid w:val="67E53851"/>
    <w:rsid w:val="681F6EC9"/>
    <w:rsid w:val="68FE2E60"/>
    <w:rsid w:val="6D0820D1"/>
    <w:rsid w:val="6D8E1C96"/>
    <w:rsid w:val="6FC5490F"/>
    <w:rsid w:val="706F0D4A"/>
    <w:rsid w:val="70B02A5E"/>
    <w:rsid w:val="71EA26A0"/>
    <w:rsid w:val="725B4129"/>
    <w:rsid w:val="741C7616"/>
    <w:rsid w:val="74795878"/>
    <w:rsid w:val="751212DA"/>
    <w:rsid w:val="75457105"/>
    <w:rsid w:val="76647BA8"/>
    <w:rsid w:val="76793CF4"/>
    <w:rsid w:val="76885B5A"/>
    <w:rsid w:val="79993AD1"/>
    <w:rsid w:val="79B00F04"/>
    <w:rsid w:val="7EC43E30"/>
    <w:rsid w:val="7EE86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75"/>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0"/>
    <w:qFormat/>
    <w:uiPriority w:val="0"/>
    <w:pPr>
      <w:keepNext/>
      <w:keepLines/>
      <w:spacing w:before="260" w:after="260" w:line="416" w:lineRule="auto"/>
      <w:outlineLvl w:val="2"/>
    </w:pPr>
    <w:rPr>
      <w:b/>
      <w:bCs/>
      <w:sz w:val="32"/>
      <w:szCs w:val="32"/>
    </w:rPr>
  </w:style>
  <w:style w:type="paragraph" w:styleId="8">
    <w:name w:val="heading 4"/>
    <w:basedOn w:val="1"/>
    <w:next w:val="1"/>
    <w:link w:val="47"/>
    <w:qFormat/>
    <w:uiPriority w:val="0"/>
    <w:pPr>
      <w:keepNext/>
      <w:jc w:val="center"/>
      <w:outlineLvl w:val="3"/>
    </w:pPr>
    <w:rPr>
      <w:rFonts w:eastAsia="新宋体"/>
      <w:sz w:val="30"/>
      <w:szCs w:val="21"/>
    </w:rPr>
  </w:style>
  <w:style w:type="paragraph" w:styleId="9">
    <w:name w:val="heading 5"/>
    <w:basedOn w:val="1"/>
    <w:next w:val="1"/>
    <w:link w:val="78"/>
    <w:qFormat/>
    <w:uiPriority w:val="0"/>
    <w:pPr>
      <w:keepNext/>
      <w:keepLines/>
      <w:spacing w:before="280" w:after="290" w:line="376" w:lineRule="auto"/>
      <w:outlineLvl w:val="4"/>
    </w:pPr>
    <w:rPr>
      <w:b/>
      <w:bCs/>
      <w:sz w:val="28"/>
      <w:szCs w:val="28"/>
    </w:rPr>
  </w:style>
  <w:style w:type="paragraph" w:styleId="10">
    <w:name w:val="heading 6"/>
    <w:basedOn w:val="1"/>
    <w:next w:val="11"/>
    <w:link w:val="73"/>
    <w:qFormat/>
    <w:uiPriority w:val="0"/>
    <w:pPr>
      <w:keepNext/>
      <w:jc w:val="center"/>
      <w:outlineLvl w:val="5"/>
    </w:pPr>
    <w:rPr>
      <w:b/>
      <w:sz w:val="44"/>
      <w:szCs w:val="20"/>
    </w:rPr>
  </w:style>
  <w:style w:type="paragraph" w:styleId="12">
    <w:name w:val="heading 7"/>
    <w:basedOn w:val="1"/>
    <w:next w:val="1"/>
    <w:link w:val="55"/>
    <w:qFormat/>
    <w:uiPriority w:val="0"/>
    <w:pPr>
      <w:keepNext/>
      <w:keepLines/>
      <w:spacing w:before="240" w:after="64" w:line="320" w:lineRule="auto"/>
      <w:outlineLvl w:val="6"/>
    </w:pPr>
    <w:rPr>
      <w:b/>
      <w:bCs/>
      <w:sz w:val="24"/>
    </w:rPr>
  </w:style>
  <w:style w:type="paragraph" w:styleId="13">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4">
    <w:name w:val="heading 9"/>
    <w:basedOn w:val="1"/>
    <w:next w:val="1"/>
    <w:link w:val="65"/>
    <w:qFormat/>
    <w:uiPriority w:val="0"/>
    <w:pPr>
      <w:keepNext/>
      <w:keepLines/>
      <w:spacing w:before="240" w:after="64" w:line="320" w:lineRule="auto"/>
      <w:outlineLvl w:val="8"/>
    </w:pPr>
    <w:rPr>
      <w:rFonts w:ascii="Arial" w:hAnsi="Arial" w:eastAsia="黑体"/>
      <w:sz w:val="24"/>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3"/>
    <w:semiHidden/>
    <w:unhideWhenUsed/>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71"/>
    <w:qFormat/>
    <w:uiPriority w:val="0"/>
    <w:pPr>
      <w:ind w:left="765"/>
    </w:pPr>
    <w:rPr>
      <w:rFonts w:ascii="仿宋_GB2312" w:eastAsia="仿宋_GB2312"/>
      <w:sz w:val="28"/>
      <w:szCs w:val="20"/>
    </w:rPr>
  </w:style>
  <w:style w:type="paragraph" w:styleId="4">
    <w:name w:val="envelope return"/>
    <w:basedOn w:val="1"/>
    <w:unhideWhenUsed/>
    <w:qFormat/>
    <w:uiPriority w:val="99"/>
    <w:pPr>
      <w:snapToGrid w:val="0"/>
    </w:pPr>
    <w:rPr>
      <w:rFonts w:ascii="Arial" w:hAnsi="Arial"/>
    </w:rPr>
  </w:style>
  <w:style w:type="paragraph" w:styleId="11">
    <w:name w:val="Normal Indent"/>
    <w:basedOn w:val="1"/>
    <w:link w:val="60"/>
    <w:qFormat/>
    <w:uiPriority w:val="0"/>
    <w:pPr>
      <w:ind w:firstLine="420"/>
    </w:pPr>
    <w:rPr>
      <w:kern w:val="0"/>
      <w:sz w:val="20"/>
      <w:szCs w:val="20"/>
    </w:rPr>
  </w:style>
  <w:style w:type="paragraph" w:styleId="15">
    <w:name w:val="Document Map"/>
    <w:basedOn w:val="1"/>
    <w:link w:val="68"/>
    <w:semiHidden/>
    <w:qFormat/>
    <w:uiPriority w:val="0"/>
    <w:pPr>
      <w:shd w:val="clear" w:color="auto" w:fill="000080"/>
    </w:pPr>
    <w:rPr>
      <w:rFonts w:ascii="Calibri" w:hAnsi="Calibri"/>
    </w:rPr>
  </w:style>
  <w:style w:type="paragraph" w:styleId="16">
    <w:name w:val="annotation text"/>
    <w:basedOn w:val="1"/>
    <w:link w:val="111"/>
    <w:semiHidden/>
    <w:unhideWhenUsed/>
    <w:qFormat/>
    <w:uiPriority w:val="99"/>
    <w:pPr>
      <w:jc w:val="left"/>
    </w:pPr>
  </w:style>
  <w:style w:type="paragraph" w:styleId="17">
    <w:name w:val="Body Text 3"/>
    <w:basedOn w:val="1"/>
    <w:link w:val="70"/>
    <w:qFormat/>
    <w:uiPriority w:val="0"/>
    <w:pPr>
      <w:spacing w:after="120"/>
    </w:pPr>
    <w:rPr>
      <w:sz w:val="16"/>
      <w:szCs w:val="16"/>
    </w:rPr>
  </w:style>
  <w:style w:type="paragraph" w:styleId="18">
    <w:name w:val="Body Text"/>
    <w:basedOn w:val="1"/>
    <w:link w:val="56"/>
    <w:qFormat/>
    <w:uiPriority w:val="0"/>
    <w:rPr>
      <w:rFonts w:ascii="仿宋_GB2312" w:eastAsia="仿宋_GB2312"/>
      <w:sz w:val="24"/>
      <w:szCs w:val="20"/>
    </w:rPr>
  </w:style>
  <w:style w:type="paragraph" w:styleId="19">
    <w:name w:val="Plain Text"/>
    <w:basedOn w:val="1"/>
    <w:link w:val="67"/>
    <w:qFormat/>
    <w:uiPriority w:val="0"/>
    <w:rPr>
      <w:rFonts w:ascii="宋体" w:hAnsi="Courier New" w:cs="Courier New"/>
      <w:szCs w:val="21"/>
    </w:rPr>
  </w:style>
  <w:style w:type="paragraph" w:styleId="20">
    <w:name w:val="Date"/>
    <w:basedOn w:val="1"/>
    <w:next w:val="1"/>
    <w:link w:val="63"/>
    <w:qFormat/>
    <w:uiPriority w:val="0"/>
    <w:rPr>
      <w:sz w:val="24"/>
      <w:szCs w:val="20"/>
    </w:rPr>
  </w:style>
  <w:style w:type="paragraph" w:styleId="21">
    <w:name w:val="Body Text Indent 2"/>
    <w:basedOn w:val="1"/>
    <w:link w:val="62"/>
    <w:qFormat/>
    <w:uiPriority w:val="0"/>
    <w:pPr>
      <w:spacing w:line="500" w:lineRule="exact"/>
      <w:ind w:firstLine="560" w:firstLineChars="200"/>
    </w:pPr>
    <w:rPr>
      <w:rFonts w:eastAsia="仿宋_GB2312"/>
      <w:sz w:val="28"/>
      <w:szCs w:val="20"/>
    </w:rPr>
  </w:style>
  <w:style w:type="paragraph" w:styleId="22">
    <w:name w:val="Balloon Text"/>
    <w:basedOn w:val="1"/>
    <w:link w:val="59"/>
    <w:semiHidden/>
    <w:qFormat/>
    <w:uiPriority w:val="0"/>
    <w:rPr>
      <w:rFonts w:ascii="Calibri" w:hAnsi="Calibri"/>
      <w:sz w:val="18"/>
      <w:szCs w:val="18"/>
    </w:rPr>
  </w:style>
  <w:style w:type="paragraph" w:styleId="23">
    <w:name w:val="footer"/>
    <w:basedOn w:val="1"/>
    <w:link w:val="64"/>
    <w:qFormat/>
    <w:uiPriority w:val="99"/>
    <w:pPr>
      <w:tabs>
        <w:tab w:val="center" w:pos="4153"/>
        <w:tab w:val="right" w:pos="8306"/>
      </w:tabs>
      <w:snapToGrid w:val="0"/>
      <w:jc w:val="left"/>
    </w:pPr>
    <w:rPr>
      <w:sz w:val="18"/>
      <w:szCs w:val="20"/>
    </w:rPr>
  </w:style>
  <w:style w:type="paragraph" w:styleId="24">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rPr>
      <w:sz w:val="24"/>
    </w:rPr>
  </w:style>
  <w:style w:type="paragraph" w:styleId="26">
    <w:name w:val="List"/>
    <w:basedOn w:val="1"/>
    <w:qFormat/>
    <w:uiPriority w:val="0"/>
    <w:pPr>
      <w:ind w:left="200" w:hanging="200" w:hangingChars="200"/>
    </w:pPr>
  </w:style>
  <w:style w:type="paragraph" w:styleId="27">
    <w:name w:val="Body Text Indent 3"/>
    <w:basedOn w:val="1"/>
    <w:link w:val="61"/>
    <w:qFormat/>
    <w:uiPriority w:val="0"/>
    <w:pPr>
      <w:spacing w:after="120"/>
      <w:ind w:left="420" w:leftChars="200"/>
    </w:pPr>
    <w:rPr>
      <w:sz w:val="16"/>
      <w:szCs w:val="16"/>
    </w:rPr>
  </w:style>
  <w:style w:type="paragraph" w:styleId="28">
    <w:name w:val="Body Text 2"/>
    <w:basedOn w:val="1"/>
    <w:link w:val="66"/>
    <w:qFormat/>
    <w:uiPriority w:val="0"/>
    <w:pPr>
      <w:snapToGrid w:val="0"/>
    </w:pPr>
    <w:rPr>
      <w:b/>
      <w:bCs/>
      <w:sz w:val="18"/>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annotation subject"/>
    <w:basedOn w:val="16"/>
    <w:next w:val="16"/>
    <w:link w:val="112"/>
    <w:semiHidden/>
    <w:unhideWhenUsed/>
    <w:qFormat/>
    <w:uiPriority w:val="99"/>
    <w:rPr>
      <w:b/>
      <w:bCs/>
    </w:rPr>
  </w:style>
  <w:style w:type="paragraph" w:styleId="31">
    <w:name w:val="Body Text First Indent"/>
    <w:basedOn w:val="18"/>
    <w:link w:val="48"/>
    <w:qFormat/>
    <w:uiPriority w:val="0"/>
    <w:pPr>
      <w:spacing w:after="120"/>
      <w:ind w:firstLine="420" w:firstLineChars="100"/>
    </w:pPr>
    <w:rPr>
      <w:rFonts w:ascii="Times New Roman" w:eastAsia="宋体"/>
      <w:sz w:val="21"/>
      <w:szCs w:val="24"/>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basedOn w:val="34"/>
    <w:semiHidden/>
    <w:unhideWhenUsed/>
    <w:qFormat/>
    <w:uiPriority w:val="99"/>
    <w:rPr>
      <w:sz w:val="21"/>
      <w:szCs w:val="21"/>
    </w:rPr>
  </w:style>
  <w:style w:type="character" w:customStyle="1" w:styleId="40">
    <w:name w:val="标题 3 Char"/>
    <w:link w:val="7"/>
    <w:qFormat/>
    <w:uiPriority w:val="0"/>
    <w:rPr>
      <w:rFonts w:ascii="Times New Roman" w:hAnsi="Times New Roman" w:eastAsia="宋体" w:cs="Times New Roman"/>
      <w:b/>
      <w:bCs/>
      <w:sz w:val="32"/>
      <w:szCs w:val="32"/>
    </w:rPr>
  </w:style>
  <w:style w:type="character" w:customStyle="1" w:styleId="41">
    <w:name w:val="样式 ssss + 宋体 五号1 Char"/>
    <w:link w:val="42"/>
    <w:qFormat/>
    <w:uiPriority w:val="0"/>
    <w:rPr>
      <w:rFonts w:ascii="宋体" w:hAnsi="宋体" w:eastAsia="宋体" w:cs="Times New Roman"/>
      <w:sz w:val="24"/>
      <w:szCs w:val="24"/>
    </w:rPr>
  </w:style>
  <w:style w:type="paragraph" w:customStyle="1" w:styleId="42">
    <w:name w:val="样式 ssss + 宋体 五号1"/>
    <w:basedOn w:val="43"/>
    <w:link w:val="41"/>
    <w:qFormat/>
    <w:uiPriority w:val="0"/>
    <w:rPr>
      <w:rFonts w:ascii="宋体" w:hAnsi="宋体"/>
    </w:rPr>
  </w:style>
  <w:style w:type="paragraph" w:customStyle="1" w:styleId="43">
    <w:name w:val="ssss"/>
    <w:basedOn w:val="1"/>
    <w:link w:val="52"/>
    <w:qFormat/>
    <w:uiPriority w:val="0"/>
    <w:pPr>
      <w:spacing w:line="360" w:lineRule="auto"/>
      <w:ind w:firstLine="480" w:firstLineChars="200"/>
    </w:pPr>
    <w:rPr>
      <w:sz w:val="24"/>
    </w:rPr>
  </w:style>
  <w:style w:type="character" w:customStyle="1" w:styleId="44">
    <w:name w:val="cn_text1"/>
    <w:qFormat/>
    <w:uiPriority w:val="0"/>
    <w:rPr>
      <w:rFonts w:hint="default" w:ascii="ˎ̥" w:hAnsi="ˎ̥"/>
      <w:color w:val="003399"/>
      <w:spacing w:val="15"/>
      <w:sz w:val="18"/>
      <w:szCs w:val="18"/>
    </w:rPr>
  </w:style>
  <w:style w:type="character" w:customStyle="1" w:styleId="45">
    <w:name w:val="普通正文 Char"/>
    <w:link w:val="46"/>
    <w:qFormat/>
    <w:uiPriority w:val="0"/>
    <w:rPr>
      <w:rFonts w:ascii="Arial" w:hAnsi="Arial"/>
      <w:sz w:val="24"/>
      <w:szCs w:val="24"/>
    </w:rPr>
  </w:style>
  <w:style w:type="paragraph" w:customStyle="1" w:styleId="46">
    <w:name w:val="普通正文"/>
    <w:basedOn w:val="1"/>
    <w:link w:val="45"/>
    <w:qFormat/>
    <w:uiPriority w:val="0"/>
    <w:pPr>
      <w:adjustRightInd w:val="0"/>
      <w:spacing w:before="120" w:after="120" w:line="360" w:lineRule="auto"/>
      <w:ind w:left="-2" w:right="120" w:firstLine="480"/>
      <w:jc w:val="center"/>
      <w:textAlignment w:val="baseline"/>
    </w:pPr>
    <w:rPr>
      <w:rFonts w:ascii="Arial" w:hAnsi="Arial"/>
      <w:sz w:val="24"/>
    </w:rPr>
  </w:style>
  <w:style w:type="character" w:customStyle="1" w:styleId="47">
    <w:name w:val="标题 4 Char"/>
    <w:link w:val="8"/>
    <w:qFormat/>
    <w:uiPriority w:val="0"/>
    <w:rPr>
      <w:rFonts w:ascii="Times New Roman" w:hAnsi="Times New Roman" w:eastAsia="新宋体" w:cs="Times New Roman"/>
      <w:sz w:val="30"/>
      <w:szCs w:val="21"/>
    </w:rPr>
  </w:style>
  <w:style w:type="character" w:customStyle="1" w:styleId="48">
    <w:name w:val="正文首行缩进 Char"/>
    <w:link w:val="31"/>
    <w:qFormat/>
    <w:uiPriority w:val="0"/>
    <w:rPr>
      <w:rFonts w:ascii="Times New Roman" w:hAnsi="Times New Roman" w:eastAsia="宋体" w:cs="Times New Roman"/>
      <w:sz w:val="24"/>
      <w:szCs w:val="24"/>
    </w:rPr>
  </w:style>
  <w:style w:type="character" w:customStyle="1" w:styleId="49">
    <w:name w:val="正文缩进2格 Char"/>
    <w:link w:val="50"/>
    <w:qFormat/>
    <w:uiPriority w:val="0"/>
    <w:rPr>
      <w:rFonts w:ascii="仿宋_GB2312" w:hAnsi="宋体" w:eastAsia="仿宋_GB2312" w:cs="Times New Roman"/>
      <w:sz w:val="31"/>
      <w:szCs w:val="28"/>
    </w:rPr>
  </w:style>
  <w:style w:type="paragraph" w:customStyle="1" w:styleId="50">
    <w:name w:val="正文缩进2格"/>
    <w:basedOn w:val="1"/>
    <w:link w:val="49"/>
    <w:qFormat/>
    <w:uiPriority w:val="0"/>
    <w:pPr>
      <w:spacing w:line="600" w:lineRule="exact"/>
      <w:ind w:firstLine="639" w:firstLineChars="206"/>
    </w:pPr>
    <w:rPr>
      <w:rFonts w:ascii="仿宋_GB2312" w:hAnsi="宋体" w:eastAsia="仿宋_GB2312"/>
      <w:sz w:val="31"/>
      <w:szCs w:val="28"/>
    </w:rPr>
  </w:style>
  <w:style w:type="character" w:customStyle="1" w:styleId="51">
    <w:name w:val="批注框文本 Char1"/>
    <w:semiHidden/>
    <w:qFormat/>
    <w:uiPriority w:val="99"/>
    <w:rPr>
      <w:rFonts w:ascii="Times New Roman" w:hAnsi="Times New Roman" w:eastAsia="宋体" w:cs="Times New Roman"/>
      <w:sz w:val="18"/>
      <w:szCs w:val="18"/>
    </w:rPr>
  </w:style>
  <w:style w:type="character" w:customStyle="1" w:styleId="52">
    <w:name w:val="ssss Char1"/>
    <w:link w:val="43"/>
    <w:qFormat/>
    <w:uiPriority w:val="0"/>
    <w:rPr>
      <w:rFonts w:ascii="Times New Roman" w:hAnsi="Times New Roman" w:eastAsia="宋体" w:cs="Times New Roman"/>
      <w:sz w:val="24"/>
      <w:szCs w:val="24"/>
    </w:rPr>
  </w:style>
  <w:style w:type="character" w:customStyle="1" w:styleId="53">
    <w:name w:val="文档结构图 Char1"/>
    <w:semiHidden/>
    <w:qFormat/>
    <w:uiPriority w:val="99"/>
    <w:rPr>
      <w:rFonts w:ascii="宋体" w:hAnsi="Times New Roman" w:eastAsia="宋体" w:cs="Times New Roman"/>
      <w:sz w:val="18"/>
      <w:szCs w:val="18"/>
    </w:rPr>
  </w:style>
  <w:style w:type="character" w:customStyle="1" w:styleId="54">
    <w:name w:val="标题 8 Char"/>
    <w:link w:val="13"/>
    <w:qFormat/>
    <w:uiPriority w:val="0"/>
    <w:rPr>
      <w:rFonts w:ascii="Arial" w:hAnsi="Arial" w:eastAsia="黑体" w:cs="Times New Roman"/>
      <w:sz w:val="24"/>
      <w:szCs w:val="24"/>
    </w:rPr>
  </w:style>
  <w:style w:type="character" w:customStyle="1" w:styleId="55">
    <w:name w:val="标题 7 Char"/>
    <w:link w:val="12"/>
    <w:qFormat/>
    <w:uiPriority w:val="0"/>
    <w:rPr>
      <w:rFonts w:ascii="Times New Roman" w:hAnsi="Times New Roman" w:eastAsia="宋体" w:cs="Times New Roman"/>
      <w:b/>
      <w:bCs/>
      <w:sz w:val="24"/>
      <w:szCs w:val="24"/>
    </w:rPr>
  </w:style>
  <w:style w:type="character" w:customStyle="1" w:styleId="56">
    <w:name w:val="正文文本 Char"/>
    <w:link w:val="18"/>
    <w:qFormat/>
    <w:uiPriority w:val="0"/>
    <w:rPr>
      <w:rFonts w:ascii="仿宋_GB2312" w:hAnsi="Times New Roman" w:eastAsia="仿宋_GB2312" w:cs="Times New Roman"/>
      <w:sz w:val="24"/>
      <w:szCs w:val="20"/>
    </w:rPr>
  </w:style>
  <w:style w:type="character" w:customStyle="1" w:styleId="57">
    <w:name w:val="标题 1 Char"/>
    <w:link w:val="5"/>
    <w:qFormat/>
    <w:uiPriority w:val="0"/>
    <w:rPr>
      <w:rFonts w:ascii="Times New Roman" w:hAnsi="Times New Roman" w:eastAsia="宋体" w:cs="Times New Roman"/>
      <w:b/>
      <w:bCs/>
      <w:kern w:val="44"/>
      <w:sz w:val="44"/>
      <w:szCs w:val="44"/>
    </w:rPr>
  </w:style>
  <w:style w:type="character" w:customStyle="1" w:styleId="58">
    <w:name w:val="ssss Char"/>
    <w:qFormat/>
    <w:uiPriority w:val="0"/>
    <w:rPr>
      <w:rFonts w:eastAsia="宋体"/>
      <w:kern w:val="2"/>
      <w:sz w:val="24"/>
      <w:szCs w:val="24"/>
      <w:lang w:val="en-US" w:eastAsia="zh-CN" w:bidi="ar-SA"/>
    </w:rPr>
  </w:style>
  <w:style w:type="character" w:customStyle="1" w:styleId="59">
    <w:name w:val="批注框文本 Char"/>
    <w:link w:val="22"/>
    <w:semiHidden/>
    <w:qFormat/>
    <w:uiPriority w:val="0"/>
    <w:rPr>
      <w:sz w:val="18"/>
      <w:szCs w:val="18"/>
    </w:rPr>
  </w:style>
  <w:style w:type="character" w:customStyle="1" w:styleId="60">
    <w:name w:val="正文缩进 Char"/>
    <w:link w:val="11"/>
    <w:qFormat/>
    <w:uiPriority w:val="0"/>
    <w:rPr>
      <w:rFonts w:ascii="Times New Roman" w:hAnsi="Times New Roman" w:eastAsia="宋体" w:cs="Times New Roman"/>
      <w:kern w:val="0"/>
      <w:sz w:val="20"/>
      <w:szCs w:val="20"/>
    </w:rPr>
  </w:style>
  <w:style w:type="character" w:customStyle="1" w:styleId="61">
    <w:name w:val="正文文本缩进 3 Char"/>
    <w:link w:val="27"/>
    <w:qFormat/>
    <w:uiPriority w:val="0"/>
    <w:rPr>
      <w:rFonts w:ascii="Times New Roman" w:hAnsi="Times New Roman" w:eastAsia="宋体" w:cs="Times New Roman"/>
      <w:sz w:val="16"/>
      <w:szCs w:val="16"/>
    </w:rPr>
  </w:style>
  <w:style w:type="character" w:customStyle="1" w:styleId="62">
    <w:name w:val="正文文本缩进 2 Char"/>
    <w:link w:val="21"/>
    <w:qFormat/>
    <w:uiPriority w:val="0"/>
    <w:rPr>
      <w:rFonts w:ascii="Times New Roman" w:hAnsi="Times New Roman" w:eastAsia="仿宋_GB2312" w:cs="Times New Roman"/>
      <w:sz w:val="28"/>
      <w:szCs w:val="20"/>
    </w:rPr>
  </w:style>
  <w:style w:type="character" w:customStyle="1" w:styleId="63">
    <w:name w:val="日期 Char"/>
    <w:link w:val="20"/>
    <w:qFormat/>
    <w:uiPriority w:val="0"/>
    <w:rPr>
      <w:rFonts w:ascii="Times New Roman" w:hAnsi="Times New Roman" w:eastAsia="宋体" w:cs="Times New Roman"/>
      <w:sz w:val="24"/>
      <w:szCs w:val="20"/>
    </w:rPr>
  </w:style>
  <w:style w:type="character" w:customStyle="1" w:styleId="64">
    <w:name w:val="页脚 Char"/>
    <w:link w:val="23"/>
    <w:qFormat/>
    <w:uiPriority w:val="99"/>
    <w:rPr>
      <w:rFonts w:ascii="Times New Roman" w:hAnsi="Times New Roman" w:eastAsia="宋体" w:cs="Times New Roman"/>
      <w:sz w:val="18"/>
      <w:szCs w:val="20"/>
    </w:rPr>
  </w:style>
  <w:style w:type="character" w:customStyle="1" w:styleId="65">
    <w:name w:val="标题 9 Char"/>
    <w:link w:val="14"/>
    <w:qFormat/>
    <w:uiPriority w:val="0"/>
    <w:rPr>
      <w:rFonts w:ascii="Arial" w:hAnsi="Arial" w:eastAsia="黑体" w:cs="Times New Roman"/>
      <w:sz w:val="24"/>
      <w:szCs w:val="21"/>
    </w:rPr>
  </w:style>
  <w:style w:type="character" w:customStyle="1" w:styleId="66">
    <w:name w:val="正文文本 2 Char"/>
    <w:link w:val="28"/>
    <w:qFormat/>
    <w:uiPriority w:val="0"/>
    <w:rPr>
      <w:rFonts w:ascii="Times New Roman" w:hAnsi="Times New Roman" w:eastAsia="宋体" w:cs="Times New Roman"/>
      <w:b/>
      <w:bCs/>
      <w:sz w:val="18"/>
      <w:szCs w:val="24"/>
    </w:rPr>
  </w:style>
  <w:style w:type="character" w:customStyle="1" w:styleId="67">
    <w:name w:val="纯文本 Char"/>
    <w:link w:val="19"/>
    <w:qFormat/>
    <w:uiPriority w:val="0"/>
    <w:rPr>
      <w:rFonts w:ascii="宋体" w:hAnsi="Courier New" w:eastAsia="宋体" w:cs="Courier New"/>
      <w:szCs w:val="21"/>
    </w:rPr>
  </w:style>
  <w:style w:type="character" w:customStyle="1" w:styleId="68">
    <w:name w:val="文档结构图 Char"/>
    <w:link w:val="15"/>
    <w:semiHidden/>
    <w:qFormat/>
    <w:uiPriority w:val="0"/>
    <w:rPr>
      <w:szCs w:val="24"/>
      <w:shd w:val="clear" w:color="auto" w:fill="000080"/>
    </w:rPr>
  </w:style>
  <w:style w:type="character" w:customStyle="1" w:styleId="69">
    <w:name w:val="页眉 Char"/>
    <w:link w:val="24"/>
    <w:qFormat/>
    <w:uiPriority w:val="0"/>
    <w:rPr>
      <w:rFonts w:ascii="Times New Roman" w:hAnsi="Times New Roman" w:eastAsia="宋体" w:cs="Times New Roman"/>
      <w:sz w:val="18"/>
      <w:szCs w:val="18"/>
    </w:rPr>
  </w:style>
  <w:style w:type="character" w:customStyle="1" w:styleId="70">
    <w:name w:val="正文文本 3 Char"/>
    <w:link w:val="17"/>
    <w:qFormat/>
    <w:uiPriority w:val="0"/>
    <w:rPr>
      <w:rFonts w:ascii="Times New Roman" w:hAnsi="Times New Roman" w:eastAsia="宋体" w:cs="Times New Roman"/>
      <w:sz w:val="16"/>
      <w:szCs w:val="16"/>
    </w:rPr>
  </w:style>
  <w:style w:type="character" w:customStyle="1" w:styleId="71">
    <w:name w:val="正文文本缩进 Char"/>
    <w:link w:val="3"/>
    <w:qFormat/>
    <w:uiPriority w:val="0"/>
    <w:rPr>
      <w:rFonts w:ascii="仿宋_GB2312" w:hAnsi="Times New Roman" w:eastAsia="仿宋_GB2312" w:cs="Times New Roman"/>
      <w:sz w:val="28"/>
      <w:szCs w:val="20"/>
    </w:rPr>
  </w:style>
  <w:style w:type="character" w:customStyle="1" w:styleId="72">
    <w:name w:val="标题 4 Char1"/>
    <w:qFormat/>
    <w:uiPriority w:val="0"/>
    <w:rPr>
      <w:rFonts w:ascii="Arial" w:hAnsi="Arial" w:eastAsia="黑体"/>
      <w:b/>
      <w:bCs/>
      <w:kern w:val="2"/>
      <w:sz w:val="28"/>
      <w:szCs w:val="28"/>
      <w:lang w:val="en-US" w:eastAsia="zh-CN" w:bidi="ar-SA"/>
    </w:rPr>
  </w:style>
  <w:style w:type="character" w:customStyle="1" w:styleId="73">
    <w:name w:val="标题 6 Char"/>
    <w:link w:val="10"/>
    <w:qFormat/>
    <w:uiPriority w:val="0"/>
    <w:rPr>
      <w:rFonts w:ascii="Times New Roman" w:hAnsi="Times New Roman" w:eastAsia="宋体" w:cs="Times New Roman"/>
      <w:b/>
      <w:sz w:val="44"/>
      <w:szCs w:val="20"/>
    </w:rPr>
  </w:style>
  <w:style w:type="character" w:customStyle="1" w:styleId="74">
    <w:name w:val="point_normal1"/>
    <w:qFormat/>
    <w:uiPriority w:val="0"/>
    <w:rPr>
      <w:rFonts w:hint="default" w:ascii="Arial" w:hAnsi="Arial" w:cs="Arial"/>
      <w:sz w:val="16"/>
      <w:szCs w:val="16"/>
    </w:rPr>
  </w:style>
  <w:style w:type="character" w:customStyle="1" w:styleId="75">
    <w:name w:val="标题 2 Char"/>
    <w:link w:val="6"/>
    <w:qFormat/>
    <w:uiPriority w:val="0"/>
    <w:rPr>
      <w:rFonts w:ascii="Arial" w:hAnsi="Arial" w:eastAsia="黑体" w:cs="Times New Roman"/>
      <w:b/>
      <w:bCs/>
      <w:sz w:val="32"/>
      <w:szCs w:val="32"/>
    </w:rPr>
  </w:style>
  <w:style w:type="character" w:customStyle="1" w:styleId="76">
    <w:name w:val="FA正文 Char"/>
    <w:link w:val="77"/>
    <w:qFormat/>
    <w:uiPriority w:val="0"/>
    <w:rPr>
      <w:rFonts w:ascii="宋体" w:hAnsi="宋体" w:eastAsia="宋体" w:cs="Times New Roman"/>
      <w:sz w:val="28"/>
      <w:szCs w:val="28"/>
    </w:rPr>
  </w:style>
  <w:style w:type="paragraph" w:customStyle="1" w:styleId="77">
    <w:name w:val="FA正文"/>
    <w:basedOn w:val="1"/>
    <w:link w:val="76"/>
    <w:qFormat/>
    <w:uiPriority w:val="0"/>
    <w:pPr>
      <w:tabs>
        <w:tab w:val="left" w:pos="3375"/>
      </w:tabs>
      <w:spacing w:line="440" w:lineRule="atLeast"/>
      <w:ind w:firstLine="538" w:firstLineChars="192"/>
    </w:pPr>
    <w:rPr>
      <w:rFonts w:ascii="宋体" w:hAnsi="宋体"/>
      <w:sz w:val="28"/>
      <w:szCs w:val="28"/>
    </w:rPr>
  </w:style>
  <w:style w:type="character" w:customStyle="1" w:styleId="78">
    <w:name w:val="标题 5 Char"/>
    <w:link w:val="9"/>
    <w:qFormat/>
    <w:uiPriority w:val="0"/>
    <w:rPr>
      <w:rFonts w:ascii="Times New Roman" w:hAnsi="Times New Roman" w:eastAsia="宋体" w:cs="Times New Roman"/>
      <w:b/>
      <w:bCs/>
      <w:sz w:val="28"/>
      <w:szCs w:val="28"/>
    </w:rPr>
  </w:style>
  <w:style w:type="paragraph" w:customStyle="1" w:styleId="79">
    <w:name w:val="Char"/>
    <w:basedOn w:val="1"/>
    <w:qFormat/>
    <w:uiPriority w:val="0"/>
    <w:rPr>
      <w:rFonts w:ascii="Tahoma" w:hAnsi="Tahoma"/>
      <w:sz w:val="24"/>
      <w:szCs w:val="20"/>
    </w:rPr>
  </w:style>
  <w:style w:type="paragraph" w:customStyle="1" w:styleId="80">
    <w:name w:val="Char Char Char Char"/>
    <w:basedOn w:val="1"/>
    <w:qFormat/>
    <w:uiPriority w:val="0"/>
    <w:rPr>
      <w:rFonts w:ascii="Tahoma" w:hAnsi="Tahoma"/>
      <w:sz w:val="24"/>
      <w:szCs w:val="20"/>
    </w:rPr>
  </w:style>
  <w:style w:type="paragraph" w:customStyle="1" w:styleId="81">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Char Char Char Char1"/>
    <w:basedOn w:val="1"/>
    <w:qFormat/>
    <w:uiPriority w:val="0"/>
    <w:rPr>
      <w:rFonts w:ascii="Tahoma" w:hAnsi="Tahoma"/>
      <w:sz w:val="24"/>
      <w:szCs w:val="20"/>
    </w:rPr>
  </w:style>
  <w:style w:type="paragraph" w:customStyle="1" w:styleId="83">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表格"/>
    <w:basedOn w:val="1"/>
    <w:qFormat/>
    <w:uiPriority w:val="0"/>
    <w:rPr>
      <w:rFonts w:ascii="Arial" w:hAnsi="Arial"/>
      <w:sz w:val="24"/>
    </w:rPr>
  </w:style>
  <w:style w:type="paragraph" w:customStyle="1" w:styleId="85">
    <w:name w:val="Char Char Char Char Char Char Char Char Char Char Char Char Char"/>
    <w:basedOn w:val="1"/>
    <w:qFormat/>
    <w:uiPriority w:val="0"/>
  </w:style>
  <w:style w:type="paragraph" w:customStyle="1" w:styleId="86">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7">
    <w:name w:val="Char Char Char Char Char Char Char Char Char Char"/>
    <w:basedOn w:val="1"/>
    <w:qFormat/>
    <w:uiPriority w:val="0"/>
    <w:rPr>
      <w:rFonts w:ascii="Tahoma" w:hAnsi="Tahoma"/>
      <w:sz w:val="24"/>
      <w:szCs w:val="20"/>
    </w:rPr>
  </w:style>
  <w:style w:type="paragraph" w:customStyle="1" w:styleId="88">
    <w:name w:val="Char Char Char"/>
    <w:basedOn w:val="1"/>
    <w:qFormat/>
    <w:uiPriority w:val="0"/>
    <w:rPr>
      <w:rFonts w:ascii="Tahoma" w:hAnsi="Tahoma"/>
      <w:sz w:val="24"/>
      <w:szCs w:val="20"/>
    </w:rPr>
  </w:style>
  <w:style w:type="paragraph" w:customStyle="1" w:styleId="8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标题-----3"/>
    <w:basedOn w:val="7"/>
    <w:qFormat/>
    <w:uiPriority w:val="0"/>
    <w:pPr>
      <w:spacing w:before="0" w:after="0" w:line="240" w:lineRule="auto"/>
      <w:outlineLvl w:val="0"/>
    </w:pPr>
    <w:rPr>
      <w:rFonts w:ascii="宋体" w:hAnsi="宋体"/>
      <w:b w:val="0"/>
      <w:bCs w:val="0"/>
      <w:sz w:val="28"/>
      <w:szCs w:val="28"/>
    </w:rPr>
  </w:style>
  <w:style w:type="paragraph" w:customStyle="1" w:styleId="9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Char1"/>
    <w:basedOn w:val="1"/>
    <w:qFormat/>
    <w:uiPriority w:val="0"/>
    <w:pPr>
      <w:tabs>
        <w:tab w:val="left" w:pos="360"/>
      </w:tabs>
    </w:pPr>
    <w:rPr>
      <w:sz w:val="24"/>
    </w:rPr>
  </w:style>
  <w:style w:type="paragraph" w:customStyle="1" w:styleId="93">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94">
    <w:name w:val="正文样式1"/>
    <w:basedOn w:val="1"/>
    <w:qFormat/>
    <w:uiPriority w:val="0"/>
    <w:pPr>
      <w:spacing w:before="120" w:after="120" w:line="360" w:lineRule="auto"/>
      <w:ind w:firstLine="480" w:firstLineChars="200"/>
    </w:pPr>
    <w:rPr>
      <w:sz w:val="24"/>
      <w:szCs w:val="20"/>
    </w:rPr>
  </w:style>
  <w:style w:type="paragraph" w:customStyle="1" w:styleId="95">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96">
    <w:name w:val="样式 样式 ssss + 宋体 五号 + 首行缩进:  2 字符"/>
    <w:basedOn w:val="97"/>
    <w:qFormat/>
    <w:uiPriority w:val="0"/>
    <w:pPr>
      <w:ind w:firstLine="480"/>
    </w:pPr>
  </w:style>
  <w:style w:type="paragraph" w:customStyle="1" w:styleId="97">
    <w:name w:val="样式 ssss + 宋体 五号"/>
    <w:basedOn w:val="43"/>
    <w:qFormat/>
    <w:uiPriority w:val="0"/>
    <w:pPr>
      <w:ind w:firstLine="420"/>
    </w:pPr>
    <w:rPr>
      <w:rFonts w:ascii="宋体" w:hAnsi="宋体" w:cs="宋体"/>
      <w:szCs w:val="20"/>
    </w:rPr>
  </w:style>
  <w:style w:type="paragraph" w:customStyle="1" w:styleId="98">
    <w:name w:val="样式 ssss + 居中"/>
    <w:basedOn w:val="43"/>
    <w:qFormat/>
    <w:uiPriority w:val="0"/>
    <w:pPr>
      <w:jc w:val="center"/>
    </w:pPr>
    <w:rPr>
      <w:rFonts w:cs="宋体"/>
      <w:szCs w:val="20"/>
    </w:rPr>
  </w:style>
  <w:style w:type="paragraph" w:customStyle="1" w:styleId="99">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103">
    <w:name w:val="Char Char Char Char Char Char Char Char Char Char Char Char Char1"/>
    <w:basedOn w:val="1"/>
    <w:qFormat/>
    <w:uiPriority w:val="0"/>
    <w:rPr>
      <w:sz w:val="24"/>
    </w:rPr>
  </w:style>
  <w:style w:type="paragraph" w:customStyle="1" w:styleId="104">
    <w:name w:val="标题------4"/>
    <w:basedOn w:val="8"/>
    <w:qFormat/>
    <w:uiPriority w:val="0"/>
    <w:pPr>
      <w:keepLines/>
      <w:spacing w:line="360" w:lineRule="auto"/>
      <w:ind w:left="960" w:hanging="420"/>
      <w:jc w:val="both"/>
    </w:pPr>
    <w:rPr>
      <w:rFonts w:ascii="仿宋_GB2312" w:hAnsi="宋体" w:eastAsia="仿宋_GB2312" w:cs="仿宋_GB2312"/>
      <w:b/>
      <w:kern w:val="0"/>
      <w:sz w:val="28"/>
      <w:szCs w:val="28"/>
      <w:lang w:val="zh-CN"/>
    </w:rPr>
  </w:style>
  <w:style w:type="paragraph" w:customStyle="1" w:styleId="105">
    <w:name w:val="Header2"/>
    <w:basedOn w:val="1"/>
    <w:qFormat/>
    <w:uiPriority w:val="0"/>
    <w:pPr>
      <w:tabs>
        <w:tab w:val="left" w:pos="480"/>
      </w:tabs>
      <w:ind w:left="480" w:hanging="480"/>
    </w:pPr>
  </w:style>
  <w:style w:type="paragraph" w:customStyle="1" w:styleId="106">
    <w:name w:val="Char Char 字元 字元 字元 Char Char Char Char"/>
    <w:basedOn w:val="1"/>
    <w:qFormat/>
    <w:uiPriority w:val="0"/>
    <w:pPr>
      <w:adjustRightInd w:val="0"/>
      <w:spacing w:line="360" w:lineRule="auto"/>
    </w:pPr>
    <w:rPr>
      <w:kern w:val="0"/>
      <w:sz w:val="24"/>
      <w:szCs w:val="20"/>
    </w:rPr>
  </w:style>
  <w:style w:type="paragraph" w:customStyle="1" w:styleId="107">
    <w:name w:val="TOC 标题1"/>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108">
    <w:name w:val="List Paragraph"/>
    <w:basedOn w:val="1"/>
    <w:qFormat/>
    <w:uiPriority w:val="99"/>
    <w:pPr>
      <w:ind w:firstLine="420" w:firstLineChars="200"/>
    </w:pPr>
  </w:style>
  <w:style w:type="paragraph" w:customStyle="1" w:styleId="109">
    <w:name w:val="正文缩进4格"/>
    <w:basedOn w:val="50"/>
    <w:qFormat/>
    <w:uiPriority w:val="0"/>
    <w:pPr>
      <w:ind w:left="2" w:firstLine="692" w:firstLineChars="192"/>
    </w:pPr>
    <w:rPr>
      <w:b/>
      <w:sz w:val="36"/>
      <w:szCs w:val="36"/>
    </w:rPr>
  </w:style>
  <w:style w:type="paragraph" w:customStyle="1" w:styleId="110">
    <w:name w:val="正文缩进6格"/>
    <w:basedOn w:val="109"/>
    <w:qFormat/>
    <w:uiPriority w:val="0"/>
    <w:pPr>
      <w:ind w:left="1758" w:leftChars="854"/>
    </w:pPr>
  </w:style>
  <w:style w:type="character" w:customStyle="1" w:styleId="111">
    <w:name w:val="批注文字 Char"/>
    <w:basedOn w:val="34"/>
    <w:link w:val="16"/>
    <w:semiHidden/>
    <w:qFormat/>
    <w:uiPriority w:val="99"/>
    <w:rPr>
      <w:kern w:val="2"/>
      <w:sz w:val="21"/>
      <w:szCs w:val="24"/>
    </w:rPr>
  </w:style>
  <w:style w:type="character" w:customStyle="1" w:styleId="112">
    <w:name w:val="批注主题 Char"/>
    <w:basedOn w:val="111"/>
    <w:link w:val="30"/>
    <w:semiHidden/>
    <w:qFormat/>
    <w:uiPriority w:val="99"/>
    <w:rPr>
      <w:b/>
      <w:bCs/>
      <w:kern w:val="2"/>
      <w:sz w:val="21"/>
      <w:szCs w:val="24"/>
    </w:rPr>
  </w:style>
  <w:style w:type="character" w:customStyle="1" w:styleId="113">
    <w:name w:val="正文首行缩进 2 Char"/>
    <w:basedOn w:val="71"/>
    <w:link w:val="2"/>
    <w:semiHidden/>
    <w:qFormat/>
    <w:uiPriority w:val="99"/>
    <w:rPr>
      <w:kern w:val="2"/>
      <w:sz w:val="21"/>
      <w:szCs w:val="24"/>
    </w:rPr>
  </w:style>
  <w:style w:type="paragraph" w:customStyle="1" w:styleId="114">
    <w:name w:val="纯文本2"/>
    <w:basedOn w:val="1"/>
    <w:qFormat/>
    <w:uiPriority w:val="0"/>
    <w:rPr>
      <w:rFonts w:ascii="宋体" w:hAnsi="Courier New"/>
      <w:sz w:val="28"/>
    </w:rPr>
  </w:style>
  <w:style w:type="paragraph" w:customStyle="1" w:styleId="115">
    <w:name w:val="样式 标题 2 + 黑色 行距: 1.5 倍行距"/>
    <w:basedOn w:val="6"/>
    <w:qFormat/>
    <w:uiPriority w:val="99"/>
    <w:pPr>
      <w:spacing w:line="360" w:lineRule="auto"/>
      <w:ind w:firstLine="3502" w:firstLineChars="1246"/>
    </w:pPr>
    <w:rPr>
      <w:rFonts w:ascii="楷体_GB2312" w:hAnsi="宋体" w:eastAsia="楷体_GB2312" w:cs="仿宋_GB2312"/>
      <w:sz w:val="28"/>
      <w:szCs w:val="28"/>
    </w:rPr>
  </w:style>
  <w:style w:type="paragraph" w:customStyle="1" w:styleId="116">
    <w:name w:val="ZX-正文"/>
    <w:qFormat/>
    <w:uiPriority w:val="0"/>
    <w:pPr>
      <w:spacing w:beforeLines="50"/>
      <w:ind w:firstLine="480" w:firstLineChars="200"/>
    </w:pPr>
    <w:rPr>
      <w:rFonts w:ascii="Trebuchet MS" w:hAnsi="FuturaA Bk BT" w:eastAsia="宋体" w:cs="Times New Roman"/>
      <w:sz w:val="24"/>
      <w:lang w:val="en-US" w:eastAsia="zh-CN" w:bidi="ar-SA"/>
    </w:rPr>
  </w:style>
  <w:style w:type="paragraph" w:customStyle="1" w:styleId="117">
    <w:name w:val="正文A"/>
    <w:qFormat/>
    <w:uiPriority w:val="0"/>
    <w:pPr>
      <w:tabs>
        <w:tab w:val="left" w:pos="0"/>
      </w:tabs>
      <w:adjustRightInd w:val="0"/>
      <w:spacing w:before="120" w:line="360" w:lineRule="auto"/>
      <w:ind w:firstLine="480" w:firstLineChars="200"/>
      <w:jc w:val="both"/>
    </w:pPr>
    <w:rPr>
      <w:rFonts w:ascii="Times New Roman" w:hAnsi="Times New Roman" w:eastAsia="宋体" w:cs="Times New Roman"/>
      <w:snapToGrid w:val="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20FCC-941B-4CFD-9CA9-62048A8F27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4039</Words>
  <Characters>23028</Characters>
  <Lines>191</Lines>
  <Paragraphs>54</Paragraphs>
  <TotalTime>0</TotalTime>
  <ScaleCrop>false</ScaleCrop>
  <LinksUpToDate>false</LinksUpToDate>
  <CharactersWithSpaces>27013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2020-01-07T02:57:00Z</dcterms:created>
  <dc:creator>User</dc:creator>
  <cp:lastModifiedBy>Qhf</cp:lastModifiedBy>
  <cp:lastPrinted>2019-05-10T07:58:00Z</cp:lastPrinted>
  <dcterms:modified xsi:type="dcterms:W3CDTF">2020-10-11T08:27:45Z</dcterms:modified>
  <dc:title>南通市Ⅹ项目</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