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left"/>
        <w:rPr>
          <w:rFonts w:hint="eastAsia" w:ascii="楷体" w:hAnsi="楷体" w:eastAsia="楷体"/>
          <w:b/>
          <w:bCs/>
          <w:color w:val="auto"/>
          <w:sz w:val="44"/>
          <w:szCs w:val="44"/>
          <w:highlight w:val="none"/>
        </w:rPr>
      </w:pPr>
    </w:p>
    <w:p>
      <w:pPr>
        <w:spacing w:line="300" w:lineRule="auto"/>
        <w:jc w:val="center"/>
        <w:rPr>
          <w:rFonts w:ascii="楷体" w:hAnsi="楷体" w:eastAsia="楷体"/>
          <w:b/>
          <w:bCs/>
          <w:color w:val="auto"/>
          <w:sz w:val="36"/>
          <w:szCs w:val="36"/>
          <w:highlight w:val="none"/>
        </w:rPr>
      </w:pPr>
      <w:bookmarkStart w:id="0" w:name="_Hlk38442364"/>
    </w:p>
    <w:bookmarkEnd w:id="0"/>
    <w:p>
      <w:pPr>
        <w:keepNext w:val="0"/>
        <w:keepLines w:val="0"/>
        <w:pageBreakBefore w:val="0"/>
        <w:widowControl w:val="0"/>
        <w:kinsoku/>
        <w:wordWrap/>
        <w:overflowPunct/>
        <w:topLinePunct w:val="0"/>
        <w:autoSpaceDE/>
        <w:autoSpaceDN/>
        <w:bidi w:val="0"/>
        <w:adjustRightInd/>
        <w:snapToGrid/>
        <w:spacing w:line="360" w:lineRule="auto"/>
        <w:ind w:left="-280" w:leftChars="-100" w:right="-280" w:rightChars="-100"/>
        <w:jc w:val="center"/>
        <w:textAlignment w:val="auto"/>
        <w:rPr>
          <w:rFonts w:hint="eastAsia" w:ascii="黑体" w:hAnsi="黑体" w:eastAsia="黑体" w:cs="黑体"/>
          <w:b w:val="0"/>
          <w:bCs w:val="0"/>
          <w:color w:val="auto"/>
          <w:sz w:val="36"/>
          <w:szCs w:val="36"/>
          <w:highlight w:val="none"/>
        </w:rPr>
      </w:pPr>
      <w:r>
        <w:rPr>
          <w:rFonts w:hint="eastAsia" w:ascii="黑体" w:hAnsi="黑体" w:eastAsia="黑体" w:cs="黑体"/>
          <w:b w:val="0"/>
          <w:bCs w:val="0"/>
          <w:color w:val="auto"/>
          <w:sz w:val="36"/>
          <w:szCs w:val="36"/>
          <w:highlight w:val="none"/>
          <w:lang w:eastAsia="zh-CN"/>
        </w:rPr>
        <w:t>南通市内河干线航道文物资源区域评估</w:t>
      </w:r>
      <w:r>
        <w:rPr>
          <w:rFonts w:hint="eastAsia" w:ascii="黑体" w:hAnsi="黑体" w:eastAsia="黑体" w:cs="黑体"/>
          <w:b w:val="0"/>
          <w:bCs w:val="0"/>
          <w:color w:val="auto"/>
          <w:sz w:val="36"/>
          <w:szCs w:val="36"/>
          <w:highlight w:val="none"/>
          <w:u w:val="none"/>
          <w:lang w:eastAsia="zh-CN"/>
        </w:rPr>
        <w:t>项目NTGX-WWPG1标段</w:t>
      </w:r>
    </w:p>
    <w:p>
      <w:pPr>
        <w:rPr>
          <w:rFonts w:hint="eastAsia" w:ascii="黑体" w:hAnsi="黑体" w:eastAsia="黑体" w:cs="黑体"/>
          <w:b w:val="0"/>
          <w:bCs w:val="0"/>
          <w:color w:val="auto"/>
          <w:highlight w:val="none"/>
        </w:rPr>
      </w:pPr>
    </w:p>
    <w:p>
      <w:pPr>
        <w:rPr>
          <w:rFonts w:hint="eastAsia" w:ascii="黑体" w:hAnsi="黑体" w:eastAsia="黑体" w:cs="黑体"/>
          <w:b w:val="0"/>
          <w:bCs w:val="0"/>
          <w:color w:val="auto"/>
          <w:highlight w:val="none"/>
        </w:rPr>
      </w:pPr>
    </w:p>
    <w:p>
      <w:pPr>
        <w:rPr>
          <w:rFonts w:hint="eastAsia" w:ascii="黑体" w:hAnsi="黑体" w:eastAsia="黑体" w:cs="黑体"/>
          <w:b w:val="0"/>
          <w:bCs w:val="0"/>
          <w:color w:val="auto"/>
          <w:highlight w:val="none"/>
        </w:rPr>
      </w:pPr>
    </w:p>
    <w:p>
      <w:pPr>
        <w:rPr>
          <w:rFonts w:hint="eastAsia" w:ascii="黑体" w:hAnsi="黑体" w:eastAsia="黑体" w:cs="黑体"/>
          <w:b w:val="0"/>
          <w:bCs w:val="0"/>
          <w:color w:val="auto"/>
          <w:highlight w:val="none"/>
        </w:rPr>
      </w:pPr>
    </w:p>
    <w:p>
      <w:pPr>
        <w:spacing w:line="1100" w:lineRule="exact"/>
        <w:jc w:val="center"/>
        <w:rPr>
          <w:rFonts w:hint="eastAsia" w:ascii="黑体" w:hAnsi="黑体" w:eastAsia="黑体" w:cs="黑体"/>
          <w:b w:val="0"/>
          <w:bCs w:val="0"/>
          <w:color w:val="auto"/>
          <w:kern w:val="72"/>
          <w:sz w:val="84"/>
          <w:szCs w:val="84"/>
          <w:highlight w:val="none"/>
        </w:rPr>
      </w:pPr>
      <w:r>
        <w:rPr>
          <w:rFonts w:hint="eastAsia" w:ascii="黑体" w:hAnsi="黑体" w:eastAsia="黑体" w:cs="黑体"/>
          <w:b w:val="0"/>
          <w:bCs w:val="0"/>
          <w:color w:val="auto"/>
          <w:kern w:val="72"/>
          <w:sz w:val="84"/>
          <w:szCs w:val="84"/>
          <w:highlight w:val="none"/>
        </w:rPr>
        <w:t>招 标 文 件</w:t>
      </w:r>
    </w:p>
    <w:p>
      <w:pPr>
        <w:rPr>
          <w:rFonts w:hint="eastAsia" w:ascii="黑体" w:hAnsi="黑体" w:eastAsia="黑体" w:cs="黑体"/>
          <w:b w:val="0"/>
          <w:bCs w:val="0"/>
          <w:color w:val="auto"/>
          <w:highlight w:val="none"/>
        </w:rPr>
      </w:pPr>
    </w:p>
    <w:p>
      <w:pPr>
        <w:rPr>
          <w:rFonts w:hint="eastAsia" w:ascii="黑体" w:hAnsi="黑体" w:eastAsia="黑体" w:cs="黑体"/>
          <w:b w:val="0"/>
          <w:bCs w:val="0"/>
          <w:color w:val="auto"/>
          <w:highlight w:val="none"/>
        </w:rPr>
      </w:pPr>
    </w:p>
    <w:p>
      <w:pPr>
        <w:rPr>
          <w:rFonts w:hint="eastAsia" w:ascii="黑体" w:hAnsi="黑体" w:eastAsia="黑体" w:cs="黑体"/>
          <w:b w:val="0"/>
          <w:bCs w:val="0"/>
          <w:color w:val="auto"/>
          <w:highlight w:val="none"/>
        </w:rPr>
      </w:pPr>
    </w:p>
    <w:p>
      <w:pPr>
        <w:rPr>
          <w:rFonts w:hint="eastAsia" w:ascii="黑体" w:hAnsi="黑体" w:eastAsia="黑体" w:cs="黑体"/>
          <w:b w:val="0"/>
          <w:bCs w:val="0"/>
          <w:color w:val="auto"/>
          <w:highlight w:val="none"/>
        </w:rPr>
      </w:pPr>
    </w:p>
    <w:p>
      <w:pPr>
        <w:rPr>
          <w:rFonts w:hint="eastAsia" w:ascii="黑体" w:hAnsi="黑体" w:eastAsia="黑体" w:cs="黑体"/>
          <w:b w:val="0"/>
          <w:bCs w:val="0"/>
          <w:color w:val="auto"/>
          <w:highlight w:val="none"/>
        </w:rPr>
      </w:pPr>
    </w:p>
    <w:tbl>
      <w:tblPr>
        <w:tblStyle w:val="30"/>
        <w:tblW w:w="0" w:type="auto"/>
        <w:jc w:val="center"/>
        <w:tblLayout w:type="fixed"/>
        <w:tblCellMar>
          <w:top w:w="0" w:type="dxa"/>
          <w:left w:w="108" w:type="dxa"/>
          <w:bottom w:w="0" w:type="dxa"/>
          <w:right w:w="108" w:type="dxa"/>
        </w:tblCellMar>
      </w:tblPr>
      <w:tblGrid>
        <w:gridCol w:w="1495"/>
        <w:gridCol w:w="491"/>
        <w:gridCol w:w="4993"/>
      </w:tblGrid>
      <w:tr>
        <w:trPr>
          <w:jc w:val="center"/>
        </w:trPr>
        <w:tc>
          <w:tcPr>
            <w:tcW w:w="1495" w:type="dxa"/>
            <w:noWrap w:val="0"/>
            <w:vAlign w:val="top"/>
          </w:tcPr>
          <w:p>
            <w:pPr>
              <w:jc w:val="distribute"/>
              <w:rPr>
                <w:rFonts w:hint="eastAsia" w:ascii="黑体" w:hAnsi="黑体" w:eastAsia="黑体" w:cs="黑体"/>
                <w:b w:val="0"/>
                <w:bCs w:val="0"/>
                <w:color w:val="auto"/>
                <w:kern w:val="0"/>
                <w:sz w:val="28"/>
                <w:szCs w:val="28"/>
                <w:highlight w:val="none"/>
              </w:rPr>
            </w:pPr>
            <w:r>
              <w:rPr>
                <w:rFonts w:hint="eastAsia" w:ascii="黑体" w:hAnsi="黑体" w:eastAsia="黑体" w:cs="黑体"/>
                <w:b w:val="0"/>
                <w:bCs w:val="0"/>
                <w:color w:val="auto"/>
                <w:kern w:val="0"/>
                <w:sz w:val="28"/>
                <w:szCs w:val="28"/>
                <w:highlight w:val="none"/>
              </w:rPr>
              <w:t>招标人</w:t>
            </w:r>
          </w:p>
        </w:tc>
        <w:tc>
          <w:tcPr>
            <w:tcW w:w="491" w:type="dxa"/>
            <w:noWrap w:val="0"/>
            <w:vAlign w:val="top"/>
          </w:tcPr>
          <w:p>
            <w:pPr>
              <w:rPr>
                <w:rFonts w:hint="eastAsia" w:ascii="黑体" w:hAnsi="黑体" w:eastAsia="黑体" w:cs="黑体"/>
                <w:b w:val="0"/>
                <w:bCs w:val="0"/>
                <w:color w:val="auto"/>
                <w:kern w:val="0"/>
                <w:sz w:val="28"/>
                <w:szCs w:val="28"/>
                <w:highlight w:val="none"/>
              </w:rPr>
            </w:pPr>
            <w:r>
              <w:rPr>
                <w:rFonts w:hint="eastAsia" w:ascii="黑体" w:hAnsi="黑体" w:eastAsia="黑体" w:cs="黑体"/>
                <w:b w:val="0"/>
                <w:bCs w:val="0"/>
                <w:color w:val="auto"/>
                <w:kern w:val="0"/>
                <w:sz w:val="28"/>
                <w:szCs w:val="28"/>
                <w:highlight w:val="none"/>
              </w:rPr>
              <w:t>：</w:t>
            </w:r>
          </w:p>
        </w:tc>
        <w:tc>
          <w:tcPr>
            <w:tcW w:w="4993" w:type="dxa"/>
            <w:noWrap w:val="0"/>
            <w:vAlign w:val="top"/>
          </w:tcPr>
          <w:p>
            <w:pPr>
              <w:keepNext w:val="0"/>
              <w:keepLines w:val="0"/>
              <w:pageBreakBefore w:val="0"/>
              <w:widowControl w:val="0"/>
              <w:kinsoku/>
              <w:wordWrap/>
              <w:overflowPunct/>
              <w:topLinePunct w:val="0"/>
              <w:autoSpaceDE/>
              <w:autoSpaceDN/>
              <w:bidi w:val="0"/>
              <w:adjustRightInd/>
              <w:snapToGrid/>
              <w:spacing w:line="500" w:lineRule="exact"/>
              <w:jc w:val="distribute"/>
              <w:textAlignment w:val="auto"/>
              <w:rPr>
                <w:rFonts w:hint="eastAsia" w:ascii="黑体" w:hAnsi="黑体" w:eastAsia="黑体" w:cs="黑体"/>
                <w:b w:val="0"/>
                <w:bCs w:val="0"/>
                <w:color w:val="auto"/>
                <w:sz w:val="28"/>
                <w:szCs w:val="28"/>
                <w:highlight w:val="none"/>
                <w:lang w:eastAsia="zh-CN"/>
              </w:rPr>
            </w:pPr>
            <w:r>
              <w:rPr>
                <w:rFonts w:hint="eastAsia" w:ascii="黑体" w:hAnsi="黑体" w:eastAsia="黑体" w:cs="黑体"/>
                <w:b w:val="0"/>
                <w:bCs w:val="0"/>
                <w:color w:val="auto"/>
                <w:kern w:val="0"/>
                <w:sz w:val="28"/>
                <w:szCs w:val="28"/>
                <w:highlight w:val="none"/>
                <w:lang w:eastAsia="zh-CN"/>
              </w:rPr>
              <w:t>南通市江海河联运项目建设指挥部</w:t>
            </w:r>
          </w:p>
        </w:tc>
      </w:tr>
      <w:tr>
        <w:tblPrEx>
          <w:tblCellMar>
            <w:top w:w="0" w:type="dxa"/>
            <w:left w:w="108" w:type="dxa"/>
            <w:bottom w:w="0" w:type="dxa"/>
            <w:right w:w="108" w:type="dxa"/>
          </w:tblCellMar>
        </w:tblPrEx>
        <w:trPr>
          <w:jc w:val="center"/>
        </w:trPr>
        <w:tc>
          <w:tcPr>
            <w:tcW w:w="1495" w:type="dxa"/>
            <w:noWrap w:val="0"/>
            <w:vAlign w:val="top"/>
          </w:tcPr>
          <w:p>
            <w:pPr>
              <w:jc w:val="distribute"/>
              <w:rPr>
                <w:rFonts w:hint="eastAsia" w:ascii="黑体" w:hAnsi="黑体" w:eastAsia="黑体" w:cs="黑体"/>
                <w:b w:val="0"/>
                <w:bCs w:val="0"/>
                <w:color w:val="auto"/>
                <w:kern w:val="0"/>
                <w:sz w:val="28"/>
                <w:szCs w:val="28"/>
                <w:highlight w:val="none"/>
              </w:rPr>
            </w:pPr>
            <w:r>
              <w:rPr>
                <w:rFonts w:hint="eastAsia" w:ascii="黑体" w:hAnsi="黑体" w:eastAsia="黑体" w:cs="黑体"/>
                <w:b w:val="0"/>
                <w:bCs w:val="0"/>
                <w:color w:val="auto"/>
                <w:kern w:val="0"/>
                <w:sz w:val="28"/>
                <w:szCs w:val="28"/>
                <w:highlight w:val="none"/>
              </w:rPr>
              <w:t>招标代理</w:t>
            </w:r>
          </w:p>
        </w:tc>
        <w:tc>
          <w:tcPr>
            <w:tcW w:w="491" w:type="dxa"/>
            <w:noWrap w:val="0"/>
            <w:vAlign w:val="top"/>
          </w:tcPr>
          <w:p>
            <w:pPr>
              <w:rPr>
                <w:rFonts w:hint="eastAsia" w:ascii="黑体" w:hAnsi="黑体" w:eastAsia="黑体" w:cs="黑体"/>
                <w:b w:val="0"/>
                <w:bCs w:val="0"/>
                <w:color w:val="auto"/>
                <w:kern w:val="0"/>
                <w:sz w:val="28"/>
                <w:szCs w:val="28"/>
                <w:highlight w:val="none"/>
              </w:rPr>
            </w:pPr>
            <w:r>
              <w:rPr>
                <w:rFonts w:hint="eastAsia" w:ascii="黑体" w:hAnsi="黑体" w:eastAsia="黑体" w:cs="黑体"/>
                <w:b w:val="0"/>
                <w:bCs w:val="0"/>
                <w:color w:val="auto"/>
                <w:kern w:val="0"/>
                <w:sz w:val="28"/>
                <w:szCs w:val="28"/>
                <w:highlight w:val="none"/>
              </w:rPr>
              <w:t>：</w:t>
            </w:r>
          </w:p>
        </w:tc>
        <w:tc>
          <w:tcPr>
            <w:tcW w:w="4993" w:type="dxa"/>
            <w:noWrap w:val="0"/>
            <w:vAlign w:val="top"/>
          </w:tcPr>
          <w:p>
            <w:pPr>
              <w:jc w:val="distribute"/>
              <w:rPr>
                <w:rFonts w:hint="eastAsia" w:ascii="黑体" w:hAnsi="黑体" w:eastAsia="黑体" w:cs="黑体"/>
                <w:b w:val="0"/>
                <w:bCs w:val="0"/>
                <w:color w:val="auto"/>
                <w:kern w:val="0"/>
                <w:sz w:val="28"/>
                <w:szCs w:val="28"/>
                <w:highlight w:val="none"/>
              </w:rPr>
            </w:pPr>
            <w:r>
              <w:rPr>
                <w:rFonts w:hint="eastAsia" w:ascii="黑体" w:hAnsi="黑体" w:eastAsia="黑体" w:cs="黑体"/>
                <w:b w:val="0"/>
                <w:bCs w:val="0"/>
                <w:color w:val="auto"/>
                <w:kern w:val="0"/>
                <w:sz w:val="28"/>
                <w:szCs w:val="28"/>
                <w:highlight w:val="none"/>
              </w:rPr>
              <w:t>国信国际工程咨询集团股份有限公司</w:t>
            </w:r>
          </w:p>
        </w:tc>
      </w:tr>
      <w:tr>
        <w:tblPrEx>
          <w:tblCellMar>
            <w:top w:w="0" w:type="dxa"/>
            <w:left w:w="108" w:type="dxa"/>
            <w:bottom w:w="0" w:type="dxa"/>
            <w:right w:w="108" w:type="dxa"/>
          </w:tblCellMar>
        </w:tblPrEx>
        <w:trPr>
          <w:jc w:val="center"/>
        </w:trPr>
        <w:tc>
          <w:tcPr>
            <w:tcW w:w="6979" w:type="dxa"/>
            <w:gridSpan w:val="3"/>
            <w:noWrap w:val="0"/>
            <w:vAlign w:val="top"/>
          </w:tcPr>
          <w:p>
            <w:pPr>
              <w:jc w:val="center"/>
              <w:rPr>
                <w:rFonts w:hint="eastAsia" w:ascii="黑体" w:hAnsi="黑体" w:eastAsia="黑体" w:cs="黑体"/>
                <w:b w:val="0"/>
                <w:bCs w:val="0"/>
                <w:color w:val="auto"/>
                <w:kern w:val="0"/>
                <w:sz w:val="28"/>
                <w:szCs w:val="28"/>
                <w:highlight w:val="none"/>
              </w:rPr>
            </w:pPr>
            <w:r>
              <w:rPr>
                <w:rFonts w:hint="eastAsia" w:ascii="黑体" w:hAnsi="黑体" w:eastAsia="黑体" w:cs="黑体"/>
                <w:b w:val="0"/>
                <w:bCs w:val="0"/>
                <w:color w:val="auto"/>
                <w:kern w:val="0"/>
                <w:sz w:val="28"/>
                <w:szCs w:val="28"/>
                <w:highlight w:val="none"/>
              </w:rPr>
              <w:t>二〇二</w:t>
            </w:r>
            <w:r>
              <w:rPr>
                <w:rFonts w:hint="eastAsia" w:ascii="黑体" w:hAnsi="黑体" w:eastAsia="黑体" w:cs="黑体"/>
                <w:b w:val="0"/>
                <w:bCs w:val="0"/>
                <w:color w:val="auto"/>
                <w:kern w:val="0"/>
                <w:sz w:val="28"/>
                <w:szCs w:val="28"/>
                <w:highlight w:val="none"/>
                <w:lang w:val="en-US" w:eastAsia="zh-CN"/>
              </w:rPr>
              <w:t>四</w:t>
            </w:r>
            <w:r>
              <w:rPr>
                <w:rFonts w:hint="eastAsia" w:ascii="黑体" w:hAnsi="黑体" w:eastAsia="黑体" w:cs="黑体"/>
                <w:b w:val="0"/>
                <w:bCs w:val="0"/>
                <w:color w:val="auto"/>
                <w:kern w:val="0"/>
                <w:sz w:val="28"/>
                <w:szCs w:val="28"/>
                <w:highlight w:val="none"/>
              </w:rPr>
              <w:t>年</w:t>
            </w:r>
            <w:r>
              <w:rPr>
                <w:rFonts w:hint="eastAsia" w:ascii="黑体" w:hAnsi="黑体" w:eastAsia="黑体" w:cs="黑体"/>
                <w:b w:val="0"/>
                <w:bCs w:val="0"/>
                <w:color w:val="auto"/>
                <w:kern w:val="0"/>
                <w:sz w:val="28"/>
                <w:szCs w:val="28"/>
                <w:highlight w:val="none"/>
                <w:lang w:val="en-US" w:eastAsia="zh-CN"/>
              </w:rPr>
              <w:t>七</w:t>
            </w:r>
            <w:r>
              <w:rPr>
                <w:rFonts w:hint="eastAsia" w:ascii="黑体" w:hAnsi="黑体" w:eastAsia="黑体" w:cs="黑体"/>
                <w:b w:val="0"/>
                <w:bCs w:val="0"/>
                <w:color w:val="auto"/>
                <w:kern w:val="0"/>
                <w:sz w:val="28"/>
                <w:szCs w:val="28"/>
                <w:highlight w:val="none"/>
              </w:rPr>
              <w:t>月</w:t>
            </w:r>
          </w:p>
        </w:tc>
      </w:tr>
    </w:tbl>
    <w:p>
      <w:pPr>
        <w:jc w:val="center"/>
        <w:rPr>
          <w:rFonts w:hint="eastAsia" w:ascii="宋体" w:hAnsi="宋体" w:cs="宋体"/>
          <w:color w:val="auto"/>
          <w:highlight w:val="none"/>
        </w:rPr>
      </w:pPr>
    </w:p>
    <w:p>
      <w:pPr>
        <w:pStyle w:val="28"/>
        <w:rPr>
          <w:rFonts w:hint="eastAsia" w:ascii="宋体" w:hAnsi="宋体" w:cs="宋体"/>
          <w:color w:val="auto"/>
          <w:highlight w:val="none"/>
        </w:rPr>
      </w:pPr>
      <w:bookmarkStart w:id="1" w:name="_Toc300760817"/>
      <w:r>
        <w:rPr>
          <w:rFonts w:hint="eastAsia" w:ascii="宋体" w:hAnsi="宋体" w:cs="宋体"/>
          <w:color w:val="auto"/>
          <w:highlight w:val="none"/>
        </w:rPr>
        <w:br w:type="page"/>
      </w:r>
      <w:bookmarkStart w:id="2" w:name="_Toc33625852"/>
      <w:bookmarkStart w:id="3" w:name="_Toc372633010"/>
      <w:bookmarkStart w:id="4" w:name="_Toc369273746"/>
      <w:bookmarkStart w:id="5" w:name="_Toc436730360"/>
    </w:p>
    <w:p>
      <w:pPr>
        <w:pStyle w:val="28"/>
        <w:rPr>
          <w:rFonts w:hint="eastAsia" w:ascii="宋体" w:hAnsi="宋体" w:cs="宋体"/>
          <w:color w:val="auto"/>
          <w:sz w:val="28"/>
          <w:szCs w:val="28"/>
          <w:highlight w:val="none"/>
        </w:rPr>
      </w:pPr>
    </w:p>
    <w:p>
      <w:pPr>
        <w:pStyle w:val="28"/>
        <w:rPr>
          <w:rFonts w:hint="eastAsia" w:ascii="宋体" w:hAnsi="宋体" w:cs="宋体"/>
          <w:color w:val="auto"/>
          <w:sz w:val="32"/>
          <w:szCs w:val="32"/>
          <w:highlight w:val="none"/>
        </w:rPr>
      </w:pPr>
      <w:r>
        <w:rPr>
          <w:rFonts w:hint="eastAsia" w:ascii="宋体" w:hAnsi="宋体" w:cs="宋体"/>
          <w:color w:val="auto"/>
          <w:sz w:val="32"/>
          <w:szCs w:val="32"/>
          <w:highlight w:val="none"/>
        </w:rPr>
        <w:t xml:space="preserve">目 </w:t>
      </w:r>
      <w:r>
        <w:rPr>
          <w:rFonts w:hint="eastAsia" w:ascii="宋体" w:hAnsi="宋体" w:cs="宋体"/>
          <w:color w:val="auto"/>
          <w:sz w:val="32"/>
          <w:szCs w:val="32"/>
          <w:highlight w:val="none"/>
          <w:lang w:val="en-US" w:eastAsia="zh-CN"/>
        </w:rPr>
        <w:t xml:space="preserve"> </w:t>
      </w:r>
      <w:r>
        <w:rPr>
          <w:rFonts w:hint="eastAsia" w:ascii="宋体" w:hAnsi="宋体" w:cs="宋体"/>
          <w:color w:val="auto"/>
          <w:sz w:val="32"/>
          <w:szCs w:val="32"/>
          <w:highlight w:val="none"/>
        </w:rPr>
        <w:t>录</w:t>
      </w:r>
      <w:bookmarkEnd w:id="1"/>
      <w:bookmarkEnd w:id="2"/>
      <w:bookmarkEnd w:id="3"/>
      <w:bookmarkEnd w:id="4"/>
      <w:bookmarkEnd w:id="5"/>
    </w:p>
    <w:p>
      <w:pPr>
        <w:pStyle w:val="22"/>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fldChar w:fldCharType="begin"/>
      </w:r>
      <w:r>
        <w:rPr>
          <w:rStyle w:val="36"/>
          <w:rFonts w:hint="eastAsia" w:ascii="宋体" w:hAnsi="宋体" w:cs="宋体"/>
          <w:b/>
          <w:bCs/>
          <w:color w:val="auto"/>
          <w:sz w:val="28"/>
          <w:szCs w:val="28"/>
          <w:highlight w:val="none"/>
        </w:rPr>
        <w:instrText xml:space="preserve"> TOC \o "1-3" \h \z \u </w:instrText>
      </w:r>
      <w:r>
        <w:rPr>
          <w:rFonts w:hint="eastAsia" w:ascii="宋体" w:hAnsi="宋体" w:cs="宋体"/>
          <w:b/>
          <w:bCs/>
          <w:color w:val="auto"/>
          <w:sz w:val="28"/>
          <w:szCs w:val="28"/>
          <w:highlight w:val="none"/>
        </w:rPr>
        <w:fldChar w:fldCharType="separate"/>
      </w:r>
    </w:p>
    <w:p>
      <w:pPr>
        <w:pStyle w:val="22"/>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fldChar w:fldCharType="begin"/>
      </w:r>
      <w:r>
        <w:rPr>
          <w:rStyle w:val="36"/>
          <w:rFonts w:hint="eastAsia" w:ascii="宋体" w:hAnsi="宋体" w:cs="宋体"/>
          <w:b/>
          <w:bCs/>
          <w:color w:val="auto"/>
          <w:sz w:val="28"/>
          <w:szCs w:val="28"/>
          <w:highlight w:val="none"/>
        </w:rPr>
        <w:instrText xml:space="preserve"> </w:instrText>
      </w:r>
      <w:r>
        <w:rPr>
          <w:rFonts w:hint="eastAsia" w:ascii="宋体" w:hAnsi="宋体" w:cs="宋体"/>
          <w:b/>
          <w:bCs/>
          <w:color w:val="auto"/>
          <w:sz w:val="28"/>
          <w:szCs w:val="28"/>
          <w:highlight w:val="none"/>
        </w:rPr>
        <w:instrText xml:space="preserve">HYPERLINK \l "_Toc33625853"</w:instrText>
      </w:r>
      <w:r>
        <w:rPr>
          <w:rStyle w:val="36"/>
          <w:rFonts w:hint="eastAsia" w:ascii="宋体" w:hAnsi="宋体" w:cs="宋体"/>
          <w:b/>
          <w:bCs/>
          <w:color w:val="auto"/>
          <w:sz w:val="28"/>
          <w:szCs w:val="28"/>
          <w:highlight w:val="none"/>
        </w:rPr>
        <w:instrText xml:space="preserve"> </w:instrText>
      </w:r>
      <w:r>
        <w:rPr>
          <w:rFonts w:hint="eastAsia" w:ascii="宋体" w:hAnsi="宋体" w:cs="宋体"/>
          <w:b/>
          <w:bCs/>
          <w:color w:val="auto"/>
          <w:sz w:val="28"/>
          <w:szCs w:val="28"/>
          <w:highlight w:val="none"/>
        </w:rPr>
        <w:fldChar w:fldCharType="separate"/>
      </w:r>
      <w:r>
        <w:rPr>
          <w:rStyle w:val="36"/>
          <w:rFonts w:hint="eastAsia" w:ascii="宋体" w:hAnsi="宋体" w:cs="宋体"/>
          <w:b/>
          <w:bCs/>
          <w:color w:val="auto"/>
          <w:sz w:val="28"/>
          <w:szCs w:val="28"/>
          <w:highlight w:val="none"/>
        </w:rPr>
        <w:t>第一章 招标公告</w:t>
      </w:r>
      <w:r>
        <w:rPr>
          <w:rFonts w:hint="eastAsia" w:ascii="宋体" w:hAnsi="宋体" w:cs="宋体"/>
          <w:b/>
          <w:bCs/>
          <w:color w:val="auto"/>
          <w:sz w:val="28"/>
          <w:szCs w:val="28"/>
          <w:highlight w:val="none"/>
        </w:rPr>
        <w:tab/>
      </w:r>
      <w:r>
        <w:rPr>
          <w:rFonts w:hint="eastAsia" w:ascii="宋体" w:hAnsi="宋体" w:cs="宋体"/>
          <w:b/>
          <w:bCs/>
          <w:color w:val="auto"/>
          <w:sz w:val="28"/>
          <w:szCs w:val="28"/>
          <w:highlight w:val="none"/>
        </w:rPr>
        <w:fldChar w:fldCharType="begin"/>
      </w:r>
      <w:r>
        <w:rPr>
          <w:rFonts w:hint="eastAsia" w:ascii="宋体" w:hAnsi="宋体" w:cs="宋体"/>
          <w:b/>
          <w:bCs/>
          <w:color w:val="auto"/>
          <w:sz w:val="28"/>
          <w:szCs w:val="28"/>
          <w:highlight w:val="none"/>
        </w:rPr>
        <w:instrText xml:space="preserve"> PAGEREF _Toc33625853 \h </w:instrText>
      </w:r>
      <w:r>
        <w:rPr>
          <w:rFonts w:hint="eastAsia" w:ascii="宋体" w:hAnsi="宋体" w:cs="宋体"/>
          <w:b/>
          <w:bCs/>
          <w:color w:val="auto"/>
          <w:sz w:val="28"/>
          <w:szCs w:val="28"/>
          <w:highlight w:val="none"/>
        </w:rPr>
        <w:fldChar w:fldCharType="separate"/>
      </w:r>
      <w:r>
        <w:rPr>
          <w:rFonts w:hint="eastAsia" w:ascii="宋体" w:hAnsi="宋体" w:cs="宋体"/>
          <w:b/>
          <w:bCs/>
          <w:color w:val="auto"/>
          <w:sz w:val="28"/>
          <w:szCs w:val="28"/>
          <w:highlight w:val="none"/>
        </w:rPr>
        <w:t>1</w:t>
      </w:r>
      <w:r>
        <w:rPr>
          <w:rFonts w:hint="eastAsia" w:ascii="宋体" w:hAnsi="宋体" w:cs="宋体"/>
          <w:b/>
          <w:bCs/>
          <w:color w:val="auto"/>
          <w:sz w:val="28"/>
          <w:szCs w:val="28"/>
          <w:highlight w:val="none"/>
        </w:rPr>
        <w:fldChar w:fldCharType="end"/>
      </w:r>
      <w:r>
        <w:rPr>
          <w:rFonts w:hint="eastAsia" w:ascii="宋体" w:hAnsi="宋体" w:cs="宋体"/>
          <w:b/>
          <w:bCs/>
          <w:color w:val="auto"/>
          <w:sz w:val="28"/>
          <w:szCs w:val="28"/>
          <w:highlight w:val="none"/>
        </w:rPr>
        <w:fldChar w:fldCharType="end"/>
      </w:r>
    </w:p>
    <w:p>
      <w:pPr>
        <w:pStyle w:val="22"/>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fldChar w:fldCharType="begin"/>
      </w:r>
      <w:r>
        <w:rPr>
          <w:rStyle w:val="36"/>
          <w:rFonts w:hint="eastAsia" w:ascii="宋体" w:hAnsi="宋体" w:cs="宋体"/>
          <w:b/>
          <w:bCs/>
          <w:color w:val="auto"/>
          <w:sz w:val="28"/>
          <w:szCs w:val="28"/>
          <w:highlight w:val="none"/>
        </w:rPr>
        <w:instrText xml:space="preserve"> </w:instrText>
      </w:r>
      <w:r>
        <w:rPr>
          <w:rFonts w:hint="eastAsia" w:ascii="宋体" w:hAnsi="宋体" w:cs="宋体"/>
          <w:b/>
          <w:bCs/>
          <w:color w:val="auto"/>
          <w:sz w:val="28"/>
          <w:szCs w:val="28"/>
          <w:highlight w:val="none"/>
        </w:rPr>
        <w:instrText xml:space="preserve">HYPERLINK \l "_Toc33625854"</w:instrText>
      </w:r>
      <w:r>
        <w:rPr>
          <w:rStyle w:val="36"/>
          <w:rFonts w:hint="eastAsia" w:ascii="宋体" w:hAnsi="宋体" w:cs="宋体"/>
          <w:b/>
          <w:bCs/>
          <w:color w:val="auto"/>
          <w:sz w:val="28"/>
          <w:szCs w:val="28"/>
          <w:highlight w:val="none"/>
        </w:rPr>
        <w:instrText xml:space="preserve"> </w:instrText>
      </w:r>
      <w:r>
        <w:rPr>
          <w:rFonts w:hint="eastAsia" w:ascii="宋体" w:hAnsi="宋体" w:cs="宋体"/>
          <w:b/>
          <w:bCs/>
          <w:color w:val="auto"/>
          <w:sz w:val="28"/>
          <w:szCs w:val="28"/>
          <w:highlight w:val="none"/>
        </w:rPr>
        <w:fldChar w:fldCharType="separate"/>
      </w:r>
      <w:r>
        <w:rPr>
          <w:rStyle w:val="36"/>
          <w:rFonts w:hint="eastAsia" w:ascii="宋体" w:hAnsi="宋体" w:cs="宋体"/>
          <w:b/>
          <w:bCs/>
          <w:color w:val="auto"/>
          <w:sz w:val="28"/>
          <w:szCs w:val="28"/>
          <w:highlight w:val="none"/>
        </w:rPr>
        <w:t>第二章 投标人须知</w:t>
      </w:r>
      <w:bookmarkStart w:id="6" w:name="_Hlt60013642"/>
      <w:bookmarkStart w:id="7" w:name="_Hlt60013643"/>
      <w:r>
        <w:rPr>
          <w:rFonts w:hint="eastAsia" w:ascii="宋体" w:hAnsi="宋体" w:cs="宋体"/>
          <w:b/>
          <w:bCs/>
          <w:color w:val="auto"/>
          <w:sz w:val="28"/>
          <w:szCs w:val="28"/>
          <w:highlight w:val="none"/>
        </w:rPr>
        <w:tab/>
      </w:r>
      <w:bookmarkEnd w:id="6"/>
      <w:bookmarkEnd w:id="7"/>
      <w:r>
        <w:rPr>
          <w:rFonts w:hint="eastAsia" w:ascii="宋体" w:hAnsi="宋体" w:cs="宋体"/>
          <w:b/>
          <w:bCs/>
          <w:color w:val="auto"/>
          <w:sz w:val="28"/>
          <w:szCs w:val="28"/>
          <w:highlight w:val="none"/>
        </w:rPr>
        <w:fldChar w:fldCharType="begin"/>
      </w:r>
      <w:r>
        <w:rPr>
          <w:rFonts w:hint="eastAsia" w:ascii="宋体" w:hAnsi="宋体" w:cs="宋体"/>
          <w:b/>
          <w:bCs/>
          <w:color w:val="auto"/>
          <w:sz w:val="28"/>
          <w:szCs w:val="28"/>
          <w:highlight w:val="none"/>
        </w:rPr>
        <w:instrText xml:space="preserve"> PAGEREF _Toc33625854 \h </w:instrText>
      </w:r>
      <w:r>
        <w:rPr>
          <w:rFonts w:hint="eastAsia" w:ascii="宋体" w:hAnsi="宋体" w:cs="宋体"/>
          <w:b/>
          <w:bCs/>
          <w:color w:val="auto"/>
          <w:sz w:val="28"/>
          <w:szCs w:val="28"/>
          <w:highlight w:val="none"/>
        </w:rPr>
        <w:fldChar w:fldCharType="separate"/>
      </w:r>
      <w:r>
        <w:rPr>
          <w:rFonts w:hint="eastAsia" w:ascii="宋体" w:hAnsi="宋体" w:cs="宋体"/>
          <w:b/>
          <w:bCs/>
          <w:color w:val="auto"/>
          <w:sz w:val="28"/>
          <w:szCs w:val="28"/>
          <w:highlight w:val="none"/>
        </w:rPr>
        <w:t>4</w:t>
      </w:r>
      <w:r>
        <w:rPr>
          <w:rFonts w:hint="eastAsia" w:ascii="宋体" w:hAnsi="宋体" w:cs="宋体"/>
          <w:b/>
          <w:bCs/>
          <w:color w:val="auto"/>
          <w:sz w:val="28"/>
          <w:szCs w:val="28"/>
          <w:highlight w:val="none"/>
        </w:rPr>
        <w:fldChar w:fldCharType="end"/>
      </w:r>
      <w:r>
        <w:rPr>
          <w:rFonts w:hint="eastAsia" w:ascii="宋体" w:hAnsi="宋体" w:cs="宋体"/>
          <w:b/>
          <w:bCs/>
          <w:color w:val="auto"/>
          <w:sz w:val="28"/>
          <w:szCs w:val="28"/>
          <w:highlight w:val="none"/>
        </w:rPr>
        <w:fldChar w:fldCharType="end"/>
      </w:r>
    </w:p>
    <w:p>
      <w:pPr>
        <w:pStyle w:val="22"/>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fldChar w:fldCharType="begin"/>
      </w:r>
      <w:r>
        <w:rPr>
          <w:rStyle w:val="36"/>
          <w:rFonts w:hint="eastAsia" w:ascii="宋体" w:hAnsi="宋体" w:cs="宋体"/>
          <w:b/>
          <w:bCs/>
          <w:color w:val="auto"/>
          <w:sz w:val="28"/>
          <w:szCs w:val="28"/>
          <w:highlight w:val="none"/>
        </w:rPr>
        <w:instrText xml:space="preserve"> </w:instrText>
      </w:r>
      <w:r>
        <w:rPr>
          <w:rFonts w:hint="eastAsia" w:ascii="宋体" w:hAnsi="宋体" w:cs="宋体"/>
          <w:b/>
          <w:bCs/>
          <w:color w:val="auto"/>
          <w:sz w:val="28"/>
          <w:szCs w:val="28"/>
          <w:highlight w:val="none"/>
        </w:rPr>
        <w:instrText xml:space="preserve">HYPERLINK \l "_Toc33625855"</w:instrText>
      </w:r>
      <w:r>
        <w:rPr>
          <w:rStyle w:val="36"/>
          <w:rFonts w:hint="eastAsia" w:ascii="宋体" w:hAnsi="宋体" w:cs="宋体"/>
          <w:b/>
          <w:bCs/>
          <w:color w:val="auto"/>
          <w:sz w:val="28"/>
          <w:szCs w:val="28"/>
          <w:highlight w:val="none"/>
        </w:rPr>
        <w:instrText xml:space="preserve"> </w:instrText>
      </w:r>
      <w:r>
        <w:rPr>
          <w:rFonts w:hint="eastAsia" w:ascii="宋体" w:hAnsi="宋体" w:cs="宋体"/>
          <w:b/>
          <w:bCs/>
          <w:color w:val="auto"/>
          <w:sz w:val="28"/>
          <w:szCs w:val="28"/>
          <w:highlight w:val="none"/>
        </w:rPr>
        <w:fldChar w:fldCharType="separate"/>
      </w:r>
      <w:r>
        <w:rPr>
          <w:rStyle w:val="36"/>
          <w:rFonts w:hint="eastAsia" w:ascii="宋体" w:hAnsi="宋体" w:cs="宋体"/>
          <w:b/>
          <w:bCs/>
          <w:color w:val="auto"/>
          <w:sz w:val="28"/>
          <w:szCs w:val="28"/>
          <w:highlight w:val="none"/>
        </w:rPr>
        <w:t>第三章 评标办法</w:t>
      </w:r>
      <w:r>
        <w:rPr>
          <w:rFonts w:hint="eastAsia" w:ascii="宋体" w:hAnsi="宋体" w:cs="宋体"/>
          <w:b/>
          <w:bCs/>
          <w:color w:val="auto"/>
          <w:sz w:val="28"/>
          <w:szCs w:val="28"/>
          <w:highlight w:val="none"/>
        </w:rPr>
        <w:tab/>
      </w:r>
      <w:r>
        <w:rPr>
          <w:rFonts w:hint="eastAsia" w:ascii="宋体" w:hAnsi="宋体" w:cs="宋体"/>
          <w:b/>
          <w:bCs/>
          <w:color w:val="auto"/>
          <w:sz w:val="28"/>
          <w:szCs w:val="28"/>
          <w:highlight w:val="none"/>
        </w:rPr>
        <w:fldChar w:fldCharType="begin"/>
      </w:r>
      <w:r>
        <w:rPr>
          <w:rFonts w:hint="eastAsia" w:ascii="宋体" w:hAnsi="宋体" w:cs="宋体"/>
          <w:b/>
          <w:bCs/>
          <w:color w:val="auto"/>
          <w:sz w:val="28"/>
          <w:szCs w:val="28"/>
          <w:highlight w:val="none"/>
        </w:rPr>
        <w:instrText xml:space="preserve"> PAGEREF _Toc33625855 \h </w:instrText>
      </w:r>
      <w:r>
        <w:rPr>
          <w:rFonts w:hint="eastAsia" w:ascii="宋体" w:hAnsi="宋体" w:cs="宋体"/>
          <w:b/>
          <w:bCs/>
          <w:color w:val="auto"/>
          <w:sz w:val="28"/>
          <w:szCs w:val="28"/>
          <w:highlight w:val="none"/>
        </w:rPr>
        <w:fldChar w:fldCharType="separate"/>
      </w:r>
      <w:r>
        <w:rPr>
          <w:rFonts w:hint="eastAsia" w:ascii="宋体" w:hAnsi="宋体" w:cs="宋体"/>
          <w:b/>
          <w:bCs/>
          <w:color w:val="auto"/>
          <w:sz w:val="28"/>
          <w:szCs w:val="28"/>
          <w:highlight w:val="none"/>
        </w:rPr>
        <w:t>13</w:t>
      </w:r>
      <w:r>
        <w:rPr>
          <w:rFonts w:hint="eastAsia" w:ascii="宋体" w:hAnsi="宋体" w:cs="宋体"/>
          <w:b/>
          <w:bCs/>
          <w:color w:val="auto"/>
          <w:sz w:val="28"/>
          <w:szCs w:val="28"/>
          <w:highlight w:val="none"/>
        </w:rPr>
        <w:fldChar w:fldCharType="end"/>
      </w:r>
      <w:r>
        <w:rPr>
          <w:rFonts w:hint="eastAsia" w:ascii="宋体" w:hAnsi="宋体" w:cs="宋体"/>
          <w:b/>
          <w:bCs/>
          <w:color w:val="auto"/>
          <w:sz w:val="28"/>
          <w:szCs w:val="28"/>
          <w:highlight w:val="none"/>
        </w:rPr>
        <w:fldChar w:fldCharType="end"/>
      </w:r>
    </w:p>
    <w:p>
      <w:pPr>
        <w:pStyle w:val="22"/>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fldChar w:fldCharType="begin"/>
      </w:r>
      <w:r>
        <w:rPr>
          <w:rStyle w:val="36"/>
          <w:rFonts w:hint="eastAsia" w:ascii="宋体" w:hAnsi="宋体" w:cs="宋体"/>
          <w:b/>
          <w:bCs/>
          <w:color w:val="auto"/>
          <w:sz w:val="28"/>
          <w:szCs w:val="28"/>
          <w:highlight w:val="none"/>
        </w:rPr>
        <w:instrText xml:space="preserve"> </w:instrText>
      </w:r>
      <w:r>
        <w:rPr>
          <w:rFonts w:hint="eastAsia" w:ascii="宋体" w:hAnsi="宋体" w:cs="宋体"/>
          <w:b/>
          <w:bCs/>
          <w:color w:val="auto"/>
          <w:sz w:val="28"/>
          <w:szCs w:val="28"/>
          <w:highlight w:val="none"/>
        </w:rPr>
        <w:instrText xml:space="preserve">HYPERLINK \l "_Toc33625856"</w:instrText>
      </w:r>
      <w:r>
        <w:rPr>
          <w:rStyle w:val="36"/>
          <w:rFonts w:hint="eastAsia" w:ascii="宋体" w:hAnsi="宋体" w:cs="宋体"/>
          <w:b/>
          <w:bCs/>
          <w:color w:val="auto"/>
          <w:sz w:val="28"/>
          <w:szCs w:val="28"/>
          <w:highlight w:val="none"/>
        </w:rPr>
        <w:instrText xml:space="preserve"> </w:instrText>
      </w:r>
      <w:r>
        <w:rPr>
          <w:rFonts w:hint="eastAsia" w:ascii="宋体" w:hAnsi="宋体" w:cs="宋体"/>
          <w:b/>
          <w:bCs/>
          <w:color w:val="auto"/>
          <w:sz w:val="28"/>
          <w:szCs w:val="28"/>
          <w:highlight w:val="none"/>
        </w:rPr>
        <w:fldChar w:fldCharType="separate"/>
      </w:r>
      <w:r>
        <w:rPr>
          <w:rStyle w:val="36"/>
          <w:rFonts w:hint="eastAsia" w:ascii="宋体" w:hAnsi="宋体" w:cs="宋体"/>
          <w:b/>
          <w:bCs/>
          <w:color w:val="auto"/>
          <w:sz w:val="28"/>
          <w:szCs w:val="28"/>
          <w:highlight w:val="none"/>
        </w:rPr>
        <w:t>第四章 合同条款及格式</w:t>
      </w:r>
      <w:r>
        <w:rPr>
          <w:rFonts w:hint="eastAsia" w:ascii="宋体" w:hAnsi="宋体" w:cs="宋体"/>
          <w:b/>
          <w:bCs/>
          <w:color w:val="auto"/>
          <w:sz w:val="28"/>
          <w:szCs w:val="28"/>
          <w:highlight w:val="none"/>
        </w:rPr>
        <w:tab/>
      </w:r>
      <w:r>
        <w:rPr>
          <w:rFonts w:hint="eastAsia" w:ascii="宋体" w:hAnsi="宋体" w:cs="宋体"/>
          <w:b/>
          <w:bCs/>
          <w:color w:val="auto"/>
          <w:sz w:val="28"/>
          <w:szCs w:val="28"/>
          <w:highlight w:val="none"/>
        </w:rPr>
        <w:fldChar w:fldCharType="begin"/>
      </w:r>
      <w:r>
        <w:rPr>
          <w:rFonts w:hint="eastAsia" w:ascii="宋体" w:hAnsi="宋体" w:cs="宋体"/>
          <w:b/>
          <w:bCs/>
          <w:color w:val="auto"/>
          <w:sz w:val="28"/>
          <w:szCs w:val="28"/>
          <w:highlight w:val="none"/>
        </w:rPr>
        <w:instrText xml:space="preserve"> PAGEREF _Toc33625856 \h </w:instrText>
      </w:r>
      <w:r>
        <w:rPr>
          <w:rFonts w:hint="eastAsia" w:ascii="宋体" w:hAnsi="宋体" w:cs="宋体"/>
          <w:b/>
          <w:bCs/>
          <w:color w:val="auto"/>
          <w:sz w:val="28"/>
          <w:szCs w:val="28"/>
          <w:highlight w:val="none"/>
        </w:rPr>
        <w:fldChar w:fldCharType="separate"/>
      </w:r>
      <w:r>
        <w:rPr>
          <w:rFonts w:hint="eastAsia" w:ascii="宋体" w:hAnsi="宋体" w:cs="宋体"/>
          <w:b/>
          <w:bCs/>
          <w:color w:val="auto"/>
          <w:sz w:val="28"/>
          <w:szCs w:val="28"/>
          <w:highlight w:val="none"/>
        </w:rPr>
        <w:t>21</w:t>
      </w:r>
      <w:r>
        <w:rPr>
          <w:rFonts w:hint="eastAsia" w:ascii="宋体" w:hAnsi="宋体" w:cs="宋体"/>
          <w:b/>
          <w:bCs/>
          <w:color w:val="auto"/>
          <w:sz w:val="28"/>
          <w:szCs w:val="28"/>
          <w:highlight w:val="none"/>
        </w:rPr>
        <w:fldChar w:fldCharType="end"/>
      </w:r>
      <w:r>
        <w:rPr>
          <w:rFonts w:hint="eastAsia" w:ascii="宋体" w:hAnsi="宋体" w:cs="宋体"/>
          <w:b/>
          <w:bCs/>
          <w:color w:val="auto"/>
          <w:sz w:val="28"/>
          <w:szCs w:val="28"/>
          <w:highlight w:val="none"/>
        </w:rPr>
        <w:fldChar w:fldCharType="end"/>
      </w:r>
    </w:p>
    <w:p>
      <w:pPr>
        <w:pStyle w:val="22"/>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fldChar w:fldCharType="begin"/>
      </w:r>
      <w:r>
        <w:rPr>
          <w:rStyle w:val="36"/>
          <w:rFonts w:hint="eastAsia" w:ascii="宋体" w:hAnsi="宋体" w:cs="宋体"/>
          <w:b/>
          <w:bCs/>
          <w:color w:val="auto"/>
          <w:sz w:val="28"/>
          <w:szCs w:val="28"/>
          <w:highlight w:val="none"/>
        </w:rPr>
        <w:instrText xml:space="preserve"> </w:instrText>
      </w:r>
      <w:r>
        <w:rPr>
          <w:rFonts w:hint="eastAsia" w:ascii="宋体" w:hAnsi="宋体" w:cs="宋体"/>
          <w:b/>
          <w:bCs/>
          <w:color w:val="auto"/>
          <w:sz w:val="28"/>
          <w:szCs w:val="28"/>
          <w:highlight w:val="none"/>
        </w:rPr>
        <w:instrText xml:space="preserve">HYPERLINK \l "_Toc33625862"</w:instrText>
      </w:r>
      <w:r>
        <w:rPr>
          <w:rStyle w:val="36"/>
          <w:rFonts w:hint="eastAsia" w:ascii="宋体" w:hAnsi="宋体" w:cs="宋体"/>
          <w:b/>
          <w:bCs/>
          <w:color w:val="auto"/>
          <w:sz w:val="28"/>
          <w:szCs w:val="28"/>
          <w:highlight w:val="none"/>
        </w:rPr>
        <w:instrText xml:space="preserve"> </w:instrText>
      </w:r>
      <w:r>
        <w:rPr>
          <w:rFonts w:hint="eastAsia" w:ascii="宋体" w:hAnsi="宋体" w:cs="宋体"/>
          <w:b/>
          <w:bCs/>
          <w:color w:val="auto"/>
          <w:sz w:val="28"/>
          <w:szCs w:val="28"/>
          <w:highlight w:val="none"/>
        </w:rPr>
        <w:fldChar w:fldCharType="separate"/>
      </w:r>
      <w:r>
        <w:rPr>
          <w:rStyle w:val="36"/>
          <w:rFonts w:hint="eastAsia" w:ascii="宋体" w:hAnsi="宋体" w:cs="宋体"/>
          <w:b/>
          <w:bCs/>
          <w:color w:val="auto"/>
          <w:sz w:val="28"/>
          <w:szCs w:val="28"/>
          <w:highlight w:val="none"/>
        </w:rPr>
        <w:t xml:space="preserve">第五章 </w:t>
      </w:r>
      <w:bookmarkStart w:id="8" w:name="_Hlt50981154"/>
      <w:bookmarkStart w:id="9" w:name="_Hlt33625890"/>
      <w:bookmarkStart w:id="10" w:name="_Hlt33625891"/>
      <w:bookmarkStart w:id="11" w:name="_Hlt50981153"/>
      <w:r>
        <w:rPr>
          <w:rStyle w:val="36"/>
          <w:rFonts w:hint="eastAsia" w:ascii="宋体" w:hAnsi="宋体" w:cs="宋体"/>
          <w:b/>
          <w:bCs/>
          <w:color w:val="auto"/>
          <w:sz w:val="28"/>
          <w:szCs w:val="28"/>
          <w:highlight w:val="none"/>
          <w:lang w:eastAsia="zh-CN"/>
        </w:rPr>
        <w:t>发包人要求</w:t>
      </w:r>
      <w:r>
        <w:rPr>
          <w:rFonts w:hint="eastAsia" w:ascii="宋体" w:hAnsi="宋体" w:cs="宋体"/>
          <w:b/>
          <w:bCs/>
          <w:color w:val="auto"/>
          <w:sz w:val="28"/>
          <w:szCs w:val="28"/>
          <w:highlight w:val="none"/>
        </w:rPr>
        <w:tab/>
      </w:r>
      <w:bookmarkEnd w:id="8"/>
      <w:bookmarkEnd w:id="9"/>
      <w:bookmarkEnd w:id="10"/>
      <w:bookmarkEnd w:id="11"/>
      <w:r>
        <w:rPr>
          <w:rFonts w:hint="eastAsia" w:ascii="宋体" w:hAnsi="宋体" w:cs="宋体"/>
          <w:b/>
          <w:bCs/>
          <w:color w:val="auto"/>
          <w:sz w:val="28"/>
          <w:szCs w:val="28"/>
          <w:highlight w:val="none"/>
        </w:rPr>
        <w:fldChar w:fldCharType="begin"/>
      </w:r>
      <w:r>
        <w:rPr>
          <w:rFonts w:hint="eastAsia" w:ascii="宋体" w:hAnsi="宋体" w:cs="宋体"/>
          <w:b/>
          <w:bCs/>
          <w:color w:val="auto"/>
          <w:sz w:val="28"/>
          <w:szCs w:val="28"/>
          <w:highlight w:val="none"/>
        </w:rPr>
        <w:instrText xml:space="preserve"> PAGEREF _Toc33625862 \h </w:instrText>
      </w:r>
      <w:r>
        <w:rPr>
          <w:rFonts w:hint="eastAsia" w:ascii="宋体" w:hAnsi="宋体" w:cs="宋体"/>
          <w:b/>
          <w:bCs/>
          <w:color w:val="auto"/>
          <w:sz w:val="28"/>
          <w:szCs w:val="28"/>
          <w:highlight w:val="none"/>
        </w:rPr>
        <w:fldChar w:fldCharType="separate"/>
      </w:r>
      <w:r>
        <w:rPr>
          <w:rFonts w:hint="eastAsia" w:ascii="宋体" w:hAnsi="宋体" w:cs="宋体"/>
          <w:b/>
          <w:bCs/>
          <w:color w:val="auto"/>
          <w:sz w:val="28"/>
          <w:szCs w:val="28"/>
          <w:highlight w:val="none"/>
        </w:rPr>
        <w:t>33</w:t>
      </w:r>
      <w:r>
        <w:rPr>
          <w:rFonts w:hint="eastAsia" w:ascii="宋体" w:hAnsi="宋体" w:cs="宋体"/>
          <w:b/>
          <w:bCs/>
          <w:color w:val="auto"/>
          <w:sz w:val="28"/>
          <w:szCs w:val="28"/>
          <w:highlight w:val="none"/>
        </w:rPr>
        <w:fldChar w:fldCharType="end"/>
      </w:r>
      <w:r>
        <w:rPr>
          <w:rFonts w:hint="eastAsia" w:ascii="宋体" w:hAnsi="宋体" w:cs="宋体"/>
          <w:b/>
          <w:bCs/>
          <w:color w:val="auto"/>
          <w:sz w:val="28"/>
          <w:szCs w:val="28"/>
          <w:highlight w:val="none"/>
        </w:rPr>
        <w:fldChar w:fldCharType="end"/>
      </w:r>
    </w:p>
    <w:p>
      <w:pPr>
        <w:pStyle w:val="22"/>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fldChar w:fldCharType="begin"/>
      </w:r>
      <w:r>
        <w:rPr>
          <w:rStyle w:val="36"/>
          <w:rFonts w:hint="eastAsia" w:ascii="宋体" w:hAnsi="宋体" w:cs="宋体"/>
          <w:b/>
          <w:bCs/>
          <w:color w:val="auto"/>
          <w:sz w:val="28"/>
          <w:szCs w:val="28"/>
          <w:highlight w:val="none"/>
        </w:rPr>
        <w:instrText xml:space="preserve"> </w:instrText>
      </w:r>
      <w:r>
        <w:rPr>
          <w:rFonts w:hint="eastAsia" w:ascii="宋体" w:hAnsi="宋体" w:cs="宋体"/>
          <w:b/>
          <w:bCs/>
          <w:color w:val="auto"/>
          <w:sz w:val="28"/>
          <w:szCs w:val="28"/>
          <w:highlight w:val="none"/>
        </w:rPr>
        <w:instrText xml:space="preserve">HYPERLINK \l "_Toc33625863"</w:instrText>
      </w:r>
      <w:r>
        <w:rPr>
          <w:rStyle w:val="36"/>
          <w:rFonts w:hint="eastAsia" w:ascii="宋体" w:hAnsi="宋体" w:cs="宋体"/>
          <w:b/>
          <w:bCs/>
          <w:color w:val="auto"/>
          <w:sz w:val="28"/>
          <w:szCs w:val="28"/>
          <w:highlight w:val="none"/>
        </w:rPr>
        <w:instrText xml:space="preserve"> </w:instrText>
      </w:r>
      <w:r>
        <w:rPr>
          <w:rFonts w:hint="eastAsia" w:ascii="宋体" w:hAnsi="宋体" w:cs="宋体"/>
          <w:b/>
          <w:bCs/>
          <w:color w:val="auto"/>
          <w:sz w:val="28"/>
          <w:szCs w:val="28"/>
          <w:highlight w:val="none"/>
        </w:rPr>
        <w:fldChar w:fldCharType="separate"/>
      </w:r>
      <w:r>
        <w:rPr>
          <w:rStyle w:val="36"/>
          <w:rFonts w:hint="eastAsia" w:ascii="宋体" w:hAnsi="宋体" w:cs="宋体"/>
          <w:b/>
          <w:bCs/>
          <w:color w:val="auto"/>
          <w:sz w:val="28"/>
          <w:szCs w:val="28"/>
          <w:highlight w:val="none"/>
        </w:rPr>
        <w:t>第六章 投标文件格式</w:t>
      </w:r>
      <w:bookmarkStart w:id="12" w:name="_Hlt38355084"/>
      <w:bookmarkStart w:id="13" w:name="_Hlt38355083"/>
      <w:r>
        <w:rPr>
          <w:rFonts w:hint="eastAsia" w:ascii="宋体" w:hAnsi="宋体" w:cs="宋体"/>
          <w:b/>
          <w:bCs/>
          <w:color w:val="auto"/>
          <w:sz w:val="28"/>
          <w:szCs w:val="28"/>
          <w:highlight w:val="none"/>
        </w:rPr>
        <w:tab/>
      </w:r>
      <w:bookmarkEnd w:id="12"/>
      <w:bookmarkEnd w:id="13"/>
      <w:r>
        <w:rPr>
          <w:rFonts w:hint="eastAsia" w:ascii="宋体" w:hAnsi="宋体" w:cs="宋体"/>
          <w:b/>
          <w:bCs/>
          <w:color w:val="auto"/>
          <w:sz w:val="28"/>
          <w:szCs w:val="28"/>
          <w:highlight w:val="none"/>
        </w:rPr>
        <w:fldChar w:fldCharType="begin"/>
      </w:r>
      <w:r>
        <w:rPr>
          <w:rFonts w:hint="eastAsia" w:ascii="宋体" w:hAnsi="宋体" w:cs="宋体"/>
          <w:b/>
          <w:bCs/>
          <w:color w:val="auto"/>
          <w:sz w:val="28"/>
          <w:szCs w:val="28"/>
          <w:highlight w:val="none"/>
        </w:rPr>
        <w:instrText xml:space="preserve"> PAGEREF _Toc33625863 \h </w:instrText>
      </w:r>
      <w:r>
        <w:rPr>
          <w:rFonts w:hint="eastAsia" w:ascii="宋体" w:hAnsi="宋体" w:cs="宋体"/>
          <w:b/>
          <w:bCs/>
          <w:color w:val="auto"/>
          <w:sz w:val="28"/>
          <w:szCs w:val="28"/>
          <w:highlight w:val="none"/>
        </w:rPr>
        <w:fldChar w:fldCharType="separate"/>
      </w:r>
      <w:r>
        <w:rPr>
          <w:rFonts w:hint="eastAsia" w:ascii="宋体" w:hAnsi="宋体" w:cs="宋体"/>
          <w:b/>
          <w:bCs/>
          <w:color w:val="auto"/>
          <w:sz w:val="28"/>
          <w:szCs w:val="28"/>
          <w:highlight w:val="none"/>
        </w:rPr>
        <w:t>33</w:t>
      </w:r>
      <w:r>
        <w:rPr>
          <w:rFonts w:hint="eastAsia" w:ascii="宋体" w:hAnsi="宋体" w:cs="宋体"/>
          <w:b/>
          <w:bCs/>
          <w:color w:val="auto"/>
          <w:sz w:val="28"/>
          <w:szCs w:val="28"/>
          <w:highlight w:val="none"/>
        </w:rPr>
        <w:fldChar w:fldCharType="end"/>
      </w:r>
      <w:r>
        <w:rPr>
          <w:rFonts w:hint="eastAsia" w:ascii="宋体" w:hAnsi="宋体" w:cs="宋体"/>
          <w:b/>
          <w:bCs/>
          <w:color w:val="auto"/>
          <w:sz w:val="28"/>
          <w:szCs w:val="28"/>
          <w:highlight w:val="none"/>
        </w:rPr>
        <w:fldChar w:fldCharType="end"/>
      </w:r>
    </w:p>
    <w:p>
      <w:pPr>
        <w:pStyle w:val="22"/>
        <w:rPr>
          <w:rFonts w:ascii="宋体" w:hAnsi="宋体"/>
          <w:color w:val="auto"/>
          <w:highlight w:val="none"/>
        </w:rPr>
        <w:sectPr>
          <w:footerReference r:id="rId5" w:type="default"/>
          <w:pgSz w:w="11906" w:h="16838"/>
          <w:pgMar w:top="1361" w:right="1361" w:bottom="1361" w:left="1361" w:header="850" w:footer="964" w:gutter="170"/>
          <w:pgNumType w:start="1"/>
          <w:cols w:space="720" w:num="1"/>
          <w:docGrid w:linePitch="381" w:charSpace="0"/>
        </w:sectPr>
      </w:pPr>
      <w:r>
        <w:rPr>
          <w:rFonts w:hint="eastAsia" w:ascii="宋体" w:hAnsi="宋体" w:cs="宋体"/>
          <w:b/>
          <w:bCs/>
          <w:color w:val="auto"/>
          <w:sz w:val="28"/>
          <w:szCs w:val="28"/>
          <w:highlight w:val="none"/>
        </w:rPr>
        <w:fldChar w:fldCharType="end"/>
      </w:r>
      <w:bookmarkStart w:id="14" w:name="_Toc300760818"/>
    </w:p>
    <w:p>
      <w:pPr>
        <w:pStyle w:val="28"/>
        <w:spacing w:before="120" w:beforeLines="50" w:after="0" w:line="360" w:lineRule="auto"/>
        <w:rPr>
          <w:color w:val="auto"/>
          <w:sz w:val="32"/>
          <w:szCs w:val="22"/>
          <w:highlight w:val="none"/>
        </w:rPr>
      </w:pPr>
      <w:bookmarkStart w:id="15" w:name="_Toc33625853"/>
      <w:r>
        <w:rPr>
          <w:rFonts w:hint="eastAsia"/>
          <w:color w:val="auto"/>
          <w:sz w:val="32"/>
          <w:szCs w:val="22"/>
          <w:highlight w:val="none"/>
        </w:rPr>
        <w:t xml:space="preserve">第一章 </w:t>
      </w:r>
      <w:bookmarkEnd w:id="14"/>
      <w:r>
        <w:rPr>
          <w:rFonts w:hint="eastAsia"/>
          <w:color w:val="auto"/>
          <w:sz w:val="32"/>
          <w:szCs w:val="22"/>
          <w:highlight w:val="none"/>
        </w:rPr>
        <w:t>招标公告</w:t>
      </w:r>
      <w:bookmarkEnd w:id="15"/>
    </w:p>
    <w:p>
      <w:pPr>
        <w:keepNext w:val="0"/>
        <w:keepLines w:val="0"/>
        <w:pageBreakBefore w:val="0"/>
        <w:kinsoku/>
        <w:wordWrap w:val="0"/>
        <w:overflowPunct/>
        <w:topLinePunct w:val="0"/>
        <w:autoSpaceDE/>
        <w:autoSpaceDN/>
        <w:bidi w:val="0"/>
        <w:adjustRightInd/>
        <w:snapToGrid/>
        <w:spacing w:line="360" w:lineRule="auto"/>
        <w:ind w:firstLine="442" w:firstLineChars="200"/>
        <w:jc w:val="both"/>
        <w:textAlignment w:val="auto"/>
        <w:rPr>
          <w:rFonts w:hint="eastAsia" w:ascii="宋体" w:hAnsi="宋体" w:eastAsia="宋体" w:cs="宋体"/>
          <w:b/>
          <w:bCs/>
          <w:color w:val="auto"/>
          <w:sz w:val="22"/>
          <w:szCs w:val="22"/>
          <w:highlight w:val="none"/>
        </w:rPr>
      </w:pPr>
      <w:bookmarkStart w:id="16" w:name="_Toc300760819"/>
      <w:r>
        <w:rPr>
          <w:rFonts w:hint="eastAsia" w:ascii="宋体" w:hAnsi="宋体" w:eastAsia="宋体" w:cs="宋体"/>
          <w:b/>
          <w:bCs/>
          <w:color w:val="auto"/>
          <w:sz w:val="22"/>
          <w:szCs w:val="22"/>
          <w:highlight w:val="none"/>
        </w:rPr>
        <w:t>1、招标条件</w:t>
      </w:r>
    </w:p>
    <w:p>
      <w:pPr>
        <w:adjustRightInd w:val="0"/>
        <w:snapToGrid w:val="0"/>
        <w:spacing w:line="360" w:lineRule="auto"/>
        <w:ind w:firstLine="440" w:firstLineChars="200"/>
        <w:rPr>
          <w:rFonts w:ascii="宋体" w:hAnsi="宋体" w:cs="Times New Roman"/>
          <w:color w:val="auto"/>
          <w:sz w:val="22"/>
          <w:szCs w:val="22"/>
          <w:highlight w:val="none"/>
        </w:rPr>
      </w:pPr>
      <w:r>
        <w:rPr>
          <w:rFonts w:hint="eastAsia" w:ascii="宋体" w:hAnsi="宋体" w:cs="Times New Roman"/>
          <w:color w:val="auto"/>
          <w:sz w:val="22"/>
          <w:szCs w:val="22"/>
          <w:highlight w:val="none"/>
          <w:u w:val="single"/>
          <w:lang w:eastAsia="zh-CN"/>
        </w:rPr>
        <w:t>南通市内河干线航道文物资源区域评估项目</w:t>
      </w:r>
      <w:r>
        <w:rPr>
          <w:rFonts w:hint="eastAsia" w:ascii="宋体" w:hAnsi="宋体" w:cs="Times New Roman"/>
          <w:color w:val="auto"/>
          <w:sz w:val="22"/>
          <w:szCs w:val="22"/>
          <w:highlight w:val="none"/>
        </w:rPr>
        <w:t>资金已落实，招标人为</w:t>
      </w:r>
      <w:r>
        <w:rPr>
          <w:rFonts w:hint="eastAsia" w:ascii="宋体" w:hAnsi="宋体" w:cs="Times New Roman"/>
          <w:color w:val="auto"/>
          <w:sz w:val="22"/>
          <w:szCs w:val="22"/>
          <w:highlight w:val="none"/>
          <w:u w:val="single"/>
        </w:rPr>
        <w:t>南通市江海河联运项目建设指挥部</w:t>
      </w:r>
      <w:r>
        <w:rPr>
          <w:rFonts w:hint="eastAsia" w:ascii="宋体" w:hAnsi="宋体" w:cs="Times New Roman"/>
          <w:color w:val="auto"/>
          <w:sz w:val="22"/>
          <w:szCs w:val="22"/>
          <w:highlight w:val="none"/>
        </w:rPr>
        <w:t>。现招标人委托招标代理</w:t>
      </w:r>
      <w:bookmarkStart w:id="17" w:name="OLE_LINK12"/>
      <w:r>
        <w:rPr>
          <w:rFonts w:hint="eastAsia" w:ascii="宋体" w:hAnsi="宋体" w:cs="Times New Roman"/>
          <w:color w:val="auto"/>
          <w:sz w:val="22"/>
          <w:szCs w:val="22"/>
          <w:highlight w:val="none"/>
          <w:u w:val="single"/>
        </w:rPr>
        <w:t>国信国际工程咨询集团股份有限公司</w:t>
      </w:r>
      <w:bookmarkEnd w:id="17"/>
      <w:r>
        <w:rPr>
          <w:rFonts w:hint="eastAsia" w:ascii="宋体" w:hAnsi="宋体" w:cs="Times New Roman"/>
          <w:color w:val="auto"/>
          <w:sz w:val="22"/>
          <w:szCs w:val="22"/>
          <w:highlight w:val="none"/>
        </w:rPr>
        <w:t>对</w:t>
      </w:r>
      <w:bookmarkStart w:id="18" w:name="_Hlk109913398"/>
      <w:r>
        <w:rPr>
          <w:rFonts w:hint="eastAsia" w:ascii="宋体" w:hAnsi="宋体" w:cs="Times New Roman"/>
          <w:color w:val="auto"/>
          <w:sz w:val="22"/>
          <w:szCs w:val="22"/>
          <w:highlight w:val="none"/>
          <w:u w:val="single"/>
          <w:lang w:eastAsia="zh-CN"/>
        </w:rPr>
        <w:t>南通市内河干线航道文物资源区域评估项目NTGX-WWPG1</w:t>
      </w:r>
      <w:r>
        <w:rPr>
          <w:rFonts w:hint="eastAsia" w:ascii="宋体" w:hAnsi="宋体" w:cs="Times New Roman"/>
          <w:color w:val="auto"/>
          <w:sz w:val="22"/>
          <w:szCs w:val="22"/>
          <w:highlight w:val="none"/>
          <w:u w:val="single"/>
        </w:rPr>
        <w:t>标段</w:t>
      </w:r>
      <w:bookmarkEnd w:id="18"/>
      <w:r>
        <w:rPr>
          <w:rFonts w:hint="eastAsia" w:ascii="宋体" w:hAnsi="宋体" w:cs="Times New Roman"/>
          <w:color w:val="auto"/>
          <w:sz w:val="22"/>
          <w:szCs w:val="22"/>
          <w:highlight w:val="none"/>
        </w:rPr>
        <w:t>进行国内公开招标，欢迎符合本项目资格要求的单位按招标文件规定的内容和时间要求，参加本项目的投标。</w:t>
      </w:r>
    </w:p>
    <w:p>
      <w:pPr>
        <w:keepNext w:val="0"/>
        <w:keepLines w:val="0"/>
        <w:pageBreakBefore w:val="0"/>
        <w:kinsoku/>
        <w:wordWrap w:val="0"/>
        <w:overflowPunct/>
        <w:topLinePunct w:val="0"/>
        <w:autoSpaceDE/>
        <w:autoSpaceDN/>
        <w:bidi w:val="0"/>
        <w:adjustRightInd/>
        <w:snapToGrid/>
        <w:spacing w:line="360" w:lineRule="auto"/>
        <w:ind w:firstLine="442" w:firstLineChars="200"/>
        <w:jc w:val="both"/>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2、项目概况与招标范围</w:t>
      </w:r>
    </w:p>
    <w:p>
      <w:pPr>
        <w:adjustRightInd w:val="0"/>
        <w:snapToGrid w:val="0"/>
        <w:spacing w:line="360" w:lineRule="auto"/>
        <w:ind w:firstLine="442" w:firstLineChars="200"/>
        <w:rPr>
          <w:rFonts w:hint="eastAsia" w:ascii="宋体" w:hAnsi="宋体" w:cs="Times New Roman"/>
          <w:b/>
          <w:bCs/>
          <w:color w:val="auto"/>
          <w:sz w:val="22"/>
          <w:szCs w:val="22"/>
          <w:highlight w:val="none"/>
        </w:rPr>
      </w:pPr>
      <w:bookmarkStart w:id="19" w:name="OLE_LINK13"/>
      <w:r>
        <w:rPr>
          <w:rFonts w:hint="eastAsia" w:ascii="宋体" w:hAnsi="宋体" w:cs="Times New Roman"/>
          <w:b/>
          <w:bCs/>
          <w:color w:val="auto"/>
          <w:sz w:val="22"/>
          <w:szCs w:val="22"/>
          <w:highlight w:val="none"/>
        </w:rPr>
        <w:t>2</w:t>
      </w:r>
      <w:r>
        <w:rPr>
          <w:rFonts w:ascii="宋体" w:hAnsi="宋体" w:cs="Times New Roman"/>
          <w:b/>
          <w:bCs/>
          <w:color w:val="auto"/>
          <w:sz w:val="22"/>
          <w:szCs w:val="22"/>
          <w:highlight w:val="none"/>
        </w:rPr>
        <w:t>.1</w:t>
      </w:r>
      <w:r>
        <w:rPr>
          <w:rFonts w:hint="eastAsia" w:ascii="宋体" w:hAnsi="宋体" w:cs="Times New Roman"/>
          <w:b/>
          <w:bCs/>
          <w:color w:val="auto"/>
          <w:sz w:val="22"/>
          <w:szCs w:val="22"/>
          <w:highlight w:val="none"/>
        </w:rPr>
        <w:t>项目概况</w:t>
      </w:r>
    </w:p>
    <w:p>
      <w:pPr>
        <w:numPr>
          <w:ilvl w:val="0"/>
          <w:numId w:val="0"/>
        </w:numPr>
        <w:adjustRightInd w:val="0"/>
        <w:snapToGrid w:val="0"/>
        <w:spacing w:line="360" w:lineRule="auto"/>
        <w:ind w:firstLine="442" w:firstLineChars="200"/>
        <w:rPr>
          <w:rFonts w:hint="eastAsia" w:ascii="宋体" w:hAnsi="宋体" w:cs="Times New Roman"/>
          <w:b/>
          <w:bCs/>
          <w:color w:val="auto"/>
          <w:kern w:val="2"/>
          <w:sz w:val="22"/>
          <w:szCs w:val="22"/>
          <w:highlight w:val="none"/>
          <w:lang w:val="en-US" w:eastAsia="zh-CN" w:bidi="ar-SA"/>
        </w:rPr>
      </w:pPr>
      <w:r>
        <w:rPr>
          <w:rFonts w:hint="eastAsia" w:ascii="宋体" w:hAnsi="宋体" w:cs="Times New Roman"/>
          <w:b/>
          <w:bCs/>
          <w:color w:val="auto"/>
          <w:kern w:val="2"/>
          <w:sz w:val="22"/>
          <w:szCs w:val="22"/>
          <w:highlight w:val="none"/>
          <w:lang w:val="en-US" w:eastAsia="zh-CN" w:bidi="ar-SA"/>
        </w:rPr>
        <w:t>（1）通扬线南通市区段（通栟线-幸福竖河段）航道整治工程</w:t>
      </w:r>
    </w:p>
    <w:p>
      <w:pPr>
        <w:numPr>
          <w:ilvl w:val="0"/>
          <w:numId w:val="0"/>
        </w:numPr>
        <w:adjustRightInd w:val="0"/>
        <w:snapToGrid w:val="0"/>
        <w:spacing w:line="360" w:lineRule="auto"/>
        <w:ind w:firstLine="440" w:firstLineChars="200"/>
        <w:rPr>
          <w:rFonts w:hint="eastAsia" w:ascii="宋体" w:hAnsi="宋体" w:eastAsia="宋体" w:cs="Times New Roman"/>
          <w:color w:val="auto"/>
          <w:sz w:val="22"/>
          <w:szCs w:val="22"/>
          <w:highlight w:val="none"/>
          <w:lang w:val="en-US" w:eastAsia="zh-CN"/>
        </w:rPr>
      </w:pPr>
      <w:r>
        <w:rPr>
          <w:rFonts w:hint="eastAsia" w:ascii="宋体" w:hAnsi="宋体" w:eastAsia="宋体" w:cs="Times New Roman"/>
          <w:color w:val="auto"/>
          <w:sz w:val="22"/>
          <w:szCs w:val="22"/>
          <w:highlight w:val="none"/>
          <w:lang w:val="en-US" w:eastAsia="zh-CN"/>
        </w:rPr>
        <w:t>按照三级航道标准建设，航道整治航道里程7.931公里</w:t>
      </w:r>
      <w:r>
        <w:rPr>
          <w:rFonts w:hint="eastAsia" w:ascii="宋体" w:hAnsi="宋体" w:eastAsia="宋体" w:cs="Times New Roman"/>
          <w:strike w:val="0"/>
          <w:dstrike w:val="0"/>
          <w:color w:val="auto"/>
          <w:sz w:val="22"/>
          <w:szCs w:val="22"/>
          <w:highlight w:val="none"/>
          <w:lang w:val="en-US" w:eastAsia="zh-CN"/>
        </w:rPr>
        <w:t>。新建树北中心路桥、亭平路桥2座</w:t>
      </w:r>
      <w:r>
        <w:rPr>
          <w:rFonts w:hint="eastAsia" w:ascii="宋体" w:hAnsi="宋体" w:eastAsia="宋体" w:cs="Times New Roman"/>
          <w:color w:val="auto"/>
          <w:sz w:val="22"/>
          <w:szCs w:val="22"/>
          <w:highlight w:val="none"/>
          <w:lang w:val="en-US" w:eastAsia="zh-CN"/>
        </w:rPr>
        <w:t>。（总面积约352128㎡，不含树北中心路桥、亭平路桥）</w:t>
      </w:r>
    </w:p>
    <w:p>
      <w:pPr>
        <w:numPr>
          <w:ilvl w:val="0"/>
          <w:numId w:val="0"/>
        </w:numPr>
        <w:adjustRightInd w:val="0"/>
        <w:snapToGrid w:val="0"/>
        <w:spacing w:line="360" w:lineRule="auto"/>
        <w:ind w:firstLine="442" w:firstLineChars="200"/>
        <w:rPr>
          <w:rFonts w:hint="default" w:ascii="宋体" w:hAnsi="宋体" w:eastAsia="宋体" w:cs="Times New Roman"/>
          <w:b/>
          <w:bCs/>
          <w:color w:val="auto"/>
          <w:kern w:val="2"/>
          <w:sz w:val="22"/>
          <w:szCs w:val="22"/>
          <w:highlight w:val="none"/>
          <w:lang w:val="en-US" w:eastAsia="zh-CN" w:bidi="ar-SA"/>
        </w:rPr>
      </w:pPr>
      <w:r>
        <w:rPr>
          <w:rFonts w:hint="eastAsia" w:ascii="宋体" w:hAnsi="宋体" w:eastAsia="宋体" w:cs="Times New Roman"/>
          <w:b/>
          <w:bCs/>
          <w:color w:val="auto"/>
          <w:kern w:val="2"/>
          <w:sz w:val="22"/>
          <w:szCs w:val="22"/>
          <w:highlight w:val="none"/>
          <w:lang w:val="en-US" w:eastAsia="zh-CN" w:bidi="ar-SA"/>
        </w:rPr>
        <w:t>（2）通扬线南通市区段（通扬运河—通栟线、幸福竖河—通吕运河）航道整治工程</w:t>
      </w:r>
    </w:p>
    <w:p>
      <w:pPr>
        <w:numPr>
          <w:ilvl w:val="0"/>
          <w:numId w:val="0"/>
        </w:numPr>
        <w:adjustRightInd w:val="0"/>
        <w:snapToGrid w:val="0"/>
        <w:spacing w:line="360" w:lineRule="auto"/>
        <w:ind w:firstLine="440" w:firstLineChars="200"/>
        <w:rPr>
          <w:rFonts w:hint="eastAsia" w:ascii="宋体" w:hAnsi="宋体" w:eastAsia="宋体" w:cs="Times New Roman"/>
          <w:color w:val="auto"/>
          <w:kern w:val="2"/>
          <w:sz w:val="22"/>
          <w:szCs w:val="22"/>
          <w:highlight w:val="none"/>
          <w:lang w:val="en-US" w:eastAsia="zh-CN" w:bidi="ar-SA"/>
        </w:rPr>
      </w:pPr>
      <w:r>
        <w:rPr>
          <w:rFonts w:hint="eastAsia" w:ascii="宋体" w:hAnsi="宋体" w:eastAsia="宋体" w:cs="Times New Roman"/>
          <w:b w:val="0"/>
          <w:bCs w:val="0"/>
          <w:color w:val="auto"/>
          <w:kern w:val="2"/>
          <w:sz w:val="22"/>
          <w:szCs w:val="22"/>
          <w:highlight w:val="none"/>
          <w:lang w:val="en-US" w:eastAsia="zh-CN" w:bidi="ar-SA"/>
        </w:rPr>
        <w:t>按照三级航道标准建设，</w:t>
      </w:r>
      <w:r>
        <w:rPr>
          <w:rFonts w:hint="eastAsia" w:ascii="宋体" w:hAnsi="宋体" w:eastAsia="宋体" w:cs="Times New Roman"/>
          <w:color w:val="auto"/>
          <w:kern w:val="2"/>
          <w:sz w:val="22"/>
          <w:szCs w:val="22"/>
          <w:highlight w:val="none"/>
          <w:lang w:val="en-US" w:eastAsia="zh-CN" w:bidi="ar-SA"/>
        </w:rPr>
        <w:t>本工程整治航道里程29.182公里(其中通扬运河至通栟线段整治里程8.925公里、幸福竖河至通吕运河段整治里程20.257公里)，新(改)建桥梁18座，新建停泊锚地和服务区各1处。（总面积约1822555㎡，其中崇川区面积约124775㎡，通州区面积约1697780㎡）</w:t>
      </w:r>
    </w:p>
    <w:p>
      <w:pPr>
        <w:numPr>
          <w:ilvl w:val="0"/>
          <w:numId w:val="0"/>
        </w:numPr>
        <w:adjustRightInd w:val="0"/>
        <w:snapToGrid w:val="0"/>
        <w:spacing w:line="360" w:lineRule="auto"/>
        <w:ind w:firstLine="442" w:firstLineChars="200"/>
        <w:rPr>
          <w:rFonts w:hint="default" w:ascii="宋体" w:hAnsi="宋体" w:eastAsia="宋体" w:cs="Times New Roman"/>
          <w:b/>
          <w:bCs/>
          <w:color w:val="auto"/>
          <w:kern w:val="2"/>
          <w:sz w:val="22"/>
          <w:szCs w:val="22"/>
          <w:highlight w:val="none"/>
          <w:lang w:val="en-US" w:eastAsia="zh-CN" w:bidi="ar-SA"/>
        </w:rPr>
      </w:pPr>
      <w:r>
        <w:rPr>
          <w:rFonts w:hint="eastAsia" w:ascii="宋体" w:hAnsi="宋体" w:eastAsia="宋体" w:cs="Times New Roman"/>
          <w:b/>
          <w:bCs/>
          <w:color w:val="auto"/>
          <w:kern w:val="2"/>
          <w:sz w:val="22"/>
          <w:szCs w:val="22"/>
          <w:highlight w:val="none"/>
          <w:lang w:val="en-US" w:eastAsia="zh-CN" w:bidi="ar-SA"/>
        </w:rPr>
        <w:t>（3）</w:t>
      </w:r>
      <w:r>
        <w:rPr>
          <w:rFonts w:hint="default" w:ascii="宋体" w:hAnsi="宋体" w:eastAsia="宋体" w:cs="Times New Roman"/>
          <w:b/>
          <w:bCs/>
          <w:color w:val="auto"/>
          <w:kern w:val="2"/>
          <w:sz w:val="22"/>
          <w:szCs w:val="22"/>
          <w:highlight w:val="none"/>
          <w:lang w:val="en-US" w:eastAsia="zh-CN" w:bidi="ar-SA"/>
        </w:rPr>
        <w:t>通扬线通吕运河段航道整治工程</w:t>
      </w:r>
    </w:p>
    <w:p>
      <w:pPr>
        <w:numPr>
          <w:ilvl w:val="0"/>
          <w:numId w:val="0"/>
        </w:numPr>
        <w:adjustRightInd w:val="0"/>
        <w:snapToGrid w:val="0"/>
        <w:spacing w:line="360" w:lineRule="auto"/>
        <w:ind w:firstLine="440" w:firstLineChars="200"/>
        <w:rPr>
          <w:rFonts w:hint="default" w:ascii="宋体" w:hAnsi="宋体" w:eastAsia="宋体" w:cs="Times New Roman"/>
          <w:color w:val="auto"/>
          <w:sz w:val="22"/>
          <w:szCs w:val="22"/>
          <w:highlight w:val="none"/>
          <w:lang w:val="en-US" w:eastAsia="zh-CN"/>
        </w:rPr>
      </w:pPr>
      <w:r>
        <w:rPr>
          <w:rFonts w:hint="default" w:ascii="宋体" w:hAnsi="宋体" w:eastAsia="宋体" w:cs="Times New Roman"/>
          <w:color w:val="auto"/>
          <w:sz w:val="22"/>
          <w:szCs w:val="22"/>
          <w:highlight w:val="none"/>
          <w:lang w:val="en-US" w:eastAsia="zh-CN"/>
        </w:rPr>
        <w:t>按</w:t>
      </w:r>
      <w:r>
        <w:rPr>
          <w:rFonts w:hint="eastAsia" w:ascii="宋体" w:hAnsi="宋体" w:eastAsia="宋体" w:cs="Times New Roman"/>
          <w:color w:val="auto"/>
          <w:sz w:val="22"/>
          <w:szCs w:val="22"/>
          <w:highlight w:val="none"/>
          <w:lang w:val="en-US" w:eastAsia="zh-CN"/>
        </w:rPr>
        <w:t>照三</w:t>
      </w:r>
      <w:r>
        <w:rPr>
          <w:rFonts w:hint="default" w:ascii="宋体" w:hAnsi="宋体" w:eastAsia="宋体" w:cs="Times New Roman"/>
          <w:color w:val="auto"/>
          <w:sz w:val="22"/>
          <w:szCs w:val="22"/>
          <w:highlight w:val="none"/>
          <w:lang w:val="en-US" w:eastAsia="zh-CN"/>
        </w:rPr>
        <w:t>级航道标准建设，整治里程58.254km</w:t>
      </w:r>
      <w:r>
        <w:rPr>
          <w:rFonts w:hint="eastAsia" w:ascii="宋体" w:hAnsi="宋体" w:eastAsia="宋体" w:cs="Times New Roman"/>
          <w:color w:val="auto"/>
          <w:sz w:val="22"/>
          <w:szCs w:val="22"/>
          <w:highlight w:val="none"/>
          <w:lang w:val="en-US" w:eastAsia="zh-CN"/>
        </w:rPr>
        <w:t>，改建沿线跨航道桥梁13座。</w:t>
      </w:r>
      <w:r>
        <w:rPr>
          <w:rFonts w:hint="default" w:ascii="宋体" w:hAnsi="宋体" w:eastAsia="宋体" w:cs="Times New Roman"/>
          <w:color w:val="auto"/>
          <w:sz w:val="22"/>
          <w:szCs w:val="22"/>
          <w:highlight w:val="none"/>
          <w:lang w:val="en-US" w:eastAsia="zh-CN"/>
        </w:rPr>
        <w:t>（总面积约189706㎡，</w:t>
      </w:r>
      <w:r>
        <w:rPr>
          <w:rFonts w:hint="eastAsia" w:ascii="宋体" w:hAnsi="宋体" w:eastAsia="宋体" w:cs="Times New Roman"/>
          <w:color w:val="auto"/>
          <w:sz w:val="22"/>
          <w:szCs w:val="22"/>
          <w:highlight w:val="none"/>
          <w:lang w:val="en-US" w:eastAsia="zh-CN"/>
        </w:rPr>
        <w:t>其中海门段面积约119207㎡，启东段面积约70499㎡，</w:t>
      </w:r>
      <w:r>
        <w:rPr>
          <w:rFonts w:hint="default" w:ascii="宋体" w:hAnsi="宋体" w:eastAsia="宋体" w:cs="Times New Roman"/>
          <w:color w:val="auto"/>
          <w:sz w:val="22"/>
          <w:szCs w:val="22"/>
          <w:highlight w:val="none"/>
          <w:lang w:val="en-US" w:eastAsia="zh-CN"/>
        </w:rPr>
        <w:t>不含通州段）</w:t>
      </w:r>
    </w:p>
    <w:p>
      <w:pPr>
        <w:numPr>
          <w:ilvl w:val="0"/>
          <w:numId w:val="0"/>
        </w:numPr>
        <w:adjustRightInd w:val="0"/>
        <w:snapToGrid w:val="0"/>
        <w:spacing w:line="360" w:lineRule="auto"/>
        <w:ind w:firstLine="442" w:firstLineChars="200"/>
        <w:rPr>
          <w:rFonts w:hint="default" w:ascii="宋体" w:hAnsi="宋体" w:eastAsia="宋体" w:cs="Times New Roman"/>
          <w:b/>
          <w:bCs/>
          <w:color w:val="auto"/>
          <w:kern w:val="2"/>
          <w:sz w:val="22"/>
          <w:szCs w:val="22"/>
          <w:highlight w:val="none"/>
          <w:lang w:val="en-US" w:eastAsia="zh-CN" w:bidi="ar-SA"/>
        </w:rPr>
      </w:pPr>
      <w:r>
        <w:rPr>
          <w:rFonts w:hint="eastAsia" w:ascii="宋体" w:hAnsi="宋体" w:eastAsia="宋体" w:cs="Times New Roman"/>
          <w:b/>
          <w:bCs/>
          <w:color w:val="auto"/>
          <w:kern w:val="2"/>
          <w:sz w:val="22"/>
          <w:szCs w:val="22"/>
          <w:highlight w:val="none"/>
          <w:lang w:val="en-US" w:eastAsia="zh-CN" w:bidi="ar-SA"/>
        </w:rPr>
        <w:t>（4）通海港区至通州湾港区疏港航道整治工程</w:t>
      </w:r>
    </w:p>
    <w:p>
      <w:pPr>
        <w:numPr>
          <w:ilvl w:val="0"/>
          <w:numId w:val="0"/>
        </w:numPr>
        <w:adjustRightInd w:val="0"/>
        <w:snapToGrid w:val="0"/>
        <w:spacing w:line="360" w:lineRule="auto"/>
        <w:ind w:firstLine="440" w:firstLineChars="200"/>
        <w:rPr>
          <w:rFonts w:hint="eastAsia" w:ascii="宋体" w:hAnsi="宋体" w:eastAsia="宋体" w:cs="Times New Roman"/>
          <w:color w:val="auto"/>
          <w:sz w:val="22"/>
          <w:szCs w:val="22"/>
          <w:highlight w:val="none"/>
          <w:lang w:val="en-US" w:eastAsia="zh-CN"/>
        </w:rPr>
      </w:pPr>
      <w:r>
        <w:rPr>
          <w:rFonts w:hint="eastAsia" w:ascii="宋体" w:hAnsi="宋体" w:eastAsia="宋体" w:cs="Times New Roman"/>
          <w:color w:val="auto"/>
          <w:sz w:val="22"/>
          <w:szCs w:val="22"/>
          <w:highlight w:val="none"/>
          <w:lang w:val="en-US" w:eastAsia="zh-CN"/>
        </w:rPr>
        <w:t>按照三级航道标准建设。通海港区-通州湾港区疏港航道由新江海河、通吕运河、东灶新河组成，整治里程约33.9公里，其中新江海河段28.6公里，东灶新河段5.3公里，不含与通扬线航道共线段通吕运河段。新建新江海河船闸1座，改建双桥枢纽1座，改建、新建桥梁9座。（总面积约624064㎡，其中苏锡通段约64778㎡，通州段约195238㎡，海门段约364048㎡）</w:t>
      </w:r>
    </w:p>
    <w:p>
      <w:pPr>
        <w:keepNext w:val="0"/>
        <w:keepLines w:val="0"/>
        <w:pageBreakBefore w:val="0"/>
        <w:widowControl w:val="0"/>
        <w:kinsoku w:val="0"/>
        <w:wordWrap/>
        <w:overflowPunct/>
        <w:topLinePunct w:val="0"/>
        <w:autoSpaceDE w:val="0"/>
        <w:autoSpaceDN w:val="0"/>
        <w:bidi w:val="0"/>
        <w:adjustRightInd/>
        <w:snapToGrid/>
        <w:spacing w:line="360" w:lineRule="auto"/>
        <w:ind w:firstLine="440" w:firstLineChars="200"/>
        <w:jc w:val="left"/>
        <w:textAlignment w:val="auto"/>
        <w:rPr>
          <w:rFonts w:hint="default" w:ascii="宋体" w:hAnsi="宋体" w:eastAsia="宋体" w:cs="Times New Roman"/>
          <w:b/>
          <w:bCs/>
          <w:color w:val="auto"/>
          <w:kern w:val="2"/>
          <w:sz w:val="22"/>
          <w:szCs w:val="22"/>
          <w:highlight w:val="none"/>
          <w:lang w:val="en-US" w:eastAsia="zh-CN" w:bidi="ar-SA"/>
        </w:rPr>
      </w:pPr>
      <w:r>
        <w:rPr>
          <w:rFonts w:hint="eastAsia" w:ascii="宋体" w:hAnsi="宋体" w:eastAsia="宋体" w:cs="Times New Roman"/>
          <w:b w:val="0"/>
          <w:bCs w:val="0"/>
          <w:color w:val="auto"/>
          <w:kern w:val="2"/>
          <w:sz w:val="22"/>
          <w:szCs w:val="22"/>
          <w:highlight w:val="none"/>
          <w:u w:val="none"/>
          <w:lang w:val="en-US" w:eastAsia="zh-CN" w:bidi="ar-SA"/>
        </w:rPr>
        <w:t>本次招标面积合计约</w:t>
      </w:r>
      <w:r>
        <w:rPr>
          <w:rFonts w:hint="eastAsia" w:ascii="宋体" w:hAnsi="宋体" w:eastAsia="宋体" w:cs="Times New Roman"/>
          <w:b/>
          <w:bCs/>
          <w:color w:val="auto"/>
          <w:kern w:val="2"/>
          <w:sz w:val="22"/>
          <w:szCs w:val="22"/>
          <w:highlight w:val="none"/>
          <w:u w:val="single"/>
          <w:lang w:val="en-US" w:eastAsia="zh-CN" w:bidi="ar-SA"/>
        </w:rPr>
        <w:t xml:space="preserve"> 2988453 </w:t>
      </w:r>
      <w:r>
        <w:rPr>
          <w:rFonts w:hint="eastAsia" w:ascii="宋体" w:hAnsi="宋体" w:eastAsia="宋体" w:cs="Times New Roman"/>
          <w:b w:val="0"/>
          <w:bCs w:val="0"/>
          <w:color w:val="auto"/>
          <w:kern w:val="2"/>
          <w:sz w:val="22"/>
          <w:szCs w:val="22"/>
          <w:highlight w:val="none"/>
          <w:lang w:val="en-US" w:eastAsia="zh-CN" w:bidi="ar-SA"/>
        </w:rPr>
        <w:t>㎡</w:t>
      </w:r>
    </w:p>
    <w:p>
      <w:pPr>
        <w:adjustRightInd w:val="0"/>
        <w:snapToGrid w:val="0"/>
        <w:spacing w:line="360" w:lineRule="auto"/>
        <w:ind w:firstLine="442" w:firstLineChars="200"/>
        <w:rPr>
          <w:rFonts w:hint="eastAsia" w:ascii="宋体" w:hAnsi="宋体" w:cs="Times New Roman"/>
          <w:b/>
          <w:bCs/>
          <w:color w:val="auto"/>
          <w:sz w:val="22"/>
          <w:szCs w:val="22"/>
          <w:highlight w:val="none"/>
        </w:rPr>
      </w:pPr>
      <w:r>
        <w:rPr>
          <w:rFonts w:hint="eastAsia" w:ascii="宋体" w:hAnsi="宋体" w:cs="Times New Roman"/>
          <w:b/>
          <w:bCs/>
          <w:color w:val="auto"/>
          <w:sz w:val="22"/>
          <w:szCs w:val="22"/>
          <w:highlight w:val="none"/>
        </w:rPr>
        <w:t>2.</w:t>
      </w:r>
      <w:r>
        <w:rPr>
          <w:rFonts w:ascii="宋体" w:hAnsi="宋体" w:cs="Times New Roman"/>
          <w:b/>
          <w:bCs/>
          <w:color w:val="auto"/>
          <w:sz w:val="22"/>
          <w:szCs w:val="22"/>
          <w:highlight w:val="none"/>
        </w:rPr>
        <w:t>2</w:t>
      </w:r>
      <w:r>
        <w:rPr>
          <w:rFonts w:hint="eastAsia" w:ascii="宋体" w:hAnsi="宋体" w:cs="Times New Roman"/>
          <w:b/>
          <w:bCs/>
          <w:color w:val="auto"/>
          <w:sz w:val="22"/>
          <w:szCs w:val="22"/>
          <w:highlight w:val="none"/>
        </w:rPr>
        <w:t>招标范围</w:t>
      </w:r>
    </w:p>
    <w:p>
      <w:pPr>
        <w:numPr>
          <w:ilvl w:val="0"/>
          <w:numId w:val="0"/>
        </w:numPr>
        <w:adjustRightInd w:val="0"/>
        <w:snapToGrid w:val="0"/>
        <w:spacing w:line="360" w:lineRule="auto"/>
        <w:ind w:firstLine="440" w:firstLineChars="200"/>
        <w:rPr>
          <w:rFonts w:hint="eastAsia" w:ascii="宋体" w:hAnsi="宋体" w:eastAsia="宋体" w:cs="Times New Roman"/>
          <w:b w:val="0"/>
          <w:bCs w:val="0"/>
          <w:color w:val="auto"/>
          <w:kern w:val="2"/>
          <w:sz w:val="22"/>
          <w:szCs w:val="22"/>
          <w:highlight w:val="none"/>
          <w:lang w:val="en-US" w:eastAsia="zh-CN" w:bidi="ar-SA"/>
        </w:rPr>
      </w:pPr>
      <w:bookmarkStart w:id="20" w:name="OLE_LINK2"/>
      <w:r>
        <w:rPr>
          <w:rFonts w:hint="eastAsia" w:ascii="宋体" w:hAnsi="宋体" w:eastAsia="宋体" w:cs="Times New Roman"/>
          <w:b w:val="0"/>
          <w:bCs w:val="0"/>
          <w:color w:val="auto"/>
          <w:kern w:val="2"/>
          <w:sz w:val="22"/>
          <w:szCs w:val="22"/>
          <w:highlight w:val="none"/>
          <w:lang w:val="en-US" w:eastAsia="zh-CN" w:bidi="ar-SA"/>
        </w:rPr>
        <w:t>本次招标共设1个标段，即NTGX-WWPG1标段，主要工作内容为（包括但不限于）：</w:t>
      </w:r>
    </w:p>
    <w:p>
      <w:pPr>
        <w:numPr>
          <w:ilvl w:val="0"/>
          <w:numId w:val="0"/>
        </w:numPr>
        <w:adjustRightInd w:val="0"/>
        <w:snapToGrid w:val="0"/>
        <w:spacing w:line="360" w:lineRule="auto"/>
        <w:ind w:firstLine="440" w:firstLineChars="200"/>
        <w:rPr>
          <w:rFonts w:hint="eastAsia" w:ascii="宋体" w:hAnsi="宋体" w:eastAsia="宋体" w:cs="Times New Roman"/>
          <w:b w:val="0"/>
          <w:bCs w:val="0"/>
          <w:color w:val="auto"/>
          <w:kern w:val="2"/>
          <w:sz w:val="22"/>
          <w:szCs w:val="22"/>
          <w:highlight w:val="none"/>
          <w:lang w:val="en-US" w:eastAsia="zh-CN" w:bidi="ar-SA"/>
        </w:rPr>
      </w:pPr>
      <w:r>
        <w:rPr>
          <w:rFonts w:hint="eastAsia" w:ascii="宋体" w:hAnsi="宋体" w:eastAsia="宋体" w:cs="Times New Roman"/>
          <w:b w:val="0"/>
          <w:bCs w:val="0"/>
          <w:color w:val="auto"/>
          <w:kern w:val="2"/>
          <w:sz w:val="22"/>
          <w:szCs w:val="22"/>
          <w:highlight w:val="none"/>
          <w:lang w:val="en-US" w:eastAsia="zh-CN" w:bidi="ar-SA"/>
        </w:rPr>
        <w:t>在对南通市内河干线航道资源区域现场踏勘的基础上，对南通市内河干线航道的现状等特点进行初步分析，确定论证范围、论证内容和要求，编制论证工作方案。通过现场测试、资料收集和处理，开展论证分析，组织考古调查勘探，编制文物资源区域评估报告，给出论证结论。形成的最终调查报告，需通过江苏省文物局组织的审核，取得批复文件，同时还应开展后期服务，包括论证报告结论的应用解释、与其他评价报告结论的衔接等。具体要求详见招标文件第五章发包人要求。</w:t>
      </w:r>
    </w:p>
    <w:p>
      <w:pPr>
        <w:adjustRightInd w:val="0"/>
        <w:snapToGrid w:val="0"/>
        <w:spacing w:line="360" w:lineRule="auto"/>
        <w:ind w:firstLine="442" w:firstLineChars="200"/>
        <w:rPr>
          <w:rFonts w:hint="eastAsia" w:ascii="宋体" w:hAnsi="宋体" w:cs="Times New Roman"/>
          <w:b/>
          <w:bCs/>
          <w:color w:val="auto"/>
          <w:sz w:val="22"/>
          <w:szCs w:val="22"/>
          <w:highlight w:val="none"/>
        </w:rPr>
      </w:pPr>
      <w:r>
        <w:rPr>
          <w:rFonts w:hint="eastAsia" w:ascii="宋体" w:hAnsi="宋体" w:cs="Times New Roman"/>
          <w:b/>
          <w:bCs/>
          <w:color w:val="auto"/>
          <w:sz w:val="22"/>
          <w:szCs w:val="22"/>
          <w:highlight w:val="none"/>
        </w:rPr>
        <w:t>2.3服务期</w:t>
      </w:r>
    </w:p>
    <w:bookmarkEnd w:id="19"/>
    <w:bookmarkEnd w:id="20"/>
    <w:p>
      <w:pPr>
        <w:wordWrap w:val="0"/>
        <w:adjustRightInd w:val="0"/>
        <w:snapToGrid w:val="0"/>
        <w:spacing w:line="360" w:lineRule="auto"/>
        <w:ind w:firstLine="440" w:firstLineChars="200"/>
        <w:rPr>
          <w:rFonts w:hint="eastAsia" w:ascii="宋体" w:hAnsi="宋体" w:eastAsia="宋体" w:cs="Times New Roman"/>
          <w:color w:val="auto"/>
          <w:sz w:val="22"/>
          <w:szCs w:val="22"/>
          <w:highlight w:val="none"/>
          <w:lang w:eastAsia="zh-CN"/>
        </w:rPr>
      </w:pPr>
      <w:r>
        <w:rPr>
          <w:rFonts w:hint="eastAsia" w:ascii="宋体" w:hAnsi="宋体" w:eastAsia="宋体" w:cs="Times New Roman"/>
          <w:color w:val="auto"/>
          <w:sz w:val="22"/>
          <w:szCs w:val="22"/>
          <w:highlight w:val="none"/>
          <w:lang w:val="en-US" w:eastAsia="zh-CN"/>
        </w:rPr>
        <w:t>①</w:t>
      </w:r>
      <w:r>
        <w:rPr>
          <w:rFonts w:hint="eastAsia" w:ascii="宋体" w:hAnsi="宋体" w:eastAsia="宋体" w:cs="Times New Roman"/>
          <w:color w:val="auto"/>
          <w:sz w:val="22"/>
          <w:szCs w:val="22"/>
          <w:highlight w:val="none"/>
        </w:rPr>
        <w:t>合同签订后甲方签发指令</w:t>
      </w:r>
      <w:r>
        <w:rPr>
          <w:rFonts w:hint="eastAsia" w:ascii="宋体" w:hAnsi="宋体" w:eastAsia="宋体" w:cs="Times New Roman"/>
          <w:color w:val="auto"/>
          <w:sz w:val="22"/>
          <w:szCs w:val="22"/>
          <w:highlight w:val="none"/>
          <w:lang w:val="en-US" w:eastAsia="zh-CN"/>
        </w:rPr>
        <w:t>50</w:t>
      </w:r>
      <w:r>
        <w:rPr>
          <w:rFonts w:hint="eastAsia" w:ascii="宋体" w:hAnsi="宋体" w:eastAsia="宋体" w:cs="Times New Roman"/>
          <w:color w:val="auto"/>
          <w:sz w:val="22"/>
          <w:szCs w:val="22"/>
          <w:highlight w:val="none"/>
        </w:rPr>
        <w:t>日内完成文物资源</w:t>
      </w:r>
      <w:r>
        <w:rPr>
          <w:rFonts w:hint="eastAsia" w:ascii="宋体" w:hAnsi="宋体" w:eastAsia="宋体" w:cs="Times New Roman"/>
          <w:color w:val="auto"/>
          <w:sz w:val="22"/>
          <w:szCs w:val="22"/>
          <w:highlight w:val="none"/>
          <w:lang w:val="en-US" w:eastAsia="zh-CN"/>
        </w:rPr>
        <w:t>区域</w:t>
      </w:r>
      <w:r>
        <w:rPr>
          <w:rFonts w:hint="eastAsia" w:ascii="宋体" w:hAnsi="宋体" w:eastAsia="宋体" w:cs="Times New Roman"/>
          <w:color w:val="auto"/>
          <w:sz w:val="22"/>
          <w:szCs w:val="22"/>
          <w:highlight w:val="none"/>
        </w:rPr>
        <w:t>评估工作</w:t>
      </w:r>
      <w:r>
        <w:rPr>
          <w:rFonts w:hint="eastAsia" w:ascii="宋体" w:hAnsi="宋体" w:eastAsia="宋体" w:cs="Times New Roman"/>
          <w:color w:val="auto"/>
          <w:sz w:val="22"/>
          <w:szCs w:val="22"/>
          <w:highlight w:val="none"/>
          <w:lang w:eastAsia="zh-CN"/>
        </w:rPr>
        <w:t>；</w:t>
      </w:r>
    </w:p>
    <w:p>
      <w:pPr>
        <w:wordWrap w:val="0"/>
        <w:adjustRightInd w:val="0"/>
        <w:snapToGrid w:val="0"/>
        <w:spacing w:line="360" w:lineRule="auto"/>
        <w:ind w:firstLine="440" w:firstLineChars="200"/>
        <w:rPr>
          <w:rFonts w:hint="eastAsia" w:ascii="宋体" w:hAnsi="宋体" w:eastAsia="宋体" w:cs="Times New Roman"/>
          <w:color w:val="auto"/>
          <w:sz w:val="22"/>
          <w:szCs w:val="22"/>
          <w:highlight w:val="none"/>
        </w:rPr>
      </w:pPr>
      <w:r>
        <w:rPr>
          <w:rFonts w:hint="eastAsia" w:ascii="宋体" w:hAnsi="宋体" w:eastAsia="宋体" w:cs="Times New Roman"/>
          <w:color w:val="auto"/>
          <w:sz w:val="22"/>
          <w:szCs w:val="22"/>
          <w:highlight w:val="none"/>
          <w:lang w:val="en-US" w:eastAsia="zh-CN"/>
        </w:rPr>
        <w:t>②合同签订后甲方签发指令60日内通过江苏省文物局验收并取得批复</w:t>
      </w:r>
      <w:r>
        <w:rPr>
          <w:rFonts w:hint="eastAsia" w:ascii="宋体" w:hAnsi="宋体" w:eastAsia="宋体" w:cs="Times New Roman"/>
          <w:color w:val="auto"/>
          <w:sz w:val="22"/>
          <w:szCs w:val="22"/>
          <w:highlight w:val="none"/>
        </w:rPr>
        <w:t>。</w:t>
      </w:r>
    </w:p>
    <w:p>
      <w:pPr>
        <w:keepNext w:val="0"/>
        <w:keepLines w:val="0"/>
        <w:pageBreakBefore w:val="0"/>
        <w:widowControl w:val="0"/>
        <w:kinsoku/>
        <w:overflowPunct/>
        <w:topLinePunct w:val="0"/>
        <w:autoSpaceDE/>
        <w:autoSpaceDN/>
        <w:bidi w:val="0"/>
        <w:adjustRightInd/>
        <w:snapToGrid/>
        <w:spacing w:line="360" w:lineRule="auto"/>
        <w:ind w:left="0" w:leftChars="0"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Times New Roman"/>
          <w:b/>
          <w:bCs/>
          <w:color w:val="auto"/>
          <w:sz w:val="22"/>
          <w:szCs w:val="22"/>
          <w:highlight w:val="none"/>
        </w:rPr>
        <w:t>如遇重要考古发现经</w:t>
      </w:r>
      <w:r>
        <w:rPr>
          <w:rFonts w:hint="eastAsia" w:ascii="宋体" w:hAnsi="宋体" w:eastAsia="宋体" w:cs="Times New Roman"/>
          <w:b/>
          <w:bCs/>
          <w:color w:val="auto"/>
          <w:sz w:val="22"/>
          <w:szCs w:val="22"/>
          <w:highlight w:val="none"/>
          <w:lang w:eastAsia="zh-CN"/>
        </w:rPr>
        <w:t>发包人</w:t>
      </w:r>
      <w:r>
        <w:rPr>
          <w:rFonts w:hint="eastAsia" w:ascii="宋体" w:hAnsi="宋体" w:eastAsia="宋体" w:cs="Times New Roman"/>
          <w:b/>
          <w:bCs/>
          <w:color w:val="auto"/>
          <w:sz w:val="22"/>
          <w:szCs w:val="22"/>
          <w:highlight w:val="none"/>
        </w:rPr>
        <w:t>确认后可适当顺延</w:t>
      </w:r>
      <w:r>
        <w:rPr>
          <w:rFonts w:hint="eastAsia" w:ascii="宋体" w:hAnsi="宋体" w:eastAsia="宋体" w:cs="Times New Roman"/>
          <w:b/>
          <w:bCs/>
          <w:color w:val="auto"/>
          <w:sz w:val="22"/>
          <w:szCs w:val="22"/>
          <w:highlight w:val="none"/>
          <w:lang w:eastAsia="zh-CN"/>
        </w:rPr>
        <w:t>，</w:t>
      </w:r>
      <w:r>
        <w:rPr>
          <w:rFonts w:hint="eastAsia" w:ascii="宋体" w:hAnsi="宋体" w:eastAsia="宋体" w:cs="Times New Roman"/>
          <w:b/>
          <w:bCs/>
          <w:color w:val="auto"/>
          <w:sz w:val="22"/>
          <w:szCs w:val="22"/>
          <w:highlight w:val="none"/>
        </w:rPr>
        <w:t>实际工作周期可能调整，承包人应服从发包人的统一工作安排。</w:t>
      </w:r>
    </w:p>
    <w:p>
      <w:pPr>
        <w:keepNext w:val="0"/>
        <w:keepLines w:val="0"/>
        <w:pageBreakBefore w:val="0"/>
        <w:kinsoku/>
        <w:overflowPunct/>
        <w:topLinePunct w:val="0"/>
        <w:autoSpaceDE/>
        <w:autoSpaceDN/>
        <w:bidi w:val="0"/>
        <w:adjustRightInd/>
        <w:snapToGrid/>
        <w:spacing w:line="360" w:lineRule="auto"/>
        <w:ind w:firstLine="442" w:firstLineChars="200"/>
        <w:jc w:val="both"/>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3</w:t>
      </w:r>
      <w:r>
        <w:rPr>
          <w:rFonts w:hint="eastAsia" w:ascii="宋体" w:hAnsi="宋体" w:eastAsia="宋体" w:cs="宋体"/>
          <w:b/>
          <w:bCs/>
          <w:color w:val="auto"/>
          <w:sz w:val="22"/>
          <w:szCs w:val="22"/>
          <w:highlight w:val="none"/>
          <w:lang w:eastAsia="zh-CN"/>
        </w:rPr>
        <w:t>、</w:t>
      </w:r>
      <w:r>
        <w:rPr>
          <w:rFonts w:hint="eastAsia" w:ascii="宋体" w:hAnsi="宋体" w:eastAsia="宋体" w:cs="宋体"/>
          <w:b/>
          <w:bCs/>
          <w:color w:val="auto"/>
          <w:sz w:val="22"/>
          <w:szCs w:val="22"/>
          <w:highlight w:val="none"/>
        </w:rPr>
        <w:t>投标人资格要求</w:t>
      </w:r>
    </w:p>
    <w:p>
      <w:pPr>
        <w:keepNext w:val="0"/>
        <w:keepLines w:val="0"/>
        <w:pageBreakBefore w:val="0"/>
        <w:kinsoku/>
        <w:overflowPunct/>
        <w:topLinePunct w:val="0"/>
        <w:autoSpaceDE/>
        <w:autoSpaceDN/>
        <w:bidi w:val="0"/>
        <w:adjustRightInd/>
        <w:snapToGrid/>
        <w:spacing w:line="360" w:lineRule="auto"/>
        <w:ind w:firstLine="442" w:firstLineChars="200"/>
        <w:jc w:val="both"/>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3.1资质要求：</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bCs/>
          <w:color w:val="auto"/>
          <w:sz w:val="22"/>
          <w:szCs w:val="22"/>
          <w:highlight w:val="none"/>
        </w:rPr>
        <w:t>投标人</w:t>
      </w:r>
      <w:r>
        <w:rPr>
          <w:rFonts w:hint="eastAsia" w:ascii="宋体" w:hAnsi="宋体" w:eastAsia="宋体" w:cs="宋体"/>
          <w:color w:val="auto"/>
          <w:sz w:val="22"/>
          <w:szCs w:val="22"/>
          <w:highlight w:val="none"/>
          <w:lang w:val="en-US" w:eastAsia="zh-CN"/>
        </w:rPr>
        <w:t>应</w:t>
      </w:r>
      <w:r>
        <w:rPr>
          <w:rFonts w:hint="eastAsia" w:ascii="宋体" w:hAnsi="宋体" w:eastAsia="宋体" w:cs="宋体"/>
          <w:color w:val="auto"/>
          <w:sz w:val="22"/>
          <w:szCs w:val="22"/>
          <w:highlight w:val="none"/>
        </w:rPr>
        <w:t>为独立企业法人或事业法人，具有</w:t>
      </w:r>
      <w:r>
        <w:rPr>
          <w:rFonts w:hint="eastAsia" w:ascii="宋体" w:hAnsi="宋体" w:eastAsia="宋体" w:cs="宋体"/>
          <w:color w:val="auto"/>
          <w:sz w:val="22"/>
          <w:szCs w:val="22"/>
          <w:highlight w:val="none"/>
          <w:lang w:val="en-US" w:eastAsia="zh-CN"/>
        </w:rPr>
        <w:t>有效的</w:t>
      </w:r>
      <w:r>
        <w:rPr>
          <w:rFonts w:hint="eastAsia" w:ascii="宋体" w:hAnsi="宋体" w:eastAsia="宋体" w:cs="宋体"/>
          <w:color w:val="auto"/>
          <w:sz w:val="22"/>
          <w:szCs w:val="22"/>
          <w:highlight w:val="none"/>
        </w:rPr>
        <w:t>企业法人营业执照或事业单位法人证书</w:t>
      </w:r>
      <w:r>
        <w:rPr>
          <w:rFonts w:hint="eastAsia" w:ascii="宋体" w:hAnsi="宋体" w:eastAsia="宋体" w:cs="宋体"/>
          <w:bCs/>
          <w:color w:val="auto"/>
          <w:sz w:val="22"/>
          <w:szCs w:val="22"/>
          <w:highlight w:val="none"/>
        </w:rPr>
        <w:t>。</w:t>
      </w:r>
      <w:r>
        <w:rPr>
          <w:rFonts w:hint="eastAsia" w:ascii="宋体" w:hAnsi="宋体" w:eastAsia="宋体" w:cs="宋体"/>
          <w:color w:val="auto"/>
          <w:sz w:val="22"/>
          <w:szCs w:val="22"/>
          <w:highlight w:val="none"/>
          <w:lang w:bidi="ar"/>
        </w:rPr>
        <w:t xml:space="preserve"> </w:t>
      </w:r>
    </w:p>
    <w:p>
      <w:pPr>
        <w:keepNext w:val="0"/>
        <w:keepLines w:val="0"/>
        <w:pageBreakBefore w:val="0"/>
        <w:kinsoku/>
        <w:overflowPunct/>
        <w:topLinePunct w:val="0"/>
        <w:autoSpaceDE/>
        <w:autoSpaceDN/>
        <w:bidi w:val="0"/>
        <w:adjustRightInd/>
        <w:snapToGrid/>
        <w:spacing w:line="360" w:lineRule="auto"/>
        <w:ind w:firstLine="442" w:firstLineChars="200"/>
        <w:jc w:val="both"/>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3.2信誉要求：</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①截止递交</w:t>
      </w:r>
      <w:r>
        <w:rPr>
          <w:rFonts w:hint="eastAsia" w:ascii="宋体" w:hAnsi="宋体" w:eastAsia="宋体" w:cs="宋体"/>
          <w:bCs/>
          <w:color w:val="auto"/>
          <w:sz w:val="22"/>
          <w:szCs w:val="22"/>
          <w:highlight w:val="none"/>
        </w:rPr>
        <w:t>投标</w:t>
      </w:r>
      <w:r>
        <w:rPr>
          <w:rFonts w:hint="eastAsia" w:ascii="宋体" w:hAnsi="宋体" w:eastAsia="宋体" w:cs="宋体"/>
          <w:color w:val="auto"/>
          <w:sz w:val="22"/>
          <w:szCs w:val="22"/>
          <w:highlight w:val="none"/>
        </w:rPr>
        <w:t>文件当日，未在“信用中国”网站（http://www.creditchina.gov.cn/）中被列为失信被执行人；</w:t>
      </w:r>
    </w:p>
    <w:p>
      <w:pPr>
        <w:keepNext w:val="0"/>
        <w:keepLines w:val="0"/>
        <w:pageBreakBefore w:val="0"/>
        <w:kinsoku/>
        <w:wordWrap w:val="0"/>
        <w:overflowPunct/>
        <w:topLinePunct w:val="0"/>
        <w:autoSpaceDE/>
        <w:autoSpaceDN/>
        <w:bidi w:val="0"/>
        <w:adjustRightInd/>
        <w:snapToGrid/>
        <w:spacing w:line="360" w:lineRule="auto"/>
        <w:ind w:firstLine="440" w:firstLineChars="200"/>
        <w:jc w:val="both"/>
        <w:textAlignment w:val="auto"/>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rPr>
        <w:t>②截止递交</w:t>
      </w:r>
      <w:r>
        <w:rPr>
          <w:rFonts w:hint="eastAsia" w:ascii="宋体" w:hAnsi="宋体" w:eastAsia="宋体" w:cs="宋体"/>
          <w:bCs/>
          <w:color w:val="auto"/>
          <w:sz w:val="22"/>
          <w:szCs w:val="22"/>
          <w:highlight w:val="none"/>
        </w:rPr>
        <w:t>投标</w:t>
      </w:r>
      <w:r>
        <w:rPr>
          <w:rFonts w:hint="eastAsia" w:ascii="宋体" w:hAnsi="宋体" w:eastAsia="宋体" w:cs="宋体"/>
          <w:color w:val="auto"/>
          <w:sz w:val="22"/>
          <w:szCs w:val="22"/>
          <w:highlight w:val="none"/>
        </w:rPr>
        <w:t>文件当日，未在国家企业信用信息公示系统（http://www.gsxt.gov.cn/）中被列入严重违法失信企业名单</w:t>
      </w:r>
      <w:r>
        <w:rPr>
          <w:rFonts w:hint="eastAsia" w:ascii="宋体" w:hAnsi="宋体" w:cs="宋体"/>
          <w:color w:val="auto"/>
          <w:sz w:val="22"/>
          <w:szCs w:val="22"/>
          <w:highlight w:val="none"/>
          <w:lang w:eastAsia="zh-CN"/>
        </w:rPr>
        <w:t>；</w:t>
      </w:r>
    </w:p>
    <w:p>
      <w:pPr>
        <w:keepNext w:val="0"/>
        <w:keepLines w:val="0"/>
        <w:pageBreakBefore w:val="0"/>
        <w:kinsoku/>
        <w:overflowPunct/>
        <w:topLinePunct w:val="0"/>
        <w:autoSpaceDE/>
        <w:autoSpaceDN/>
        <w:bidi w:val="0"/>
        <w:adjustRightInd/>
        <w:snapToGrid/>
        <w:spacing w:line="360" w:lineRule="auto"/>
        <w:ind w:firstLine="442" w:firstLineChars="200"/>
        <w:jc w:val="both"/>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3.3业绩要求：</w:t>
      </w:r>
    </w:p>
    <w:p>
      <w:pPr>
        <w:keepNext w:val="0"/>
        <w:keepLines w:val="0"/>
        <w:pageBreakBefore w:val="0"/>
        <w:kinsoku/>
        <w:overflowPunct/>
        <w:topLinePunct w:val="0"/>
        <w:autoSpaceDE/>
        <w:autoSpaceDN/>
        <w:bidi w:val="0"/>
        <w:adjustRightInd/>
        <w:snapToGrid/>
        <w:spacing w:line="360" w:lineRule="auto"/>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投标人</w:t>
      </w:r>
      <w:r>
        <w:rPr>
          <w:rFonts w:hint="eastAsia" w:ascii="宋体" w:hAnsi="宋体" w:eastAsia="宋体" w:cs="宋体"/>
          <w:color w:val="auto"/>
          <w:sz w:val="22"/>
          <w:szCs w:val="22"/>
          <w:highlight w:val="none"/>
          <w:lang w:eastAsia="zh-CN"/>
        </w:rPr>
        <w:t>完成过文物资源区域评估项目或文物影响评估项目。</w:t>
      </w:r>
    </w:p>
    <w:p>
      <w:pPr>
        <w:keepNext w:val="0"/>
        <w:keepLines w:val="0"/>
        <w:pageBreakBefore w:val="0"/>
        <w:kinsoku/>
        <w:overflowPunct/>
        <w:topLinePunct w:val="0"/>
        <w:autoSpaceDE/>
        <w:autoSpaceDN/>
        <w:bidi w:val="0"/>
        <w:adjustRightInd/>
        <w:snapToGrid/>
        <w:spacing w:line="360" w:lineRule="auto"/>
        <w:ind w:firstLine="442" w:firstLineChars="200"/>
        <w:jc w:val="both"/>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3.4项目负责人要求：</w:t>
      </w:r>
    </w:p>
    <w:p>
      <w:pPr>
        <w:keepNext w:val="0"/>
        <w:keepLines w:val="0"/>
        <w:pageBreakBefore w:val="0"/>
        <w:kinsoku/>
        <w:overflowPunct/>
        <w:topLinePunct w:val="0"/>
        <w:autoSpaceDE/>
        <w:autoSpaceDN/>
        <w:bidi w:val="0"/>
        <w:adjustRightInd/>
        <w:snapToGrid/>
        <w:spacing w:line="360" w:lineRule="auto"/>
        <w:ind w:firstLine="440" w:firstLineChars="200"/>
        <w:jc w:val="both"/>
        <w:textAlignment w:val="auto"/>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szCs w:val="22"/>
          <w:highlight w:val="none"/>
          <w:lang w:val="en-US" w:eastAsia="zh-CN" w:bidi="ar-SA"/>
        </w:rPr>
        <w:t>拟投入的项目负责人具有由国家文物局颁发的领队资格证书；担任过文物资源区域评估项目或文物影响评估项目的项目负责人。</w:t>
      </w:r>
    </w:p>
    <w:p>
      <w:pPr>
        <w:keepNext w:val="0"/>
        <w:keepLines w:val="0"/>
        <w:pageBreakBefore w:val="0"/>
        <w:kinsoku/>
        <w:overflowPunct/>
        <w:topLinePunct w:val="0"/>
        <w:autoSpaceDE/>
        <w:autoSpaceDN/>
        <w:bidi w:val="0"/>
        <w:adjustRightInd/>
        <w:snapToGrid/>
        <w:spacing w:line="360" w:lineRule="auto"/>
        <w:ind w:firstLine="442" w:firstLineChars="200"/>
        <w:jc w:val="both"/>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3.5其他要求：</w:t>
      </w:r>
    </w:p>
    <w:p>
      <w:pPr>
        <w:keepNext w:val="0"/>
        <w:keepLines w:val="0"/>
        <w:pageBreakBefore w:val="0"/>
        <w:kinsoku/>
        <w:overflowPunct/>
        <w:topLinePunct w:val="0"/>
        <w:autoSpaceDE/>
        <w:autoSpaceDN/>
        <w:bidi w:val="0"/>
        <w:adjustRightInd/>
        <w:snapToGrid/>
        <w:spacing w:line="360" w:lineRule="auto"/>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3.5.1本次招标</w:t>
      </w:r>
      <w:r>
        <w:rPr>
          <w:rFonts w:hint="eastAsia" w:ascii="宋体" w:hAnsi="宋体" w:eastAsia="宋体" w:cs="宋体"/>
          <w:b/>
          <w:bCs/>
          <w:color w:val="auto"/>
          <w:sz w:val="22"/>
          <w:szCs w:val="22"/>
          <w:highlight w:val="none"/>
          <w:u w:val="single"/>
          <w:lang w:val="en-US" w:eastAsia="zh-CN"/>
        </w:rPr>
        <w:t>不</w:t>
      </w:r>
      <w:r>
        <w:rPr>
          <w:rFonts w:hint="eastAsia" w:ascii="宋体" w:hAnsi="宋体" w:eastAsia="宋体" w:cs="宋体"/>
          <w:b/>
          <w:bCs/>
          <w:color w:val="auto"/>
          <w:sz w:val="22"/>
          <w:szCs w:val="22"/>
          <w:highlight w:val="none"/>
          <w:u w:val="single"/>
        </w:rPr>
        <w:t>接受</w:t>
      </w:r>
      <w:r>
        <w:rPr>
          <w:rFonts w:hint="eastAsia" w:ascii="宋体" w:hAnsi="宋体" w:eastAsia="宋体" w:cs="宋体"/>
          <w:color w:val="auto"/>
          <w:sz w:val="22"/>
          <w:szCs w:val="22"/>
          <w:highlight w:val="none"/>
        </w:rPr>
        <w:t>联合体投标。</w:t>
      </w:r>
    </w:p>
    <w:p>
      <w:pPr>
        <w:keepNext w:val="0"/>
        <w:keepLines w:val="0"/>
        <w:pageBreakBefore w:val="0"/>
        <w:kinsoku/>
        <w:wordWrap w:val="0"/>
        <w:overflowPunct/>
        <w:topLinePunct w:val="0"/>
        <w:autoSpaceDE/>
        <w:autoSpaceDN/>
        <w:bidi w:val="0"/>
        <w:adjustRightInd/>
        <w:snapToGrid/>
        <w:spacing w:line="360" w:lineRule="auto"/>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3.5.2与招标人存在利害关系可能影响招标公正性的法人、其他组织或者个人，不得参加投标。单位负责人为同一人或者存在控股、管理关系的不同单位，不得参加同一标段投标或者未划分标段的同一招标项目投标，否则均按否决投标处理。</w:t>
      </w:r>
    </w:p>
    <w:p>
      <w:pPr>
        <w:keepNext w:val="0"/>
        <w:keepLines w:val="0"/>
        <w:pageBreakBefore w:val="0"/>
        <w:kinsoku/>
        <w:wordWrap w:val="0"/>
        <w:overflowPunct/>
        <w:topLinePunct w:val="0"/>
        <w:autoSpaceDE/>
        <w:autoSpaceDN/>
        <w:bidi w:val="0"/>
        <w:adjustRightInd/>
        <w:snapToGrid/>
        <w:spacing w:line="360" w:lineRule="auto"/>
        <w:ind w:firstLine="442" w:firstLineChars="200"/>
        <w:jc w:val="both"/>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4、招标文件的获取</w:t>
      </w:r>
    </w:p>
    <w:p>
      <w:pPr>
        <w:keepNext w:val="0"/>
        <w:keepLines w:val="0"/>
        <w:pageBreakBefore w:val="0"/>
        <w:kinsoku/>
        <w:wordWrap w:val="0"/>
        <w:overflowPunct/>
        <w:topLinePunct w:val="0"/>
        <w:autoSpaceDE/>
        <w:autoSpaceDN/>
        <w:bidi w:val="0"/>
        <w:adjustRightInd/>
        <w:snapToGrid/>
        <w:spacing w:line="360" w:lineRule="auto"/>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（1）获取时间：2024年7月2</w:t>
      </w:r>
      <w:r>
        <w:rPr>
          <w:rFonts w:hint="eastAsia" w:ascii="宋体" w:hAnsi="宋体" w:cs="宋体"/>
          <w:color w:val="auto"/>
          <w:sz w:val="22"/>
          <w:szCs w:val="22"/>
          <w:highlight w:val="none"/>
          <w:lang w:val="en-US" w:eastAsia="zh-CN"/>
        </w:rPr>
        <w:t>9</w:t>
      </w:r>
      <w:r>
        <w:rPr>
          <w:rFonts w:hint="eastAsia" w:ascii="宋体" w:hAnsi="宋体" w:eastAsia="宋体" w:cs="宋体"/>
          <w:color w:val="auto"/>
          <w:sz w:val="22"/>
          <w:szCs w:val="22"/>
          <w:highlight w:val="none"/>
        </w:rPr>
        <w:t>日至2024年</w:t>
      </w:r>
      <w:r>
        <w:rPr>
          <w:rFonts w:hint="eastAsia" w:ascii="宋体" w:hAnsi="宋体" w:cs="宋体"/>
          <w:color w:val="auto"/>
          <w:sz w:val="22"/>
          <w:szCs w:val="22"/>
          <w:highlight w:val="none"/>
          <w:lang w:val="en-US" w:eastAsia="zh-CN"/>
        </w:rPr>
        <w:t>8</w:t>
      </w:r>
      <w:r>
        <w:rPr>
          <w:rFonts w:hint="eastAsia" w:ascii="宋体" w:hAnsi="宋体" w:eastAsia="宋体" w:cs="宋体"/>
          <w:color w:val="auto"/>
          <w:sz w:val="22"/>
          <w:szCs w:val="22"/>
          <w:highlight w:val="none"/>
        </w:rPr>
        <w:t>月</w:t>
      </w:r>
      <w:r>
        <w:rPr>
          <w:rFonts w:hint="eastAsia" w:ascii="宋体" w:hAnsi="宋体" w:cs="宋体"/>
          <w:color w:val="auto"/>
          <w:sz w:val="22"/>
          <w:szCs w:val="22"/>
          <w:highlight w:val="none"/>
          <w:lang w:val="en-US" w:eastAsia="zh-CN"/>
        </w:rPr>
        <w:t>7</w:t>
      </w:r>
      <w:r>
        <w:rPr>
          <w:rFonts w:hint="eastAsia" w:ascii="宋体" w:hAnsi="宋体" w:eastAsia="宋体" w:cs="宋体"/>
          <w:color w:val="auto"/>
          <w:sz w:val="22"/>
          <w:szCs w:val="22"/>
          <w:highlight w:val="none"/>
        </w:rPr>
        <w:t>日，每天上午9:00-11:30，下午14:00-17:30（法定节假日除外）。</w:t>
      </w:r>
    </w:p>
    <w:p>
      <w:pPr>
        <w:keepNext w:val="0"/>
        <w:keepLines w:val="0"/>
        <w:pageBreakBefore w:val="0"/>
        <w:kinsoku/>
        <w:wordWrap w:val="0"/>
        <w:overflowPunct/>
        <w:topLinePunct w:val="0"/>
        <w:autoSpaceDE/>
        <w:autoSpaceDN/>
        <w:bidi w:val="0"/>
        <w:adjustRightInd/>
        <w:snapToGrid/>
        <w:spacing w:line="360" w:lineRule="auto"/>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（2）凡有意参加者，添加代理的工作QQ：2177572758，请自行将以下相关资料：单位介绍信或授权书（加盖公章）、经办人身份证扫描件（加盖公章）</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申请函（加盖公章）</w:t>
      </w:r>
      <w:r>
        <w:rPr>
          <w:rFonts w:hint="eastAsia" w:ascii="宋体" w:hAnsi="宋体" w:eastAsia="宋体" w:cs="宋体"/>
          <w:color w:val="auto"/>
          <w:sz w:val="22"/>
          <w:szCs w:val="22"/>
          <w:highlight w:val="none"/>
        </w:rPr>
        <w:t>发送至代理的工作QQ，经代理机构确认后获取谈判招标文件。</w:t>
      </w:r>
    </w:p>
    <w:p>
      <w:pPr>
        <w:keepNext w:val="0"/>
        <w:keepLines w:val="0"/>
        <w:pageBreakBefore w:val="0"/>
        <w:kinsoku/>
        <w:wordWrap w:val="0"/>
        <w:overflowPunct/>
        <w:topLinePunct w:val="0"/>
        <w:autoSpaceDE/>
        <w:autoSpaceDN/>
        <w:bidi w:val="0"/>
        <w:adjustRightInd/>
        <w:snapToGrid/>
        <w:spacing w:line="360" w:lineRule="auto"/>
        <w:ind w:firstLine="442" w:firstLineChars="200"/>
        <w:jc w:val="both"/>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5、投标文件的递交及相关事宜</w:t>
      </w:r>
    </w:p>
    <w:p>
      <w:pPr>
        <w:keepNext w:val="0"/>
        <w:keepLines w:val="0"/>
        <w:pageBreakBefore w:val="0"/>
        <w:kinsoku/>
        <w:wordWrap w:val="0"/>
        <w:overflowPunct/>
        <w:topLinePunct w:val="0"/>
        <w:autoSpaceDE/>
        <w:autoSpaceDN/>
        <w:bidi w:val="0"/>
        <w:adjustRightInd/>
        <w:snapToGrid/>
        <w:spacing w:line="360" w:lineRule="auto"/>
        <w:ind w:firstLine="440" w:firstLineChars="200"/>
        <w:jc w:val="both"/>
        <w:textAlignment w:val="auto"/>
        <w:rPr>
          <w:rFonts w:hint="eastAsia" w:ascii="宋体" w:hAnsi="宋体" w:eastAsia="宋体" w:cs="宋体"/>
          <w:b/>
          <w:bCs/>
          <w:color w:val="auto"/>
          <w:sz w:val="22"/>
          <w:szCs w:val="22"/>
          <w:highlight w:val="none"/>
        </w:rPr>
      </w:pPr>
      <w:r>
        <w:rPr>
          <w:rFonts w:hint="eastAsia" w:ascii="宋体" w:hAnsi="宋体" w:eastAsia="宋体" w:cs="宋体"/>
          <w:color w:val="auto"/>
          <w:sz w:val="22"/>
          <w:szCs w:val="22"/>
          <w:highlight w:val="none"/>
        </w:rPr>
        <w:t>5.1招标人不统一组织进行工程现场踏勘及召开投标预备会。</w:t>
      </w:r>
    </w:p>
    <w:p>
      <w:pPr>
        <w:keepNext w:val="0"/>
        <w:keepLines w:val="0"/>
        <w:pageBreakBefore w:val="0"/>
        <w:kinsoku/>
        <w:wordWrap w:val="0"/>
        <w:overflowPunct/>
        <w:topLinePunct w:val="0"/>
        <w:autoSpaceDE/>
        <w:autoSpaceDN/>
        <w:bidi w:val="0"/>
        <w:adjustRightInd/>
        <w:snapToGrid/>
        <w:spacing w:line="360" w:lineRule="auto"/>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5.2投标人的投标文件将统一在投标会上送交。</w:t>
      </w:r>
    </w:p>
    <w:p>
      <w:pPr>
        <w:keepNext w:val="0"/>
        <w:keepLines w:val="0"/>
        <w:pageBreakBefore w:val="0"/>
        <w:kinsoku/>
        <w:wordWrap w:val="0"/>
        <w:overflowPunct/>
        <w:topLinePunct w:val="0"/>
        <w:autoSpaceDE/>
        <w:autoSpaceDN/>
        <w:bidi w:val="0"/>
        <w:adjustRightInd/>
        <w:snapToGrid/>
        <w:spacing w:line="360" w:lineRule="auto"/>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送交投标文件的开始时间为：</w:t>
      </w:r>
      <w:r>
        <w:rPr>
          <w:rFonts w:hint="eastAsia" w:ascii="宋体" w:hAnsi="宋体" w:eastAsia="宋体" w:cs="宋体"/>
          <w:b/>
          <w:bCs/>
          <w:color w:val="auto"/>
          <w:sz w:val="22"/>
          <w:szCs w:val="22"/>
          <w:highlight w:val="none"/>
          <w:u w:val="single"/>
          <w:lang w:val="en-US" w:eastAsia="zh-CN"/>
        </w:rPr>
        <w:t>2024</w:t>
      </w:r>
      <w:r>
        <w:rPr>
          <w:rFonts w:hint="eastAsia" w:ascii="宋体" w:hAnsi="宋体" w:eastAsia="宋体" w:cs="宋体"/>
          <w:b/>
          <w:bCs/>
          <w:color w:val="auto"/>
          <w:sz w:val="22"/>
          <w:szCs w:val="22"/>
          <w:highlight w:val="none"/>
          <w:u w:val="single"/>
        </w:rPr>
        <w:t>年</w:t>
      </w:r>
      <w:r>
        <w:rPr>
          <w:rFonts w:hint="eastAsia" w:ascii="宋体" w:hAnsi="宋体" w:cs="宋体"/>
          <w:b/>
          <w:bCs/>
          <w:color w:val="auto"/>
          <w:sz w:val="22"/>
          <w:szCs w:val="22"/>
          <w:highlight w:val="none"/>
          <w:u w:val="single"/>
          <w:lang w:val="en-US" w:eastAsia="zh-CN"/>
        </w:rPr>
        <w:t>8</w:t>
      </w:r>
      <w:r>
        <w:rPr>
          <w:rFonts w:hint="eastAsia" w:ascii="宋体" w:hAnsi="宋体" w:eastAsia="宋体" w:cs="宋体"/>
          <w:b/>
          <w:bCs/>
          <w:color w:val="auto"/>
          <w:sz w:val="22"/>
          <w:szCs w:val="22"/>
          <w:highlight w:val="none"/>
          <w:u w:val="single"/>
        </w:rPr>
        <w:t>月</w:t>
      </w:r>
      <w:r>
        <w:rPr>
          <w:rFonts w:hint="eastAsia" w:ascii="宋体" w:hAnsi="宋体" w:cs="宋体"/>
          <w:b/>
          <w:bCs/>
          <w:color w:val="auto"/>
          <w:sz w:val="22"/>
          <w:szCs w:val="22"/>
          <w:highlight w:val="none"/>
          <w:u w:val="single"/>
          <w:lang w:val="en-US" w:eastAsia="zh-CN"/>
        </w:rPr>
        <w:t>20</w:t>
      </w:r>
      <w:r>
        <w:rPr>
          <w:rFonts w:hint="eastAsia" w:ascii="宋体" w:hAnsi="宋体" w:eastAsia="宋体" w:cs="宋体"/>
          <w:b/>
          <w:bCs/>
          <w:color w:val="auto"/>
          <w:sz w:val="22"/>
          <w:szCs w:val="22"/>
          <w:highlight w:val="none"/>
          <w:u w:val="single"/>
        </w:rPr>
        <w:t>日</w:t>
      </w:r>
      <w:r>
        <w:rPr>
          <w:rFonts w:hint="eastAsia" w:ascii="宋体" w:hAnsi="宋体" w:cs="宋体"/>
          <w:b/>
          <w:bCs/>
          <w:color w:val="auto"/>
          <w:sz w:val="22"/>
          <w:szCs w:val="22"/>
          <w:highlight w:val="none"/>
          <w:u w:val="single"/>
          <w:lang w:val="en-US" w:eastAsia="zh-CN"/>
        </w:rPr>
        <w:t>13</w:t>
      </w:r>
      <w:r>
        <w:rPr>
          <w:rFonts w:hint="eastAsia" w:ascii="宋体" w:hAnsi="宋体" w:eastAsia="宋体" w:cs="宋体"/>
          <w:b/>
          <w:bCs/>
          <w:color w:val="auto"/>
          <w:sz w:val="22"/>
          <w:szCs w:val="22"/>
          <w:highlight w:val="none"/>
          <w:u w:val="single"/>
          <w:lang w:val="en-US" w:eastAsia="zh-CN"/>
        </w:rPr>
        <w:t>时</w:t>
      </w:r>
      <w:r>
        <w:rPr>
          <w:rFonts w:hint="eastAsia" w:ascii="宋体" w:hAnsi="宋体" w:cs="宋体"/>
          <w:b/>
          <w:bCs/>
          <w:color w:val="auto"/>
          <w:sz w:val="22"/>
          <w:szCs w:val="22"/>
          <w:highlight w:val="none"/>
          <w:u w:val="single"/>
          <w:lang w:val="en-US" w:eastAsia="zh-CN"/>
        </w:rPr>
        <w:t>30</w:t>
      </w:r>
      <w:r>
        <w:rPr>
          <w:rFonts w:hint="eastAsia" w:ascii="宋体" w:hAnsi="宋体" w:eastAsia="宋体" w:cs="宋体"/>
          <w:b/>
          <w:bCs/>
          <w:color w:val="auto"/>
          <w:sz w:val="22"/>
          <w:szCs w:val="22"/>
          <w:highlight w:val="none"/>
          <w:u w:val="single"/>
          <w:lang w:val="en-US" w:eastAsia="zh-CN"/>
        </w:rPr>
        <w:t>分</w:t>
      </w:r>
      <w:r>
        <w:rPr>
          <w:rFonts w:hint="eastAsia" w:ascii="宋体" w:hAnsi="宋体" w:eastAsia="宋体" w:cs="宋体"/>
          <w:b/>
          <w:bCs/>
          <w:color w:val="auto"/>
          <w:sz w:val="22"/>
          <w:szCs w:val="22"/>
          <w:highlight w:val="none"/>
        </w:rPr>
        <w:t>，</w:t>
      </w:r>
      <w:r>
        <w:rPr>
          <w:rFonts w:hint="eastAsia" w:ascii="宋体" w:hAnsi="宋体" w:eastAsia="宋体" w:cs="宋体"/>
          <w:color w:val="auto"/>
          <w:sz w:val="22"/>
          <w:szCs w:val="22"/>
          <w:highlight w:val="none"/>
        </w:rPr>
        <w:t>送交投标文件的截止时间为：</w:t>
      </w:r>
      <w:r>
        <w:rPr>
          <w:rFonts w:hint="eastAsia" w:ascii="宋体" w:hAnsi="宋体" w:eastAsia="宋体" w:cs="宋体"/>
          <w:b/>
          <w:bCs/>
          <w:color w:val="auto"/>
          <w:sz w:val="22"/>
          <w:szCs w:val="22"/>
          <w:highlight w:val="none"/>
          <w:u w:val="single"/>
          <w:lang w:val="en-US" w:eastAsia="zh-CN"/>
        </w:rPr>
        <w:t>2024</w:t>
      </w:r>
      <w:r>
        <w:rPr>
          <w:rFonts w:hint="eastAsia" w:ascii="宋体" w:hAnsi="宋体" w:eastAsia="宋体" w:cs="宋体"/>
          <w:b/>
          <w:bCs/>
          <w:color w:val="auto"/>
          <w:sz w:val="22"/>
          <w:szCs w:val="22"/>
          <w:highlight w:val="none"/>
          <w:u w:val="single"/>
        </w:rPr>
        <w:t>年</w:t>
      </w:r>
      <w:r>
        <w:rPr>
          <w:rFonts w:hint="eastAsia" w:ascii="宋体" w:hAnsi="宋体" w:cs="宋体"/>
          <w:b/>
          <w:bCs/>
          <w:color w:val="auto"/>
          <w:sz w:val="22"/>
          <w:szCs w:val="22"/>
          <w:highlight w:val="none"/>
          <w:u w:val="single"/>
          <w:lang w:val="en-US" w:eastAsia="zh-CN"/>
        </w:rPr>
        <w:t>8</w:t>
      </w:r>
      <w:r>
        <w:rPr>
          <w:rFonts w:hint="eastAsia" w:ascii="宋体" w:hAnsi="宋体" w:eastAsia="宋体" w:cs="宋体"/>
          <w:b/>
          <w:bCs/>
          <w:color w:val="auto"/>
          <w:sz w:val="22"/>
          <w:szCs w:val="22"/>
          <w:highlight w:val="none"/>
          <w:u w:val="single"/>
        </w:rPr>
        <w:t>月</w:t>
      </w:r>
      <w:r>
        <w:rPr>
          <w:rFonts w:hint="eastAsia" w:ascii="宋体" w:hAnsi="宋体" w:cs="宋体"/>
          <w:b/>
          <w:bCs/>
          <w:color w:val="auto"/>
          <w:sz w:val="22"/>
          <w:szCs w:val="22"/>
          <w:highlight w:val="none"/>
          <w:u w:val="single"/>
          <w:lang w:val="en-US" w:eastAsia="zh-CN"/>
        </w:rPr>
        <w:t>20</w:t>
      </w:r>
      <w:r>
        <w:rPr>
          <w:rFonts w:hint="eastAsia" w:ascii="宋体" w:hAnsi="宋体" w:eastAsia="宋体" w:cs="宋体"/>
          <w:b/>
          <w:bCs/>
          <w:color w:val="auto"/>
          <w:sz w:val="22"/>
          <w:szCs w:val="22"/>
          <w:highlight w:val="none"/>
          <w:u w:val="single"/>
        </w:rPr>
        <w:t>日</w:t>
      </w:r>
      <w:r>
        <w:rPr>
          <w:rFonts w:hint="eastAsia" w:ascii="宋体" w:hAnsi="宋体" w:cs="宋体"/>
          <w:b/>
          <w:bCs/>
          <w:color w:val="auto"/>
          <w:sz w:val="22"/>
          <w:szCs w:val="22"/>
          <w:highlight w:val="none"/>
          <w:u w:val="single"/>
          <w:lang w:val="en-US" w:eastAsia="zh-CN"/>
        </w:rPr>
        <w:t>14</w:t>
      </w:r>
      <w:r>
        <w:rPr>
          <w:rFonts w:hint="eastAsia" w:ascii="宋体" w:hAnsi="宋体" w:eastAsia="宋体" w:cs="宋体"/>
          <w:b/>
          <w:bCs/>
          <w:color w:val="auto"/>
          <w:sz w:val="22"/>
          <w:szCs w:val="22"/>
          <w:highlight w:val="none"/>
          <w:u w:val="single"/>
          <w:lang w:val="en-US" w:eastAsia="zh-CN"/>
        </w:rPr>
        <w:t>时</w:t>
      </w:r>
      <w:r>
        <w:rPr>
          <w:rFonts w:hint="eastAsia" w:ascii="宋体" w:hAnsi="宋体" w:cs="宋体"/>
          <w:b/>
          <w:bCs/>
          <w:color w:val="auto"/>
          <w:sz w:val="22"/>
          <w:szCs w:val="22"/>
          <w:highlight w:val="none"/>
          <w:u w:val="single"/>
          <w:lang w:val="en-US" w:eastAsia="zh-CN"/>
        </w:rPr>
        <w:t>00</w:t>
      </w:r>
      <w:r>
        <w:rPr>
          <w:rFonts w:hint="eastAsia" w:ascii="宋体" w:hAnsi="宋体" w:eastAsia="宋体" w:cs="宋体"/>
          <w:b/>
          <w:bCs/>
          <w:color w:val="auto"/>
          <w:sz w:val="22"/>
          <w:szCs w:val="22"/>
          <w:highlight w:val="none"/>
          <w:u w:val="single"/>
          <w:lang w:val="en-US" w:eastAsia="zh-CN"/>
        </w:rPr>
        <w:t>分</w:t>
      </w:r>
      <w:r>
        <w:rPr>
          <w:rFonts w:hint="eastAsia" w:ascii="宋体" w:hAnsi="宋体" w:eastAsia="宋体" w:cs="宋体"/>
          <w:b/>
          <w:bCs/>
          <w:color w:val="auto"/>
          <w:sz w:val="22"/>
          <w:szCs w:val="22"/>
          <w:highlight w:val="none"/>
          <w:u w:val="none"/>
        </w:rPr>
        <w:t>。</w:t>
      </w:r>
    </w:p>
    <w:p>
      <w:pPr>
        <w:keepNext w:val="0"/>
        <w:keepLines w:val="0"/>
        <w:pageBreakBefore w:val="0"/>
        <w:kinsoku/>
        <w:wordWrap w:val="0"/>
        <w:overflowPunct/>
        <w:topLinePunct w:val="0"/>
        <w:autoSpaceDE/>
        <w:autoSpaceDN/>
        <w:bidi w:val="0"/>
        <w:adjustRightInd/>
        <w:snapToGrid/>
        <w:spacing w:line="360" w:lineRule="auto"/>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投标文件必须在上述时间段内送交到投标会现场，递交地点为</w:t>
      </w:r>
      <w:r>
        <w:rPr>
          <w:rFonts w:hint="eastAsia" w:ascii="宋体" w:hAnsi="宋体" w:eastAsia="宋体" w:cs="宋体"/>
          <w:color w:val="auto"/>
          <w:sz w:val="22"/>
          <w:szCs w:val="22"/>
          <w:highlight w:val="none"/>
          <w:lang w:eastAsia="zh-CN"/>
        </w:rPr>
        <w:t>：</w:t>
      </w:r>
      <w:r>
        <w:rPr>
          <w:rFonts w:hint="eastAsia" w:ascii="宋体" w:hAnsi="宋体" w:cs="宋体"/>
          <w:color w:val="auto"/>
          <w:sz w:val="22"/>
          <w:szCs w:val="22"/>
          <w:highlight w:val="none"/>
          <w:u w:val="single"/>
          <w:lang w:val="en-US" w:eastAsia="zh-CN"/>
        </w:rPr>
        <w:t>南通市崇川区鸿运城市花苑18栋</w:t>
      </w:r>
      <w:r>
        <w:rPr>
          <w:rFonts w:hint="eastAsia" w:ascii="宋体" w:hAnsi="宋体" w:eastAsia="宋体" w:cs="宋体"/>
          <w:color w:val="auto"/>
          <w:sz w:val="22"/>
          <w:szCs w:val="22"/>
          <w:highlight w:val="none"/>
        </w:rPr>
        <w:t>。投标截止的同一时间，同一地点举行开标会，投标人如对开标过程有异议，应在现场提出，未提出的视为默认开标结果。</w:t>
      </w:r>
    </w:p>
    <w:p>
      <w:pPr>
        <w:keepNext w:val="0"/>
        <w:keepLines w:val="0"/>
        <w:pageBreakBefore w:val="0"/>
        <w:kinsoku/>
        <w:wordWrap w:val="0"/>
        <w:overflowPunct/>
        <w:topLinePunct w:val="0"/>
        <w:autoSpaceDE/>
        <w:autoSpaceDN/>
        <w:bidi w:val="0"/>
        <w:adjustRightInd/>
        <w:snapToGrid/>
        <w:spacing w:line="360" w:lineRule="auto"/>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5.3逾期送达的或者未送达指定地点的投标</w:t>
      </w:r>
      <w:bookmarkStart w:id="178" w:name="_GoBack"/>
      <w:bookmarkEnd w:id="178"/>
      <w:r>
        <w:rPr>
          <w:rFonts w:hint="eastAsia" w:ascii="宋体" w:hAnsi="宋体" w:eastAsia="宋体" w:cs="宋体"/>
          <w:color w:val="auto"/>
          <w:sz w:val="22"/>
          <w:szCs w:val="22"/>
          <w:highlight w:val="none"/>
        </w:rPr>
        <w:t>文件，招标人不予受理。</w:t>
      </w:r>
    </w:p>
    <w:p>
      <w:pPr>
        <w:keepNext w:val="0"/>
        <w:keepLines w:val="0"/>
        <w:pageBreakBefore w:val="0"/>
        <w:kinsoku/>
        <w:wordWrap w:val="0"/>
        <w:overflowPunct/>
        <w:topLinePunct w:val="0"/>
        <w:autoSpaceDE/>
        <w:autoSpaceDN/>
        <w:bidi w:val="0"/>
        <w:adjustRightInd/>
        <w:snapToGrid/>
        <w:spacing w:line="360" w:lineRule="auto"/>
        <w:ind w:firstLine="442" w:firstLineChars="200"/>
        <w:jc w:val="both"/>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6、本项目实行资格后审，评标办法采用综合评估法（双信封）。</w:t>
      </w:r>
    </w:p>
    <w:p>
      <w:pPr>
        <w:keepNext w:val="0"/>
        <w:keepLines w:val="0"/>
        <w:pageBreakBefore w:val="0"/>
        <w:kinsoku/>
        <w:wordWrap w:val="0"/>
        <w:overflowPunct/>
        <w:topLinePunct w:val="0"/>
        <w:autoSpaceDE/>
        <w:autoSpaceDN/>
        <w:bidi w:val="0"/>
        <w:adjustRightInd/>
        <w:snapToGrid/>
        <w:spacing w:line="360" w:lineRule="auto"/>
        <w:ind w:firstLine="442" w:firstLineChars="200"/>
        <w:jc w:val="both"/>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7、发布公告的媒介</w:t>
      </w:r>
    </w:p>
    <w:p>
      <w:pPr>
        <w:keepNext w:val="0"/>
        <w:keepLines w:val="0"/>
        <w:pageBreakBefore w:val="0"/>
        <w:kinsoku/>
        <w:wordWrap w:val="0"/>
        <w:overflowPunct/>
        <w:topLinePunct w:val="0"/>
        <w:autoSpaceDE/>
        <w:autoSpaceDN/>
        <w:bidi w:val="0"/>
        <w:adjustRightInd/>
        <w:snapToGrid/>
        <w:spacing w:line="360" w:lineRule="auto"/>
        <w:ind w:firstLine="440" w:firstLineChars="200"/>
        <w:jc w:val="both"/>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本次招标公告在</w:t>
      </w:r>
      <w:r>
        <w:rPr>
          <w:rFonts w:hint="eastAsia" w:ascii="宋体" w:hAnsi="宋体" w:cs="宋体"/>
          <w:b/>
          <w:bCs w:val="0"/>
          <w:color w:val="auto"/>
          <w:sz w:val="22"/>
          <w:szCs w:val="22"/>
          <w:highlight w:val="none"/>
          <w:u w:val="single"/>
          <w:lang w:val="en-US" w:eastAsia="zh-CN"/>
        </w:rPr>
        <w:t>南通市交通运输局网站、江苏省招标投标公共服务平台</w:t>
      </w:r>
      <w:r>
        <w:rPr>
          <w:rFonts w:hint="eastAsia" w:ascii="宋体" w:hAnsi="宋体" w:eastAsia="宋体" w:cs="宋体"/>
          <w:bCs/>
          <w:color w:val="auto"/>
          <w:sz w:val="22"/>
          <w:szCs w:val="22"/>
          <w:highlight w:val="none"/>
        </w:rPr>
        <w:t>上发布。</w:t>
      </w:r>
    </w:p>
    <w:p>
      <w:pPr>
        <w:keepNext w:val="0"/>
        <w:keepLines w:val="0"/>
        <w:pageBreakBefore w:val="0"/>
        <w:widowControl w:val="0"/>
        <w:kinsoku/>
        <w:wordWrap w:val="0"/>
        <w:overflowPunct/>
        <w:topLinePunct w:val="0"/>
        <w:autoSpaceDE/>
        <w:autoSpaceDN/>
        <w:bidi w:val="0"/>
        <w:adjustRightInd/>
        <w:snapToGrid/>
        <w:spacing w:line="360" w:lineRule="auto"/>
        <w:ind w:firstLine="442" w:firstLineChars="200"/>
        <w:jc w:val="both"/>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8、联系方式</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rPr>
        <w:t>招</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标</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人：</w:t>
      </w:r>
      <w:r>
        <w:rPr>
          <w:rFonts w:hint="eastAsia" w:ascii="宋体" w:hAnsi="宋体" w:eastAsia="宋体" w:cs="宋体"/>
          <w:color w:val="auto"/>
          <w:sz w:val="22"/>
          <w:szCs w:val="22"/>
          <w:highlight w:val="none"/>
          <w:lang w:eastAsia="zh-CN"/>
        </w:rPr>
        <w:t>南通市江海河联运项目建设指挥部</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rPr>
        <w:t xml:space="preserve">地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 xml:space="preserve"> 址：</w:t>
      </w:r>
      <w:r>
        <w:rPr>
          <w:rFonts w:hint="eastAsia" w:ascii="宋体" w:hAnsi="宋体" w:eastAsia="宋体" w:cs="宋体"/>
          <w:color w:val="auto"/>
          <w:sz w:val="22"/>
          <w:szCs w:val="22"/>
          <w:highlight w:val="none"/>
          <w:lang w:eastAsia="zh-CN"/>
        </w:rPr>
        <w:t>南通市外环西路99号</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t>联 系 人：</w:t>
      </w:r>
      <w:r>
        <w:rPr>
          <w:rFonts w:hint="eastAsia" w:ascii="宋体" w:hAnsi="宋体" w:eastAsia="宋体" w:cs="宋体"/>
          <w:color w:val="auto"/>
          <w:sz w:val="22"/>
          <w:szCs w:val="22"/>
          <w:highlight w:val="none"/>
          <w:lang w:val="en-US" w:eastAsia="zh-CN"/>
        </w:rPr>
        <w:t>缪铧葳</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rPr>
        <w:t>电    话：</w:t>
      </w:r>
      <w:r>
        <w:rPr>
          <w:rFonts w:hint="eastAsia" w:ascii="宋体" w:hAnsi="宋体" w:eastAsia="宋体" w:cs="宋体"/>
          <w:color w:val="auto"/>
          <w:sz w:val="22"/>
          <w:szCs w:val="22"/>
          <w:highlight w:val="none"/>
          <w:lang w:eastAsia="zh-CN"/>
        </w:rPr>
        <w:t>0513-83549373</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招标代理：国信国际工程咨询集团股份有限公司</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地    址：南京市建邺区奥体大街68号新城科技园国际研发总部园2</w:t>
      </w:r>
      <w:r>
        <w:rPr>
          <w:rFonts w:hint="eastAsia" w:ascii="宋体" w:hAnsi="宋体" w:eastAsia="宋体" w:cs="宋体"/>
          <w:color w:val="auto"/>
          <w:sz w:val="22"/>
          <w:szCs w:val="22"/>
          <w:highlight w:val="none"/>
          <w:lang w:val="en-US" w:eastAsia="zh-CN"/>
        </w:rPr>
        <w:t>栋</w:t>
      </w:r>
      <w:r>
        <w:rPr>
          <w:rFonts w:hint="eastAsia" w:ascii="宋体" w:hAnsi="宋体" w:eastAsia="宋体" w:cs="宋体"/>
          <w:color w:val="auto"/>
          <w:sz w:val="22"/>
          <w:szCs w:val="22"/>
          <w:highlight w:val="none"/>
        </w:rPr>
        <w:t>7层</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t>联 系 人：徐振扬、李学山</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电    话：025-86602545-8012（分机号）</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工 作Q</w:t>
      </w:r>
      <w:r>
        <w:rPr>
          <w:rFonts w:hint="eastAsia" w:ascii="宋体" w:hAnsi="宋体" w:eastAsia="宋体" w:cs="宋体"/>
          <w:color w:val="auto"/>
          <w:sz w:val="10"/>
          <w:szCs w:val="10"/>
          <w:highlight w:val="none"/>
          <w:lang w:val="en-US" w:eastAsia="zh-CN"/>
        </w:rPr>
        <w:t xml:space="preserve"> </w:t>
      </w:r>
      <w:r>
        <w:rPr>
          <w:rFonts w:hint="eastAsia" w:ascii="宋体" w:hAnsi="宋体" w:eastAsia="宋体" w:cs="宋体"/>
          <w:color w:val="auto"/>
          <w:sz w:val="22"/>
          <w:szCs w:val="22"/>
          <w:highlight w:val="none"/>
        </w:rPr>
        <w:t xml:space="preserve">Q：2177572758（投标申请人主动添加QQ） </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工作邮箱：2177572758@qq.com</w:t>
      </w:r>
    </w:p>
    <w:p>
      <w:pPr>
        <w:keepNext w:val="0"/>
        <w:keepLines w:val="0"/>
        <w:pageBreakBefore w:val="0"/>
        <w:widowControl w:val="0"/>
        <w:kinsoku/>
        <w:wordWrap w:val="0"/>
        <w:overflowPunct/>
        <w:topLinePunct w:val="0"/>
        <w:autoSpaceDE/>
        <w:autoSpaceDN/>
        <w:bidi w:val="0"/>
        <w:adjustRightInd/>
        <w:snapToGrid/>
        <w:spacing w:line="360" w:lineRule="auto"/>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本项目接收异议的联系人和联系方式：</w:t>
      </w:r>
      <w:r>
        <w:rPr>
          <w:rFonts w:hint="eastAsia" w:ascii="宋体" w:hAnsi="宋体" w:eastAsia="宋体" w:cs="宋体"/>
          <w:color w:val="auto"/>
          <w:sz w:val="22"/>
          <w:szCs w:val="22"/>
          <w:highlight w:val="none"/>
          <w:lang w:val="en-US" w:eastAsia="zh-CN"/>
        </w:rPr>
        <w:t>缪铧葳</w:t>
      </w:r>
      <w:r>
        <w:rPr>
          <w:rFonts w:hint="eastAsia" w:ascii="宋体" w:hAnsi="宋体" w:eastAsia="宋体" w:cs="宋体"/>
          <w:color w:val="auto"/>
          <w:sz w:val="22"/>
          <w:szCs w:val="22"/>
          <w:highlight w:val="none"/>
        </w:rPr>
        <w:t>、徐振扬/</w:t>
      </w:r>
      <w:r>
        <w:rPr>
          <w:rFonts w:hint="eastAsia" w:ascii="宋体" w:hAnsi="宋体" w:eastAsia="宋体" w:cs="宋体"/>
          <w:color w:val="auto"/>
          <w:sz w:val="22"/>
          <w:szCs w:val="22"/>
          <w:highlight w:val="none"/>
          <w:lang w:eastAsia="zh-CN"/>
        </w:rPr>
        <w:t>0513-83549373</w:t>
      </w:r>
      <w:r>
        <w:rPr>
          <w:rFonts w:hint="eastAsia" w:ascii="宋体" w:hAnsi="宋体" w:eastAsia="宋体" w:cs="宋体"/>
          <w:color w:val="auto"/>
          <w:sz w:val="22"/>
          <w:szCs w:val="22"/>
          <w:highlight w:val="none"/>
        </w:rPr>
        <w:t>、025-86602545-8012（分机号）</w:t>
      </w:r>
    </w:p>
    <w:p>
      <w:pPr>
        <w:keepNext w:val="0"/>
        <w:keepLines w:val="0"/>
        <w:pageBreakBefore w:val="0"/>
        <w:widowControl w:val="0"/>
        <w:kinsoku/>
        <w:wordWrap w:val="0"/>
        <w:overflowPunct/>
        <w:topLinePunct w:val="0"/>
        <w:autoSpaceDE/>
        <w:autoSpaceDN/>
        <w:bidi w:val="0"/>
        <w:adjustRightInd/>
        <w:snapToGrid/>
        <w:spacing w:line="360" w:lineRule="auto"/>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（注：以上时间均为北京时间，具体事宜请与招标代理联系</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 xml:space="preserve">）                  </w:t>
      </w:r>
    </w:p>
    <w:p>
      <w:pPr>
        <w:keepNext w:val="0"/>
        <w:keepLines w:val="0"/>
        <w:pageBreakBefore w:val="0"/>
        <w:kinsoku/>
        <w:wordWrap w:val="0"/>
        <w:overflowPunct/>
        <w:topLinePunct w:val="0"/>
        <w:autoSpaceDE/>
        <w:autoSpaceDN/>
        <w:bidi w:val="0"/>
        <w:adjustRightInd/>
        <w:snapToGrid/>
        <w:spacing w:line="360" w:lineRule="auto"/>
        <w:ind w:firstLine="440" w:firstLineChars="200"/>
        <w:jc w:val="righ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 </w:t>
      </w:r>
    </w:p>
    <w:p>
      <w:pPr>
        <w:keepNext w:val="0"/>
        <w:keepLines w:val="0"/>
        <w:pageBreakBefore w:val="0"/>
        <w:kinsoku/>
        <w:wordWrap w:val="0"/>
        <w:overflowPunct/>
        <w:topLinePunct w:val="0"/>
        <w:autoSpaceDE/>
        <w:autoSpaceDN/>
        <w:bidi w:val="0"/>
        <w:adjustRightInd/>
        <w:snapToGrid/>
        <w:spacing w:line="360" w:lineRule="auto"/>
        <w:ind w:firstLine="440" w:firstLineChars="200"/>
        <w:jc w:val="righ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2"/>
          <w:szCs w:val="22"/>
          <w:highlight w:val="none"/>
        </w:rPr>
        <w:t xml:space="preserve"> </w:t>
      </w:r>
      <w:r>
        <w:rPr>
          <w:rFonts w:hint="eastAsia" w:ascii="宋体" w:hAnsi="宋体" w:eastAsia="宋体" w:cs="宋体"/>
          <w:b/>
          <w:bCs/>
          <w:color w:val="auto"/>
          <w:sz w:val="22"/>
          <w:szCs w:val="22"/>
          <w:highlight w:val="none"/>
          <w:lang w:val="en-US" w:eastAsia="zh-CN"/>
        </w:rPr>
        <w:t>2024</w:t>
      </w:r>
      <w:r>
        <w:rPr>
          <w:rFonts w:hint="eastAsia" w:ascii="宋体" w:hAnsi="宋体" w:eastAsia="宋体" w:cs="宋体"/>
          <w:b/>
          <w:bCs/>
          <w:color w:val="auto"/>
          <w:sz w:val="22"/>
          <w:szCs w:val="22"/>
          <w:highlight w:val="none"/>
        </w:rPr>
        <w:t>年</w:t>
      </w:r>
      <w:r>
        <w:rPr>
          <w:rFonts w:hint="eastAsia" w:ascii="宋体" w:hAnsi="宋体" w:cs="宋体"/>
          <w:b/>
          <w:bCs/>
          <w:color w:val="auto"/>
          <w:sz w:val="22"/>
          <w:szCs w:val="22"/>
          <w:highlight w:val="none"/>
          <w:lang w:val="en-US" w:eastAsia="zh-CN"/>
        </w:rPr>
        <w:t>7</w:t>
      </w:r>
      <w:r>
        <w:rPr>
          <w:rFonts w:hint="eastAsia" w:ascii="宋体" w:hAnsi="宋体" w:eastAsia="宋体" w:cs="宋体"/>
          <w:b/>
          <w:bCs/>
          <w:color w:val="auto"/>
          <w:sz w:val="22"/>
          <w:szCs w:val="22"/>
          <w:highlight w:val="none"/>
        </w:rPr>
        <w:t>月</w:t>
      </w:r>
      <w:r>
        <w:rPr>
          <w:rFonts w:hint="eastAsia" w:ascii="宋体" w:hAnsi="宋体" w:cs="宋体"/>
          <w:b/>
          <w:bCs/>
          <w:color w:val="auto"/>
          <w:sz w:val="22"/>
          <w:szCs w:val="22"/>
          <w:highlight w:val="none"/>
          <w:lang w:val="en-US" w:eastAsia="zh-CN"/>
        </w:rPr>
        <w:t>29</w:t>
      </w:r>
      <w:r>
        <w:rPr>
          <w:rFonts w:hint="eastAsia" w:ascii="宋体" w:hAnsi="宋体" w:cs="宋体"/>
          <w:b/>
          <w:bCs/>
          <w:color w:val="auto"/>
          <w:sz w:val="22"/>
          <w:szCs w:val="22"/>
          <w:highlight w:val="none"/>
          <w:lang w:val="en-US" w:eastAsia="zh-CN"/>
        </w:rPr>
        <w:tab/>
      </w:r>
      <w:r>
        <w:rPr>
          <w:rFonts w:hint="eastAsia" w:ascii="宋体" w:hAnsi="宋体" w:eastAsia="宋体" w:cs="宋体"/>
          <w:b/>
          <w:bCs/>
          <w:color w:val="auto"/>
          <w:sz w:val="22"/>
          <w:szCs w:val="22"/>
          <w:highlight w:val="none"/>
        </w:rPr>
        <w:t>日</w:t>
      </w:r>
    </w:p>
    <w:p>
      <w:pPr>
        <w:rPr>
          <w:rFonts w:hint="eastAsia" w:cs="Arial"/>
          <w:color w:val="auto"/>
          <w:sz w:val="32"/>
          <w:szCs w:val="22"/>
          <w:highlight w:val="none"/>
        </w:rPr>
      </w:pPr>
      <w:bookmarkStart w:id="21" w:name="_Toc33625854"/>
      <w:r>
        <w:rPr>
          <w:rFonts w:hint="eastAsia" w:cs="Arial"/>
          <w:color w:val="auto"/>
          <w:sz w:val="32"/>
          <w:szCs w:val="22"/>
          <w:highlight w:val="none"/>
        </w:rPr>
        <w:br w:type="page"/>
      </w:r>
    </w:p>
    <w:p>
      <w:pPr>
        <w:pStyle w:val="28"/>
        <w:spacing w:before="120" w:beforeLines="50" w:after="0" w:line="360" w:lineRule="auto"/>
        <w:jc w:val="center"/>
        <w:rPr>
          <w:color w:val="auto"/>
          <w:sz w:val="32"/>
          <w:szCs w:val="22"/>
          <w:highlight w:val="none"/>
        </w:rPr>
      </w:pPr>
      <w:r>
        <w:rPr>
          <w:rFonts w:hint="eastAsia" w:cs="Arial"/>
          <w:color w:val="auto"/>
          <w:sz w:val="32"/>
          <w:szCs w:val="22"/>
          <w:highlight w:val="none"/>
        </w:rPr>
        <w:t>第二章 投标人须知</w:t>
      </w:r>
      <w:bookmarkEnd w:id="16"/>
      <w:bookmarkEnd w:id="21"/>
    </w:p>
    <w:p>
      <w:pPr>
        <w:keepNext w:val="0"/>
        <w:keepLines w:val="0"/>
        <w:pageBreakBefore w:val="0"/>
        <w:widowControl w:val="0"/>
        <w:kinsoku/>
        <w:wordWrap/>
        <w:overflowPunct/>
        <w:topLinePunct/>
        <w:autoSpaceDE/>
        <w:autoSpaceDN/>
        <w:bidi w:val="0"/>
        <w:adjustRightInd/>
        <w:snapToGrid/>
        <w:spacing w:line="360" w:lineRule="auto"/>
        <w:jc w:val="center"/>
        <w:textAlignment w:val="auto"/>
        <w:rPr>
          <w:rFonts w:hint="eastAsia" w:ascii="宋体" w:hAnsi="宋体" w:eastAsia="宋体" w:cs="宋体"/>
          <w:b/>
          <w:color w:val="auto"/>
          <w:sz w:val="22"/>
          <w:szCs w:val="22"/>
          <w:highlight w:val="none"/>
        </w:rPr>
      </w:pPr>
      <w:bookmarkStart w:id="22" w:name="_Toc185412927"/>
      <w:r>
        <w:rPr>
          <w:rFonts w:hint="eastAsia" w:ascii="宋体" w:hAnsi="宋体" w:eastAsia="宋体" w:cs="宋体"/>
          <w:b/>
          <w:color w:val="auto"/>
          <w:sz w:val="22"/>
          <w:szCs w:val="22"/>
          <w:highlight w:val="none"/>
        </w:rPr>
        <w:t>一、总则</w:t>
      </w:r>
      <w:bookmarkEnd w:id="22"/>
    </w:p>
    <w:p>
      <w:pPr>
        <w:pStyle w:val="85"/>
        <w:keepNext w:val="0"/>
        <w:keepLines w:val="0"/>
        <w:pageBreakBefore w:val="0"/>
        <w:widowControl w:val="0"/>
        <w:kinsoku/>
        <w:wordWrap/>
        <w:overflowPunct/>
        <w:topLinePunct/>
        <w:autoSpaceDE/>
        <w:autoSpaceDN/>
        <w:bidi w:val="0"/>
        <w:adjustRightInd/>
        <w:snapToGrid/>
        <w:spacing w:before="0" w:after="0" w:line="360" w:lineRule="auto"/>
        <w:ind w:left="0" w:firstLine="0"/>
        <w:rPr>
          <w:rFonts w:hint="eastAsia" w:ascii="宋体" w:hAnsi="宋体" w:eastAsia="宋体" w:cs="宋体"/>
          <w:snapToGrid w:val="0"/>
          <w:color w:val="auto"/>
          <w:sz w:val="22"/>
          <w:szCs w:val="22"/>
          <w:highlight w:val="none"/>
        </w:rPr>
      </w:pPr>
      <w:r>
        <w:rPr>
          <w:rFonts w:hint="eastAsia" w:ascii="宋体" w:hAnsi="宋体" w:eastAsia="宋体" w:cs="宋体"/>
          <w:snapToGrid w:val="0"/>
          <w:color w:val="auto"/>
          <w:sz w:val="22"/>
          <w:szCs w:val="22"/>
          <w:highlight w:val="none"/>
        </w:rPr>
        <w:t>1  工程说明</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1.1 定义和解释</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招标人（发包人）：</w:t>
      </w:r>
      <w:r>
        <w:rPr>
          <w:rFonts w:hint="eastAsia" w:ascii="宋体" w:hAnsi="宋体" w:eastAsia="宋体" w:cs="宋体"/>
          <w:snapToGrid w:val="0"/>
          <w:color w:val="auto"/>
          <w:kern w:val="0"/>
          <w:sz w:val="22"/>
          <w:szCs w:val="22"/>
          <w:highlight w:val="none"/>
          <w:u w:val="single"/>
          <w:lang w:eastAsia="zh-CN"/>
        </w:rPr>
        <w:t>南通市江海河联运项目建设指挥部</w:t>
      </w:r>
      <w:r>
        <w:rPr>
          <w:rFonts w:hint="eastAsia" w:ascii="宋体" w:hAnsi="宋体" w:eastAsia="宋体" w:cs="宋体"/>
          <w:snapToGrid w:val="0"/>
          <w:color w:val="auto"/>
          <w:kern w:val="0"/>
          <w:sz w:val="22"/>
          <w:szCs w:val="22"/>
          <w:highlight w:val="none"/>
        </w:rPr>
        <w:t>。</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招标代理：受招标人委托，在招标人（发包人）授权范围内组织招标工作的机构。本项目招标代理为</w:t>
      </w:r>
      <w:r>
        <w:rPr>
          <w:rFonts w:hint="eastAsia" w:ascii="宋体" w:hAnsi="宋体" w:eastAsia="宋体" w:cs="宋体"/>
          <w:snapToGrid w:val="0"/>
          <w:color w:val="auto"/>
          <w:kern w:val="0"/>
          <w:sz w:val="22"/>
          <w:szCs w:val="22"/>
          <w:highlight w:val="none"/>
          <w:u w:val="single"/>
        </w:rPr>
        <w:t>国信国际工程咨询集团股份有限公司</w:t>
      </w:r>
      <w:r>
        <w:rPr>
          <w:rFonts w:hint="eastAsia" w:ascii="宋体" w:hAnsi="宋体" w:eastAsia="宋体" w:cs="宋体"/>
          <w:snapToGrid w:val="0"/>
          <w:color w:val="auto"/>
          <w:kern w:val="0"/>
          <w:sz w:val="22"/>
          <w:szCs w:val="22"/>
          <w:highlight w:val="none"/>
        </w:rPr>
        <w:t>，下称招标代理。</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投标人：是指参与投标竞争，具备相应资质（资格）的服务单位。</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中标人：是指最后中标的投标人。</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1.2 项目概况：详见</w:t>
      </w:r>
      <w:r>
        <w:rPr>
          <w:rFonts w:hint="eastAsia" w:ascii="宋体" w:hAnsi="宋体" w:eastAsia="宋体" w:cs="宋体"/>
          <w:snapToGrid w:val="0"/>
          <w:color w:val="auto"/>
          <w:kern w:val="0"/>
          <w:sz w:val="22"/>
          <w:szCs w:val="22"/>
          <w:highlight w:val="none"/>
          <w:lang w:val="en-US" w:eastAsia="zh-CN"/>
        </w:rPr>
        <w:t xml:space="preserve">第一章 </w:t>
      </w:r>
      <w:r>
        <w:rPr>
          <w:rFonts w:hint="eastAsia" w:ascii="宋体" w:hAnsi="宋体" w:eastAsia="宋体" w:cs="宋体"/>
          <w:snapToGrid w:val="0"/>
          <w:color w:val="auto"/>
          <w:kern w:val="0"/>
          <w:sz w:val="22"/>
          <w:szCs w:val="22"/>
          <w:highlight w:val="none"/>
        </w:rPr>
        <w:t>招标公告。</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1.</w:t>
      </w:r>
      <w:r>
        <w:rPr>
          <w:rFonts w:hint="eastAsia" w:ascii="宋体" w:hAnsi="宋体" w:eastAsia="宋体" w:cs="宋体"/>
          <w:snapToGrid w:val="0"/>
          <w:color w:val="auto"/>
          <w:kern w:val="0"/>
          <w:sz w:val="22"/>
          <w:szCs w:val="22"/>
          <w:highlight w:val="none"/>
          <w:lang w:val="en-US" w:eastAsia="zh-CN"/>
        </w:rPr>
        <w:t>3</w:t>
      </w:r>
      <w:r>
        <w:rPr>
          <w:rFonts w:hint="eastAsia" w:ascii="宋体" w:hAnsi="宋体" w:eastAsia="宋体" w:cs="宋体"/>
          <w:snapToGrid w:val="0"/>
          <w:color w:val="auto"/>
          <w:kern w:val="0"/>
          <w:sz w:val="22"/>
          <w:szCs w:val="22"/>
          <w:highlight w:val="none"/>
        </w:rPr>
        <w:t xml:space="preserve"> </w:t>
      </w:r>
      <w:r>
        <w:rPr>
          <w:rFonts w:hint="eastAsia" w:ascii="宋体" w:hAnsi="宋体" w:eastAsia="宋体" w:cs="宋体"/>
          <w:snapToGrid w:val="0"/>
          <w:color w:val="auto"/>
          <w:kern w:val="0"/>
          <w:sz w:val="22"/>
          <w:szCs w:val="22"/>
          <w:highlight w:val="none"/>
          <w:lang w:val="en-US" w:eastAsia="zh-CN"/>
        </w:rPr>
        <w:t>招标范围</w:t>
      </w:r>
      <w:r>
        <w:rPr>
          <w:rFonts w:hint="eastAsia" w:ascii="宋体" w:hAnsi="宋体" w:eastAsia="宋体" w:cs="宋体"/>
          <w:snapToGrid w:val="0"/>
          <w:color w:val="auto"/>
          <w:kern w:val="0"/>
          <w:sz w:val="22"/>
          <w:szCs w:val="22"/>
          <w:highlight w:val="none"/>
        </w:rPr>
        <w:t>：详见</w:t>
      </w:r>
      <w:r>
        <w:rPr>
          <w:rFonts w:hint="eastAsia" w:ascii="宋体" w:hAnsi="宋体" w:eastAsia="宋体" w:cs="宋体"/>
          <w:snapToGrid w:val="0"/>
          <w:color w:val="auto"/>
          <w:kern w:val="0"/>
          <w:sz w:val="22"/>
          <w:szCs w:val="22"/>
          <w:highlight w:val="none"/>
          <w:lang w:val="en-US" w:eastAsia="zh-CN"/>
        </w:rPr>
        <w:t xml:space="preserve">第一章 </w:t>
      </w:r>
      <w:r>
        <w:rPr>
          <w:rFonts w:hint="eastAsia" w:ascii="宋体" w:hAnsi="宋体" w:eastAsia="宋体" w:cs="宋体"/>
          <w:snapToGrid w:val="0"/>
          <w:color w:val="auto"/>
          <w:kern w:val="0"/>
          <w:sz w:val="22"/>
          <w:szCs w:val="22"/>
          <w:highlight w:val="none"/>
        </w:rPr>
        <w:t>招标公告。</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1.</w:t>
      </w:r>
      <w:r>
        <w:rPr>
          <w:rFonts w:hint="eastAsia" w:ascii="宋体" w:hAnsi="宋体" w:eastAsia="宋体" w:cs="宋体"/>
          <w:snapToGrid w:val="0"/>
          <w:color w:val="auto"/>
          <w:kern w:val="0"/>
          <w:sz w:val="22"/>
          <w:szCs w:val="22"/>
          <w:highlight w:val="none"/>
          <w:lang w:val="en-US" w:eastAsia="zh-CN"/>
        </w:rPr>
        <w:t>4</w:t>
      </w:r>
      <w:r>
        <w:rPr>
          <w:rFonts w:hint="eastAsia" w:ascii="宋体" w:hAnsi="宋体" w:eastAsia="宋体" w:cs="宋体"/>
          <w:snapToGrid w:val="0"/>
          <w:color w:val="auto"/>
          <w:kern w:val="0"/>
          <w:sz w:val="22"/>
          <w:szCs w:val="22"/>
          <w:highlight w:val="none"/>
        </w:rPr>
        <w:t xml:space="preserve"> </w:t>
      </w:r>
      <w:r>
        <w:rPr>
          <w:rFonts w:hint="eastAsia" w:ascii="宋体" w:hAnsi="宋体" w:eastAsia="宋体" w:cs="宋体"/>
          <w:snapToGrid w:val="0"/>
          <w:color w:val="auto"/>
          <w:kern w:val="0"/>
          <w:sz w:val="22"/>
          <w:szCs w:val="22"/>
          <w:highlight w:val="none"/>
          <w:lang w:eastAsia="zh-CN"/>
        </w:rPr>
        <w:t>服务</w:t>
      </w:r>
      <w:r>
        <w:rPr>
          <w:rFonts w:hint="eastAsia" w:cs="宋体"/>
          <w:snapToGrid w:val="0"/>
          <w:color w:val="auto"/>
          <w:kern w:val="0"/>
          <w:sz w:val="22"/>
          <w:szCs w:val="22"/>
          <w:highlight w:val="none"/>
          <w:lang w:val="en-US" w:eastAsia="zh-CN"/>
        </w:rPr>
        <w:t>周</w:t>
      </w:r>
      <w:r>
        <w:rPr>
          <w:rFonts w:hint="eastAsia" w:ascii="宋体" w:hAnsi="宋体" w:eastAsia="宋体" w:cs="宋体"/>
          <w:snapToGrid w:val="0"/>
          <w:color w:val="auto"/>
          <w:kern w:val="0"/>
          <w:sz w:val="22"/>
          <w:szCs w:val="22"/>
          <w:highlight w:val="none"/>
          <w:lang w:eastAsia="zh-CN"/>
        </w:rPr>
        <w:t>期</w:t>
      </w:r>
      <w:r>
        <w:rPr>
          <w:rFonts w:hint="eastAsia" w:ascii="宋体" w:hAnsi="宋体" w:eastAsia="宋体" w:cs="宋体"/>
          <w:snapToGrid w:val="0"/>
          <w:color w:val="auto"/>
          <w:kern w:val="0"/>
          <w:sz w:val="22"/>
          <w:szCs w:val="22"/>
          <w:highlight w:val="none"/>
        </w:rPr>
        <w:t>：详见</w:t>
      </w:r>
      <w:r>
        <w:rPr>
          <w:rFonts w:hint="eastAsia" w:ascii="宋体" w:hAnsi="宋体" w:eastAsia="宋体" w:cs="宋体"/>
          <w:snapToGrid w:val="0"/>
          <w:color w:val="auto"/>
          <w:kern w:val="0"/>
          <w:sz w:val="22"/>
          <w:szCs w:val="22"/>
          <w:highlight w:val="none"/>
          <w:lang w:val="en-US" w:eastAsia="zh-CN"/>
        </w:rPr>
        <w:t xml:space="preserve">第一章 </w:t>
      </w:r>
      <w:r>
        <w:rPr>
          <w:rFonts w:hint="eastAsia" w:ascii="宋体" w:hAnsi="宋体" w:eastAsia="宋体" w:cs="宋体"/>
          <w:snapToGrid w:val="0"/>
          <w:color w:val="auto"/>
          <w:kern w:val="0"/>
          <w:sz w:val="22"/>
          <w:szCs w:val="22"/>
          <w:highlight w:val="none"/>
        </w:rPr>
        <w:t>招标公告。</w:t>
      </w:r>
    </w:p>
    <w:p>
      <w:pPr>
        <w:pStyle w:val="73"/>
        <w:keepNext w:val="0"/>
        <w:keepLines w:val="0"/>
        <w:pageBreakBefore w:val="0"/>
        <w:widowControl w:val="0"/>
        <w:kinsoku/>
        <w:wordWrap/>
        <w:overflowPunct/>
        <w:topLinePunct/>
        <w:autoSpaceDE/>
        <w:autoSpaceDN/>
        <w:bidi w:val="0"/>
        <w:adjustRightInd/>
        <w:snapToGrid/>
        <w:spacing w:line="360" w:lineRule="auto"/>
        <w:ind w:left="0" w:firstLine="0" w:firstLineChars="0"/>
        <w:rPr>
          <w:rFonts w:hint="eastAsia" w:ascii="宋体" w:hAnsi="宋体" w:eastAsia="宋体" w:cs="宋体"/>
          <w:b/>
          <w:snapToGrid w:val="0"/>
          <w:color w:val="auto"/>
          <w:kern w:val="0"/>
          <w:sz w:val="22"/>
          <w:szCs w:val="22"/>
          <w:highlight w:val="none"/>
        </w:rPr>
      </w:pPr>
      <w:r>
        <w:rPr>
          <w:rFonts w:hint="eastAsia" w:ascii="宋体" w:hAnsi="宋体" w:eastAsia="宋体" w:cs="宋体"/>
          <w:b/>
          <w:snapToGrid w:val="0"/>
          <w:color w:val="auto"/>
          <w:kern w:val="0"/>
          <w:sz w:val="22"/>
          <w:szCs w:val="22"/>
          <w:highlight w:val="none"/>
        </w:rPr>
        <w:t>2  项目资金</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2.1 本招标项目已由政府批准建设，所需建设资金已落实。投标报价和中标后的工程价款的货币种类均为人民币。</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hanging="497" w:hangingChars="225"/>
        <w:rPr>
          <w:rFonts w:hint="eastAsia" w:ascii="宋体" w:hAnsi="宋体" w:eastAsia="宋体" w:cs="宋体"/>
          <w:b/>
          <w:snapToGrid w:val="0"/>
          <w:color w:val="auto"/>
          <w:kern w:val="0"/>
          <w:sz w:val="22"/>
          <w:szCs w:val="22"/>
          <w:highlight w:val="none"/>
        </w:rPr>
      </w:pPr>
      <w:r>
        <w:rPr>
          <w:rFonts w:hint="eastAsia" w:ascii="宋体" w:hAnsi="宋体" w:eastAsia="宋体" w:cs="宋体"/>
          <w:b/>
          <w:snapToGrid w:val="0"/>
          <w:color w:val="auto"/>
          <w:kern w:val="0"/>
          <w:sz w:val="22"/>
          <w:szCs w:val="22"/>
          <w:highlight w:val="none"/>
        </w:rPr>
        <w:t>3  投标人的合格条件</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3.1 本项目实行公开招标，资格后审，通过资格审查是投标参与评标及中标的前提条件。</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投标人应为具有与本次招标项目相应的资质和工作经验,具备承担本次招标的人员、设备等技术力量和能力的法人单位，具体要求详见</w:t>
      </w:r>
      <w:r>
        <w:rPr>
          <w:rFonts w:hint="eastAsia" w:ascii="宋体" w:hAnsi="宋体" w:eastAsia="宋体" w:cs="宋体"/>
          <w:snapToGrid w:val="0"/>
          <w:color w:val="auto"/>
          <w:kern w:val="0"/>
          <w:sz w:val="22"/>
          <w:szCs w:val="22"/>
          <w:highlight w:val="none"/>
          <w:lang w:val="en-US" w:eastAsia="zh-CN"/>
        </w:rPr>
        <w:t xml:space="preserve">第一章 </w:t>
      </w:r>
      <w:r>
        <w:rPr>
          <w:rFonts w:hint="eastAsia" w:ascii="宋体" w:hAnsi="宋体" w:eastAsia="宋体" w:cs="宋体"/>
          <w:snapToGrid w:val="0"/>
          <w:color w:val="auto"/>
          <w:kern w:val="0"/>
          <w:sz w:val="22"/>
          <w:szCs w:val="22"/>
          <w:highlight w:val="none"/>
        </w:rPr>
        <w:t>招标公告。</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lang w:val="en-US" w:eastAsia="zh-CN"/>
        </w:rPr>
      </w:pPr>
      <w:r>
        <w:rPr>
          <w:rFonts w:hint="eastAsia" w:ascii="宋体" w:hAnsi="宋体" w:eastAsia="宋体" w:cs="宋体"/>
          <w:snapToGrid w:val="0"/>
          <w:color w:val="auto"/>
          <w:kern w:val="0"/>
          <w:sz w:val="22"/>
          <w:szCs w:val="22"/>
          <w:highlight w:val="none"/>
          <w:lang w:val="en-US" w:eastAsia="zh-CN"/>
        </w:rPr>
        <w:t xml:space="preserve">3.2 </w:t>
      </w:r>
      <w:r>
        <w:rPr>
          <w:rFonts w:hint="eastAsia" w:ascii="宋体" w:hAnsi="宋体" w:eastAsia="宋体" w:cs="宋体"/>
          <w:b/>
          <w:bCs/>
          <w:snapToGrid w:val="0"/>
          <w:color w:val="auto"/>
          <w:kern w:val="0"/>
          <w:sz w:val="22"/>
          <w:szCs w:val="22"/>
          <w:highlight w:val="none"/>
          <w:u w:val="none"/>
          <w:lang w:val="en-US" w:eastAsia="zh-CN"/>
        </w:rPr>
        <w:t>本项目不允许分包</w:t>
      </w:r>
      <w:r>
        <w:rPr>
          <w:rFonts w:hint="eastAsia" w:ascii="宋体" w:hAnsi="宋体" w:eastAsia="宋体" w:cs="宋体"/>
          <w:snapToGrid w:val="0"/>
          <w:color w:val="auto"/>
          <w:kern w:val="0"/>
          <w:sz w:val="22"/>
          <w:szCs w:val="22"/>
          <w:highlight w:val="none"/>
          <w:lang w:val="en-US" w:eastAsia="zh-CN"/>
        </w:rPr>
        <w:t>。</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hanging="497" w:hangingChars="225"/>
        <w:rPr>
          <w:rFonts w:hint="eastAsia" w:ascii="宋体" w:hAnsi="宋体" w:eastAsia="宋体" w:cs="宋体"/>
          <w:b/>
          <w:snapToGrid w:val="0"/>
          <w:color w:val="auto"/>
          <w:kern w:val="0"/>
          <w:sz w:val="22"/>
          <w:szCs w:val="22"/>
          <w:highlight w:val="none"/>
        </w:rPr>
      </w:pPr>
      <w:r>
        <w:rPr>
          <w:rFonts w:hint="eastAsia" w:ascii="宋体" w:hAnsi="宋体" w:eastAsia="宋体" w:cs="宋体"/>
          <w:b/>
          <w:snapToGrid w:val="0"/>
          <w:color w:val="auto"/>
          <w:kern w:val="0"/>
          <w:sz w:val="22"/>
          <w:szCs w:val="22"/>
          <w:highlight w:val="none"/>
        </w:rPr>
        <w:t>4  投标费用</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4.1 投标人在投标过程中的一切费用，无论中标与否，均由投标人自行承担。</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hanging="497" w:hangingChars="225"/>
        <w:rPr>
          <w:rFonts w:hint="eastAsia" w:ascii="宋体" w:hAnsi="宋体" w:eastAsia="宋体" w:cs="宋体"/>
          <w:b/>
          <w:snapToGrid w:val="0"/>
          <w:color w:val="auto"/>
          <w:kern w:val="0"/>
          <w:sz w:val="22"/>
          <w:szCs w:val="22"/>
          <w:highlight w:val="none"/>
        </w:rPr>
      </w:pPr>
      <w:r>
        <w:rPr>
          <w:rFonts w:hint="eastAsia" w:ascii="宋体" w:hAnsi="宋体" w:eastAsia="宋体" w:cs="宋体"/>
          <w:b/>
          <w:snapToGrid w:val="0"/>
          <w:color w:val="auto"/>
          <w:kern w:val="0"/>
          <w:sz w:val="22"/>
          <w:szCs w:val="22"/>
          <w:highlight w:val="none"/>
        </w:rPr>
        <w:t>5  现场考察</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5.1 招标人将不组织投标人进行现场考察，投标人认为需要的,可自行进行现场考察，招标人将予以必要的协助，费用由投标人自理。</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5.2 在现场考察过程中，投标人如果发生人身伤亡、财物或其他损失，无论何种原因所造成，招标人和招标代理均不负责。</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5.3 由招标人提供的资料和数据，仅供投标人参考，招标人和招标代理对投标人由此做出的推论、解释和结论概不负责。</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hanging="497" w:hangingChars="225"/>
        <w:rPr>
          <w:rFonts w:hint="eastAsia" w:ascii="宋体" w:hAnsi="宋体" w:eastAsia="宋体" w:cs="宋体"/>
          <w:b/>
          <w:snapToGrid w:val="0"/>
          <w:color w:val="auto"/>
          <w:kern w:val="0"/>
          <w:sz w:val="22"/>
          <w:szCs w:val="22"/>
          <w:highlight w:val="none"/>
        </w:rPr>
      </w:pPr>
      <w:r>
        <w:rPr>
          <w:rFonts w:hint="eastAsia" w:ascii="宋体" w:hAnsi="宋体" w:eastAsia="宋体" w:cs="宋体"/>
          <w:b/>
          <w:snapToGrid w:val="0"/>
          <w:color w:val="auto"/>
          <w:kern w:val="0"/>
          <w:sz w:val="22"/>
          <w:szCs w:val="22"/>
          <w:highlight w:val="none"/>
        </w:rPr>
        <w:t>6  标前会议</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bookmarkStart w:id="23" w:name="_Toc44814581"/>
      <w:r>
        <w:rPr>
          <w:rFonts w:hint="eastAsia" w:ascii="宋体" w:hAnsi="宋体" w:eastAsia="宋体" w:cs="宋体"/>
          <w:snapToGrid w:val="0"/>
          <w:color w:val="auto"/>
          <w:kern w:val="0"/>
          <w:sz w:val="22"/>
          <w:szCs w:val="22"/>
          <w:highlight w:val="none"/>
        </w:rPr>
        <w:t>6.1 不组织标前会议。</w:t>
      </w:r>
    </w:p>
    <w:p>
      <w:pPr>
        <w:keepNext w:val="0"/>
        <w:keepLines w:val="0"/>
        <w:pageBreakBefore w:val="0"/>
        <w:widowControl w:val="0"/>
        <w:kinsoku/>
        <w:wordWrap/>
        <w:overflowPunct/>
        <w:topLinePunct/>
        <w:autoSpaceDE/>
        <w:autoSpaceDN/>
        <w:bidi w:val="0"/>
        <w:adjustRightInd/>
        <w:snapToGrid/>
        <w:spacing w:line="360" w:lineRule="auto"/>
        <w:ind w:left="0"/>
        <w:jc w:val="center"/>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二、招标文件</w:t>
      </w:r>
      <w:bookmarkEnd w:id="23"/>
    </w:p>
    <w:p>
      <w:pPr>
        <w:pStyle w:val="85"/>
        <w:keepNext w:val="0"/>
        <w:keepLines w:val="0"/>
        <w:pageBreakBefore w:val="0"/>
        <w:widowControl w:val="0"/>
        <w:kinsoku/>
        <w:wordWrap/>
        <w:overflowPunct/>
        <w:topLinePunct/>
        <w:autoSpaceDE/>
        <w:autoSpaceDN/>
        <w:bidi w:val="0"/>
        <w:adjustRightInd/>
        <w:snapToGrid/>
        <w:spacing w:before="0" w:after="0" w:line="360" w:lineRule="auto"/>
        <w:ind w:left="0" w:firstLine="0"/>
        <w:rPr>
          <w:rFonts w:hint="eastAsia" w:ascii="宋体" w:hAnsi="宋体" w:eastAsia="宋体" w:cs="宋体"/>
          <w:snapToGrid w:val="0"/>
          <w:color w:val="auto"/>
          <w:sz w:val="22"/>
          <w:szCs w:val="22"/>
          <w:highlight w:val="none"/>
        </w:rPr>
      </w:pPr>
      <w:r>
        <w:rPr>
          <w:rFonts w:hint="eastAsia" w:ascii="宋体" w:hAnsi="宋体" w:eastAsia="宋体" w:cs="宋体"/>
          <w:snapToGrid w:val="0"/>
          <w:color w:val="auto"/>
          <w:sz w:val="22"/>
          <w:szCs w:val="22"/>
          <w:highlight w:val="none"/>
        </w:rPr>
        <w:t>7  招标文件的内容</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7.1 本项目招标文件由下列文件组成：</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第一章  招标公告</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第二章  投标人须知</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第三章  评标办法</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第四章  合同条款</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lang w:eastAsia="zh-CN"/>
        </w:rPr>
      </w:pPr>
      <w:r>
        <w:rPr>
          <w:rFonts w:hint="eastAsia" w:ascii="宋体" w:hAnsi="宋体" w:eastAsia="宋体" w:cs="宋体"/>
          <w:snapToGrid w:val="0"/>
          <w:color w:val="auto"/>
          <w:kern w:val="0"/>
          <w:sz w:val="22"/>
          <w:szCs w:val="22"/>
          <w:highlight w:val="none"/>
        </w:rPr>
        <w:t xml:space="preserve">第五章  </w:t>
      </w:r>
      <w:r>
        <w:rPr>
          <w:rFonts w:hint="eastAsia" w:cs="宋体"/>
          <w:snapToGrid w:val="0"/>
          <w:color w:val="auto"/>
          <w:kern w:val="0"/>
          <w:sz w:val="22"/>
          <w:szCs w:val="22"/>
          <w:highlight w:val="none"/>
          <w:lang w:eastAsia="zh-CN"/>
        </w:rPr>
        <w:t>发包人要求</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第六章  投标文件格式</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bookmarkStart w:id="24" w:name="_Toc298415767"/>
      <w:r>
        <w:rPr>
          <w:rFonts w:hint="eastAsia" w:ascii="宋体" w:hAnsi="宋体" w:eastAsia="宋体" w:cs="宋体"/>
          <w:snapToGrid w:val="0"/>
          <w:color w:val="auto"/>
          <w:kern w:val="0"/>
          <w:sz w:val="22"/>
          <w:szCs w:val="22"/>
          <w:highlight w:val="none"/>
        </w:rPr>
        <w:t>招标人在招标期间发出的所有有编号的补遗书以及其它正式有效函件，均是招标文件的组成部分。</w:t>
      </w:r>
      <w:bookmarkEnd w:id="24"/>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7.2 投标人应认真阅读招标文件中所有条款、格式、规范和清单，并按招标文件的规定与要求编写投标文件。如果投标文件与招标文件的规定和要求不符合，则投标人应自行负责。凡与招标文件的规定有重大偏离或保留的投标文件，其投标将被拒绝。</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7.3 无论是否提交投标文件，投标人都不应扩散招标文件的内容。</w:t>
      </w:r>
    </w:p>
    <w:p>
      <w:pPr>
        <w:pStyle w:val="85"/>
        <w:keepNext w:val="0"/>
        <w:keepLines w:val="0"/>
        <w:pageBreakBefore w:val="0"/>
        <w:widowControl w:val="0"/>
        <w:kinsoku/>
        <w:wordWrap/>
        <w:overflowPunct/>
        <w:topLinePunct/>
        <w:autoSpaceDE/>
        <w:autoSpaceDN/>
        <w:bidi w:val="0"/>
        <w:adjustRightInd/>
        <w:snapToGrid/>
        <w:spacing w:before="0" w:after="0" w:line="360" w:lineRule="auto"/>
        <w:ind w:left="0" w:firstLine="0"/>
        <w:rPr>
          <w:rFonts w:hint="eastAsia" w:ascii="宋体" w:hAnsi="宋体" w:eastAsia="宋体" w:cs="宋体"/>
          <w:snapToGrid w:val="0"/>
          <w:color w:val="auto"/>
          <w:sz w:val="22"/>
          <w:szCs w:val="22"/>
          <w:highlight w:val="none"/>
        </w:rPr>
      </w:pPr>
      <w:r>
        <w:rPr>
          <w:rFonts w:hint="eastAsia" w:ascii="宋体" w:hAnsi="宋体" w:eastAsia="宋体" w:cs="宋体"/>
          <w:snapToGrid w:val="0"/>
          <w:color w:val="auto"/>
          <w:sz w:val="22"/>
          <w:szCs w:val="22"/>
          <w:highlight w:val="none"/>
        </w:rPr>
        <w:t>8  招标文件的澄清和解答</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8.1 要求澄清招标文件的投标人应以书面（含邮件）的方式在投标截止期16天以前通知招标人。招标人将在投标截止时间15天以前，以有编号的补遗书方式书面（含邮件）答复（包括对询问的解释，但不说明询问的来源）。招标人的答复将发给所有投标人。投标人在收到书面答复后，应立即以邮件的方式通知招标代理，确认已收到该书面答复。</w:t>
      </w:r>
    </w:p>
    <w:p>
      <w:pPr>
        <w:pStyle w:val="85"/>
        <w:keepNext w:val="0"/>
        <w:keepLines w:val="0"/>
        <w:pageBreakBefore w:val="0"/>
        <w:widowControl w:val="0"/>
        <w:kinsoku/>
        <w:wordWrap/>
        <w:overflowPunct/>
        <w:topLinePunct/>
        <w:autoSpaceDE/>
        <w:autoSpaceDN/>
        <w:bidi w:val="0"/>
        <w:adjustRightInd/>
        <w:snapToGrid/>
        <w:spacing w:before="0" w:after="0" w:line="360" w:lineRule="auto"/>
        <w:ind w:left="0" w:firstLine="0"/>
        <w:rPr>
          <w:rFonts w:hint="eastAsia" w:ascii="宋体" w:hAnsi="宋体" w:eastAsia="宋体" w:cs="宋体"/>
          <w:snapToGrid w:val="0"/>
          <w:color w:val="auto"/>
          <w:sz w:val="22"/>
          <w:szCs w:val="22"/>
          <w:highlight w:val="none"/>
        </w:rPr>
      </w:pPr>
      <w:r>
        <w:rPr>
          <w:rFonts w:hint="eastAsia" w:ascii="宋体" w:hAnsi="宋体" w:eastAsia="宋体" w:cs="宋体"/>
          <w:snapToGrid w:val="0"/>
          <w:color w:val="auto"/>
          <w:sz w:val="22"/>
          <w:szCs w:val="22"/>
          <w:highlight w:val="none"/>
        </w:rPr>
        <w:t>9  招标文件的修改</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bookmarkStart w:id="25" w:name="_Toc44814582"/>
      <w:r>
        <w:rPr>
          <w:rFonts w:hint="eastAsia" w:ascii="宋体" w:hAnsi="宋体" w:eastAsia="宋体" w:cs="宋体"/>
          <w:snapToGrid w:val="0"/>
          <w:color w:val="auto"/>
          <w:kern w:val="0"/>
          <w:sz w:val="22"/>
          <w:szCs w:val="22"/>
          <w:highlight w:val="none"/>
        </w:rPr>
        <w:t>9.1 在投标截止期15天前，招标人可能会因各种原因，对招标文件进行修改，并以补遗书形式发给所有购买招标文件的投标人，投标人收到书面材料后，应在24小时以内以邮件形式通知招标代理，确认已收到该补遗书。</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9.2 为了给投标人合理的时间，使他们在编制投标文件时把补遗书的内容考虑进去，招标人可按照本须知第17条的规定，酌情延长递交投标文件的截止时间。</w:t>
      </w:r>
    </w:p>
    <w:p>
      <w:pPr>
        <w:keepNext w:val="0"/>
        <w:keepLines w:val="0"/>
        <w:pageBreakBefore w:val="0"/>
        <w:widowControl w:val="0"/>
        <w:kinsoku/>
        <w:wordWrap/>
        <w:overflowPunct/>
        <w:topLinePunct/>
        <w:autoSpaceDE/>
        <w:autoSpaceDN/>
        <w:bidi w:val="0"/>
        <w:adjustRightInd/>
        <w:snapToGrid/>
        <w:spacing w:line="360" w:lineRule="auto"/>
        <w:ind w:left="0"/>
        <w:jc w:val="center"/>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三、投标文件的编制</w:t>
      </w:r>
      <w:bookmarkEnd w:id="25"/>
    </w:p>
    <w:p>
      <w:pPr>
        <w:pStyle w:val="85"/>
        <w:keepNext w:val="0"/>
        <w:keepLines w:val="0"/>
        <w:pageBreakBefore w:val="0"/>
        <w:widowControl w:val="0"/>
        <w:kinsoku/>
        <w:wordWrap/>
        <w:overflowPunct/>
        <w:topLinePunct/>
        <w:autoSpaceDE/>
        <w:autoSpaceDN/>
        <w:bidi w:val="0"/>
        <w:adjustRightInd/>
        <w:snapToGrid/>
        <w:spacing w:before="0" w:after="0" w:line="360" w:lineRule="auto"/>
        <w:ind w:left="0" w:firstLine="0"/>
        <w:rPr>
          <w:rFonts w:hint="eastAsia" w:ascii="宋体" w:hAnsi="宋体" w:eastAsia="宋体" w:cs="宋体"/>
          <w:snapToGrid w:val="0"/>
          <w:color w:val="auto"/>
          <w:sz w:val="22"/>
          <w:szCs w:val="22"/>
          <w:highlight w:val="none"/>
        </w:rPr>
      </w:pPr>
      <w:r>
        <w:rPr>
          <w:rFonts w:hint="eastAsia" w:ascii="宋体" w:hAnsi="宋体" w:eastAsia="宋体" w:cs="宋体"/>
          <w:snapToGrid w:val="0"/>
          <w:color w:val="auto"/>
          <w:sz w:val="22"/>
          <w:szCs w:val="22"/>
          <w:highlight w:val="none"/>
        </w:rPr>
        <w:t>10  投标文件的语言</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10.1 投标文件及投标人与招标人之间的来往信函、文件均使用中文。</w:t>
      </w:r>
    </w:p>
    <w:p>
      <w:pPr>
        <w:pStyle w:val="85"/>
        <w:keepNext w:val="0"/>
        <w:keepLines w:val="0"/>
        <w:pageBreakBefore w:val="0"/>
        <w:widowControl w:val="0"/>
        <w:kinsoku/>
        <w:wordWrap/>
        <w:overflowPunct/>
        <w:topLinePunct/>
        <w:autoSpaceDE/>
        <w:autoSpaceDN/>
        <w:bidi w:val="0"/>
        <w:adjustRightInd/>
        <w:snapToGrid/>
        <w:spacing w:before="0" w:after="0" w:line="360" w:lineRule="auto"/>
        <w:ind w:left="0" w:firstLine="0"/>
        <w:rPr>
          <w:rFonts w:hint="eastAsia" w:ascii="宋体" w:hAnsi="宋体" w:eastAsia="宋体" w:cs="宋体"/>
          <w:snapToGrid w:val="0"/>
          <w:color w:val="auto"/>
          <w:sz w:val="22"/>
          <w:szCs w:val="22"/>
          <w:highlight w:val="none"/>
        </w:rPr>
      </w:pPr>
      <w:r>
        <w:rPr>
          <w:rFonts w:hint="eastAsia" w:ascii="宋体" w:hAnsi="宋体" w:eastAsia="宋体" w:cs="宋体"/>
          <w:snapToGrid w:val="0"/>
          <w:color w:val="auto"/>
          <w:sz w:val="22"/>
          <w:szCs w:val="22"/>
          <w:highlight w:val="none"/>
        </w:rPr>
        <w:t>11  投标文件的组成</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bookmarkStart w:id="26" w:name="_Toc298415780"/>
      <w:r>
        <w:rPr>
          <w:rFonts w:hint="eastAsia" w:ascii="宋体" w:hAnsi="宋体" w:eastAsia="宋体" w:cs="宋体"/>
          <w:snapToGrid w:val="0"/>
          <w:color w:val="auto"/>
          <w:kern w:val="0"/>
          <w:sz w:val="22"/>
          <w:szCs w:val="22"/>
          <w:highlight w:val="none"/>
        </w:rPr>
        <w:t>11.1 投标人编写的投标文件，应包括下列各项：</w:t>
      </w:r>
      <w:bookmarkEnd w:id="26"/>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2" w:firstLineChars="200"/>
        <w:rPr>
          <w:rFonts w:hint="eastAsia" w:ascii="宋体" w:hAnsi="宋体" w:eastAsia="宋体" w:cs="宋体"/>
          <w:b/>
          <w:bCs/>
          <w:snapToGrid w:val="0"/>
          <w:color w:val="auto"/>
          <w:kern w:val="0"/>
          <w:sz w:val="22"/>
          <w:szCs w:val="22"/>
          <w:highlight w:val="none"/>
        </w:rPr>
      </w:pPr>
      <w:r>
        <w:rPr>
          <w:rFonts w:hint="eastAsia" w:ascii="宋体" w:hAnsi="宋体" w:eastAsia="宋体" w:cs="宋体"/>
          <w:b/>
          <w:bCs/>
          <w:snapToGrid w:val="0"/>
          <w:color w:val="auto"/>
          <w:kern w:val="0"/>
          <w:sz w:val="22"/>
          <w:szCs w:val="22"/>
          <w:highlight w:val="none"/>
        </w:rPr>
        <w:t>第一个信封（商务及技术文件）</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一  投标函</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二  法定代表人身份证明</w:t>
      </w:r>
      <w:r>
        <w:rPr>
          <w:rFonts w:hint="eastAsia" w:cs="宋体"/>
          <w:snapToGrid w:val="0"/>
          <w:color w:val="auto"/>
          <w:kern w:val="0"/>
          <w:sz w:val="22"/>
          <w:szCs w:val="22"/>
          <w:highlight w:val="none"/>
          <w:lang w:val="en-US" w:eastAsia="zh-CN"/>
        </w:rPr>
        <w:t>及</w:t>
      </w:r>
      <w:r>
        <w:rPr>
          <w:rFonts w:hint="eastAsia" w:ascii="宋体" w:hAnsi="宋体" w:eastAsia="宋体" w:cs="宋体"/>
          <w:snapToGrid w:val="0"/>
          <w:color w:val="auto"/>
          <w:kern w:val="0"/>
          <w:sz w:val="22"/>
          <w:szCs w:val="22"/>
          <w:highlight w:val="none"/>
        </w:rPr>
        <w:t>授权委托书</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lang w:val="en-US" w:eastAsia="zh-CN"/>
        </w:rPr>
        <w:t>三</w:t>
      </w:r>
      <w:r>
        <w:rPr>
          <w:rFonts w:hint="eastAsia" w:ascii="宋体" w:hAnsi="宋体" w:eastAsia="宋体" w:cs="宋体"/>
          <w:snapToGrid w:val="0"/>
          <w:color w:val="auto"/>
          <w:kern w:val="0"/>
          <w:sz w:val="22"/>
          <w:szCs w:val="22"/>
          <w:highlight w:val="none"/>
        </w:rPr>
        <w:t xml:space="preserve">  资格审查资料</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lang w:val="en-US" w:eastAsia="zh-CN"/>
        </w:rPr>
        <w:t>四</w:t>
      </w:r>
      <w:r>
        <w:rPr>
          <w:rFonts w:hint="eastAsia" w:ascii="宋体" w:hAnsi="宋体" w:eastAsia="宋体" w:cs="宋体"/>
          <w:snapToGrid w:val="0"/>
          <w:color w:val="auto"/>
          <w:kern w:val="0"/>
          <w:sz w:val="22"/>
          <w:szCs w:val="22"/>
          <w:highlight w:val="none"/>
        </w:rPr>
        <w:t xml:space="preserve">  承诺书</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lang w:val="en-US" w:eastAsia="zh-CN"/>
        </w:rPr>
        <w:t>五</w:t>
      </w:r>
      <w:r>
        <w:rPr>
          <w:rFonts w:hint="eastAsia" w:ascii="宋体" w:hAnsi="宋体" w:eastAsia="宋体" w:cs="宋体"/>
          <w:snapToGrid w:val="0"/>
          <w:color w:val="auto"/>
          <w:kern w:val="0"/>
          <w:sz w:val="22"/>
          <w:szCs w:val="22"/>
          <w:highlight w:val="none"/>
        </w:rPr>
        <w:t xml:space="preserve">  工作大纲</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lang w:val="en-US" w:eastAsia="zh-CN"/>
        </w:rPr>
        <w:t>六</w:t>
      </w:r>
      <w:r>
        <w:rPr>
          <w:rFonts w:hint="eastAsia" w:ascii="宋体" w:hAnsi="宋体" w:eastAsia="宋体" w:cs="宋体"/>
          <w:snapToGrid w:val="0"/>
          <w:color w:val="auto"/>
          <w:kern w:val="0"/>
          <w:sz w:val="22"/>
          <w:szCs w:val="22"/>
          <w:highlight w:val="none"/>
        </w:rPr>
        <w:t xml:space="preserve">  其他材料</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2"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b/>
          <w:bCs/>
          <w:snapToGrid w:val="0"/>
          <w:color w:val="auto"/>
          <w:kern w:val="0"/>
          <w:sz w:val="22"/>
          <w:szCs w:val="22"/>
          <w:highlight w:val="none"/>
        </w:rPr>
        <w:t>第二个信封（报价文件）</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一  投标函</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二  报价清单</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11.2 投标人应使用招标文件中提供的格式或大纲编写，并按上述顺序装订，但表格可以按同样格式扩展。投标文件应标注连续页码；投标文件应编制目录，并注明页码。</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11.3 在提交投标文件时应同时提交一份其投标文件的文字录入部分的电子文档，文件用WORD软件制作，报价用EXCEL软件制作，文件均不得设置密码，并将文件拷入</w:t>
      </w:r>
      <w:r>
        <w:rPr>
          <w:rFonts w:hint="eastAsia" w:ascii="宋体" w:hAnsi="宋体" w:eastAsia="宋体" w:cs="宋体"/>
          <w:b/>
          <w:bCs/>
          <w:snapToGrid w:val="0"/>
          <w:color w:val="auto"/>
          <w:kern w:val="0"/>
          <w:sz w:val="22"/>
          <w:szCs w:val="22"/>
          <w:highlight w:val="none"/>
        </w:rPr>
        <w:t>U盘</w:t>
      </w:r>
      <w:r>
        <w:rPr>
          <w:rFonts w:hint="eastAsia" w:ascii="宋体" w:hAnsi="宋体" w:eastAsia="宋体" w:cs="宋体"/>
          <w:snapToGrid w:val="0"/>
          <w:color w:val="auto"/>
          <w:kern w:val="0"/>
          <w:sz w:val="22"/>
          <w:szCs w:val="22"/>
          <w:highlight w:val="none"/>
        </w:rPr>
        <w:t>，投标人应保证其提交的电子文件无病毒。U盘上需标明标段名称和投标人名称。</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11.4 投标文件的正本与副本应分别装订成册，投标文件不得采用活页夹装订，否则，招标人对由于投标文件装订松散而造成的丢失或其他后果不承担任何责任。</w:t>
      </w:r>
    </w:p>
    <w:p>
      <w:pPr>
        <w:pStyle w:val="85"/>
        <w:keepNext w:val="0"/>
        <w:keepLines w:val="0"/>
        <w:pageBreakBefore w:val="0"/>
        <w:widowControl w:val="0"/>
        <w:kinsoku/>
        <w:wordWrap/>
        <w:overflowPunct/>
        <w:topLinePunct/>
        <w:autoSpaceDE/>
        <w:autoSpaceDN/>
        <w:bidi w:val="0"/>
        <w:adjustRightInd/>
        <w:snapToGrid/>
        <w:spacing w:before="0" w:after="0" w:line="360" w:lineRule="auto"/>
        <w:ind w:left="0" w:firstLine="0"/>
        <w:rPr>
          <w:rFonts w:hint="eastAsia" w:ascii="宋体" w:hAnsi="宋体" w:eastAsia="宋体" w:cs="宋体"/>
          <w:snapToGrid w:val="0"/>
          <w:color w:val="auto"/>
          <w:sz w:val="22"/>
          <w:szCs w:val="22"/>
          <w:highlight w:val="none"/>
        </w:rPr>
      </w:pPr>
      <w:r>
        <w:rPr>
          <w:rFonts w:hint="eastAsia" w:ascii="宋体" w:hAnsi="宋体" w:eastAsia="宋体" w:cs="宋体"/>
          <w:snapToGrid w:val="0"/>
          <w:color w:val="auto"/>
          <w:sz w:val="22"/>
          <w:szCs w:val="22"/>
          <w:highlight w:val="none"/>
        </w:rPr>
        <w:t>12  投标价格</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2" w:firstLineChars="200"/>
        <w:rPr>
          <w:rFonts w:hint="eastAsia" w:ascii="宋体" w:hAnsi="宋体" w:eastAsia="宋体" w:cs="宋体"/>
          <w:b/>
          <w:bCs/>
          <w:snapToGrid w:val="0"/>
          <w:color w:val="auto"/>
          <w:kern w:val="0"/>
          <w:sz w:val="22"/>
          <w:szCs w:val="22"/>
          <w:highlight w:val="none"/>
          <w:u w:val="single"/>
        </w:rPr>
      </w:pPr>
      <w:r>
        <w:rPr>
          <w:rFonts w:hint="eastAsia" w:ascii="宋体" w:hAnsi="宋体" w:eastAsia="宋体" w:cs="宋体"/>
          <w:b/>
          <w:bCs/>
          <w:snapToGrid w:val="0"/>
          <w:color w:val="auto"/>
          <w:kern w:val="0"/>
          <w:sz w:val="22"/>
          <w:szCs w:val="22"/>
          <w:highlight w:val="none"/>
        </w:rPr>
        <w:t xml:space="preserve">12.1 </w:t>
      </w:r>
      <w:bookmarkStart w:id="27" w:name="_Toc298415800"/>
      <w:r>
        <w:rPr>
          <w:rFonts w:hint="eastAsia" w:ascii="宋体" w:hAnsi="宋体" w:eastAsia="宋体" w:cs="宋体"/>
          <w:b/>
          <w:bCs/>
          <w:snapToGrid w:val="0"/>
          <w:color w:val="auto"/>
          <w:kern w:val="0"/>
          <w:sz w:val="22"/>
          <w:szCs w:val="22"/>
          <w:highlight w:val="none"/>
        </w:rPr>
        <w:t>招标人设有最高投标限价，招标人设定的最高投标限价为</w:t>
      </w:r>
      <w:r>
        <w:rPr>
          <w:rFonts w:hint="eastAsia" w:ascii="宋体" w:hAnsi="宋体" w:eastAsia="宋体" w:cs="宋体"/>
          <w:b/>
          <w:bCs/>
          <w:snapToGrid w:val="0"/>
          <w:color w:val="auto"/>
          <w:kern w:val="0"/>
          <w:sz w:val="22"/>
          <w:szCs w:val="22"/>
          <w:highlight w:val="none"/>
          <w:u w:val="single"/>
        </w:rPr>
        <w:t>人民币陆拾万元整（¥</w:t>
      </w:r>
      <w:r>
        <w:rPr>
          <w:rFonts w:hint="eastAsia" w:cs="宋体"/>
          <w:b/>
          <w:bCs/>
          <w:snapToGrid w:val="0"/>
          <w:color w:val="auto"/>
          <w:kern w:val="0"/>
          <w:sz w:val="22"/>
          <w:szCs w:val="22"/>
          <w:highlight w:val="none"/>
          <w:u w:val="single"/>
          <w:lang w:val="en-US" w:eastAsia="zh-CN"/>
        </w:rPr>
        <w:t>600</w:t>
      </w:r>
      <w:r>
        <w:rPr>
          <w:rFonts w:hint="eastAsia" w:ascii="宋体" w:hAnsi="宋体" w:eastAsia="宋体" w:cs="宋体"/>
          <w:b/>
          <w:bCs/>
          <w:snapToGrid w:val="0"/>
          <w:color w:val="auto"/>
          <w:kern w:val="0"/>
          <w:sz w:val="22"/>
          <w:szCs w:val="22"/>
          <w:highlight w:val="none"/>
          <w:u w:val="single"/>
        </w:rPr>
        <w:t>000元）。</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2" w:firstLineChars="200"/>
        <w:rPr>
          <w:rFonts w:hint="eastAsia" w:ascii="宋体" w:hAnsi="宋体" w:eastAsia="宋体" w:cs="宋体"/>
          <w:b/>
          <w:bCs/>
          <w:snapToGrid w:val="0"/>
          <w:color w:val="auto"/>
          <w:kern w:val="0"/>
          <w:sz w:val="22"/>
          <w:szCs w:val="22"/>
          <w:highlight w:val="none"/>
        </w:rPr>
      </w:pPr>
      <w:r>
        <w:rPr>
          <w:rFonts w:hint="eastAsia" w:ascii="宋体" w:hAnsi="宋体" w:eastAsia="宋体" w:cs="宋体"/>
          <w:b/>
          <w:bCs/>
          <w:snapToGrid w:val="0"/>
          <w:color w:val="auto"/>
          <w:kern w:val="0"/>
          <w:sz w:val="22"/>
          <w:szCs w:val="22"/>
          <w:highlight w:val="none"/>
        </w:rPr>
        <w:t>开标时投标人投标报价超出招标人设定的最高投标限价的，招标人不予接受，作否决投标处理。</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2" w:firstLineChars="200"/>
        <w:rPr>
          <w:rFonts w:hint="eastAsia" w:ascii="宋体" w:hAnsi="宋体" w:eastAsia="宋体" w:cs="宋体"/>
          <w:b/>
          <w:bCs/>
          <w:snapToGrid w:val="0"/>
          <w:color w:val="auto"/>
          <w:kern w:val="0"/>
          <w:sz w:val="22"/>
          <w:szCs w:val="22"/>
          <w:highlight w:val="none"/>
        </w:rPr>
      </w:pPr>
      <w:r>
        <w:rPr>
          <w:rFonts w:hint="eastAsia" w:ascii="宋体" w:hAnsi="宋体" w:eastAsia="宋体" w:cs="宋体"/>
          <w:b/>
          <w:bCs/>
          <w:snapToGrid w:val="0"/>
          <w:color w:val="auto"/>
          <w:kern w:val="0"/>
          <w:sz w:val="22"/>
          <w:szCs w:val="22"/>
          <w:highlight w:val="none"/>
        </w:rPr>
        <w:t>12.2 投标人的投标报价：</w:t>
      </w:r>
    </w:p>
    <w:bookmarkEnd w:id="27"/>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2" w:firstLineChars="200"/>
        <w:rPr>
          <w:rFonts w:hint="eastAsia" w:ascii="宋体" w:hAnsi="宋体" w:eastAsia="宋体" w:cs="宋体"/>
          <w:bCs/>
          <w:snapToGrid w:val="0"/>
          <w:color w:val="auto"/>
          <w:kern w:val="0"/>
          <w:sz w:val="22"/>
          <w:szCs w:val="22"/>
          <w:highlight w:val="none"/>
        </w:rPr>
      </w:pPr>
      <w:r>
        <w:rPr>
          <w:rFonts w:hint="eastAsia" w:ascii="宋体" w:hAnsi="宋体" w:eastAsia="宋体" w:cs="宋体"/>
          <w:b/>
          <w:bCs w:val="0"/>
          <w:snapToGrid w:val="0"/>
          <w:color w:val="auto"/>
          <w:kern w:val="0"/>
          <w:sz w:val="22"/>
          <w:szCs w:val="22"/>
          <w:highlight w:val="none"/>
        </w:rPr>
        <w:t>（1）本项目为总价合同，</w:t>
      </w:r>
      <w:r>
        <w:rPr>
          <w:rFonts w:hint="eastAsia" w:ascii="宋体" w:hAnsi="宋体" w:eastAsia="宋体" w:cs="宋体"/>
          <w:b/>
          <w:bCs w:val="0"/>
          <w:snapToGrid w:val="0"/>
          <w:color w:val="auto"/>
          <w:kern w:val="0"/>
          <w:sz w:val="22"/>
          <w:szCs w:val="22"/>
          <w:highlight w:val="none"/>
          <w:lang w:eastAsia="zh-CN"/>
        </w:rPr>
        <w:t>投标人的投标报价应视为包括正常服务的相关费用、评估费用、会务费用、评审费、附加服务、所需设备仪器使用费用、交通费用、出具咨询报告费用及单位取费（利润、税金、保险费、管理费、前期项目评审费（如有）等），以及后续服务等与履行本合同有关的一切费用。</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bCs/>
          <w:snapToGrid w:val="0"/>
          <w:color w:val="auto"/>
          <w:kern w:val="0"/>
          <w:sz w:val="22"/>
          <w:szCs w:val="22"/>
          <w:highlight w:val="none"/>
        </w:rPr>
      </w:pPr>
      <w:r>
        <w:rPr>
          <w:rFonts w:hint="eastAsia" w:ascii="宋体" w:hAnsi="宋体" w:eastAsia="宋体" w:cs="宋体"/>
          <w:bCs/>
          <w:snapToGrid w:val="0"/>
          <w:color w:val="auto"/>
          <w:kern w:val="0"/>
          <w:sz w:val="22"/>
          <w:szCs w:val="22"/>
          <w:highlight w:val="none"/>
          <w:lang w:eastAsia="zh-CN"/>
        </w:rPr>
        <w:t>（</w:t>
      </w:r>
      <w:r>
        <w:rPr>
          <w:rFonts w:hint="eastAsia" w:ascii="宋体" w:hAnsi="宋体" w:eastAsia="宋体" w:cs="宋体"/>
          <w:bCs/>
          <w:snapToGrid w:val="0"/>
          <w:color w:val="auto"/>
          <w:kern w:val="0"/>
          <w:sz w:val="22"/>
          <w:szCs w:val="22"/>
          <w:highlight w:val="none"/>
          <w:lang w:val="en-US" w:eastAsia="zh-CN"/>
        </w:rPr>
        <w:t>2</w:t>
      </w:r>
      <w:r>
        <w:rPr>
          <w:rFonts w:hint="eastAsia" w:ascii="宋体" w:hAnsi="宋体" w:eastAsia="宋体" w:cs="宋体"/>
          <w:bCs/>
          <w:snapToGrid w:val="0"/>
          <w:color w:val="auto"/>
          <w:kern w:val="0"/>
          <w:sz w:val="22"/>
          <w:szCs w:val="22"/>
          <w:highlight w:val="none"/>
          <w:lang w:eastAsia="zh-CN"/>
        </w:rPr>
        <w:t>）</w:t>
      </w:r>
      <w:r>
        <w:rPr>
          <w:rFonts w:hint="eastAsia" w:ascii="宋体" w:hAnsi="宋体" w:eastAsia="宋体" w:cs="宋体"/>
          <w:bCs/>
          <w:snapToGrid w:val="0"/>
          <w:color w:val="auto"/>
          <w:kern w:val="0"/>
          <w:sz w:val="22"/>
          <w:szCs w:val="22"/>
          <w:highlight w:val="none"/>
        </w:rPr>
        <w:t>在合同实施期间，本项目合同费用不随估算投资额的变化而调整，不随国家政策或法规、标准及市场因素的变化而调整。除非在合同条款中另有规定，</w:t>
      </w:r>
      <w:r>
        <w:rPr>
          <w:rFonts w:hint="eastAsia" w:ascii="宋体" w:hAnsi="宋体" w:eastAsia="宋体" w:cs="宋体"/>
          <w:bCs/>
          <w:snapToGrid w:val="0"/>
          <w:color w:val="auto"/>
          <w:kern w:val="0"/>
          <w:sz w:val="22"/>
          <w:szCs w:val="22"/>
          <w:highlight w:val="none"/>
          <w:lang w:eastAsia="zh-CN"/>
        </w:rPr>
        <w:t>投标人</w:t>
      </w:r>
      <w:r>
        <w:rPr>
          <w:rFonts w:hint="eastAsia" w:ascii="宋体" w:hAnsi="宋体" w:eastAsia="宋体" w:cs="宋体"/>
          <w:bCs/>
          <w:snapToGrid w:val="0"/>
          <w:color w:val="auto"/>
          <w:kern w:val="0"/>
          <w:sz w:val="22"/>
          <w:szCs w:val="22"/>
          <w:highlight w:val="none"/>
        </w:rPr>
        <w:t>所报的价格在合同实施期间不予调整。</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bCs/>
          <w:snapToGrid w:val="0"/>
          <w:color w:val="auto"/>
          <w:kern w:val="0"/>
          <w:sz w:val="22"/>
          <w:szCs w:val="22"/>
          <w:highlight w:val="none"/>
        </w:rPr>
      </w:pPr>
      <w:r>
        <w:rPr>
          <w:rFonts w:hint="eastAsia" w:ascii="宋体" w:hAnsi="宋体" w:eastAsia="宋体" w:cs="宋体"/>
          <w:bCs/>
          <w:snapToGrid w:val="0"/>
          <w:color w:val="auto"/>
          <w:kern w:val="0"/>
          <w:sz w:val="22"/>
          <w:szCs w:val="22"/>
          <w:highlight w:val="none"/>
          <w:lang w:eastAsia="zh-CN"/>
        </w:rPr>
        <w:t>（</w:t>
      </w:r>
      <w:r>
        <w:rPr>
          <w:rFonts w:hint="eastAsia" w:ascii="宋体" w:hAnsi="宋体" w:eastAsia="宋体" w:cs="宋体"/>
          <w:bCs/>
          <w:snapToGrid w:val="0"/>
          <w:color w:val="auto"/>
          <w:kern w:val="0"/>
          <w:sz w:val="22"/>
          <w:szCs w:val="22"/>
          <w:highlight w:val="none"/>
          <w:lang w:val="en-US" w:eastAsia="zh-CN"/>
        </w:rPr>
        <w:t>3</w:t>
      </w:r>
      <w:r>
        <w:rPr>
          <w:rFonts w:hint="eastAsia" w:ascii="宋体" w:hAnsi="宋体" w:eastAsia="宋体" w:cs="宋体"/>
          <w:bCs/>
          <w:snapToGrid w:val="0"/>
          <w:color w:val="auto"/>
          <w:kern w:val="0"/>
          <w:sz w:val="22"/>
          <w:szCs w:val="22"/>
          <w:highlight w:val="none"/>
          <w:lang w:eastAsia="zh-CN"/>
        </w:rPr>
        <w:t>）</w:t>
      </w:r>
      <w:r>
        <w:rPr>
          <w:rFonts w:hint="eastAsia" w:ascii="宋体" w:hAnsi="宋体" w:eastAsia="宋体" w:cs="宋体"/>
          <w:bCs/>
          <w:snapToGrid w:val="0"/>
          <w:color w:val="auto"/>
          <w:kern w:val="0"/>
          <w:sz w:val="22"/>
          <w:szCs w:val="22"/>
          <w:highlight w:val="none"/>
        </w:rPr>
        <w:t>本项目发包人不提供任何设施与物品，受托人的现场生活、办公用房，办公、生活设施以及交通、水电、通讯等问题由</w:t>
      </w:r>
      <w:r>
        <w:rPr>
          <w:rFonts w:hint="eastAsia" w:ascii="宋体" w:hAnsi="宋体" w:eastAsia="宋体" w:cs="宋体"/>
          <w:bCs/>
          <w:snapToGrid w:val="0"/>
          <w:color w:val="auto"/>
          <w:kern w:val="0"/>
          <w:sz w:val="22"/>
          <w:szCs w:val="22"/>
          <w:highlight w:val="none"/>
          <w:lang w:eastAsia="zh-CN"/>
        </w:rPr>
        <w:t>投标人</w:t>
      </w:r>
      <w:r>
        <w:rPr>
          <w:rFonts w:hint="eastAsia" w:ascii="宋体" w:hAnsi="宋体" w:eastAsia="宋体" w:cs="宋体"/>
          <w:bCs/>
          <w:snapToGrid w:val="0"/>
          <w:color w:val="auto"/>
          <w:kern w:val="0"/>
          <w:sz w:val="22"/>
          <w:szCs w:val="22"/>
          <w:highlight w:val="none"/>
        </w:rPr>
        <w:t>在报价时自行考虑，不单独列项。</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bCs/>
          <w:snapToGrid w:val="0"/>
          <w:color w:val="auto"/>
          <w:kern w:val="0"/>
          <w:sz w:val="22"/>
          <w:szCs w:val="22"/>
          <w:highlight w:val="none"/>
        </w:rPr>
      </w:pPr>
      <w:r>
        <w:rPr>
          <w:rFonts w:hint="eastAsia" w:ascii="宋体" w:hAnsi="宋体" w:eastAsia="宋体" w:cs="宋体"/>
          <w:bCs/>
          <w:snapToGrid w:val="0"/>
          <w:color w:val="auto"/>
          <w:kern w:val="0"/>
          <w:sz w:val="22"/>
          <w:szCs w:val="22"/>
          <w:highlight w:val="none"/>
          <w:lang w:eastAsia="zh-CN"/>
        </w:rPr>
        <w:t>（</w:t>
      </w:r>
      <w:r>
        <w:rPr>
          <w:rFonts w:hint="eastAsia" w:ascii="宋体" w:hAnsi="宋体" w:eastAsia="宋体" w:cs="宋体"/>
          <w:bCs/>
          <w:snapToGrid w:val="0"/>
          <w:color w:val="auto"/>
          <w:kern w:val="0"/>
          <w:sz w:val="22"/>
          <w:szCs w:val="22"/>
          <w:highlight w:val="none"/>
          <w:lang w:val="en-US" w:eastAsia="zh-CN"/>
        </w:rPr>
        <w:t>4</w:t>
      </w:r>
      <w:r>
        <w:rPr>
          <w:rFonts w:hint="eastAsia" w:ascii="宋体" w:hAnsi="宋体" w:eastAsia="宋体" w:cs="宋体"/>
          <w:bCs/>
          <w:snapToGrid w:val="0"/>
          <w:color w:val="auto"/>
          <w:kern w:val="0"/>
          <w:sz w:val="22"/>
          <w:szCs w:val="22"/>
          <w:highlight w:val="none"/>
          <w:lang w:eastAsia="zh-CN"/>
        </w:rPr>
        <w:t>）</w:t>
      </w:r>
      <w:r>
        <w:rPr>
          <w:rFonts w:hint="eastAsia" w:ascii="宋体" w:hAnsi="宋体" w:eastAsia="宋体" w:cs="宋体"/>
          <w:bCs/>
          <w:snapToGrid w:val="0"/>
          <w:color w:val="auto"/>
          <w:kern w:val="0"/>
          <w:sz w:val="22"/>
          <w:szCs w:val="22"/>
          <w:highlight w:val="none"/>
        </w:rPr>
        <w:t>受托人的雇员及装备的保险由受托人自行投保，包含在报价中，不单独计量与支付。</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bCs/>
          <w:snapToGrid w:val="0"/>
          <w:color w:val="auto"/>
          <w:kern w:val="0"/>
          <w:sz w:val="22"/>
          <w:szCs w:val="22"/>
          <w:highlight w:val="none"/>
        </w:rPr>
      </w:pPr>
      <w:r>
        <w:rPr>
          <w:rFonts w:hint="eastAsia" w:ascii="宋体" w:hAnsi="宋体" w:eastAsia="宋体" w:cs="宋体"/>
          <w:bCs/>
          <w:snapToGrid w:val="0"/>
          <w:color w:val="auto"/>
          <w:kern w:val="0"/>
          <w:sz w:val="22"/>
          <w:szCs w:val="22"/>
          <w:highlight w:val="none"/>
          <w:lang w:eastAsia="zh-CN"/>
        </w:rPr>
        <w:t>（</w:t>
      </w:r>
      <w:r>
        <w:rPr>
          <w:rFonts w:hint="eastAsia" w:ascii="宋体" w:hAnsi="宋体" w:eastAsia="宋体" w:cs="宋体"/>
          <w:bCs/>
          <w:snapToGrid w:val="0"/>
          <w:color w:val="auto"/>
          <w:kern w:val="0"/>
          <w:sz w:val="22"/>
          <w:szCs w:val="22"/>
          <w:highlight w:val="none"/>
          <w:lang w:val="en-US" w:eastAsia="zh-CN"/>
        </w:rPr>
        <w:t>5</w:t>
      </w:r>
      <w:r>
        <w:rPr>
          <w:rFonts w:hint="eastAsia" w:ascii="宋体" w:hAnsi="宋体" w:eastAsia="宋体" w:cs="宋体"/>
          <w:bCs/>
          <w:snapToGrid w:val="0"/>
          <w:color w:val="auto"/>
          <w:kern w:val="0"/>
          <w:sz w:val="22"/>
          <w:szCs w:val="22"/>
          <w:highlight w:val="none"/>
          <w:lang w:eastAsia="zh-CN"/>
        </w:rPr>
        <w:t>）</w:t>
      </w:r>
      <w:r>
        <w:rPr>
          <w:rFonts w:hint="eastAsia" w:ascii="宋体" w:hAnsi="宋体" w:eastAsia="宋体" w:cs="宋体"/>
          <w:bCs/>
          <w:snapToGrid w:val="0"/>
          <w:color w:val="auto"/>
          <w:kern w:val="0"/>
          <w:sz w:val="22"/>
          <w:szCs w:val="22"/>
          <w:highlight w:val="none"/>
        </w:rPr>
        <w:t>受托人应为投入的工作人员进行必要的安全教育，配备必要的安全装备，并为相关现场服务人员投保并承担费用，相关费用在报价中充分考虑。</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bCs/>
          <w:snapToGrid w:val="0"/>
          <w:color w:val="auto"/>
          <w:kern w:val="0"/>
          <w:sz w:val="22"/>
          <w:szCs w:val="22"/>
          <w:highlight w:val="none"/>
        </w:rPr>
      </w:pPr>
      <w:r>
        <w:rPr>
          <w:rFonts w:hint="eastAsia" w:ascii="宋体" w:hAnsi="宋体" w:eastAsia="宋体" w:cs="宋体"/>
          <w:bCs/>
          <w:snapToGrid w:val="0"/>
          <w:color w:val="auto"/>
          <w:kern w:val="0"/>
          <w:sz w:val="22"/>
          <w:szCs w:val="22"/>
          <w:highlight w:val="none"/>
          <w:lang w:eastAsia="zh-CN"/>
        </w:rPr>
        <w:t>（</w:t>
      </w:r>
      <w:r>
        <w:rPr>
          <w:rFonts w:hint="eastAsia" w:ascii="宋体" w:hAnsi="宋体" w:eastAsia="宋体" w:cs="宋体"/>
          <w:bCs/>
          <w:snapToGrid w:val="0"/>
          <w:color w:val="auto"/>
          <w:kern w:val="0"/>
          <w:sz w:val="22"/>
          <w:szCs w:val="22"/>
          <w:highlight w:val="none"/>
          <w:lang w:val="en-US" w:eastAsia="zh-CN"/>
        </w:rPr>
        <w:t>6</w:t>
      </w:r>
      <w:r>
        <w:rPr>
          <w:rFonts w:hint="eastAsia" w:ascii="宋体" w:hAnsi="宋体" w:eastAsia="宋体" w:cs="宋体"/>
          <w:bCs/>
          <w:snapToGrid w:val="0"/>
          <w:color w:val="auto"/>
          <w:kern w:val="0"/>
          <w:sz w:val="22"/>
          <w:szCs w:val="22"/>
          <w:highlight w:val="none"/>
          <w:lang w:eastAsia="zh-CN"/>
        </w:rPr>
        <w:t>）</w:t>
      </w:r>
      <w:r>
        <w:rPr>
          <w:rFonts w:hint="eastAsia" w:ascii="宋体" w:hAnsi="宋体" w:eastAsia="宋体" w:cs="宋体"/>
          <w:bCs/>
          <w:snapToGrid w:val="0"/>
          <w:color w:val="auto"/>
          <w:kern w:val="0"/>
          <w:sz w:val="22"/>
          <w:szCs w:val="22"/>
          <w:highlight w:val="none"/>
        </w:rPr>
        <w:t>受托人应按相关规定取得相关部门的批复文件，因此发生的一切费用应含在报价中。</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bCs/>
          <w:snapToGrid w:val="0"/>
          <w:color w:val="auto"/>
          <w:kern w:val="0"/>
          <w:sz w:val="22"/>
          <w:szCs w:val="22"/>
          <w:highlight w:val="none"/>
        </w:rPr>
      </w:pPr>
      <w:r>
        <w:rPr>
          <w:rFonts w:hint="eastAsia" w:ascii="宋体" w:hAnsi="宋体" w:eastAsia="宋体" w:cs="宋体"/>
          <w:bCs/>
          <w:snapToGrid w:val="0"/>
          <w:color w:val="auto"/>
          <w:kern w:val="0"/>
          <w:sz w:val="22"/>
          <w:szCs w:val="22"/>
          <w:highlight w:val="none"/>
          <w:lang w:eastAsia="zh-CN"/>
        </w:rPr>
        <w:t>（</w:t>
      </w:r>
      <w:r>
        <w:rPr>
          <w:rFonts w:hint="eastAsia" w:ascii="宋体" w:hAnsi="宋体" w:eastAsia="宋体" w:cs="宋体"/>
          <w:bCs/>
          <w:snapToGrid w:val="0"/>
          <w:color w:val="auto"/>
          <w:kern w:val="0"/>
          <w:sz w:val="22"/>
          <w:szCs w:val="22"/>
          <w:highlight w:val="none"/>
          <w:lang w:val="en-US" w:eastAsia="zh-CN"/>
        </w:rPr>
        <w:t>7</w:t>
      </w:r>
      <w:r>
        <w:rPr>
          <w:rFonts w:hint="eastAsia" w:ascii="宋体" w:hAnsi="宋体" w:eastAsia="宋体" w:cs="宋体"/>
          <w:bCs/>
          <w:snapToGrid w:val="0"/>
          <w:color w:val="auto"/>
          <w:kern w:val="0"/>
          <w:sz w:val="22"/>
          <w:szCs w:val="22"/>
          <w:highlight w:val="none"/>
          <w:lang w:eastAsia="zh-CN"/>
        </w:rPr>
        <w:t>）投标人</w:t>
      </w:r>
      <w:r>
        <w:rPr>
          <w:rFonts w:hint="eastAsia" w:ascii="宋体" w:hAnsi="宋体" w:eastAsia="宋体" w:cs="宋体"/>
          <w:bCs/>
          <w:snapToGrid w:val="0"/>
          <w:color w:val="auto"/>
          <w:kern w:val="0"/>
          <w:sz w:val="22"/>
          <w:szCs w:val="22"/>
          <w:highlight w:val="none"/>
        </w:rPr>
        <w:t>在编制报价时需充分考虑市场风险和国家政策性调整风险等一切因素，并计入报价中。</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bCs/>
          <w:snapToGrid w:val="0"/>
          <w:color w:val="auto"/>
          <w:kern w:val="0"/>
          <w:sz w:val="22"/>
          <w:szCs w:val="22"/>
          <w:highlight w:val="none"/>
        </w:rPr>
      </w:pPr>
      <w:r>
        <w:rPr>
          <w:rFonts w:hint="eastAsia" w:ascii="宋体" w:hAnsi="宋体" w:eastAsia="宋体" w:cs="宋体"/>
          <w:bCs/>
          <w:snapToGrid w:val="0"/>
          <w:color w:val="auto"/>
          <w:kern w:val="0"/>
          <w:sz w:val="22"/>
          <w:szCs w:val="22"/>
          <w:highlight w:val="none"/>
          <w:lang w:eastAsia="zh-CN"/>
        </w:rPr>
        <w:t>（</w:t>
      </w:r>
      <w:r>
        <w:rPr>
          <w:rFonts w:hint="eastAsia" w:ascii="宋体" w:hAnsi="宋体" w:eastAsia="宋体" w:cs="宋体"/>
          <w:bCs/>
          <w:snapToGrid w:val="0"/>
          <w:color w:val="auto"/>
          <w:kern w:val="0"/>
          <w:sz w:val="22"/>
          <w:szCs w:val="22"/>
          <w:highlight w:val="none"/>
          <w:lang w:val="en-US" w:eastAsia="zh-CN"/>
        </w:rPr>
        <w:t>8</w:t>
      </w:r>
      <w:r>
        <w:rPr>
          <w:rFonts w:hint="eastAsia" w:ascii="宋体" w:hAnsi="宋体" w:eastAsia="宋体" w:cs="宋体"/>
          <w:bCs/>
          <w:snapToGrid w:val="0"/>
          <w:color w:val="auto"/>
          <w:kern w:val="0"/>
          <w:sz w:val="22"/>
          <w:szCs w:val="22"/>
          <w:highlight w:val="none"/>
          <w:lang w:eastAsia="zh-CN"/>
        </w:rPr>
        <w:t>）投标人</w:t>
      </w:r>
      <w:r>
        <w:rPr>
          <w:rFonts w:hint="eastAsia" w:ascii="宋体" w:hAnsi="宋体" w:eastAsia="宋体" w:cs="宋体"/>
          <w:bCs/>
          <w:snapToGrid w:val="0"/>
          <w:color w:val="auto"/>
          <w:kern w:val="0"/>
          <w:sz w:val="22"/>
          <w:szCs w:val="22"/>
          <w:highlight w:val="none"/>
        </w:rPr>
        <w:t>若发现</w:t>
      </w:r>
      <w:r>
        <w:rPr>
          <w:rFonts w:hint="eastAsia" w:ascii="宋体" w:hAnsi="宋体" w:eastAsia="宋体" w:cs="宋体"/>
          <w:bCs/>
          <w:snapToGrid w:val="0"/>
          <w:color w:val="auto"/>
          <w:kern w:val="0"/>
          <w:sz w:val="22"/>
          <w:szCs w:val="22"/>
          <w:highlight w:val="none"/>
          <w:lang w:eastAsia="zh-CN"/>
        </w:rPr>
        <w:t>招标人</w:t>
      </w:r>
      <w:r>
        <w:rPr>
          <w:rFonts w:hint="eastAsia" w:ascii="宋体" w:hAnsi="宋体" w:eastAsia="宋体" w:cs="宋体"/>
          <w:bCs/>
          <w:snapToGrid w:val="0"/>
          <w:color w:val="auto"/>
          <w:kern w:val="0"/>
          <w:sz w:val="22"/>
          <w:szCs w:val="22"/>
          <w:highlight w:val="none"/>
        </w:rPr>
        <w:t>提供的服务费用报价清单存在问题，可书面向</w:t>
      </w:r>
      <w:r>
        <w:rPr>
          <w:rFonts w:hint="eastAsia" w:ascii="宋体" w:hAnsi="宋体" w:eastAsia="宋体" w:cs="宋体"/>
          <w:bCs/>
          <w:snapToGrid w:val="0"/>
          <w:color w:val="auto"/>
          <w:kern w:val="0"/>
          <w:sz w:val="22"/>
          <w:szCs w:val="22"/>
          <w:highlight w:val="none"/>
          <w:lang w:eastAsia="zh-CN"/>
        </w:rPr>
        <w:t>招标人</w:t>
      </w:r>
      <w:r>
        <w:rPr>
          <w:rFonts w:hint="eastAsia" w:ascii="宋体" w:hAnsi="宋体" w:eastAsia="宋体" w:cs="宋体"/>
          <w:bCs/>
          <w:snapToGrid w:val="0"/>
          <w:color w:val="auto"/>
          <w:kern w:val="0"/>
          <w:sz w:val="22"/>
          <w:szCs w:val="22"/>
          <w:highlight w:val="none"/>
        </w:rPr>
        <w:t>提出。但未经</w:t>
      </w:r>
      <w:r>
        <w:rPr>
          <w:rFonts w:hint="eastAsia" w:ascii="宋体" w:hAnsi="宋体" w:eastAsia="宋体" w:cs="宋体"/>
          <w:bCs/>
          <w:snapToGrid w:val="0"/>
          <w:color w:val="auto"/>
          <w:kern w:val="0"/>
          <w:sz w:val="22"/>
          <w:szCs w:val="22"/>
          <w:highlight w:val="none"/>
          <w:lang w:eastAsia="zh-CN"/>
        </w:rPr>
        <w:t>招标人</w:t>
      </w:r>
      <w:r>
        <w:rPr>
          <w:rFonts w:hint="eastAsia" w:ascii="宋体" w:hAnsi="宋体" w:eastAsia="宋体" w:cs="宋体"/>
          <w:bCs/>
          <w:snapToGrid w:val="0"/>
          <w:color w:val="auto"/>
          <w:kern w:val="0"/>
          <w:sz w:val="22"/>
          <w:szCs w:val="22"/>
          <w:highlight w:val="none"/>
        </w:rPr>
        <w:t>书面认可或修改，</w:t>
      </w:r>
      <w:r>
        <w:rPr>
          <w:rFonts w:hint="eastAsia" w:ascii="宋体" w:hAnsi="宋体" w:eastAsia="宋体" w:cs="宋体"/>
          <w:bCs/>
          <w:snapToGrid w:val="0"/>
          <w:color w:val="auto"/>
          <w:kern w:val="0"/>
          <w:sz w:val="22"/>
          <w:szCs w:val="22"/>
          <w:highlight w:val="none"/>
          <w:lang w:eastAsia="zh-CN"/>
        </w:rPr>
        <w:t>投标人</w:t>
      </w:r>
      <w:r>
        <w:rPr>
          <w:rFonts w:hint="eastAsia" w:ascii="宋体" w:hAnsi="宋体" w:eastAsia="宋体" w:cs="宋体"/>
          <w:bCs/>
          <w:snapToGrid w:val="0"/>
          <w:color w:val="auto"/>
          <w:kern w:val="0"/>
          <w:sz w:val="22"/>
          <w:szCs w:val="22"/>
          <w:highlight w:val="none"/>
        </w:rPr>
        <w:t>不得擅自修改。</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bCs/>
          <w:snapToGrid w:val="0"/>
          <w:color w:val="auto"/>
          <w:kern w:val="0"/>
          <w:sz w:val="22"/>
          <w:szCs w:val="22"/>
          <w:highlight w:val="none"/>
        </w:rPr>
      </w:pPr>
      <w:r>
        <w:rPr>
          <w:rFonts w:hint="eastAsia" w:ascii="宋体" w:hAnsi="宋体" w:eastAsia="宋体" w:cs="宋体"/>
          <w:bCs/>
          <w:snapToGrid w:val="0"/>
          <w:color w:val="auto"/>
          <w:kern w:val="0"/>
          <w:sz w:val="22"/>
          <w:szCs w:val="22"/>
          <w:highlight w:val="none"/>
          <w:lang w:eastAsia="zh-CN"/>
        </w:rPr>
        <w:t>（</w:t>
      </w:r>
      <w:r>
        <w:rPr>
          <w:rFonts w:hint="eastAsia" w:ascii="宋体" w:hAnsi="宋体" w:eastAsia="宋体" w:cs="宋体"/>
          <w:bCs/>
          <w:snapToGrid w:val="0"/>
          <w:color w:val="auto"/>
          <w:kern w:val="0"/>
          <w:sz w:val="22"/>
          <w:szCs w:val="22"/>
          <w:highlight w:val="none"/>
          <w:lang w:val="en-US" w:eastAsia="zh-CN"/>
        </w:rPr>
        <w:t>9</w:t>
      </w:r>
      <w:r>
        <w:rPr>
          <w:rFonts w:hint="eastAsia" w:ascii="宋体" w:hAnsi="宋体" w:eastAsia="宋体" w:cs="宋体"/>
          <w:bCs/>
          <w:snapToGrid w:val="0"/>
          <w:color w:val="auto"/>
          <w:kern w:val="0"/>
          <w:sz w:val="22"/>
          <w:szCs w:val="22"/>
          <w:highlight w:val="none"/>
          <w:lang w:eastAsia="zh-CN"/>
        </w:rPr>
        <w:t>）</w:t>
      </w:r>
      <w:r>
        <w:rPr>
          <w:rFonts w:hint="eastAsia" w:ascii="宋体" w:hAnsi="宋体" w:eastAsia="宋体" w:cs="宋体"/>
          <w:bCs/>
          <w:snapToGrid w:val="0"/>
          <w:color w:val="auto"/>
          <w:kern w:val="0"/>
          <w:sz w:val="22"/>
          <w:szCs w:val="22"/>
          <w:highlight w:val="none"/>
        </w:rPr>
        <w:t>本项目无暂列金额。</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bCs/>
          <w:snapToGrid w:val="0"/>
          <w:color w:val="auto"/>
          <w:kern w:val="0"/>
          <w:sz w:val="22"/>
          <w:szCs w:val="22"/>
          <w:highlight w:val="none"/>
        </w:rPr>
      </w:pPr>
      <w:r>
        <w:rPr>
          <w:rFonts w:hint="eastAsia" w:ascii="宋体" w:hAnsi="宋体" w:eastAsia="宋体" w:cs="宋体"/>
          <w:bCs/>
          <w:snapToGrid w:val="0"/>
          <w:color w:val="auto"/>
          <w:kern w:val="0"/>
          <w:sz w:val="22"/>
          <w:szCs w:val="22"/>
          <w:highlight w:val="none"/>
        </w:rPr>
        <w:t>（</w:t>
      </w:r>
      <w:r>
        <w:rPr>
          <w:rFonts w:hint="eastAsia" w:ascii="宋体" w:hAnsi="宋体" w:eastAsia="宋体" w:cs="宋体"/>
          <w:bCs/>
          <w:snapToGrid w:val="0"/>
          <w:color w:val="auto"/>
          <w:kern w:val="0"/>
          <w:sz w:val="22"/>
          <w:szCs w:val="22"/>
          <w:highlight w:val="none"/>
          <w:lang w:val="en-US" w:eastAsia="zh-CN"/>
        </w:rPr>
        <w:t>10</w:t>
      </w:r>
      <w:r>
        <w:rPr>
          <w:rFonts w:hint="eastAsia" w:ascii="宋体" w:hAnsi="宋体" w:eastAsia="宋体" w:cs="宋体"/>
          <w:bCs/>
          <w:snapToGrid w:val="0"/>
          <w:color w:val="auto"/>
          <w:kern w:val="0"/>
          <w:sz w:val="22"/>
          <w:szCs w:val="22"/>
          <w:highlight w:val="none"/>
        </w:rPr>
        <w:t>）招标代理服务费用﹝本项目招标代理服务包含全过程招标代理（含会务费用）、工程量清单及招标控制价编制﹞由中标人承担，不单独列支计入投标人投标报价中。中标人须按中标金额，分别参照国家发改委发改价格【2011】534号文（服务招标类，按标准费率8.8折计取）和江苏省物价局、江苏省住房和城乡建设厅苏价服【2014】383号中附件：序号8收费项目（按标准费率8.8折计取）的规定，中标人在收到中标通知书后7日内，向招标代理机构一次性支付上述全部服务费用。</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rPr>
          <w:rFonts w:hint="eastAsia" w:ascii="宋体" w:hAnsi="宋体" w:eastAsia="宋体" w:cs="宋体"/>
          <w:b/>
          <w:snapToGrid w:val="0"/>
          <w:color w:val="auto"/>
          <w:kern w:val="0"/>
          <w:sz w:val="22"/>
          <w:szCs w:val="22"/>
          <w:highlight w:val="none"/>
        </w:rPr>
      </w:pPr>
      <w:r>
        <w:rPr>
          <w:rFonts w:hint="eastAsia" w:ascii="宋体" w:hAnsi="宋体" w:eastAsia="宋体" w:cs="宋体"/>
          <w:b/>
          <w:snapToGrid w:val="0"/>
          <w:color w:val="auto"/>
          <w:kern w:val="0"/>
          <w:sz w:val="22"/>
          <w:szCs w:val="22"/>
          <w:highlight w:val="none"/>
        </w:rPr>
        <w:t>13  投标有效期</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13.1 自规定的投标截止日算起，投标文件有效期为90日历天。</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13.2 在原定投标文件有效期满之前，如果出现特殊情况，招标人可向投标人提出延长有效期的要求，这种要求应以邮件等书面形式进行。投标人应在收到此要求的24小时内以邮件等书面形式对此要求向招标人作出答复，在此时限内不予答复的视为同意招标人的要求。投标人可以拒绝招标人的要求，但其投标文件将不予评审。</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rPr>
          <w:rFonts w:hint="eastAsia" w:ascii="宋体" w:hAnsi="宋体" w:eastAsia="宋体" w:cs="宋体"/>
          <w:b/>
          <w:bCs w:val="0"/>
          <w:snapToGrid w:val="0"/>
          <w:color w:val="auto"/>
          <w:sz w:val="22"/>
          <w:szCs w:val="22"/>
          <w:highlight w:val="none"/>
          <w:u w:val="single"/>
        </w:rPr>
      </w:pPr>
      <w:bookmarkStart w:id="28" w:name="_Toc138045917"/>
      <w:bookmarkStart w:id="29" w:name="_Toc139183004"/>
      <w:bookmarkStart w:id="30" w:name="_Toc137468119"/>
      <w:bookmarkStart w:id="31" w:name="_Toc135192149"/>
      <w:bookmarkStart w:id="32" w:name="_Toc139185699"/>
      <w:bookmarkStart w:id="33" w:name="_Toc139855939"/>
      <w:bookmarkStart w:id="34" w:name="_Toc138820288"/>
      <w:bookmarkStart w:id="35" w:name="_Toc138559784"/>
      <w:bookmarkStart w:id="36" w:name="_Toc139877837"/>
      <w:bookmarkStart w:id="37" w:name="_Toc139074757"/>
      <w:bookmarkStart w:id="38" w:name="_Toc139075255"/>
      <w:r>
        <w:rPr>
          <w:rFonts w:hint="eastAsia" w:ascii="宋体" w:hAnsi="宋体" w:eastAsia="宋体" w:cs="宋体"/>
          <w:b/>
          <w:bCs w:val="0"/>
          <w:snapToGrid w:val="0"/>
          <w:color w:val="auto"/>
          <w:kern w:val="0"/>
          <w:sz w:val="22"/>
          <w:szCs w:val="22"/>
          <w:highlight w:val="none"/>
        </w:rPr>
        <w:t xml:space="preserve">14  </w:t>
      </w:r>
      <w:r>
        <w:rPr>
          <w:rFonts w:hint="eastAsia" w:ascii="宋体" w:hAnsi="宋体" w:eastAsia="宋体" w:cs="宋体"/>
          <w:b/>
          <w:bCs w:val="0"/>
          <w:snapToGrid w:val="0"/>
          <w:color w:val="auto"/>
          <w:sz w:val="22"/>
          <w:szCs w:val="22"/>
          <w:highlight w:val="none"/>
        </w:rPr>
        <w:t>投标</w:t>
      </w:r>
      <w:bookmarkEnd w:id="28"/>
      <w:bookmarkEnd w:id="29"/>
      <w:bookmarkEnd w:id="30"/>
      <w:bookmarkEnd w:id="31"/>
      <w:bookmarkEnd w:id="32"/>
      <w:bookmarkEnd w:id="33"/>
      <w:bookmarkEnd w:id="34"/>
      <w:bookmarkEnd w:id="35"/>
      <w:bookmarkEnd w:id="36"/>
      <w:bookmarkEnd w:id="37"/>
      <w:bookmarkEnd w:id="38"/>
      <w:r>
        <w:rPr>
          <w:rFonts w:hint="eastAsia" w:ascii="宋体" w:hAnsi="宋体" w:eastAsia="宋体" w:cs="宋体"/>
          <w:b/>
          <w:bCs w:val="0"/>
          <w:snapToGrid w:val="0"/>
          <w:color w:val="auto"/>
          <w:sz w:val="22"/>
          <w:szCs w:val="22"/>
          <w:highlight w:val="none"/>
        </w:rPr>
        <w:t>保证金：</w:t>
      </w:r>
      <w:r>
        <w:rPr>
          <w:rFonts w:hint="eastAsia" w:ascii="宋体" w:hAnsi="宋体" w:eastAsia="宋体" w:cs="宋体"/>
          <w:b/>
          <w:bCs w:val="0"/>
          <w:snapToGrid w:val="0"/>
          <w:color w:val="auto"/>
          <w:sz w:val="22"/>
          <w:szCs w:val="22"/>
          <w:highlight w:val="none"/>
          <w:u w:val="single"/>
        </w:rPr>
        <w:t>不收取。</w:t>
      </w:r>
    </w:p>
    <w:p>
      <w:pPr>
        <w:keepNext w:val="0"/>
        <w:keepLines w:val="0"/>
        <w:pageBreakBefore w:val="0"/>
        <w:widowControl w:val="0"/>
        <w:kinsoku/>
        <w:wordWrap/>
        <w:overflowPunct/>
        <w:topLinePunct/>
        <w:autoSpaceDE/>
        <w:autoSpaceDN/>
        <w:bidi w:val="0"/>
        <w:adjustRightInd/>
        <w:snapToGrid/>
        <w:spacing w:line="360" w:lineRule="auto"/>
        <w:ind w:left="0"/>
        <w:rPr>
          <w:rFonts w:hint="eastAsia" w:ascii="宋体" w:hAnsi="宋体" w:eastAsia="宋体" w:cs="宋体"/>
          <w:b/>
          <w:snapToGrid w:val="0"/>
          <w:color w:val="auto"/>
          <w:kern w:val="0"/>
          <w:sz w:val="22"/>
          <w:szCs w:val="22"/>
          <w:highlight w:val="none"/>
        </w:rPr>
      </w:pPr>
      <w:r>
        <w:rPr>
          <w:rFonts w:hint="eastAsia" w:ascii="宋体" w:hAnsi="宋体" w:eastAsia="宋体" w:cs="宋体"/>
          <w:b/>
          <w:snapToGrid w:val="0"/>
          <w:color w:val="auto"/>
          <w:kern w:val="0"/>
          <w:sz w:val="22"/>
          <w:szCs w:val="22"/>
          <w:highlight w:val="none"/>
        </w:rPr>
        <w:t>15  投标文件的格式和签署</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bookmarkStart w:id="39" w:name="_Toc44814583"/>
      <w:r>
        <w:rPr>
          <w:rFonts w:hint="eastAsia" w:ascii="宋体" w:hAnsi="宋体" w:eastAsia="宋体" w:cs="宋体"/>
          <w:snapToGrid w:val="0"/>
          <w:color w:val="auto"/>
          <w:kern w:val="0"/>
          <w:sz w:val="22"/>
          <w:szCs w:val="22"/>
          <w:highlight w:val="none"/>
        </w:rPr>
        <w:t>15.1 投标人应按本须知的规定，向招标人递交投标文件</w:t>
      </w:r>
      <w:r>
        <w:rPr>
          <w:rFonts w:hint="eastAsia" w:ascii="宋体" w:hAnsi="宋体" w:eastAsia="宋体" w:cs="宋体"/>
          <w:b/>
          <w:bCs/>
          <w:snapToGrid w:val="0"/>
          <w:color w:val="auto"/>
          <w:kern w:val="0"/>
          <w:sz w:val="22"/>
          <w:szCs w:val="22"/>
          <w:highlight w:val="none"/>
        </w:rPr>
        <w:t>正本一份和副本二份</w:t>
      </w:r>
      <w:r>
        <w:rPr>
          <w:rFonts w:hint="eastAsia" w:ascii="宋体" w:hAnsi="宋体" w:eastAsia="宋体" w:cs="宋体"/>
          <w:snapToGrid w:val="0"/>
          <w:color w:val="auto"/>
          <w:kern w:val="0"/>
          <w:sz w:val="22"/>
          <w:szCs w:val="22"/>
          <w:highlight w:val="none"/>
        </w:rPr>
        <w:t>（副本为正本的复印件），并在文件封面右上角醒目注明“正本”或“副本”字样。正本和副本如有不一致之处，以正本为准。投标文件的正本与副本应分别装订成册（A4纸幅），并编制目录、且逐页标注连续页码。中标单位按发包人要求提供相应数量的投标文件副本。</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15.2 投标文件正本应使用不褪色的墨水书写或打印，应按照招标文件规定的格式签字、盖单位公章。</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15.3 投标文件的任何一页都不应涂改、行间插字或删除。如果出现上述情况，不论何种原因造成，均应由投标文件签字人在改动处小签或盖单位公章。</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15.4 投标人不得递交备选投标方案。</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15.5 如果投标文件由委托代理人签署，则投标人需提交附有法定代表人身份证明的授权委托书，授权委托书应按规定的书面方式出具，并由法定代表人和委托代理人签字、盖单位公章。如果由投标人的法定代表人亲自签署投标文件，则不需提交授权委托书。</w:t>
      </w:r>
    </w:p>
    <w:p>
      <w:pPr>
        <w:keepNext w:val="0"/>
        <w:keepLines w:val="0"/>
        <w:pageBreakBefore w:val="0"/>
        <w:widowControl w:val="0"/>
        <w:kinsoku/>
        <w:wordWrap/>
        <w:overflowPunct/>
        <w:topLinePunct/>
        <w:autoSpaceDE/>
        <w:autoSpaceDN/>
        <w:bidi w:val="0"/>
        <w:adjustRightInd/>
        <w:snapToGrid/>
        <w:spacing w:line="360" w:lineRule="auto"/>
        <w:ind w:left="0"/>
        <w:jc w:val="center"/>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四、投标文件的递交</w:t>
      </w:r>
      <w:bookmarkEnd w:id="39"/>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hanging="627" w:hangingChars="284"/>
        <w:rPr>
          <w:rFonts w:hint="eastAsia" w:ascii="宋体" w:hAnsi="宋体" w:eastAsia="宋体" w:cs="宋体"/>
          <w:b/>
          <w:snapToGrid w:val="0"/>
          <w:color w:val="auto"/>
          <w:kern w:val="0"/>
          <w:sz w:val="22"/>
          <w:szCs w:val="22"/>
          <w:highlight w:val="none"/>
        </w:rPr>
      </w:pPr>
      <w:r>
        <w:rPr>
          <w:rFonts w:hint="eastAsia" w:ascii="宋体" w:hAnsi="宋体" w:eastAsia="宋体" w:cs="宋体"/>
          <w:b/>
          <w:snapToGrid w:val="0"/>
          <w:color w:val="auto"/>
          <w:kern w:val="0"/>
          <w:sz w:val="22"/>
          <w:szCs w:val="22"/>
          <w:highlight w:val="none"/>
        </w:rPr>
        <w:t>16  投标文件的密封与标记</w:t>
      </w:r>
    </w:p>
    <w:p>
      <w:pPr>
        <w:pStyle w:val="87"/>
        <w:keepNext w:val="0"/>
        <w:keepLines w:val="0"/>
        <w:pageBreakBefore w:val="0"/>
        <w:widowControl w:val="0"/>
        <w:tabs>
          <w:tab w:val="left" w:pos="540"/>
        </w:tabs>
        <w:kinsoku/>
        <w:wordWrap/>
        <w:overflowPunct/>
        <w:autoSpaceDE/>
        <w:autoSpaceDN/>
        <w:bidi w:val="0"/>
        <w:adjustRightInd/>
        <w:snapToGrid/>
        <w:spacing w:line="360" w:lineRule="auto"/>
        <w:ind w:left="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16.1 投标文件应采用双信封形式密封。投标文件第一个信封（商务及技术文件）以及第二个信封（报价文件）应</w:t>
      </w:r>
      <w:r>
        <w:rPr>
          <w:rFonts w:hint="eastAsia" w:ascii="宋体" w:hAnsi="宋体" w:eastAsia="宋体" w:cs="宋体"/>
          <w:b/>
          <w:bCs/>
          <w:color w:val="auto"/>
          <w:sz w:val="22"/>
          <w:szCs w:val="22"/>
          <w:highlight w:val="none"/>
        </w:rPr>
        <w:t>单独</w:t>
      </w:r>
      <w:r>
        <w:rPr>
          <w:rFonts w:hint="eastAsia" w:ascii="宋体" w:hAnsi="宋体" w:eastAsia="宋体" w:cs="宋体"/>
          <w:color w:val="auto"/>
          <w:sz w:val="22"/>
          <w:szCs w:val="22"/>
          <w:highlight w:val="none"/>
        </w:rPr>
        <w:t>密封包装。商务及技术文件的正副本及对应投标文件电子版文件（U盘）应统一密封在一个封套中。报价文件的正副本及对应投标文件电子版文件（U盘）应统一密封在另一个封套中。</w:t>
      </w:r>
      <w:r>
        <w:rPr>
          <w:rFonts w:hint="eastAsia" w:ascii="宋体" w:hAnsi="宋体" w:eastAsia="宋体" w:cs="宋体"/>
          <w:b/>
          <w:bCs/>
          <w:color w:val="auto"/>
          <w:sz w:val="22"/>
          <w:szCs w:val="22"/>
          <w:highlight w:val="none"/>
        </w:rPr>
        <w:t>封套应加贴封条，并在封套的封口处加盖投标人单位章或由投标人的法定代表人或其委托代理人签字。</w:t>
      </w:r>
    </w:p>
    <w:p>
      <w:pPr>
        <w:pStyle w:val="85"/>
        <w:keepNext w:val="0"/>
        <w:keepLines w:val="0"/>
        <w:pageBreakBefore w:val="0"/>
        <w:widowControl w:val="0"/>
        <w:kinsoku/>
        <w:wordWrap/>
        <w:overflowPunct/>
        <w:autoSpaceDE/>
        <w:autoSpaceDN/>
        <w:bidi w:val="0"/>
        <w:adjustRightInd/>
        <w:snapToGrid/>
        <w:spacing w:before="0" w:after="0" w:line="360" w:lineRule="auto"/>
        <w:ind w:left="0" w:firstLine="440" w:firstLineChars="200"/>
        <w:rPr>
          <w:rFonts w:hint="eastAsia" w:ascii="宋体" w:hAnsi="宋体" w:eastAsia="宋体" w:cs="宋体"/>
          <w:b w:val="0"/>
          <w:bCs/>
          <w:snapToGrid w:val="0"/>
          <w:color w:val="auto"/>
          <w:sz w:val="22"/>
          <w:szCs w:val="22"/>
          <w:highlight w:val="none"/>
        </w:rPr>
      </w:pPr>
      <w:r>
        <w:rPr>
          <w:rFonts w:hint="eastAsia" w:ascii="宋体" w:hAnsi="宋体" w:eastAsia="宋体" w:cs="宋体"/>
          <w:b w:val="0"/>
          <w:bCs/>
          <w:snapToGrid w:val="0"/>
          <w:color w:val="auto"/>
          <w:sz w:val="22"/>
          <w:szCs w:val="22"/>
          <w:highlight w:val="none"/>
        </w:rPr>
        <w:t>16.2 封套标识</w:t>
      </w:r>
    </w:p>
    <w:p>
      <w:pPr>
        <w:pStyle w:val="85"/>
        <w:keepNext w:val="0"/>
        <w:keepLines w:val="0"/>
        <w:pageBreakBefore w:val="0"/>
        <w:widowControl w:val="0"/>
        <w:kinsoku/>
        <w:wordWrap/>
        <w:overflowPunct/>
        <w:autoSpaceDE/>
        <w:autoSpaceDN/>
        <w:bidi w:val="0"/>
        <w:adjustRightInd/>
        <w:snapToGrid/>
        <w:spacing w:before="0" w:after="0" w:line="360" w:lineRule="auto"/>
        <w:ind w:left="0" w:firstLine="442" w:firstLineChars="200"/>
        <w:rPr>
          <w:rFonts w:hint="eastAsia" w:ascii="宋体" w:hAnsi="宋体" w:eastAsia="宋体" w:cs="宋体"/>
          <w:b w:val="0"/>
          <w:bCs/>
          <w:snapToGrid w:val="0"/>
          <w:color w:val="auto"/>
          <w:sz w:val="22"/>
          <w:szCs w:val="22"/>
          <w:highlight w:val="none"/>
        </w:rPr>
      </w:pPr>
      <w:r>
        <w:rPr>
          <w:rFonts w:hint="eastAsia" w:ascii="宋体" w:hAnsi="宋体" w:eastAsia="宋体" w:cs="宋体"/>
          <w:snapToGrid w:val="0"/>
          <w:color w:val="auto"/>
          <w:sz w:val="22"/>
          <w:szCs w:val="22"/>
          <w:highlight w:val="none"/>
        </w:rPr>
        <w:t>投标文件第一个信封（商务及技术文件）封套：</w:t>
      </w:r>
    </w:p>
    <w:p>
      <w:pPr>
        <w:pStyle w:val="85"/>
        <w:keepNext w:val="0"/>
        <w:keepLines w:val="0"/>
        <w:pageBreakBefore w:val="0"/>
        <w:widowControl w:val="0"/>
        <w:kinsoku/>
        <w:wordWrap/>
        <w:overflowPunct/>
        <w:autoSpaceDE/>
        <w:autoSpaceDN/>
        <w:bidi w:val="0"/>
        <w:adjustRightInd/>
        <w:snapToGrid/>
        <w:spacing w:before="0" w:after="0" w:line="360" w:lineRule="auto"/>
        <w:ind w:left="0" w:firstLine="440" w:firstLineChars="200"/>
        <w:rPr>
          <w:rFonts w:hint="eastAsia" w:ascii="宋体" w:hAnsi="宋体" w:eastAsia="宋体" w:cs="宋体"/>
          <w:b w:val="0"/>
          <w:bCs/>
          <w:snapToGrid w:val="0"/>
          <w:color w:val="auto"/>
          <w:sz w:val="22"/>
          <w:szCs w:val="22"/>
          <w:highlight w:val="none"/>
        </w:rPr>
      </w:pPr>
      <w:r>
        <w:rPr>
          <w:rFonts w:hint="eastAsia" w:ascii="宋体" w:hAnsi="宋体" w:eastAsia="宋体" w:cs="宋体"/>
          <w:b w:val="0"/>
          <w:bCs/>
          <w:snapToGrid w:val="0"/>
          <w:color w:val="auto"/>
          <w:sz w:val="22"/>
          <w:szCs w:val="22"/>
          <w:highlight w:val="none"/>
        </w:rPr>
        <w:t>招标人名称：</w:t>
      </w:r>
      <w:r>
        <w:rPr>
          <w:rFonts w:hint="eastAsia" w:ascii="宋体" w:hAnsi="宋体" w:eastAsia="宋体" w:cs="宋体"/>
          <w:b w:val="0"/>
          <w:bCs/>
          <w:snapToGrid w:val="0"/>
          <w:color w:val="auto"/>
          <w:sz w:val="22"/>
          <w:szCs w:val="22"/>
          <w:highlight w:val="none"/>
          <w:u w:val="single"/>
          <w:lang w:eastAsia="zh-CN"/>
        </w:rPr>
        <w:t>南通市江海河联运项目建设指挥部</w:t>
      </w:r>
      <w:r>
        <w:rPr>
          <w:rFonts w:hint="eastAsia" w:ascii="宋体" w:hAnsi="宋体" w:eastAsia="宋体" w:cs="宋体"/>
          <w:b w:val="0"/>
          <w:bCs/>
          <w:snapToGrid w:val="0"/>
          <w:color w:val="auto"/>
          <w:sz w:val="22"/>
          <w:szCs w:val="22"/>
          <w:highlight w:val="none"/>
        </w:rPr>
        <w:t xml:space="preserve">               </w:t>
      </w:r>
    </w:p>
    <w:p>
      <w:pPr>
        <w:pStyle w:val="85"/>
        <w:keepNext w:val="0"/>
        <w:keepLines w:val="0"/>
        <w:pageBreakBefore w:val="0"/>
        <w:widowControl w:val="0"/>
        <w:kinsoku/>
        <w:wordWrap/>
        <w:overflowPunct/>
        <w:autoSpaceDE/>
        <w:autoSpaceDN/>
        <w:bidi w:val="0"/>
        <w:adjustRightInd/>
        <w:snapToGrid/>
        <w:spacing w:before="0" w:after="0" w:line="360" w:lineRule="auto"/>
        <w:ind w:left="0" w:firstLine="440" w:firstLineChars="200"/>
        <w:rPr>
          <w:rFonts w:hint="eastAsia" w:ascii="宋体" w:hAnsi="宋体" w:eastAsia="宋体" w:cs="宋体"/>
          <w:b w:val="0"/>
          <w:bCs/>
          <w:snapToGrid w:val="0"/>
          <w:color w:val="auto"/>
          <w:sz w:val="22"/>
          <w:szCs w:val="22"/>
          <w:highlight w:val="none"/>
        </w:rPr>
      </w:pPr>
      <w:r>
        <w:rPr>
          <w:rFonts w:hint="eastAsia" w:ascii="宋体" w:hAnsi="宋体" w:eastAsia="宋体" w:cs="宋体"/>
          <w:b w:val="0"/>
          <w:bCs/>
          <w:snapToGrid w:val="0"/>
          <w:color w:val="auto"/>
          <w:sz w:val="22"/>
          <w:szCs w:val="22"/>
          <w:highlight w:val="none"/>
        </w:rPr>
        <w:t>招标人地址：</w:t>
      </w:r>
      <w:r>
        <w:rPr>
          <w:rFonts w:hint="eastAsia" w:ascii="宋体" w:hAnsi="宋体" w:eastAsia="宋体" w:cs="宋体"/>
          <w:b w:val="0"/>
          <w:bCs/>
          <w:snapToGrid w:val="0"/>
          <w:color w:val="auto"/>
          <w:sz w:val="22"/>
          <w:szCs w:val="22"/>
          <w:highlight w:val="none"/>
          <w:u w:val="single"/>
        </w:rPr>
        <w:t>南通市外环西路99号</w:t>
      </w:r>
      <w:r>
        <w:rPr>
          <w:rFonts w:hint="eastAsia" w:ascii="宋体" w:hAnsi="宋体" w:eastAsia="宋体" w:cs="宋体"/>
          <w:b w:val="0"/>
          <w:bCs/>
          <w:snapToGrid w:val="0"/>
          <w:color w:val="auto"/>
          <w:sz w:val="22"/>
          <w:szCs w:val="22"/>
          <w:highlight w:val="none"/>
        </w:rPr>
        <w:t xml:space="preserve">           </w:t>
      </w:r>
    </w:p>
    <w:p>
      <w:pPr>
        <w:pStyle w:val="85"/>
        <w:keepNext w:val="0"/>
        <w:keepLines w:val="0"/>
        <w:pageBreakBefore w:val="0"/>
        <w:widowControl w:val="0"/>
        <w:kinsoku/>
        <w:wordWrap/>
        <w:overflowPunct/>
        <w:autoSpaceDE/>
        <w:autoSpaceDN/>
        <w:bidi w:val="0"/>
        <w:adjustRightInd/>
        <w:snapToGrid/>
        <w:spacing w:before="0" w:after="0" w:line="360" w:lineRule="auto"/>
        <w:ind w:left="0" w:firstLine="440" w:firstLineChars="200"/>
        <w:rPr>
          <w:rFonts w:hint="eastAsia" w:ascii="宋体" w:hAnsi="宋体" w:eastAsia="宋体" w:cs="宋体"/>
          <w:b w:val="0"/>
          <w:bCs/>
          <w:snapToGrid w:val="0"/>
          <w:color w:val="auto"/>
          <w:sz w:val="22"/>
          <w:szCs w:val="22"/>
          <w:highlight w:val="none"/>
        </w:rPr>
      </w:pPr>
      <w:r>
        <w:rPr>
          <w:rFonts w:hint="eastAsia" w:ascii="宋体" w:hAnsi="宋体" w:cs="宋体"/>
          <w:b w:val="0"/>
          <w:bCs/>
          <w:snapToGrid w:val="0"/>
          <w:color w:val="auto"/>
          <w:sz w:val="22"/>
          <w:szCs w:val="22"/>
          <w:highlight w:val="none"/>
          <w:u w:val="single"/>
          <w:lang w:eastAsia="zh-CN"/>
        </w:rPr>
        <w:t>南通市内河干线航道文物资源区域评估项目NTGX-WWPG1标段</w:t>
      </w:r>
      <w:r>
        <w:rPr>
          <w:rFonts w:hint="eastAsia" w:ascii="宋体" w:hAnsi="宋体" w:eastAsia="宋体" w:cs="宋体"/>
          <w:b w:val="0"/>
          <w:bCs/>
          <w:snapToGrid w:val="0"/>
          <w:color w:val="auto"/>
          <w:sz w:val="22"/>
          <w:szCs w:val="22"/>
          <w:highlight w:val="none"/>
        </w:rPr>
        <w:t>第一个信封（商务及技术文件）投标文件</w:t>
      </w:r>
    </w:p>
    <w:p>
      <w:pPr>
        <w:pStyle w:val="85"/>
        <w:keepNext w:val="0"/>
        <w:keepLines w:val="0"/>
        <w:pageBreakBefore w:val="0"/>
        <w:widowControl w:val="0"/>
        <w:kinsoku/>
        <w:wordWrap/>
        <w:overflowPunct/>
        <w:autoSpaceDE/>
        <w:autoSpaceDN/>
        <w:bidi w:val="0"/>
        <w:adjustRightInd/>
        <w:snapToGrid/>
        <w:spacing w:before="0" w:after="0" w:line="360" w:lineRule="auto"/>
        <w:ind w:left="0" w:firstLine="440" w:firstLineChars="200"/>
        <w:rPr>
          <w:rFonts w:hint="eastAsia" w:ascii="宋体" w:hAnsi="宋体" w:eastAsia="宋体" w:cs="宋体"/>
          <w:b w:val="0"/>
          <w:bCs/>
          <w:snapToGrid w:val="0"/>
          <w:color w:val="auto"/>
          <w:sz w:val="22"/>
          <w:szCs w:val="22"/>
          <w:highlight w:val="none"/>
        </w:rPr>
      </w:pPr>
      <w:r>
        <w:rPr>
          <w:rFonts w:hint="eastAsia" w:ascii="宋体" w:hAnsi="宋体" w:eastAsia="宋体" w:cs="宋体"/>
          <w:b w:val="0"/>
          <w:bCs/>
          <w:snapToGrid w:val="0"/>
          <w:color w:val="auto"/>
          <w:sz w:val="22"/>
          <w:szCs w:val="22"/>
          <w:highlight w:val="none"/>
        </w:rPr>
        <w:t>在</w:t>
      </w:r>
      <w:r>
        <w:rPr>
          <w:rFonts w:hint="eastAsia" w:ascii="宋体" w:hAnsi="宋体" w:eastAsia="宋体" w:cs="宋体"/>
          <w:b w:val="0"/>
          <w:bCs/>
          <w:snapToGrid w:val="0"/>
          <w:color w:val="auto"/>
          <w:sz w:val="22"/>
          <w:szCs w:val="22"/>
          <w:highlight w:val="none"/>
          <w:lang w:val="en-US" w:eastAsia="zh-CN"/>
        </w:rPr>
        <w:t>2024</w:t>
      </w:r>
      <w:r>
        <w:rPr>
          <w:rFonts w:hint="eastAsia" w:ascii="宋体" w:hAnsi="宋体" w:eastAsia="宋体" w:cs="宋体"/>
          <w:b w:val="0"/>
          <w:bCs/>
          <w:snapToGrid w:val="0"/>
          <w:color w:val="auto"/>
          <w:sz w:val="22"/>
          <w:szCs w:val="22"/>
          <w:highlight w:val="none"/>
        </w:rPr>
        <w:t>年</w:t>
      </w:r>
      <w:r>
        <w:rPr>
          <w:rFonts w:hint="eastAsia" w:ascii="宋体" w:hAnsi="宋体" w:eastAsia="宋体" w:cs="宋体"/>
          <w:b w:val="0"/>
          <w:bCs/>
          <w:snapToGrid w:val="0"/>
          <w:color w:val="auto"/>
          <w:sz w:val="22"/>
          <w:szCs w:val="22"/>
          <w:highlight w:val="none"/>
          <w:u w:val="single"/>
        </w:rPr>
        <w:t xml:space="preserve">    </w:t>
      </w:r>
      <w:r>
        <w:rPr>
          <w:rFonts w:hint="eastAsia" w:ascii="宋体" w:hAnsi="宋体" w:eastAsia="宋体" w:cs="宋体"/>
          <w:b w:val="0"/>
          <w:bCs/>
          <w:snapToGrid w:val="0"/>
          <w:color w:val="auto"/>
          <w:sz w:val="22"/>
          <w:szCs w:val="22"/>
          <w:highlight w:val="none"/>
        </w:rPr>
        <w:t>月</w:t>
      </w:r>
      <w:r>
        <w:rPr>
          <w:rFonts w:hint="eastAsia" w:ascii="宋体" w:hAnsi="宋体" w:eastAsia="宋体" w:cs="宋体"/>
          <w:b w:val="0"/>
          <w:bCs/>
          <w:snapToGrid w:val="0"/>
          <w:color w:val="auto"/>
          <w:sz w:val="22"/>
          <w:szCs w:val="22"/>
          <w:highlight w:val="none"/>
          <w:u w:val="single"/>
        </w:rPr>
        <w:t xml:space="preserve">    </w:t>
      </w:r>
      <w:r>
        <w:rPr>
          <w:rFonts w:hint="eastAsia" w:ascii="宋体" w:hAnsi="宋体" w:eastAsia="宋体" w:cs="宋体"/>
          <w:b w:val="0"/>
          <w:bCs/>
          <w:snapToGrid w:val="0"/>
          <w:color w:val="auto"/>
          <w:sz w:val="22"/>
          <w:szCs w:val="22"/>
          <w:highlight w:val="none"/>
        </w:rPr>
        <w:t>日</w:t>
      </w:r>
      <w:r>
        <w:rPr>
          <w:rFonts w:hint="eastAsia" w:ascii="宋体" w:hAnsi="宋体" w:eastAsia="宋体" w:cs="宋体"/>
          <w:b w:val="0"/>
          <w:bCs/>
          <w:snapToGrid w:val="0"/>
          <w:color w:val="auto"/>
          <w:sz w:val="22"/>
          <w:szCs w:val="22"/>
          <w:highlight w:val="none"/>
          <w:u w:val="single"/>
        </w:rPr>
        <w:t xml:space="preserve">    </w:t>
      </w:r>
      <w:r>
        <w:rPr>
          <w:rFonts w:hint="eastAsia" w:ascii="宋体" w:hAnsi="宋体" w:eastAsia="宋体" w:cs="宋体"/>
          <w:b w:val="0"/>
          <w:bCs/>
          <w:snapToGrid w:val="0"/>
          <w:color w:val="auto"/>
          <w:sz w:val="22"/>
          <w:szCs w:val="22"/>
          <w:highlight w:val="none"/>
        </w:rPr>
        <w:t>时</w:t>
      </w:r>
      <w:r>
        <w:rPr>
          <w:rFonts w:hint="eastAsia" w:ascii="宋体" w:hAnsi="宋体" w:eastAsia="宋体" w:cs="宋体"/>
          <w:b w:val="0"/>
          <w:bCs/>
          <w:snapToGrid w:val="0"/>
          <w:color w:val="auto"/>
          <w:sz w:val="22"/>
          <w:szCs w:val="22"/>
          <w:highlight w:val="none"/>
          <w:u w:val="single"/>
        </w:rPr>
        <w:t xml:space="preserve">    </w:t>
      </w:r>
      <w:r>
        <w:rPr>
          <w:rFonts w:hint="eastAsia" w:ascii="宋体" w:hAnsi="宋体" w:eastAsia="宋体" w:cs="宋体"/>
          <w:b w:val="0"/>
          <w:bCs/>
          <w:snapToGrid w:val="0"/>
          <w:color w:val="auto"/>
          <w:sz w:val="22"/>
          <w:szCs w:val="22"/>
          <w:highlight w:val="none"/>
        </w:rPr>
        <w:t>分前不得开启</w:t>
      </w:r>
    </w:p>
    <w:p>
      <w:pPr>
        <w:pStyle w:val="85"/>
        <w:keepNext w:val="0"/>
        <w:keepLines w:val="0"/>
        <w:pageBreakBefore w:val="0"/>
        <w:widowControl w:val="0"/>
        <w:kinsoku/>
        <w:wordWrap/>
        <w:overflowPunct/>
        <w:autoSpaceDE/>
        <w:autoSpaceDN/>
        <w:bidi w:val="0"/>
        <w:adjustRightInd/>
        <w:snapToGrid/>
        <w:spacing w:before="0" w:after="0" w:line="360" w:lineRule="auto"/>
        <w:ind w:left="0" w:firstLine="440" w:firstLineChars="200"/>
        <w:rPr>
          <w:rFonts w:hint="eastAsia" w:ascii="宋体" w:hAnsi="宋体" w:eastAsia="宋体" w:cs="宋体"/>
          <w:b w:val="0"/>
          <w:bCs/>
          <w:snapToGrid w:val="0"/>
          <w:color w:val="auto"/>
          <w:sz w:val="22"/>
          <w:szCs w:val="22"/>
          <w:highlight w:val="none"/>
        </w:rPr>
      </w:pPr>
      <w:r>
        <w:rPr>
          <w:rFonts w:hint="eastAsia" w:ascii="宋体" w:hAnsi="宋体" w:eastAsia="宋体" w:cs="宋体"/>
          <w:b w:val="0"/>
          <w:bCs/>
          <w:snapToGrid w:val="0"/>
          <w:color w:val="auto"/>
          <w:sz w:val="22"/>
          <w:szCs w:val="22"/>
          <w:highlight w:val="none"/>
        </w:rPr>
        <w:t>投标人名称：</w:t>
      </w:r>
      <w:r>
        <w:rPr>
          <w:rFonts w:hint="eastAsia" w:ascii="宋体" w:hAnsi="宋体" w:eastAsia="宋体" w:cs="宋体"/>
          <w:b w:val="0"/>
          <w:bCs/>
          <w:snapToGrid w:val="0"/>
          <w:color w:val="auto"/>
          <w:sz w:val="22"/>
          <w:szCs w:val="22"/>
          <w:highlight w:val="none"/>
          <w:u w:val="single"/>
          <w:lang w:val="en-US" w:eastAsia="zh-CN"/>
        </w:rPr>
        <w:t xml:space="preserve">                               </w:t>
      </w:r>
      <w:r>
        <w:rPr>
          <w:rFonts w:hint="eastAsia" w:ascii="宋体" w:hAnsi="宋体" w:eastAsia="宋体" w:cs="宋体"/>
          <w:b w:val="0"/>
          <w:bCs/>
          <w:snapToGrid w:val="0"/>
          <w:color w:val="auto"/>
          <w:sz w:val="22"/>
          <w:szCs w:val="22"/>
          <w:highlight w:val="none"/>
        </w:rPr>
        <w:t xml:space="preserve">             </w:t>
      </w:r>
    </w:p>
    <w:p>
      <w:pPr>
        <w:pStyle w:val="85"/>
        <w:keepNext w:val="0"/>
        <w:keepLines w:val="0"/>
        <w:pageBreakBefore w:val="0"/>
        <w:widowControl w:val="0"/>
        <w:kinsoku/>
        <w:wordWrap/>
        <w:overflowPunct/>
        <w:autoSpaceDE/>
        <w:autoSpaceDN/>
        <w:bidi w:val="0"/>
        <w:adjustRightInd/>
        <w:snapToGrid/>
        <w:spacing w:before="0" w:after="0" w:line="360" w:lineRule="auto"/>
        <w:ind w:left="0" w:firstLine="442" w:firstLineChars="200"/>
        <w:rPr>
          <w:rFonts w:hint="eastAsia" w:ascii="宋体" w:hAnsi="宋体" w:eastAsia="宋体" w:cs="宋体"/>
          <w:b w:val="0"/>
          <w:bCs/>
          <w:snapToGrid w:val="0"/>
          <w:color w:val="auto"/>
          <w:sz w:val="22"/>
          <w:szCs w:val="22"/>
          <w:highlight w:val="none"/>
        </w:rPr>
      </w:pPr>
      <w:r>
        <w:rPr>
          <w:rFonts w:hint="eastAsia" w:ascii="宋体" w:hAnsi="宋体" w:eastAsia="宋体" w:cs="宋体"/>
          <w:snapToGrid w:val="0"/>
          <w:color w:val="auto"/>
          <w:sz w:val="22"/>
          <w:szCs w:val="22"/>
          <w:highlight w:val="none"/>
        </w:rPr>
        <w:t>投标文件第二个信封（报价文件）封套：</w:t>
      </w:r>
    </w:p>
    <w:p>
      <w:pPr>
        <w:pStyle w:val="85"/>
        <w:keepNext w:val="0"/>
        <w:keepLines w:val="0"/>
        <w:pageBreakBefore w:val="0"/>
        <w:widowControl w:val="0"/>
        <w:kinsoku/>
        <w:wordWrap/>
        <w:overflowPunct/>
        <w:autoSpaceDE/>
        <w:autoSpaceDN/>
        <w:bidi w:val="0"/>
        <w:adjustRightInd/>
        <w:snapToGrid/>
        <w:spacing w:before="0" w:after="0" w:line="360" w:lineRule="auto"/>
        <w:ind w:left="0" w:firstLine="440" w:firstLineChars="200"/>
        <w:rPr>
          <w:rFonts w:hint="eastAsia" w:ascii="宋体" w:hAnsi="宋体" w:eastAsia="宋体" w:cs="宋体"/>
          <w:b w:val="0"/>
          <w:bCs/>
          <w:snapToGrid w:val="0"/>
          <w:color w:val="auto"/>
          <w:sz w:val="22"/>
          <w:szCs w:val="22"/>
          <w:highlight w:val="none"/>
        </w:rPr>
      </w:pPr>
      <w:r>
        <w:rPr>
          <w:rFonts w:hint="eastAsia" w:ascii="宋体" w:hAnsi="宋体" w:eastAsia="宋体" w:cs="宋体"/>
          <w:b w:val="0"/>
          <w:bCs/>
          <w:snapToGrid w:val="0"/>
          <w:color w:val="auto"/>
          <w:sz w:val="22"/>
          <w:szCs w:val="22"/>
          <w:highlight w:val="none"/>
        </w:rPr>
        <w:t>招标人名称：</w:t>
      </w:r>
      <w:r>
        <w:rPr>
          <w:rFonts w:hint="eastAsia" w:ascii="宋体" w:hAnsi="宋体" w:eastAsia="宋体" w:cs="宋体"/>
          <w:b w:val="0"/>
          <w:bCs/>
          <w:snapToGrid w:val="0"/>
          <w:color w:val="auto"/>
          <w:sz w:val="22"/>
          <w:szCs w:val="22"/>
          <w:highlight w:val="none"/>
          <w:u w:val="single"/>
          <w:lang w:eastAsia="zh-CN"/>
        </w:rPr>
        <w:t>南通市江海河联运项目建设指挥部</w:t>
      </w:r>
      <w:r>
        <w:rPr>
          <w:rFonts w:hint="eastAsia" w:ascii="宋体" w:hAnsi="宋体" w:eastAsia="宋体" w:cs="宋体"/>
          <w:b w:val="0"/>
          <w:bCs/>
          <w:snapToGrid w:val="0"/>
          <w:color w:val="auto"/>
          <w:sz w:val="22"/>
          <w:szCs w:val="22"/>
          <w:highlight w:val="none"/>
        </w:rPr>
        <w:t xml:space="preserve">               </w:t>
      </w:r>
    </w:p>
    <w:p>
      <w:pPr>
        <w:pStyle w:val="85"/>
        <w:keepNext w:val="0"/>
        <w:keepLines w:val="0"/>
        <w:pageBreakBefore w:val="0"/>
        <w:widowControl w:val="0"/>
        <w:kinsoku/>
        <w:wordWrap/>
        <w:overflowPunct/>
        <w:autoSpaceDE/>
        <w:autoSpaceDN/>
        <w:bidi w:val="0"/>
        <w:adjustRightInd/>
        <w:snapToGrid/>
        <w:spacing w:before="0" w:after="0" w:line="360" w:lineRule="auto"/>
        <w:ind w:left="0" w:firstLine="440" w:firstLineChars="200"/>
        <w:rPr>
          <w:rFonts w:hint="eastAsia" w:ascii="宋体" w:hAnsi="宋体" w:eastAsia="宋体" w:cs="宋体"/>
          <w:b w:val="0"/>
          <w:bCs/>
          <w:snapToGrid w:val="0"/>
          <w:color w:val="auto"/>
          <w:sz w:val="22"/>
          <w:szCs w:val="22"/>
          <w:highlight w:val="none"/>
        </w:rPr>
      </w:pPr>
      <w:r>
        <w:rPr>
          <w:rFonts w:hint="eastAsia" w:ascii="宋体" w:hAnsi="宋体" w:eastAsia="宋体" w:cs="宋体"/>
          <w:b w:val="0"/>
          <w:bCs/>
          <w:snapToGrid w:val="0"/>
          <w:color w:val="auto"/>
          <w:sz w:val="22"/>
          <w:szCs w:val="22"/>
          <w:highlight w:val="none"/>
        </w:rPr>
        <w:t>招标人地址：</w:t>
      </w:r>
      <w:r>
        <w:rPr>
          <w:rFonts w:hint="eastAsia" w:ascii="宋体" w:hAnsi="宋体" w:eastAsia="宋体" w:cs="宋体"/>
          <w:b w:val="0"/>
          <w:bCs/>
          <w:snapToGrid w:val="0"/>
          <w:color w:val="auto"/>
          <w:sz w:val="22"/>
          <w:szCs w:val="22"/>
          <w:highlight w:val="none"/>
          <w:u w:val="single"/>
        </w:rPr>
        <w:t>南通市外环西路99号</w:t>
      </w:r>
      <w:r>
        <w:rPr>
          <w:rFonts w:hint="eastAsia" w:ascii="宋体" w:hAnsi="宋体" w:eastAsia="宋体" w:cs="宋体"/>
          <w:b w:val="0"/>
          <w:bCs/>
          <w:snapToGrid w:val="0"/>
          <w:color w:val="auto"/>
          <w:sz w:val="22"/>
          <w:szCs w:val="22"/>
          <w:highlight w:val="none"/>
        </w:rPr>
        <w:t xml:space="preserve">                  </w:t>
      </w:r>
    </w:p>
    <w:p>
      <w:pPr>
        <w:pStyle w:val="85"/>
        <w:keepNext w:val="0"/>
        <w:keepLines w:val="0"/>
        <w:pageBreakBefore w:val="0"/>
        <w:widowControl w:val="0"/>
        <w:kinsoku/>
        <w:wordWrap/>
        <w:overflowPunct/>
        <w:autoSpaceDE/>
        <w:autoSpaceDN/>
        <w:bidi w:val="0"/>
        <w:adjustRightInd/>
        <w:snapToGrid/>
        <w:spacing w:before="0" w:after="0" w:line="360" w:lineRule="auto"/>
        <w:ind w:left="0" w:firstLine="440" w:firstLineChars="200"/>
        <w:rPr>
          <w:rFonts w:hint="eastAsia" w:ascii="宋体" w:hAnsi="宋体" w:eastAsia="宋体" w:cs="宋体"/>
          <w:b w:val="0"/>
          <w:bCs/>
          <w:snapToGrid w:val="0"/>
          <w:color w:val="auto"/>
          <w:sz w:val="22"/>
          <w:szCs w:val="22"/>
          <w:highlight w:val="none"/>
        </w:rPr>
      </w:pPr>
      <w:r>
        <w:rPr>
          <w:rFonts w:hint="eastAsia" w:ascii="宋体" w:hAnsi="宋体" w:cs="宋体"/>
          <w:b w:val="0"/>
          <w:bCs/>
          <w:snapToGrid w:val="0"/>
          <w:color w:val="auto"/>
          <w:sz w:val="22"/>
          <w:szCs w:val="22"/>
          <w:highlight w:val="none"/>
          <w:u w:val="single"/>
          <w:lang w:eastAsia="zh-CN"/>
        </w:rPr>
        <w:t>南通市内河干线航道文物资源区域评估项目NTGX-WWPG1标段</w:t>
      </w:r>
      <w:r>
        <w:rPr>
          <w:rFonts w:hint="eastAsia" w:ascii="宋体" w:hAnsi="宋体" w:eastAsia="宋体" w:cs="宋体"/>
          <w:b w:val="0"/>
          <w:bCs/>
          <w:snapToGrid w:val="0"/>
          <w:color w:val="auto"/>
          <w:sz w:val="22"/>
          <w:szCs w:val="22"/>
          <w:highlight w:val="none"/>
        </w:rPr>
        <w:t>第二个信封（报价文件）投标文件</w:t>
      </w:r>
    </w:p>
    <w:p>
      <w:pPr>
        <w:pStyle w:val="85"/>
        <w:keepNext w:val="0"/>
        <w:keepLines w:val="0"/>
        <w:pageBreakBefore w:val="0"/>
        <w:widowControl w:val="0"/>
        <w:kinsoku/>
        <w:wordWrap/>
        <w:overflowPunct/>
        <w:autoSpaceDE/>
        <w:autoSpaceDN/>
        <w:bidi w:val="0"/>
        <w:adjustRightInd/>
        <w:snapToGrid/>
        <w:spacing w:before="0" w:after="0" w:line="360" w:lineRule="auto"/>
        <w:ind w:left="0" w:firstLine="440" w:firstLineChars="200"/>
        <w:rPr>
          <w:rFonts w:hint="eastAsia" w:ascii="宋体" w:hAnsi="宋体" w:eastAsia="宋体" w:cs="宋体"/>
          <w:b w:val="0"/>
          <w:bCs/>
          <w:snapToGrid w:val="0"/>
          <w:color w:val="auto"/>
          <w:sz w:val="22"/>
          <w:szCs w:val="22"/>
          <w:highlight w:val="none"/>
        </w:rPr>
      </w:pPr>
      <w:r>
        <w:rPr>
          <w:rFonts w:hint="eastAsia" w:ascii="宋体" w:hAnsi="宋体" w:eastAsia="宋体" w:cs="宋体"/>
          <w:b w:val="0"/>
          <w:bCs/>
          <w:snapToGrid w:val="0"/>
          <w:color w:val="auto"/>
          <w:sz w:val="22"/>
          <w:szCs w:val="22"/>
          <w:highlight w:val="none"/>
        </w:rPr>
        <w:t>在投标文件第二个信封（报价文件）开标前不得开启</w:t>
      </w:r>
    </w:p>
    <w:p>
      <w:pPr>
        <w:pStyle w:val="85"/>
        <w:keepNext w:val="0"/>
        <w:keepLines w:val="0"/>
        <w:pageBreakBefore w:val="0"/>
        <w:widowControl w:val="0"/>
        <w:kinsoku/>
        <w:wordWrap/>
        <w:overflowPunct/>
        <w:autoSpaceDE/>
        <w:autoSpaceDN/>
        <w:bidi w:val="0"/>
        <w:adjustRightInd/>
        <w:snapToGrid/>
        <w:spacing w:before="0" w:after="0" w:line="360" w:lineRule="auto"/>
        <w:ind w:left="0" w:firstLine="440" w:firstLineChars="200"/>
        <w:rPr>
          <w:rFonts w:hint="eastAsia" w:ascii="宋体" w:hAnsi="宋体" w:eastAsia="宋体" w:cs="宋体"/>
          <w:b w:val="0"/>
          <w:bCs/>
          <w:snapToGrid w:val="0"/>
          <w:color w:val="auto"/>
          <w:sz w:val="22"/>
          <w:szCs w:val="22"/>
          <w:highlight w:val="none"/>
        </w:rPr>
      </w:pPr>
      <w:r>
        <w:rPr>
          <w:rFonts w:hint="eastAsia" w:ascii="宋体" w:hAnsi="宋体" w:eastAsia="宋体" w:cs="宋体"/>
          <w:b w:val="0"/>
          <w:bCs/>
          <w:snapToGrid w:val="0"/>
          <w:color w:val="auto"/>
          <w:sz w:val="22"/>
          <w:szCs w:val="22"/>
          <w:highlight w:val="none"/>
        </w:rPr>
        <w:t>投标人名称：</w:t>
      </w:r>
      <w:r>
        <w:rPr>
          <w:rFonts w:hint="eastAsia" w:ascii="宋体" w:hAnsi="宋体" w:eastAsia="宋体" w:cs="宋体"/>
          <w:b w:val="0"/>
          <w:bCs/>
          <w:snapToGrid w:val="0"/>
          <w:color w:val="auto"/>
          <w:sz w:val="22"/>
          <w:szCs w:val="22"/>
          <w:highlight w:val="none"/>
          <w:u w:val="single"/>
          <w:lang w:val="en-US" w:eastAsia="zh-CN"/>
        </w:rPr>
        <w:t xml:space="preserve">                                  </w:t>
      </w:r>
      <w:r>
        <w:rPr>
          <w:rFonts w:hint="eastAsia" w:ascii="宋体" w:hAnsi="宋体" w:eastAsia="宋体" w:cs="宋体"/>
          <w:b w:val="0"/>
          <w:bCs/>
          <w:snapToGrid w:val="0"/>
          <w:color w:val="auto"/>
          <w:sz w:val="22"/>
          <w:szCs w:val="22"/>
          <w:highlight w:val="none"/>
        </w:rPr>
        <w:t xml:space="preserve">             </w:t>
      </w:r>
    </w:p>
    <w:p>
      <w:pPr>
        <w:pStyle w:val="87"/>
        <w:keepNext w:val="0"/>
        <w:keepLines w:val="0"/>
        <w:pageBreakBefore w:val="0"/>
        <w:widowControl w:val="0"/>
        <w:tabs>
          <w:tab w:val="left" w:pos="540"/>
        </w:tabs>
        <w:kinsoku/>
        <w:wordWrap/>
        <w:overflow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16.3 如果因密封不严、标记不明而造成过早启封、失密等情况，招标人和招标代理概不负责。</w:t>
      </w:r>
    </w:p>
    <w:p>
      <w:pPr>
        <w:pStyle w:val="87"/>
        <w:keepNext w:val="0"/>
        <w:keepLines w:val="0"/>
        <w:pageBreakBefore w:val="0"/>
        <w:widowControl w:val="0"/>
        <w:tabs>
          <w:tab w:val="left" w:pos="540"/>
        </w:tabs>
        <w:kinsoku/>
        <w:wordWrap/>
        <w:overflow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 xml:space="preserve">16.4 </w:t>
      </w:r>
      <w:r>
        <w:rPr>
          <w:rFonts w:hint="eastAsia" w:ascii="宋体" w:hAnsi="宋体" w:eastAsia="宋体" w:cs="宋体"/>
          <w:color w:val="auto"/>
          <w:sz w:val="22"/>
          <w:szCs w:val="22"/>
          <w:highlight w:val="none"/>
        </w:rPr>
        <w:t>为便于投标工作高效准确进行，投标人在提交投标文件时应同时提交一份其投标文件的文字录入部分的电子文档，文件用WORD软件制作，文件均不得设置密码，并将文件拷入U盘，投标人应保证其提交的电子文件无病毒。U盘上需标明单位名称和标段号。如电子文件与正本文件不一致时，以正本文件为准。</w:t>
      </w:r>
    </w:p>
    <w:p>
      <w:pPr>
        <w:pStyle w:val="85"/>
        <w:keepNext w:val="0"/>
        <w:keepLines w:val="0"/>
        <w:pageBreakBefore w:val="0"/>
        <w:widowControl w:val="0"/>
        <w:kinsoku/>
        <w:wordWrap/>
        <w:overflowPunct/>
        <w:topLinePunct/>
        <w:autoSpaceDE/>
        <w:autoSpaceDN/>
        <w:bidi w:val="0"/>
        <w:adjustRightInd/>
        <w:snapToGrid/>
        <w:spacing w:before="0" w:after="0" w:line="360" w:lineRule="auto"/>
        <w:ind w:left="0" w:firstLine="0"/>
        <w:rPr>
          <w:rFonts w:hint="eastAsia" w:ascii="宋体" w:hAnsi="宋体" w:eastAsia="宋体" w:cs="宋体"/>
          <w:snapToGrid w:val="0"/>
          <w:color w:val="auto"/>
          <w:sz w:val="22"/>
          <w:szCs w:val="22"/>
          <w:highlight w:val="none"/>
        </w:rPr>
      </w:pPr>
      <w:r>
        <w:rPr>
          <w:rFonts w:hint="eastAsia" w:ascii="宋体" w:hAnsi="宋体" w:eastAsia="宋体" w:cs="宋体"/>
          <w:snapToGrid w:val="0"/>
          <w:color w:val="auto"/>
          <w:sz w:val="22"/>
          <w:szCs w:val="22"/>
          <w:highlight w:val="none"/>
        </w:rPr>
        <w:t>17  投标文件的递交</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17.1 投标人必须按招标公告中所规定的地点、截止时间，将投标文件送达招标人。</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17.2 招标人或招标代理可以通过发出本须知第8条规定的补遗书的方式，酌情延长递交投标文件的截止时间。招标人如果决定延后投标截止时间，应在原投标截止时间3天前，以书面形式通知所有投标人延后投标截止时间。在此情况下，招标人和投标人的权利和义务相应延后至新的投标截止时间。</w:t>
      </w:r>
    </w:p>
    <w:p>
      <w:pPr>
        <w:pStyle w:val="85"/>
        <w:keepNext w:val="0"/>
        <w:keepLines w:val="0"/>
        <w:pageBreakBefore w:val="0"/>
        <w:widowControl w:val="0"/>
        <w:kinsoku/>
        <w:wordWrap/>
        <w:overflowPunct/>
        <w:topLinePunct/>
        <w:autoSpaceDE/>
        <w:autoSpaceDN/>
        <w:bidi w:val="0"/>
        <w:adjustRightInd/>
        <w:snapToGrid/>
        <w:spacing w:before="0" w:after="0" w:line="360" w:lineRule="auto"/>
        <w:ind w:left="0" w:firstLine="0"/>
        <w:rPr>
          <w:rFonts w:hint="eastAsia" w:ascii="宋体" w:hAnsi="宋体" w:eastAsia="宋体" w:cs="宋体"/>
          <w:snapToGrid w:val="0"/>
          <w:color w:val="auto"/>
          <w:sz w:val="22"/>
          <w:szCs w:val="22"/>
          <w:highlight w:val="none"/>
        </w:rPr>
      </w:pPr>
      <w:r>
        <w:rPr>
          <w:rFonts w:hint="eastAsia" w:ascii="宋体" w:hAnsi="宋体" w:eastAsia="宋体" w:cs="宋体"/>
          <w:snapToGrid w:val="0"/>
          <w:color w:val="auto"/>
          <w:sz w:val="22"/>
          <w:szCs w:val="22"/>
          <w:highlight w:val="none"/>
        </w:rPr>
        <w:t>18  迟到的投标文件</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bookmarkStart w:id="40" w:name="_Toc298415845"/>
      <w:r>
        <w:rPr>
          <w:rFonts w:hint="eastAsia" w:ascii="宋体" w:hAnsi="宋体" w:eastAsia="宋体" w:cs="宋体"/>
          <w:snapToGrid w:val="0"/>
          <w:color w:val="auto"/>
          <w:kern w:val="0"/>
          <w:sz w:val="22"/>
          <w:szCs w:val="22"/>
          <w:highlight w:val="none"/>
        </w:rPr>
        <w:t>18.1 招标人或招标代理将拒绝接受在递交投标文件截止时间后收到的投标文件。</w:t>
      </w:r>
      <w:bookmarkEnd w:id="40"/>
    </w:p>
    <w:p>
      <w:pPr>
        <w:pStyle w:val="85"/>
        <w:keepNext w:val="0"/>
        <w:keepLines w:val="0"/>
        <w:pageBreakBefore w:val="0"/>
        <w:widowControl w:val="0"/>
        <w:kinsoku/>
        <w:wordWrap/>
        <w:overflowPunct/>
        <w:topLinePunct/>
        <w:autoSpaceDE/>
        <w:autoSpaceDN/>
        <w:bidi w:val="0"/>
        <w:adjustRightInd/>
        <w:snapToGrid/>
        <w:spacing w:before="0" w:after="0" w:line="360" w:lineRule="auto"/>
        <w:ind w:left="0" w:firstLine="0"/>
        <w:rPr>
          <w:rFonts w:hint="eastAsia" w:ascii="宋体" w:hAnsi="宋体" w:eastAsia="宋体" w:cs="宋体"/>
          <w:snapToGrid w:val="0"/>
          <w:color w:val="auto"/>
          <w:sz w:val="22"/>
          <w:szCs w:val="22"/>
          <w:highlight w:val="none"/>
        </w:rPr>
      </w:pPr>
      <w:r>
        <w:rPr>
          <w:rFonts w:hint="eastAsia" w:ascii="宋体" w:hAnsi="宋体" w:eastAsia="宋体" w:cs="宋体"/>
          <w:snapToGrid w:val="0"/>
          <w:color w:val="auto"/>
          <w:sz w:val="22"/>
          <w:szCs w:val="22"/>
          <w:highlight w:val="none"/>
        </w:rPr>
        <w:t>19  投标文件的更改与撤回</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19.1 在递交投标文件截止时间以前，投标人可以更改或撤回投标文件，但必须以书面形式提出，并经法定代表人或授权的代理人签署。更改、撤回的确认书必须在递交投标文件截止期前送交给招标人或招标代理。</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19.2 更改的投标文件应同样按照招标文件规定的要求进行编制、密封、标记（在包封上标明“更改”或“撤回”字样）和递交。</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19.3 送交投标文件截止期以后，投标文件不得更改。需作澄清时，必须按评标办法的规定办理。</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19.4 如果在投标文件有效期内撤销投标文件，则按本须知规定没收其投标担保。</w:t>
      </w:r>
    </w:p>
    <w:p>
      <w:pPr>
        <w:keepNext w:val="0"/>
        <w:keepLines w:val="0"/>
        <w:pageBreakBefore w:val="0"/>
        <w:widowControl w:val="0"/>
        <w:kinsoku/>
        <w:wordWrap/>
        <w:overflowPunct/>
        <w:topLinePunct/>
        <w:autoSpaceDE/>
        <w:autoSpaceDN/>
        <w:bidi w:val="0"/>
        <w:adjustRightInd/>
        <w:snapToGrid/>
        <w:spacing w:line="360" w:lineRule="auto"/>
        <w:ind w:left="0"/>
        <w:jc w:val="center"/>
        <w:rPr>
          <w:rFonts w:hint="eastAsia" w:ascii="宋体" w:hAnsi="宋体" w:eastAsia="宋体" w:cs="宋体"/>
          <w:b/>
          <w:color w:val="auto"/>
          <w:sz w:val="22"/>
          <w:szCs w:val="22"/>
          <w:highlight w:val="none"/>
        </w:rPr>
      </w:pPr>
      <w:bookmarkStart w:id="41" w:name="_Toc44814584"/>
      <w:r>
        <w:rPr>
          <w:rFonts w:hint="eastAsia" w:ascii="宋体" w:hAnsi="宋体" w:eastAsia="宋体" w:cs="宋体"/>
          <w:b/>
          <w:color w:val="auto"/>
          <w:sz w:val="22"/>
          <w:szCs w:val="22"/>
          <w:highlight w:val="none"/>
        </w:rPr>
        <w:t>五、开标与评标</w:t>
      </w:r>
      <w:bookmarkEnd w:id="41"/>
    </w:p>
    <w:p>
      <w:pPr>
        <w:pStyle w:val="85"/>
        <w:keepNext w:val="0"/>
        <w:keepLines w:val="0"/>
        <w:pageBreakBefore w:val="0"/>
        <w:widowControl w:val="0"/>
        <w:kinsoku/>
        <w:wordWrap/>
        <w:overflowPunct/>
        <w:topLinePunct/>
        <w:autoSpaceDE/>
        <w:autoSpaceDN/>
        <w:bidi w:val="0"/>
        <w:adjustRightInd/>
        <w:snapToGrid/>
        <w:spacing w:before="0" w:after="0" w:line="360" w:lineRule="auto"/>
        <w:ind w:left="0" w:firstLine="0"/>
        <w:rPr>
          <w:rFonts w:hint="eastAsia" w:ascii="宋体" w:hAnsi="宋体" w:eastAsia="宋体" w:cs="宋体"/>
          <w:snapToGrid w:val="0"/>
          <w:color w:val="auto"/>
          <w:sz w:val="22"/>
          <w:szCs w:val="22"/>
          <w:highlight w:val="none"/>
        </w:rPr>
      </w:pPr>
      <w:bookmarkStart w:id="42" w:name="_Toc44814585"/>
      <w:r>
        <w:rPr>
          <w:rFonts w:hint="eastAsia" w:ascii="宋体" w:hAnsi="宋体" w:eastAsia="宋体" w:cs="宋体"/>
          <w:snapToGrid w:val="0"/>
          <w:color w:val="auto"/>
          <w:sz w:val="22"/>
          <w:szCs w:val="22"/>
          <w:highlight w:val="none"/>
        </w:rPr>
        <w:t>20  开标</w:t>
      </w:r>
    </w:p>
    <w:p>
      <w:pPr>
        <w:pStyle w:val="87"/>
        <w:keepNext w:val="0"/>
        <w:keepLines w:val="0"/>
        <w:pageBreakBefore w:val="0"/>
        <w:widowControl w:val="0"/>
        <w:tabs>
          <w:tab w:val="left" w:pos="540"/>
        </w:tabs>
        <w:kinsoku/>
        <w:wordWrap/>
        <w:overflow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20.1 招标人按投标人须知资料表中规定的时间和地点（如有补遗书和其他有效函件，以最后发出的内容为准），对所有按时递交的投标文件进行开标。投标人的法定代表人或其授权代理人应携带身份证等有效身份证明准时到场，并在签到表上签字以证明其出席。未参加开标活动视为其默认开标结果。</w:t>
      </w:r>
    </w:p>
    <w:p>
      <w:pPr>
        <w:keepNext w:val="0"/>
        <w:keepLines w:val="0"/>
        <w:pageBreakBefore w:val="0"/>
        <w:widowControl w:val="0"/>
        <w:kinsoku/>
        <w:wordWrap/>
        <w:overflowPunct/>
        <w:autoSpaceDE/>
        <w:autoSpaceDN/>
        <w:bidi w:val="0"/>
        <w:adjustRightInd/>
        <w:snapToGrid/>
        <w:spacing w:line="360" w:lineRule="auto"/>
        <w:ind w:left="0" w:firstLine="440" w:firstLineChars="200"/>
        <w:rPr>
          <w:rFonts w:hint="eastAsia" w:ascii="宋体" w:hAnsi="宋体" w:eastAsia="宋体" w:cs="宋体"/>
          <w:color w:val="auto"/>
          <w:sz w:val="22"/>
          <w:szCs w:val="22"/>
          <w:highlight w:val="none"/>
        </w:rPr>
      </w:pPr>
      <w:r>
        <w:rPr>
          <w:rFonts w:hint="eastAsia" w:ascii="宋体" w:hAnsi="宋体" w:eastAsia="宋体" w:cs="宋体"/>
          <w:snapToGrid w:val="0"/>
          <w:color w:val="auto"/>
          <w:kern w:val="0"/>
          <w:sz w:val="22"/>
          <w:szCs w:val="22"/>
          <w:highlight w:val="none"/>
        </w:rPr>
        <w:t xml:space="preserve">20.2 </w:t>
      </w:r>
      <w:r>
        <w:rPr>
          <w:rFonts w:hint="eastAsia" w:ascii="宋体" w:hAnsi="宋体" w:eastAsia="宋体" w:cs="宋体"/>
          <w:color w:val="auto"/>
          <w:sz w:val="22"/>
          <w:szCs w:val="22"/>
          <w:highlight w:val="none"/>
        </w:rPr>
        <w:t>开标程序</w:t>
      </w:r>
    </w:p>
    <w:p>
      <w:pPr>
        <w:keepNext w:val="0"/>
        <w:keepLines w:val="0"/>
        <w:pageBreakBefore w:val="0"/>
        <w:widowControl w:val="0"/>
        <w:kinsoku/>
        <w:wordWrap/>
        <w:overflowPunct/>
        <w:autoSpaceDE/>
        <w:autoSpaceDN/>
        <w:bidi w:val="0"/>
        <w:adjustRightInd/>
        <w:snapToGrid/>
        <w:spacing w:line="360" w:lineRule="auto"/>
        <w:ind w:left="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20.2.1主持人按下列程序进行开标：</w:t>
      </w:r>
    </w:p>
    <w:p>
      <w:pPr>
        <w:keepNext w:val="0"/>
        <w:keepLines w:val="0"/>
        <w:pageBreakBefore w:val="0"/>
        <w:widowControl w:val="0"/>
        <w:kinsoku/>
        <w:wordWrap/>
        <w:overflowPunct/>
        <w:autoSpaceDE/>
        <w:autoSpaceDN/>
        <w:bidi w:val="0"/>
        <w:adjustRightInd/>
        <w:snapToGrid/>
        <w:spacing w:line="360" w:lineRule="auto"/>
        <w:ind w:left="0" w:firstLine="442" w:firstLineChars="200"/>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1、主持人按下列程序对投标文件</w:t>
      </w:r>
      <w:r>
        <w:rPr>
          <w:rFonts w:hint="eastAsia" w:ascii="宋体" w:hAnsi="宋体" w:eastAsia="宋体" w:cs="宋体"/>
          <w:b/>
          <w:color w:val="auto"/>
          <w:sz w:val="22"/>
          <w:szCs w:val="22"/>
          <w:highlight w:val="none"/>
          <w:lang w:eastAsia="zh-CN"/>
        </w:rPr>
        <w:t>第一个信封（商务及技术文件）</w:t>
      </w:r>
      <w:r>
        <w:rPr>
          <w:rFonts w:hint="eastAsia" w:ascii="宋体" w:hAnsi="宋体" w:eastAsia="宋体" w:cs="宋体"/>
          <w:b/>
          <w:color w:val="auto"/>
          <w:sz w:val="22"/>
          <w:szCs w:val="22"/>
          <w:highlight w:val="none"/>
        </w:rPr>
        <w:t>进行开标：</w:t>
      </w:r>
    </w:p>
    <w:p>
      <w:pPr>
        <w:keepNext w:val="0"/>
        <w:keepLines w:val="0"/>
        <w:pageBreakBefore w:val="0"/>
        <w:widowControl w:val="0"/>
        <w:kinsoku/>
        <w:wordWrap/>
        <w:overflowPunct/>
        <w:autoSpaceDE/>
        <w:autoSpaceDN/>
        <w:bidi w:val="0"/>
        <w:adjustRightInd/>
        <w:snapToGrid/>
        <w:spacing w:line="360" w:lineRule="auto"/>
        <w:ind w:left="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（1）宣布开标纪律；</w:t>
      </w:r>
    </w:p>
    <w:p>
      <w:pPr>
        <w:keepNext w:val="0"/>
        <w:keepLines w:val="0"/>
        <w:pageBreakBefore w:val="0"/>
        <w:widowControl w:val="0"/>
        <w:kinsoku/>
        <w:wordWrap/>
        <w:overflowPunct/>
        <w:autoSpaceDE/>
        <w:autoSpaceDN/>
        <w:bidi w:val="0"/>
        <w:adjustRightInd/>
        <w:snapToGrid/>
        <w:spacing w:line="360" w:lineRule="auto"/>
        <w:ind w:left="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（2）公布在投标截止时间前递交投标文件的投标人名称；</w:t>
      </w:r>
    </w:p>
    <w:p>
      <w:pPr>
        <w:keepNext w:val="0"/>
        <w:keepLines w:val="0"/>
        <w:pageBreakBefore w:val="0"/>
        <w:widowControl w:val="0"/>
        <w:kinsoku/>
        <w:wordWrap/>
        <w:overflowPunct/>
        <w:autoSpaceDE/>
        <w:autoSpaceDN/>
        <w:bidi w:val="0"/>
        <w:adjustRightInd/>
        <w:snapToGrid/>
        <w:spacing w:line="360" w:lineRule="auto"/>
        <w:ind w:left="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（3）检查投标文件的密封情况；</w:t>
      </w:r>
    </w:p>
    <w:p>
      <w:pPr>
        <w:keepNext w:val="0"/>
        <w:keepLines w:val="0"/>
        <w:pageBreakBefore w:val="0"/>
        <w:widowControl w:val="0"/>
        <w:kinsoku/>
        <w:wordWrap/>
        <w:overflowPunct/>
        <w:autoSpaceDE/>
        <w:autoSpaceDN/>
        <w:bidi w:val="0"/>
        <w:adjustRightInd/>
        <w:snapToGrid/>
        <w:spacing w:line="360" w:lineRule="auto"/>
        <w:ind w:left="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（4）按照宣布的开标顺序当众开标，公布投标人名称、标段名称、投标文件的相关内容，并记录在案；</w:t>
      </w:r>
    </w:p>
    <w:p>
      <w:pPr>
        <w:keepNext w:val="0"/>
        <w:keepLines w:val="0"/>
        <w:pageBreakBefore w:val="0"/>
        <w:widowControl w:val="0"/>
        <w:kinsoku/>
        <w:wordWrap/>
        <w:overflowPunct/>
        <w:autoSpaceDE/>
        <w:autoSpaceDN/>
        <w:bidi w:val="0"/>
        <w:adjustRightInd/>
        <w:snapToGrid/>
        <w:spacing w:line="360" w:lineRule="auto"/>
        <w:ind w:left="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（5）投标人代表、监标人、记录人等有关人员在开标记录上签字确认；</w:t>
      </w:r>
    </w:p>
    <w:p>
      <w:pPr>
        <w:keepNext w:val="0"/>
        <w:keepLines w:val="0"/>
        <w:pageBreakBefore w:val="0"/>
        <w:widowControl w:val="0"/>
        <w:kinsoku/>
        <w:wordWrap/>
        <w:overflowPunct/>
        <w:autoSpaceDE/>
        <w:autoSpaceDN/>
        <w:bidi w:val="0"/>
        <w:adjustRightInd/>
        <w:snapToGrid/>
        <w:spacing w:line="360" w:lineRule="auto"/>
        <w:ind w:left="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若招标人宣读的内容与投标文件不符时，投标人有权在开标现场提出异议，经监标人当场核查确认之后，可重新宣读其投标文件。若投标人现场未提出异议，则认为投标人已确认招标人宣读的内容。</w:t>
      </w:r>
    </w:p>
    <w:p>
      <w:pPr>
        <w:keepNext w:val="0"/>
        <w:keepLines w:val="0"/>
        <w:pageBreakBefore w:val="0"/>
        <w:widowControl w:val="0"/>
        <w:kinsoku/>
        <w:wordWrap/>
        <w:overflowPunct/>
        <w:autoSpaceDE/>
        <w:autoSpaceDN/>
        <w:bidi w:val="0"/>
        <w:adjustRightInd/>
        <w:snapToGrid/>
        <w:spacing w:line="360" w:lineRule="auto"/>
        <w:ind w:left="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（6）由监标人在现场对所有密封性检查合格的投标人投标文件的第二信封（投标报价）当众进行加封和保存；</w:t>
      </w:r>
    </w:p>
    <w:p>
      <w:pPr>
        <w:keepNext w:val="0"/>
        <w:keepLines w:val="0"/>
        <w:pageBreakBefore w:val="0"/>
        <w:widowControl w:val="0"/>
        <w:kinsoku/>
        <w:wordWrap/>
        <w:overflowPunct/>
        <w:autoSpaceDE/>
        <w:autoSpaceDN/>
        <w:bidi w:val="0"/>
        <w:adjustRightInd/>
        <w:snapToGrid/>
        <w:spacing w:line="360" w:lineRule="auto"/>
        <w:ind w:left="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（7）开标会议结束。</w:t>
      </w:r>
    </w:p>
    <w:p>
      <w:pPr>
        <w:keepNext w:val="0"/>
        <w:keepLines w:val="0"/>
        <w:pageBreakBefore w:val="0"/>
        <w:widowControl w:val="0"/>
        <w:kinsoku/>
        <w:wordWrap/>
        <w:overflowPunct/>
        <w:autoSpaceDE/>
        <w:autoSpaceDN/>
        <w:bidi w:val="0"/>
        <w:adjustRightInd/>
        <w:snapToGrid/>
        <w:spacing w:line="360" w:lineRule="auto"/>
        <w:ind w:left="0" w:firstLine="442" w:firstLineChars="200"/>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若投标人的</w:t>
      </w:r>
      <w:r>
        <w:rPr>
          <w:rFonts w:hint="eastAsia" w:ascii="宋体" w:hAnsi="宋体" w:eastAsia="宋体" w:cs="宋体"/>
          <w:b/>
          <w:color w:val="auto"/>
          <w:sz w:val="22"/>
          <w:szCs w:val="22"/>
          <w:highlight w:val="none"/>
          <w:lang w:eastAsia="zh-CN"/>
        </w:rPr>
        <w:t>第一个信封（商务及技术文件）</w:t>
      </w:r>
      <w:r>
        <w:rPr>
          <w:rFonts w:hint="eastAsia" w:ascii="宋体" w:hAnsi="宋体" w:eastAsia="宋体" w:cs="宋体"/>
          <w:b/>
          <w:color w:val="auto"/>
          <w:sz w:val="22"/>
          <w:szCs w:val="22"/>
          <w:highlight w:val="none"/>
        </w:rPr>
        <w:t>发现以下情况之一者，招标人当场宣布该投标人的投标文件为否决投标，“</w:t>
      </w:r>
      <w:r>
        <w:rPr>
          <w:rFonts w:hint="eastAsia" w:ascii="宋体" w:hAnsi="宋体" w:eastAsia="宋体" w:cs="宋体"/>
          <w:b/>
          <w:color w:val="auto"/>
          <w:sz w:val="22"/>
          <w:szCs w:val="22"/>
          <w:highlight w:val="none"/>
          <w:lang w:eastAsia="zh-CN"/>
        </w:rPr>
        <w:t>第二个信封（报价文件）</w:t>
      </w:r>
      <w:r>
        <w:rPr>
          <w:rFonts w:hint="eastAsia" w:ascii="宋体" w:hAnsi="宋体" w:eastAsia="宋体" w:cs="宋体"/>
          <w:b/>
          <w:color w:val="auto"/>
          <w:sz w:val="22"/>
          <w:szCs w:val="22"/>
          <w:highlight w:val="none"/>
        </w:rPr>
        <w:t>”于</w:t>
      </w:r>
      <w:r>
        <w:rPr>
          <w:rFonts w:hint="eastAsia" w:ascii="宋体" w:hAnsi="宋体" w:eastAsia="宋体" w:cs="宋体"/>
          <w:b/>
          <w:color w:val="auto"/>
          <w:sz w:val="22"/>
          <w:szCs w:val="22"/>
          <w:highlight w:val="none"/>
          <w:lang w:eastAsia="zh-CN"/>
        </w:rPr>
        <w:t>第一个信封（商务及技术文件）</w:t>
      </w:r>
      <w:r>
        <w:rPr>
          <w:rFonts w:hint="eastAsia" w:ascii="宋体" w:hAnsi="宋体" w:eastAsia="宋体" w:cs="宋体"/>
          <w:b/>
          <w:color w:val="auto"/>
          <w:sz w:val="22"/>
          <w:szCs w:val="22"/>
          <w:highlight w:val="none"/>
        </w:rPr>
        <w:t>开标结束后退还给投标人：</w:t>
      </w:r>
    </w:p>
    <w:p>
      <w:pPr>
        <w:keepNext w:val="0"/>
        <w:keepLines w:val="0"/>
        <w:pageBreakBefore w:val="0"/>
        <w:widowControl w:val="0"/>
        <w:kinsoku/>
        <w:wordWrap/>
        <w:overflowPunct/>
        <w:autoSpaceDE/>
        <w:autoSpaceDN/>
        <w:bidi w:val="0"/>
        <w:adjustRightInd/>
        <w:snapToGrid/>
        <w:spacing w:line="360" w:lineRule="auto"/>
        <w:ind w:left="0" w:firstLine="442" w:firstLineChars="200"/>
        <w:rPr>
          <w:rFonts w:hint="eastAsia" w:ascii="宋体" w:hAnsi="宋体" w:eastAsia="宋体" w:cs="宋体"/>
          <w:b/>
          <w:color w:val="auto"/>
          <w:sz w:val="22"/>
          <w:szCs w:val="22"/>
          <w:highlight w:val="none"/>
          <w:u w:val="none"/>
        </w:rPr>
      </w:pPr>
      <w:r>
        <w:rPr>
          <w:rFonts w:hint="eastAsia" w:ascii="宋体" w:hAnsi="宋体" w:eastAsia="宋体" w:cs="宋体"/>
          <w:b/>
          <w:color w:val="auto"/>
          <w:sz w:val="22"/>
          <w:szCs w:val="22"/>
          <w:highlight w:val="none"/>
          <w:u w:val="none"/>
        </w:rPr>
        <w:t>a.未按投标人须知16.1款密封；</w:t>
      </w:r>
    </w:p>
    <w:p>
      <w:pPr>
        <w:keepNext w:val="0"/>
        <w:keepLines w:val="0"/>
        <w:pageBreakBefore w:val="0"/>
        <w:widowControl w:val="0"/>
        <w:kinsoku/>
        <w:wordWrap/>
        <w:overflowPunct/>
        <w:autoSpaceDE/>
        <w:autoSpaceDN/>
        <w:bidi w:val="0"/>
        <w:adjustRightInd/>
        <w:snapToGrid/>
        <w:spacing w:line="360" w:lineRule="auto"/>
        <w:ind w:left="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招标人宣读的内容与投标文件不符时，投标人有权在开标现场提出异议，经监标人当场核查确认后，可重新宣读其投标文件。投标人现场未提出异议，则认为投标人已确认招标人宣读的内容。</w:t>
      </w:r>
    </w:p>
    <w:p>
      <w:pPr>
        <w:keepNext w:val="0"/>
        <w:keepLines w:val="0"/>
        <w:pageBreakBefore w:val="0"/>
        <w:widowControl w:val="0"/>
        <w:kinsoku/>
        <w:wordWrap/>
        <w:overflowPunct/>
        <w:autoSpaceDE/>
        <w:autoSpaceDN/>
        <w:bidi w:val="0"/>
        <w:adjustRightInd/>
        <w:snapToGrid/>
        <w:spacing w:line="360" w:lineRule="auto"/>
        <w:ind w:left="0" w:firstLine="442" w:firstLineChars="200"/>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2、招标人将按照本章第20.1款规定的时间和地点对封存的投标文件</w:t>
      </w:r>
      <w:r>
        <w:rPr>
          <w:rFonts w:hint="eastAsia" w:ascii="宋体" w:hAnsi="宋体" w:eastAsia="宋体" w:cs="宋体"/>
          <w:b/>
          <w:color w:val="auto"/>
          <w:sz w:val="22"/>
          <w:szCs w:val="22"/>
          <w:highlight w:val="none"/>
          <w:lang w:eastAsia="zh-CN"/>
        </w:rPr>
        <w:t>第二个信封（报价文件）</w:t>
      </w:r>
      <w:r>
        <w:rPr>
          <w:rFonts w:hint="eastAsia" w:ascii="宋体" w:hAnsi="宋体" w:eastAsia="宋体" w:cs="宋体"/>
          <w:b/>
          <w:color w:val="auto"/>
          <w:sz w:val="22"/>
          <w:szCs w:val="22"/>
          <w:highlight w:val="none"/>
        </w:rPr>
        <w:t>进行开标。主持人按下列程序进行开标：</w:t>
      </w:r>
    </w:p>
    <w:p>
      <w:pPr>
        <w:keepNext w:val="0"/>
        <w:keepLines w:val="0"/>
        <w:pageBreakBefore w:val="0"/>
        <w:widowControl w:val="0"/>
        <w:kinsoku/>
        <w:wordWrap/>
        <w:overflowPunct/>
        <w:autoSpaceDE/>
        <w:autoSpaceDN/>
        <w:bidi w:val="0"/>
        <w:adjustRightInd/>
        <w:snapToGrid/>
        <w:spacing w:line="360" w:lineRule="auto"/>
        <w:ind w:left="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（1）宣布开标纪律；</w:t>
      </w:r>
    </w:p>
    <w:p>
      <w:pPr>
        <w:keepNext w:val="0"/>
        <w:keepLines w:val="0"/>
        <w:pageBreakBefore w:val="0"/>
        <w:widowControl w:val="0"/>
        <w:kinsoku/>
        <w:wordWrap/>
        <w:overflowPunct/>
        <w:autoSpaceDE/>
        <w:autoSpaceDN/>
        <w:bidi w:val="0"/>
        <w:adjustRightInd/>
        <w:snapToGrid/>
        <w:spacing w:line="360" w:lineRule="auto"/>
        <w:ind w:left="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（2）当众宣布通过投标文件</w:t>
      </w:r>
      <w:r>
        <w:rPr>
          <w:rFonts w:hint="eastAsia" w:ascii="宋体" w:hAnsi="宋体" w:eastAsia="宋体" w:cs="宋体"/>
          <w:color w:val="auto"/>
          <w:sz w:val="22"/>
          <w:szCs w:val="22"/>
          <w:highlight w:val="none"/>
          <w:lang w:eastAsia="zh-CN"/>
        </w:rPr>
        <w:t>第一个信封（商务及技术文件）</w:t>
      </w:r>
      <w:r>
        <w:rPr>
          <w:rFonts w:hint="eastAsia" w:ascii="宋体" w:hAnsi="宋体" w:eastAsia="宋体" w:cs="宋体"/>
          <w:color w:val="auto"/>
          <w:sz w:val="22"/>
          <w:szCs w:val="22"/>
          <w:highlight w:val="none"/>
        </w:rPr>
        <w:t>评审的投标人名单；</w:t>
      </w:r>
    </w:p>
    <w:p>
      <w:pPr>
        <w:keepNext w:val="0"/>
        <w:keepLines w:val="0"/>
        <w:pageBreakBefore w:val="0"/>
        <w:widowControl w:val="0"/>
        <w:kinsoku/>
        <w:wordWrap/>
        <w:overflowPunct/>
        <w:autoSpaceDE/>
        <w:autoSpaceDN/>
        <w:bidi w:val="0"/>
        <w:adjustRightInd/>
        <w:snapToGrid/>
        <w:spacing w:line="360" w:lineRule="auto"/>
        <w:ind w:left="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（3）由投标人代表检查投标文件密封情况； </w:t>
      </w:r>
    </w:p>
    <w:p>
      <w:pPr>
        <w:keepNext w:val="0"/>
        <w:keepLines w:val="0"/>
        <w:pageBreakBefore w:val="0"/>
        <w:widowControl w:val="0"/>
        <w:kinsoku/>
        <w:wordWrap/>
        <w:overflowPunct/>
        <w:autoSpaceDE/>
        <w:autoSpaceDN/>
        <w:bidi w:val="0"/>
        <w:adjustRightInd/>
        <w:snapToGrid/>
        <w:spacing w:line="360" w:lineRule="auto"/>
        <w:ind w:left="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（4）由招标人纪检在开标现场随机抽取“T—投标控制价上限权重值”和“K—评标基准价浮动系数”；</w:t>
      </w:r>
    </w:p>
    <w:p>
      <w:pPr>
        <w:keepNext w:val="0"/>
        <w:keepLines w:val="0"/>
        <w:pageBreakBefore w:val="0"/>
        <w:widowControl w:val="0"/>
        <w:kinsoku/>
        <w:wordWrap/>
        <w:overflowPunct/>
        <w:autoSpaceDE/>
        <w:autoSpaceDN/>
        <w:bidi w:val="0"/>
        <w:adjustRightInd/>
        <w:snapToGrid/>
        <w:spacing w:line="360" w:lineRule="auto"/>
        <w:ind w:left="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w:t>
      </w:r>
      <w:r>
        <w:rPr>
          <w:rFonts w:hint="eastAsia" w:ascii="宋体" w:hAnsi="宋体" w:cs="宋体"/>
          <w:color w:val="auto"/>
          <w:sz w:val="22"/>
          <w:szCs w:val="22"/>
          <w:highlight w:val="none"/>
          <w:lang w:val="en-US" w:eastAsia="zh-CN"/>
        </w:rPr>
        <w:t>5</w:t>
      </w:r>
      <w:r>
        <w:rPr>
          <w:rFonts w:hint="eastAsia" w:ascii="宋体" w:hAnsi="宋体" w:eastAsia="宋体" w:cs="宋体"/>
          <w:color w:val="auto"/>
          <w:sz w:val="22"/>
          <w:szCs w:val="22"/>
          <w:highlight w:val="none"/>
        </w:rPr>
        <w:t>）对通过投标文件</w:t>
      </w:r>
      <w:r>
        <w:rPr>
          <w:rFonts w:hint="eastAsia" w:ascii="宋体" w:hAnsi="宋体" w:eastAsia="宋体" w:cs="宋体"/>
          <w:color w:val="auto"/>
          <w:sz w:val="22"/>
          <w:szCs w:val="22"/>
          <w:highlight w:val="none"/>
          <w:lang w:eastAsia="zh-CN"/>
        </w:rPr>
        <w:t>第一个信封（商务及技术文件）</w:t>
      </w:r>
      <w:r>
        <w:rPr>
          <w:rFonts w:hint="eastAsia" w:ascii="宋体" w:hAnsi="宋体" w:eastAsia="宋体" w:cs="宋体"/>
          <w:color w:val="auto"/>
          <w:sz w:val="22"/>
          <w:szCs w:val="22"/>
          <w:highlight w:val="none"/>
        </w:rPr>
        <w:t>评审的投标文件</w:t>
      </w:r>
      <w:r>
        <w:rPr>
          <w:rFonts w:hint="eastAsia" w:ascii="宋体" w:hAnsi="宋体" w:eastAsia="宋体" w:cs="宋体"/>
          <w:color w:val="auto"/>
          <w:sz w:val="22"/>
          <w:szCs w:val="22"/>
          <w:highlight w:val="none"/>
          <w:lang w:eastAsia="zh-CN"/>
        </w:rPr>
        <w:t>第二个信封（报价文件）</w:t>
      </w:r>
      <w:r>
        <w:rPr>
          <w:rFonts w:hint="eastAsia" w:ascii="宋体" w:hAnsi="宋体" w:eastAsia="宋体" w:cs="宋体"/>
          <w:color w:val="auto"/>
          <w:sz w:val="22"/>
          <w:szCs w:val="22"/>
          <w:highlight w:val="none"/>
        </w:rPr>
        <w:t>当众开标，并公布这些投标文件</w:t>
      </w:r>
      <w:r>
        <w:rPr>
          <w:rFonts w:hint="eastAsia" w:ascii="宋体" w:hAnsi="宋体" w:eastAsia="宋体" w:cs="宋体"/>
          <w:color w:val="auto"/>
          <w:sz w:val="22"/>
          <w:szCs w:val="22"/>
          <w:highlight w:val="none"/>
          <w:lang w:eastAsia="zh-CN"/>
        </w:rPr>
        <w:t>第二个信封（报价文件）</w:t>
      </w:r>
      <w:r>
        <w:rPr>
          <w:rFonts w:hint="eastAsia" w:ascii="宋体" w:hAnsi="宋体" w:eastAsia="宋体" w:cs="宋体"/>
          <w:color w:val="auto"/>
          <w:sz w:val="22"/>
          <w:szCs w:val="22"/>
          <w:highlight w:val="none"/>
        </w:rPr>
        <w:t>的投标人名称、标段名称、投标报价，并记录在案；</w:t>
      </w:r>
    </w:p>
    <w:p>
      <w:pPr>
        <w:keepNext w:val="0"/>
        <w:keepLines w:val="0"/>
        <w:pageBreakBefore w:val="0"/>
        <w:widowControl w:val="0"/>
        <w:kinsoku/>
        <w:wordWrap/>
        <w:overflowPunct/>
        <w:autoSpaceDE/>
        <w:autoSpaceDN/>
        <w:bidi w:val="0"/>
        <w:adjustRightInd/>
        <w:snapToGrid/>
        <w:spacing w:line="360" w:lineRule="auto"/>
        <w:ind w:left="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w:t>
      </w:r>
      <w:r>
        <w:rPr>
          <w:rFonts w:hint="eastAsia" w:ascii="宋体" w:hAnsi="宋体" w:cs="宋体"/>
          <w:color w:val="auto"/>
          <w:sz w:val="22"/>
          <w:szCs w:val="22"/>
          <w:highlight w:val="none"/>
          <w:lang w:val="en-US" w:eastAsia="zh-CN"/>
        </w:rPr>
        <w:t>6</w:t>
      </w:r>
      <w:r>
        <w:rPr>
          <w:rFonts w:hint="eastAsia" w:ascii="宋体" w:hAnsi="宋体" w:eastAsia="宋体" w:cs="宋体"/>
          <w:color w:val="auto"/>
          <w:sz w:val="22"/>
          <w:szCs w:val="22"/>
          <w:highlight w:val="none"/>
        </w:rPr>
        <w:t xml:space="preserve">）投标人代表、记录人等有关人员在开标记录上签字确认； </w:t>
      </w:r>
    </w:p>
    <w:p>
      <w:pPr>
        <w:keepNext w:val="0"/>
        <w:keepLines w:val="0"/>
        <w:pageBreakBefore w:val="0"/>
        <w:widowControl w:val="0"/>
        <w:kinsoku/>
        <w:wordWrap/>
        <w:overflowPunct/>
        <w:autoSpaceDE/>
        <w:autoSpaceDN/>
        <w:bidi w:val="0"/>
        <w:adjustRightInd/>
        <w:snapToGrid/>
        <w:spacing w:line="360" w:lineRule="auto"/>
        <w:ind w:left="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若招标人宣读的内容与投标文件不符时，投标人有权在开标现场提出异议，经监标人当场核查确认之后，可重新宣读其投标文件。若投标人现场未提出异议，则认为投标人已确认招标人宣读的内容。</w:t>
      </w:r>
      <w:r>
        <w:rPr>
          <w:rFonts w:hint="eastAsia" w:ascii="宋体" w:hAnsi="宋体" w:eastAsia="宋体" w:cs="宋体"/>
          <w:b/>
          <w:bCs/>
          <w:color w:val="auto"/>
          <w:sz w:val="22"/>
          <w:szCs w:val="22"/>
          <w:highlight w:val="none"/>
        </w:rPr>
        <w:t>投标人若未派法定代表人或委托代理人出席投标文件第二信封开标活动，视为该投标人默认开标结果。</w:t>
      </w:r>
    </w:p>
    <w:p>
      <w:pPr>
        <w:keepNext w:val="0"/>
        <w:keepLines w:val="0"/>
        <w:pageBreakBefore w:val="0"/>
        <w:widowControl w:val="0"/>
        <w:kinsoku/>
        <w:wordWrap/>
        <w:overflowPunct/>
        <w:autoSpaceDE/>
        <w:autoSpaceDN/>
        <w:bidi w:val="0"/>
        <w:adjustRightInd/>
        <w:snapToGrid/>
        <w:spacing w:line="360" w:lineRule="auto"/>
        <w:ind w:left="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（6）开标会议结束。</w:t>
      </w:r>
    </w:p>
    <w:p>
      <w:pPr>
        <w:keepNext w:val="0"/>
        <w:keepLines w:val="0"/>
        <w:pageBreakBefore w:val="0"/>
        <w:widowControl w:val="0"/>
        <w:kinsoku/>
        <w:wordWrap/>
        <w:overflowPunct/>
        <w:autoSpaceDE/>
        <w:autoSpaceDN/>
        <w:bidi w:val="0"/>
        <w:adjustRightInd/>
        <w:snapToGrid/>
        <w:spacing w:line="360" w:lineRule="auto"/>
        <w:ind w:left="0" w:firstLine="442" w:firstLineChars="200"/>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 xml:space="preserve">第二信封开标过程中，若招标人发现投标文件出现以下任一情况，经监标人确认后当场宣布为否决投标： </w:t>
      </w:r>
    </w:p>
    <w:p>
      <w:pPr>
        <w:keepNext w:val="0"/>
        <w:keepLines w:val="0"/>
        <w:pageBreakBefore w:val="0"/>
        <w:widowControl w:val="0"/>
        <w:kinsoku/>
        <w:wordWrap/>
        <w:overflowPunct/>
        <w:autoSpaceDE/>
        <w:autoSpaceDN/>
        <w:bidi w:val="0"/>
        <w:adjustRightInd/>
        <w:snapToGrid/>
        <w:spacing w:line="360" w:lineRule="auto"/>
        <w:ind w:left="0" w:firstLine="442" w:firstLineChars="200"/>
        <w:rPr>
          <w:rFonts w:hint="eastAsia" w:ascii="宋体" w:hAnsi="宋体" w:eastAsia="宋体" w:cs="宋体"/>
          <w:b/>
          <w:bCs/>
          <w:color w:val="auto"/>
          <w:sz w:val="22"/>
          <w:szCs w:val="22"/>
          <w:highlight w:val="none"/>
          <w:u w:val="none"/>
        </w:rPr>
      </w:pPr>
      <w:r>
        <w:rPr>
          <w:rFonts w:hint="eastAsia" w:ascii="宋体" w:hAnsi="宋体" w:eastAsia="宋体" w:cs="宋体"/>
          <w:b/>
          <w:bCs/>
          <w:color w:val="auto"/>
          <w:sz w:val="22"/>
          <w:szCs w:val="22"/>
          <w:highlight w:val="none"/>
          <w:u w:val="none"/>
        </w:rPr>
        <w:t xml:space="preserve">（1）未在投标函上填写投标总价； </w:t>
      </w:r>
    </w:p>
    <w:p>
      <w:pPr>
        <w:keepNext w:val="0"/>
        <w:keepLines w:val="0"/>
        <w:pageBreakBefore w:val="0"/>
        <w:widowControl w:val="0"/>
        <w:kinsoku/>
        <w:wordWrap/>
        <w:overflowPunct/>
        <w:autoSpaceDE/>
        <w:autoSpaceDN/>
        <w:bidi w:val="0"/>
        <w:adjustRightInd/>
        <w:snapToGrid/>
        <w:spacing w:line="360" w:lineRule="auto"/>
        <w:ind w:left="0" w:firstLine="442" w:firstLineChars="200"/>
        <w:rPr>
          <w:rFonts w:hint="eastAsia" w:ascii="宋体" w:hAnsi="宋体" w:eastAsia="宋体" w:cs="宋体"/>
          <w:b/>
          <w:bCs/>
          <w:color w:val="auto"/>
          <w:sz w:val="22"/>
          <w:szCs w:val="22"/>
          <w:highlight w:val="none"/>
          <w:u w:val="none"/>
          <w:lang w:eastAsia="zh-CN"/>
        </w:rPr>
      </w:pPr>
      <w:r>
        <w:rPr>
          <w:rFonts w:hint="eastAsia" w:ascii="宋体" w:hAnsi="宋体" w:eastAsia="宋体" w:cs="宋体"/>
          <w:b/>
          <w:bCs/>
          <w:color w:val="auto"/>
          <w:sz w:val="22"/>
          <w:szCs w:val="22"/>
          <w:highlight w:val="none"/>
          <w:u w:val="none"/>
        </w:rPr>
        <w:t>（2）投标人投标报价超出招标人设定的最高投标限价的</w:t>
      </w:r>
      <w:r>
        <w:rPr>
          <w:rFonts w:hint="eastAsia" w:ascii="宋体" w:hAnsi="宋体" w:cs="宋体"/>
          <w:b/>
          <w:bCs/>
          <w:color w:val="auto"/>
          <w:sz w:val="22"/>
          <w:szCs w:val="22"/>
          <w:highlight w:val="none"/>
          <w:u w:val="none"/>
          <w:lang w:eastAsia="zh-CN"/>
        </w:rPr>
        <w:t>。</w:t>
      </w:r>
    </w:p>
    <w:p>
      <w:pPr>
        <w:pStyle w:val="87"/>
        <w:keepNext w:val="0"/>
        <w:keepLines w:val="0"/>
        <w:pageBreakBefore w:val="0"/>
        <w:widowControl w:val="0"/>
        <w:tabs>
          <w:tab w:val="left" w:pos="540"/>
        </w:tabs>
        <w:kinsoku/>
        <w:wordWrap/>
        <w:overflowPunct/>
        <w:autoSpaceDE/>
        <w:autoSpaceDN/>
        <w:bidi w:val="0"/>
        <w:adjustRightInd/>
        <w:snapToGrid/>
        <w:spacing w:line="360" w:lineRule="auto"/>
        <w:ind w:left="0" w:firstLine="442" w:firstLineChars="200"/>
        <w:rPr>
          <w:rFonts w:hint="eastAsia" w:ascii="宋体" w:hAnsi="宋体" w:eastAsia="宋体" w:cs="宋体"/>
          <w:snapToGrid w:val="0"/>
          <w:color w:val="auto"/>
          <w:kern w:val="0"/>
          <w:sz w:val="22"/>
          <w:szCs w:val="22"/>
          <w:highlight w:val="none"/>
          <w:u w:val="none"/>
        </w:rPr>
      </w:pPr>
      <w:r>
        <w:rPr>
          <w:rFonts w:hint="eastAsia" w:ascii="宋体" w:hAnsi="宋体" w:eastAsia="宋体" w:cs="宋体"/>
          <w:b/>
          <w:bCs/>
          <w:snapToGrid w:val="0"/>
          <w:color w:val="auto"/>
          <w:kern w:val="0"/>
          <w:sz w:val="22"/>
          <w:szCs w:val="22"/>
          <w:highlight w:val="none"/>
          <w:u w:val="none"/>
        </w:rPr>
        <w:t>（3）投标报价或调价函中报价的大写金额无法确定具体数值。</w:t>
      </w:r>
    </w:p>
    <w:p>
      <w:pPr>
        <w:pStyle w:val="87"/>
        <w:keepNext w:val="0"/>
        <w:keepLines w:val="0"/>
        <w:pageBreakBefore w:val="0"/>
        <w:widowControl w:val="0"/>
        <w:tabs>
          <w:tab w:val="left" w:pos="540"/>
        </w:tabs>
        <w:kinsoku/>
        <w:wordWrap/>
        <w:overflow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20.3 当参加投标的投标人少于三家时，招标人将重新组织招标，已递交的投标文件不予开启，原封退还给投标人。</w:t>
      </w:r>
    </w:p>
    <w:p>
      <w:pPr>
        <w:pStyle w:val="85"/>
        <w:keepNext w:val="0"/>
        <w:keepLines w:val="0"/>
        <w:pageBreakBefore w:val="0"/>
        <w:widowControl w:val="0"/>
        <w:kinsoku/>
        <w:wordWrap/>
        <w:overflowPunct/>
        <w:topLinePunct/>
        <w:autoSpaceDE/>
        <w:autoSpaceDN/>
        <w:bidi w:val="0"/>
        <w:adjustRightInd/>
        <w:snapToGrid/>
        <w:spacing w:before="0" w:after="0" w:line="360" w:lineRule="auto"/>
        <w:ind w:left="0" w:firstLine="0"/>
        <w:rPr>
          <w:rFonts w:hint="eastAsia" w:ascii="宋体" w:hAnsi="宋体" w:eastAsia="宋体" w:cs="宋体"/>
          <w:snapToGrid w:val="0"/>
          <w:color w:val="auto"/>
          <w:sz w:val="22"/>
          <w:szCs w:val="22"/>
          <w:highlight w:val="none"/>
        </w:rPr>
      </w:pPr>
      <w:r>
        <w:rPr>
          <w:rFonts w:hint="eastAsia" w:ascii="宋体" w:hAnsi="宋体" w:eastAsia="宋体" w:cs="宋体"/>
          <w:snapToGrid w:val="0"/>
          <w:color w:val="auto"/>
          <w:sz w:val="22"/>
          <w:szCs w:val="22"/>
          <w:highlight w:val="none"/>
        </w:rPr>
        <w:t>21  评标过程的保密</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jc w:val="left"/>
        <w:rPr>
          <w:rFonts w:hint="eastAsia" w:ascii="宋体" w:hAnsi="宋体" w:eastAsia="宋体" w:cs="宋体"/>
          <w:snapToGrid w:val="0"/>
          <w:color w:val="auto"/>
          <w:kern w:val="0"/>
          <w:sz w:val="22"/>
          <w:szCs w:val="22"/>
          <w:highlight w:val="none"/>
        </w:rPr>
      </w:pPr>
      <w:bookmarkStart w:id="43" w:name="_Toc298415863"/>
      <w:r>
        <w:rPr>
          <w:rFonts w:hint="eastAsia" w:ascii="宋体" w:hAnsi="宋体" w:eastAsia="宋体" w:cs="宋体"/>
          <w:snapToGrid w:val="0"/>
          <w:color w:val="auto"/>
          <w:kern w:val="0"/>
          <w:sz w:val="22"/>
          <w:szCs w:val="22"/>
          <w:highlight w:val="none"/>
        </w:rPr>
        <w:t>21.1 开标后，直到签订合同书为止，凡有关投标文件的审查、澄清和评价工作，都应在保密的情况下进行，任何信息和资料均不得向投标人或其他人泄露。</w:t>
      </w:r>
      <w:bookmarkEnd w:id="43"/>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jc w:val="left"/>
        <w:rPr>
          <w:rFonts w:hint="eastAsia" w:ascii="宋体" w:hAnsi="宋体" w:eastAsia="宋体" w:cs="宋体"/>
          <w:snapToGrid w:val="0"/>
          <w:color w:val="auto"/>
          <w:kern w:val="0"/>
          <w:sz w:val="22"/>
          <w:szCs w:val="22"/>
          <w:highlight w:val="none"/>
        </w:rPr>
      </w:pPr>
      <w:bookmarkStart w:id="44" w:name="_Toc298415864"/>
      <w:r>
        <w:rPr>
          <w:rFonts w:hint="eastAsia" w:ascii="宋体" w:hAnsi="宋体" w:eastAsia="宋体" w:cs="宋体"/>
          <w:snapToGrid w:val="0"/>
          <w:color w:val="auto"/>
          <w:kern w:val="0"/>
          <w:sz w:val="22"/>
          <w:szCs w:val="22"/>
          <w:highlight w:val="none"/>
        </w:rPr>
        <w:t>21.2 投标人在投标文件的审查、澄清、评价和比较以及授予合同的过程中，对招标人施加影响的任何行为，都将导致取消其中标资格。</w:t>
      </w:r>
      <w:bookmarkEnd w:id="44"/>
    </w:p>
    <w:p>
      <w:pPr>
        <w:pStyle w:val="85"/>
        <w:keepNext w:val="0"/>
        <w:keepLines w:val="0"/>
        <w:pageBreakBefore w:val="0"/>
        <w:widowControl w:val="0"/>
        <w:kinsoku/>
        <w:wordWrap/>
        <w:overflowPunct/>
        <w:topLinePunct/>
        <w:autoSpaceDE/>
        <w:autoSpaceDN/>
        <w:bidi w:val="0"/>
        <w:adjustRightInd/>
        <w:snapToGrid/>
        <w:spacing w:before="0" w:after="0" w:line="360" w:lineRule="auto"/>
        <w:ind w:left="0" w:firstLine="0"/>
        <w:rPr>
          <w:rFonts w:hint="eastAsia" w:ascii="宋体" w:hAnsi="宋体" w:eastAsia="宋体" w:cs="宋体"/>
          <w:snapToGrid w:val="0"/>
          <w:color w:val="auto"/>
          <w:sz w:val="22"/>
          <w:szCs w:val="22"/>
          <w:highlight w:val="none"/>
        </w:rPr>
      </w:pPr>
      <w:r>
        <w:rPr>
          <w:rFonts w:hint="eastAsia" w:ascii="宋体" w:hAnsi="宋体" w:eastAsia="宋体" w:cs="宋体"/>
          <w:snapToGrid w:val="0"/>
          <w:color w:val="auto"/>
          <w:sz w:val="22"/>
          <w:szCs w:val="22"/>
          <w:highlight w:val="none"/>
        </w:rPr>
        <w:t>22  评标</w:t>
      </w:r>
    </w:p>
    <w:p>
      <w:pPr>
        <w:pStyle w:val="87"/>
        <w:keepNext w:val="0"/>
        <w:keepLines w:val="0"/>
        <w:pageBreakBefore w:val="0"/>
        <w:widowControl w:val="0"/>
        <w:tabs>
          <w:tab w:val="left" w:pos="540"/>
        </w:tabs>
        <w:kinsoku/>
        <w:wordWrap/>
        <w:overflowPunct/>
        <w:autoSpaceDE/>
        <w:autoSpaceDN/>
        <w:bidi w:val="0"/>
        <w:adjustRightInd/>
        <w:snapToGrid/>
        <w:spacing w:line="360" w:lineRule="auto"/>
        <w:ind w:left="0" w:firstLine="440" w:firstLineChars="200"/>
        <w:rPr>
          <w:rFonts w:hint="eastAsia" w:ascii="宋体" w:hAnsi="宋体" w:eastAsia="宋体" w:cs="宋体"/>
          <w:b w:val="0"/>
          <w:bCs w:val="0"/>
          <w:snapToGrid w:val="0"/>
          <w:color w:val="auto"/>
          <w:kern w:val="0"/>
          <w:sz w:val="22"/>
          <w:szCs w:val="22"/>
          <w:highlight w:val="none"/>
        </w:rPr>
      </w:pPr>
      <w:r>
        <w:rPr>
          <w:rFonts w:hint="eastAsia" w:ascii="宋体" w:hAnsi="宋体" w:eastAsia="宋体" w:cs="宋体"/>
          <w:b w:val="0"/>
          <w:bCs w:val="0"/>
          <w:snapToGrid w:val="0"/>
          <w:color w:val="auto"/>
          <w:kern w:val="0"/>
          <w:sz w:val="22"/>
          <w:szCs w:val="22"/>
          <w:highlight w:val="none"/>
        </w:rPr>
        <w:t>22.1 评标由招标人依法组建的评标委员会负责。评标委员会由招标人熟悉相关业务的代表，以及有关技术、经济等方面的专家组成。评标委员会人数为5人或5人以上单数，其中技术、经济等方面专家人数应不少于成员总数的2/3。</w:t>
      </w:r>
    </w:p>
    <w:p>
      <w:pPr>
        <w:pStyle w:val="87"/>
        <w:keepNext w:val="0"/>
        <w:keepLines w:val="0"/>
        <w:pageBreakBefore w:val="0"/>
        <w:widowControl w:val="0"/>
        <w:tabs>
          <w:tab w:val="left" w:pos="540"/>
        </w:tabs>
        <w:kinsoku/>
        <w:wordWrap/>
        <w:overflow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22.2 评标委员会成员有下列情形之一的，应当回避：</w:t>
      </w:r>
    </w:p>
    <w:p>
      <w:pPr>
        <w:pStyle w:val="87"/>
        <w:keepNext w:val="0"/>
        <w:keepLines w:val="0"/>
        <w:pageBreakBefore w:val="0"/>
        <w:widowControl w:val="0"/>
        <w:tabs>
          <w:tab w:val="left" w:pos="540"/>
        </w:tabs>
        <w:kinsoku/>
        <w:wordWrap/>
        <w:overflow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（1）招标人或投标人的主要负责人的近亲属；</w:t>
      </w:r>
    </w:p>
    <w:p>
      <w:pPr>
        <w:pStyle w:val="87"/>
        <w:keepNext w:val="0"/>
        <w:keepLines w:val="0"/>
        <w:pageBreakBefore w:val="0"/>
        <w:widowControl w:val="0"/>
        <w:tabs>
          <w:tab w:val="left" w:pos="540"/>
        </w:tabs>
        <w:kinsoku/>
        <w:wordWrap/>
        <w:overflow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（2）为负责招标项目监督管理的交通运输主管部门的工作人员；</w:t>
      </w:r>
    </w:p>
    <w:p>
      <w:pPr>
        <w:pStyle w:val="87"/>
        <w:keepNext w:val="0"/>
        <w:keepLines w:val="0"/>
        <w:pageBreakBefore w:val="0"/>
        <w:widowControl w:val="0"/>
        <w:tabs>
          <w:tab w:val="left" w:pos="540"/>
        </w:tabs>
        <w:kinsoku/>
        <w:wordWrap/>
        <w:overflow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（3）与投标人有经济利益关系，可能影响对投标公正评审的；</w:t>
      </w:r>
    </w:p>
    <w:p>
      <w:pPr>
        <w:pStyle w:val="87"/>
        <w:keepNext w:val="0"/>
        <w:keepLines w:val="0"/>
        <w:pageBreakBefore w:val="0"/>
        <w:widowControl w:val="0"/>
        <w:tabs>
          <w:tab w:val="left" w:pos="540"/>
        </w:tabs>
        <w:kinsoku/>
        <w:wordWrap/>
        <w:overflow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（4）曾因在招标、评标以及其他与招标投标有关活动中从事违法行为而受过行政处罚或刑事处罚的。</w:t>
      </w:r>
    </w:p>
    <w:p>
      <w:pPr>
        <w:pStyle w:val="87"/>
        <w:keepNext w:val="0"/>
        <w:keepLines w:val="0"/>
        <w:pageBreakBefore w:val="0"/>
        <w:widowControl w:val="0"/>
        <w:tabs>
          <w:tab w:val="left" w:pos="540"/>
        </w:tabs>
        <w:kinsoku/>
        <w:wordWrap/>
        <w:overflow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22.3 评标原则评标活动遵循公平、公正、科学和择优的原则。</w:t>
      </w:r>
    </w:p>
    <w:p>
      <w:pPr>
        <w:pStyle w:val="87"/>
        <w:keepNext w:val="0"/>
        <w:keepLines w:val="0"/>
        <w:pageBreakBefore w:val="0"/>
        <w:widowControl w:val="0"/>
        <w:tabs>
          <w:tab w:val="left" w:pos="540"/>
        </w:tabs>
        <w:kinsoku/>
        <w:wordWrap/>
        <w:overflow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22.4 评标采用综合评估法。</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22.5 评标结果公示在</w:t>
      </w:r>
      <w:r>
        <w:rPr>
          <w:rFonts w:hint="eastAsia" w:cs="宋体"/>
          <w:snapToGrid w:val="0"/>
          <w:color w:val="auto"/>
          <w:kern w:val="0"/>
          <w:sz w:val="22"/>
          <w:szCs w:val="22"/>
          <w:highlight w:val="none"/>
          <w:u w:val="single"/>
          <w:lang w:eastAsia="zh-CN"/>
        </w:rPr>
        <w:t>南通市交通运输局网站、江苏省招标投标公共服务平台</w:t>
      </w:r>
      <w:r>
        <w:rPr>
          <w:rFonts w:hint="eastAsia" w:ascii="宋体" w:hAnsi="宋体" w:eastAsia="宋体" w:cs="宋体"/>
          <w:snapToGrid w:val="0"/>
          <w:color w:val="auto"/>
          <w:kern w:val="0"/>
          <w:sz w:val="22"/>
          <w:szCs w:val="22"/>
          <w:highlight w:val="none"/>
        </w:rPr>
        <w:t>上公示。</w:t>
      </w:r>
    </w:p>
    <w:p>
      <w:pPr>
        <w:keepNext w:val="0"/>
        <w:keepLines w:val="0"/>
        <w:pageBreakBefore w:val="0"/>
        <w:widowControl w:val="0"/>
        <w:kinsoku/>
        <w:wordWrap/>
        <w:overflowPunct/>
        <w:topLinePunct/>
        <w:autoSpaceDE/>
        <w:autoSpaceDN/>
        <w:bidi w:val="0"/>
        <w:adjustRightInd/>
        <w:snapToGrid/>
        <w:spacing w:line="360" w:lineRule="auto"/>
        <w:ind w:left="0"/>
        <w:jc w:val="center"/>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六、授予合同</w:t>
      </w:r>
      <w:bookmarkEnd w:id="42"/>
    </w:p>
    <w:p>
      <w:pPr>
        <w:keepNext w:val="0"/>
        <w:keepLines w:val="0"/>
        <w:pageBreakBefore w:val="0"/>
        <w:widowControl w:val="0"/>
        <w:kinsoku/>
        <w:wordWrap/>
        <w:overflowPunct/>
        <w:topLinePunct/>
        <w:autoSpaceDE/>
        <w:autoSpaceDN/>
        <w:bidi w:val="0"/>
        <w:adjustRightInd/>
        <w:snapToGrid/>
        <w:spacing w:line="360" w:lineRule="auto"/>
        <w:ind w:left="0"/>
        <w:rPr>
          <w:rFonts w:hint="eastAsia" w:ascii="宋体" w:hAnsi="宋体" w:eastAsia="宋体" w:cs="宋体"/>
          <w:b/>
          <w:snapToGrid w:val="0"/>
          <w:color w:val="auto"/>
          <w:kern w:val="0"/>
          <w:sz w:val="22"/>
          <w:szCs w:val="22"/>
          <w:highlight w:val="none"/>
        </w:rPr>
      </w:pPr>
      <w:r>
        <w:rPr>
          <w:rFonts w:hint="eastAsia" w:ascii="宋体" w:hAnsi="宋体" w:eastAsia="宋体" w:cs="宋体"/>
          <w:b/>
          <w:color w:val="auto"/>
          <w:sz w:val="22"/>
          <w:szCs w:val="22"/>
          <w:highlight w:val="none"/>
        </w:rPr>
        <w:t>23  合同授予的标准</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bookmarkStart w:id="45" w:name="_Toc298415872"/>
      <w:r>
        <w:rPr>
          <w:rFonts w:hint="eastAsia" w:ascii="宋体" w:hAnsi="宋体" w:eastAsia="宋体" w:cs="宋体"/>
          <w:snapToGrid w:val="0"/>
          <w:color w:val="auto"/>
          <w:kern w:val="0"/>
          <w:sz w:val="22"/>
          <w:szCs w:val="22"/>
          <w:highlight w:val="none"/>
        </w:rPr>
        <w:t>23.1 招标人根据评标委员会提出的书面评标报告和推荐的中标候选人，将合同授予评标委员会推荐的中标候选人。招标人根据本须知第24条规定享有的权力不受本条限制。</w:t>
      </w:r>
      <w:bookmarkEnd w:id="45"/>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bookmarkStart w:id="46" w:name="_Toc298415873"/>
      <w:r>
        <w:rPr>
          <w:rFonts w:hint="eastAsia" w:ascii="宋体" w:hAnsi="宋体" w:eastAsia="宋体" w:cs="宋体"/>
          <w:snapToGrid w:val="0"/>
          <w:color w:val="auto"/>
          <w:kern w:val="0"/>
          <w:sz w:val="22"/>
          <w:szCs w:val="22"/>
          <w:highlight w:val="none"/>
        </w:rPr>
        <w:t xml:space="preserve">23.2 </w:t>
      </w:r>
      <w:bookmarkEnd w:id="46"/>
      <w:r>
        <w:rPr>
          <w:rFonts w:hint="eastAsia" w:ascii="宋体" w:hAnsi="宋体" w:eastAsia="宋体" w:cs="宋体"/>
          <w:snapToGrid w:val="0"/>
          <w:color w:val="auto"/>
          <w:kern w:val="0"/>
          <w:sz w:val="22"/>
          <w:szCs w:val="22"/>
          <w:highlight w:val="none"/>
        </w:rPr>
        <w:t>招标人按评标办法规定，确定评标委员会推荐的第一中标候选人为中标人的，如第一中标候选人放弃中标或因不可抗力提出不能履行合同，招标人可以确定第二中标候选人为中标人。</w:t>
      </w:r>
    </w:p>
    <w:p>
      <w:pPr>
        <w:keepNext w:val="0"/>
        <w:keepLines w:val="0"/>
        <w:pageBreakBefore w:val="0"/>
        <w:widowControl w:val="0"/>
        <w:kinsoku/>
        <w:wordWrap/>
        <w:overflowPunct/>
        <w:topLinePunct/>
        <w:autoSpaceDE/>
        <w:autoSpaceDN/>
        <w:bidi w:val="0"/>
        <w:adjustRightInd/>
        <w:snapToGrid/>
        <w:spacing w:line="360" w:lineRule="auto"/>
        <w:ind w:left="0"/>
        <w:rPr>
          <w:rFonts w:hint="eastAsia" w:ascii="宋体" w:hAnsi="宋体" w:eastAsia="宋体" w:cs="宋体"/>
          <w:b/>
          <w:color w:val="auto"/>
          <w:sz w:val="22"/>
          <w:szCs w:val="22"/>
          <w:highlight w:val="none"/>
        </w:rPr>
      </w:pPr>
      <w:bookmarkStart w:id="47" w:name="_Toc246470947"/>
      <w:bookmarkStart w:id="48" w:name="_Toc298415875"/>
      <w:r>
        <w:rPr>
          <w:rFonts w:hint="eastAsia" w:ascii="宋体" w:hAnsi="宋体" w:eastAsia="宋体" w:cs="宋体"/>
          <w:b/>
          <w:color w:val="auto"/>
          <w:sz w:val="22"/>
          <w:szCs w:val="22"/>
          <w:highlight w:val="none"/>
        </w:rPr>
        <w:t>24  招标人接受和拒绝投标的权力</w:t>
      </w:r>
      <w:bookmarkEnd w:id="47"/>
      <w:bookmarkEnd w:id="48"/>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bookmarkStart w:id="49" w:name="_Toc298415876"/>
      <w:r>
        <w:rPr>
          <w:rFonts w:hint="eastAsia" w:ascii="宋体" w:hAnsi="宋体" w:eastAsia="宋体" w:cs="宋体"/>
          <w:snapToGrid w:val="0"/>
          <w:color w:val="auto"/>
          <w:kern w:val="0"/>
          <w:sz w:val="22"/>
          <w:szCs w:val="22"/>
          <w:highlight w:val="none"/>
        </w:rPr>
        <w:t>24.1 招标人在发出中标通知书前因项目发生变化或不可抗力等原因有权宣布投标程序无效或拒绝所有投标，并对由此引起的对投标人的影响不承担任何责任，也无须将这样做的理由通知受影响的投标人，但招标人应将投标担保退还给投标人。</w:t>
      </w:r>
      <w:bookmarkEnd w:id="49"/>
      <w:bookmarkStart w:id="50" w:name="_Toc246470948"/>
      <w:bookmarkStart w:id="51" w:name="_Toc298415877"/>
    </w:p>
    <w:p>
      <w:pPr>
        <w:keepNext w:val="0"/>
        <w:keepLines w:val="0"/>
        <w:pageBreakBefore w:val="0"/>
        <w:widowControl w:val="0"/>
        <w:kinsoku/>
        <w:wordWrap/>
        <w:overflowPunct/>
        <w:topLinePunct/>
        <w:autoSpaceDE/>
        <w:autoSpaceDN/>
        <w:bidi w:val="0"/>
        <w:adjustRightInd/>
        <w:snapToGrid/>
        <w:spacing w:line="360" w:lineRule="auto"/>
        <w:ind w:left="0"/>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25  中标通知书</w:t>
      </w:r>
      <w:bookmarkEnd w:id="50"/>
      <w:bookmarkEnd w:id="51"/>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bookmarkStart w:id="52" w:name="_Toc298415878"/>
      <w:r>
        <w:rPr>
          <w:rFonts w:hint="eastAsia" w:ascii="宋体" w:hAnsi="宋体" w:eastAsia="宋体" w:cs="宋体"/>
          <w:snapToGrid w:val="0"/>
          <w:color w:val="auto"/>
          <w:kern w:val="0"/>
          <w:sz w:val="22"/>
          <w:szCs w:val="22"/>
          <w:highlight w:val="none"/>
        </w:rPr>
        <w:t>25.1</w:t>
      </w:r>
      <w:bookmarkEnd w:id="52"/>
      <w:r>
        <w:rPr>
          <w:rFonts w:hint="eastAsia" w:ascii="宋体" w:hAnsi="宋体" w:eastAsia="宋体" w:cs="宋体"/>
          <w:snapToGrid w:val="0"/>
          <w:color w:val="auto"/>
          <w:kern w:val="0"/>
          <w:sz w:val="22"/>
          <w:szCs w:val="22"/>
          <w:highlight w:val="none"/>
        </w:rPr>
        <w:t xml:space="preserve"> 在规定的投标有效期截止前，招标人将以书面形式通知中标的投标人其投标被接受。</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bookmarkStart w:id="53" w:name="_Toc298415879"/>
      <w:r>
        <w:rPr>
          <w:rFonts w:hint="eastAsia" w:ascii="宋体" w:hAnsi="宋体" w:eastAsia="宋体" w:cs="宋体"/>
          <w:snapToGrid w:val="0"/>
          <w:color w:val="auto"/>
          <w:kern w:val="0"/>
          <w:sz w:val="22"/>
          <w:szCs w:val="22"/>
          <w:highlight w:val="none"/>
        </w:rPr>
        <w:t>25.2 中标通知书是合同文件的组成部分。</w:t>
      </w:r>
      <w:bookmarkEnd w:id="53"/>
      <w:bookmarkStart w:id="54" w:name="_Toc246470950"/>
      <w:bookmarkStart w:id="55" w:name="_Toc29350079"/>
      <w:bookmarkStart w:id="56" w:name="_Toc298415882"/>
    </w:p>
    <w:p>
      <w:pPr>
        <w:keepNext w:val="0"/>
        <w:keepLines w:val="0"/>
        <w:pageBreakBefore w:val="0"/>
        <w:widowControl w:val="0"/>
        <w:tabs>
          <w:tab w:val="left" w:pos="1260"/>
        </w:tabs>
        <w:kinsoku/>
        <w:wordWrap/>
        <w:overflowPunct/>
        <w:topLinePunct/>
        <w:autoSpaceDE/>
        <w:autoSpaceDN/>
        <w:bidi w:val="0"/>
        <w:adjustRightInd/>
        <w:snapToGrid/>
        <w:spacing w:line="360" w:lineRule="auto"/>
        <w:ind w:left="0"/>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26  合同协议书的签署</w:t>
      </w:r>
      <w:bookmarkEnd w:id="54"/>
      <w:bookmarkEnd w:id="55"/>
      <w:bookmarkEnd w:id="56"/>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bookmarkStart w:id="57" w:name="_Toc298415883"/>
      <w:r>
        <w:rPr>
          <w:rFonts w:hint="eastAsia" w:ascii="宋体" w:hAnsi="宋体" w:eastAsia="宋体" w:cs="宋体"/>
          <w:snapToGrid w:val="0"/>
          <w:color w:val="auto"/>
          <w:kern w:val="0"/>
          <w:sz w:val="22"/>
          <w:szCs w:val="22"/>
          <w:highlight w:val="none"/>
        </w:rPr>
        <w:t>26.1</w:t>
      </w:r>
      <w:bookmarkEnd w:id="57"/>
      <w:r>
        <w:rPr>
          <w:rFonts w:hint="eastAsia" w:ascii="宋体" w:hAnsi="宋体" w:eastAsia="宋体" w:cs="宋体"/>
          <w:snapToGrid w:val="0"/>
          <w:color w:val="auto"/>
          <w:kern w:val="0"/>
          <w:sz w:val="22"/>
          <w:szCs w:val="22"/>
          <w:highlight w:val="none"/>
        </w:rPr>
        <w:t xml:space="preserve"> 中标人在中标通知书发出之日起30日内，应派代表与招标人协商签订合同事宜。签约的地点将在中标通知书中明确。</w:t>
      </w:r>
      <w:bookmarkStart w:id="58" w:name="_Toc298415884"/>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26.2 履约担保</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2"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b/>
          <w:bCs/>
          <w:snapToGrid w:val="0"/>
          <w:color w:val="auto"/>
          <w:kern w:val="0"/>
          <w:sz w:val="22"/>
          <w:szCs w:val="22"/>
          <w:highlight w:val="none"/>
        </w:rPr>
        <w:t>履约担保</w:t>
      </w:r>
      <w:r>
        <w:rPr>
          <w:rFonts w:hint="eastAsia" w:ascii="宋体" w:hAnsi="宋体" w:eastAsia="宋体" w:cs="宋体"/>
          <w:b/>
          <w:bCs/>
          <w:snapToGrid w:val="0"/>
          <w:color w:val="auto"/>
          <w:kern w:val="0"/>
          <w:sz w:val="22"/>
          <w:szCs w:val="22"/>
          <w:highlight w:val="none"/>
          <w:lang w:eastAsia="zh-CN"/>
        </w:rPr>
        <w:t>：</w:t>
      </w:r>
      <w:r>
        <w:rPr>
          <w:rFonts w:hint="eastAsia" w:ascii="宋体" w:hAnsi="宋体" w:eastAsia="宋体" w:cs="宋体"/>
          <w:b/>
          <w:bCs/>
          <w:snapToGrid w:val="0"/>
          <w:color w:val="auto"/>
          <w:kern w:val="0"/>
          <w:sz w:val="22"/>
          <w:szCs w:val="22"/>
          <w:highlight w:val="none"/>
          <w:u w:val="single"/>
          <w:lang w:val="en-US" w:eastAsia="zh-CN"/>
        </w:rPr>
        <w:t>不收取</w:t>
      </w:r>
      <w:r>
        <w:rPr>
          <w:rFonts w:hint="eastAsia" w:ascii="宋体" w:hAnsi="宋体" w:eastAsia="宋体" w:cs="宋体"/>
          <w:b/>
          <w:bCs/>
          <w:snapToGrid w:val="0"/>
          <w:color w:val="auto"/>
          <w:kern w:val="0"/>
          <w:sz w:val="22"/>
          <w:szCs w:val="22"/>
          <w:highlight w:val="none"/>
          <w:u w:val="single"/>
        </w:rPr>
        <w:t>。</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26.3 合同协议书经双方法定代表人或其授权代理人签署、加盖公章后生效。</w:t>
      </w:r>
      <w:bookmarkEnd w:id="58"/>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bookmarkStart w:id="59" w:name="_Toc298415885"/>
      <w:r>
        <w:rPr>
          <w:rFonts w:hint="eastAsia" w:ascii="宋体" w:hAnsi="宋体" w:eastAsia="宋体" w:cs="宋体"/>
          <w:snapToGrid w:val="0"/>
          <w:color w:val="auto"/>
          <w:kern w:val="0"/>
          <w:sz w:val="22"/>
          <w:szCs w:val="22"/>
          <w:highlight w:val="none"/>
        </w:rPr>
        <w:t>26.4 如果中标人未能遵守本须知第26.1款的规定，招标人将宣布其中标无效。在此情况下，招标人可将合同授予下一个中标候选人。如果没有其他合适投标人时，则重新招标。</w:t>
      </w:r>
      <w:bookmarkEnd w:id="59"/>
    </w:p>
    <w:p>
      <w:pPr>
        <w:keepNext w:val="0"/>
        <w:keepLines w:val="0"/>
        <w:pageBreakBefore w:val="0"/>
        <w:widowControl w:val="0"/>
        <w:kinsoku/>
        <w:wordWrap/>
        <w:overflowPunct/>
        <w:topLinePunct/>
        <w:autoSpaceDE/>
        <w:autoSpaceDN/>
        <w:bidi w:val="0"/>
        <w:adjustRightInd/>
        <w:snapToGrid/>
        <w:spacing w:line="360" w:lineRule="auto"/>
        <w:ind w:left="0"/>
        <w:jc w:val="center"/>
        <w:rPr>
          <w:rFonts w:hint="eastAsia" w:ascii="宋体" w:hAnsi="宋体" w:eastAsia="宋体" w:cs="宋体"/>
          <w:snapToGrid w:val="0"/>
          <w:color w:val="auto"/>
          <w:sz w:val="22"/>
          <w:szCs w:val="22"/>
          <w:highlight w:val="none"/>
        </w:rPr>
      </w:pPr>
      <w:bookmarkStart w:id="60" w:name="_Toc44814586"/>
      <w:r>
        <w:rPr>
          <w:rFonts w:hint="eastAsia" w:ascii="宋体" w:hAnsi="宋体" w:eastAsia="宋体" w:cs="宋体"/>
          <w:b/>
          <w:color w:val="auto"/>
          <w:sz w:val="22"/>
          <w:szCs w:val="22"/>
          <w:highlight w:val="none"/>
        </w:rPr>
        <w:t>七</w:t>
      </w:r>
      <w:bookmarkEnd w:id="60"/>
      <w:r>
        <w:rPr>
          <w:rFonts w:hint="eastAsia" w:ascii="宋体" w:hAnsi="宋体" w:eastAsia="宋体" w:cs="宋体"/>
          <w:b/>
          <w:color w:val="auto"/>
          <w:sz w:val="22"/>
          <w:szCs w:val="22"/>
          <w:highlight w:val="none"/>
        </w:rPr>
        <w:t>、其他</w:t>
      </w:r>
    </w:p>
    <w:p>
      <w:pPr>
        <w:keepNext w:val="0"/>
        <w:keepLines w:val="0"/>
        <w:pageBreakBefore w:val="0"/>
        <w:widowControl w:val="0"/>
        <w:tabs>
          <w:tab w:val="left" w:pos="1260"/>
        </w:tabs>
        <w:kinsoku/>
        <w:wordWrap/>
        <w:overflowPunct/>
        <w:topLinePunct/>
        <w:autoSpaceDE/>
        <w:autoSpaceDN/>
        <w:bidi w:val="0"/>
        <w:adjustRightInd/>
        <w:snapToGrid/>
        <w:spacing w:line="360" w:lineRule="auto"/>
        <w:ind w:left="0"/>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27  纪律与监督</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27.1 严禁投标人向参与招标、评标工作的有关人员行贿，使其泄露一切与招标、评标工作的有关信息。在招标、评标期间，不得邀请参与招标、评标工作的有关人员到投标人单位参观考察或出席投标人主办的或赞助的任何活动。</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27.2 投标人在投标过程中严禁互相串通、结盟，损害招标的公正性和竞争性，或以任何方式影响其他投标人参与正当投标。</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rPr>
        <w:t>27.3 如发现投标人有上述不正当竞争行为，将取消其投标资格或中标资格。</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bookmarkStart w:id="61" w:name="_Toc298415890"/>
      <w:r>
        <w:rPr>
          <w:rFonts w:hint="eastAsia" w:ascii="宋体" w:hAnsi="宋体" w:eastAsia="宋体" w:cs="宋体"/>
          <w:snapToGrid w:val="0"/>
          <w:color w:val="auto"/>
          <w:kern w:val="0"/>
          <w:sz w:val="22"/>
          <w:szCs w:val="22"/>
          <w:highlight w:val="none"/>
        </w:rPr>
        <w:t>27.4 本项目监督部门：</w:t>
      </w:r>
      <w:bookmarkEnd w:id="61"/>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lang w:val="en-US" w:eastAsia="zh-CN"/>
        </w:rPr>
      </w:pPr>
      <w:bookmarkStart w:id="62" w:name="_Toc29350082"/>
      <w:bookmarkStart w:id="63" w:name="_Toc246470953"/>
      <w:bookmarkStart w:id="64" w:name="_Toc298415898"/>
      <w:r>
        <w:rPr>
          <w:rFonts w:hint="eastAsia" w:ascii="宋体" w:hAnsi="宋体" w:eastAsia="宋体" w:cs="宋体"/>
          <w:snapToGrid w:val="0"/>
          <w:color w:val="auto"/>
          <w:kern w:val="0"/>
          <w:sz w:val="22"/>
          <w:szCs w:val="22"/>
          <w:highlight w:val="none"/>
          <w:lang w:val="en-US" w:eastAsia="zh-CN"/>
        </w:rPr>
        <w:t>监  督：南通市江海河联运项目建设指挥部党建纪检办</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lang w:val="en-US" w:eastAsia="zh-CN"/>
        </w:rPr>
      </w:pPr>
      <w:r>
        <w:rPr>
          <w:rFonts w:hint="eastAsia" w:ascii="宋体" w:hAnsi="宋体" w:eastAsia="宋体" w:cs="宋体"/>
          <w:snapToGrid w:val="0"/>
          <w:color w:val="auto"/>
          <w:kern w:val="0"/>
          <w:sz w:val="22"/>
          <w:szCs w:val="22"/>
          <w:highlight w:val="none"/>
          <w:lang w:val="en-US" w:eastAsia="zh-CN"/>
        </w:rPr>
        <w:t>地  址：南通市外环西路99号</w:t>
      </w:r>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rFonts w:hint="eastAsia" w:ascii="宋体" w:hAnsi="宋体" w:eastAsia="宋体" w:cs="宋体"/>
          <w:snapToGrid w:val="0"/>
          <w:color w:val="auto"/>
          <w:kern w:val="0"/>
          <w:sz w:val="22"/>
          <w:szCs w:val="22"/>
          <w:highlight w:val="none"/>
        </w:rPr>
      </w:pPr>
      <w:r>
        <w:rPr>
          <w:rFonts w:hint="eastAsia" w:ascii="宋体" w:hAnsi="宋体" w:eastAsia="宋体" w:cs="宋体"/>
          <w:snapToGrid w:val="0"/>
          <w:color w:val="auto"/>
          <w:kern w:val="0"/>
          <w:sz w:val="22"/>
          <w:szCs w:val="22"/>
          <w:highlight w:val="none"/>
          <w:lang w:val="en-US" w:eastAsia="zh-CN"/>
        </w:rPr>
        <w:t>电  话：0513-83549393</w:t>
      </w:r>
    </w:p>
    <w:p>
      <w:pPr>
        <w:keepNext w:val="0"/>
        <w:keepLines w:val="0"/>
        <w:pageBreakBefore w:val="0"/>
        <w:widowControl w:val="0"/>
        <w:tabs>
          <w:tab w:val="left" w:pos="1260"/>
        </w:tabs>
        <w:kinsoku/>
        <w:wordWrap/>
        <w:overflowPunct/>
        <w:topLinePunct/>
        <w:autoSpaceDE/>
        <w:autoSpaceDN/>
        <w:bidi w:val="0"/>
        <w:adjustRightInd/>
        <w:snapToGrid/>
        <w:spacing w:line="360" w:lineRule="auto"/>
        <w:ind w:left="0"/>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28  版权</w:t>
      </w:r>
      <w:bookmarkEnd w:id="62"/>
      <w:bookmarkEnd w:id="63"/>
      <w:bookmarkEnd w:id="64"/>
    </w:p>
    <w:p>
      <w:pPr>
        <w:pStyle w:val="87"/>
        <w:keepNext w:val="0"/>
        <w:keepLines w:val="0"/>
        <w:pageBreakBefore w:val="0"/>
        <w:widowControl w:val="0"/>
        <w:tabs>
          <w:tab w:val="left" w:pos="540"/>
        </w:tabs>
        <w:kinsoku/>
        <w:wordWrap/>
        <w:overflowPunct/>
        <w:topLinePunct/>
        <w:autoSpaceDE/>
        <w:autoSpaceDN/>
        <w:bidi w:val="0"/>
        <w:adjustRightInd/>
        <w:snapToGrid/>
        <w:spacing w:line="360" w:lineRule="auto"/>
        <w:ind w:left="0" w:firstLine="440" w:firstLineChars="200"/>
        <w:rPr>
          <w:snapToGrid w:val="0"/>
          <w:color w:val="auto"/>
          <w:kern w:val="0"/>
          <w:sz w:val="21"/>
          <w:szCs w:val="21"/>
          <w:highlight w:val="none"/>
        </w:rPr>
      </w:pPr>
      <w:bookmarkStart w:id="65" w:name="_Toc298415899"/>
      <w:r>
        <w:rPr>
          <w:rFonts w:hint="eastAsia" w:ascii="宋体" w:hAnsi="宋体" w:eastAsia="宋体" w:cs="宋体"/>
          <w:snapToGrid w:val="0"/>
          <w:color w:val="auto"/>
          <w:kern w:val="0"/>
          <w:sz w:val="22"/>
          <w:szCs w:val="22"/>
          <w:highlight w:val="none"/>
        </w:rPr>
        <w:t>28.1 招标人对所提供的资料及本工程的科研成果拥有版权，未经招标人许可，投标人不得复制或出版。</w:t>
      </w:r>
      <w:bookmarkEnd w:id="65"/>
      <w:r>
        <w:rPr>
          <w:rFonts w:hint="eastAsia"/>
          <w:snapToGrid w:val="0"/>
          <w:color w:val="auto"/>
          <w:kern w:val="0"/>
          <w:sz w:val="21"/>
          <w:szCs w:val="21"/>
          <w:highlight w:val="none"/>
        </w:rPr>
        <w:t xml:space="preserve">  </w:t>
      </w:r>
    </w:p>
    <w:p>
      <w:pPr>
        <w:pStyle w:val="28"/>
        <w:spacing w:before="120" w:beforeLines="50" w:after="0" w:line="360" w:lineRule="auto"/>
        <w:rPr>
          <w:color w:val="auto"/>
          <w:sz w:val="32"/>
          <w:szCs w:val="22"/>
          <w:highlight w:val="none"/>
        </w:rPr>
      </w:pPr>
      <w:bookmarkStart w:id="66" w:name="_Toc33625855"/>
      <w:bookmarkStart w:id="67" w:name="_Toc428299627"/>
      <w:bookmarkStart w:id="68" w:name="_Toc353197095"/>
      <w:r>
        <w:rPr>
          <w:rFonts w:hint="eastAsia" w:cs="Arial"/>
          <w:color w:val="auto"/>
          <w:sz w:val="32"/>
          <w:szCs w:val="22"/>
          <w:highlight w:val="none"/>
        </w:rPr>
        <w:br w:type="page"/>
      </w:r>
      <w:r>
        <w:rPr>
          <w:rFonts w:hint="eastAsia" w:cs="Arial"/>
          <w:color w:val="auto"/>
          <w:sz w:val="32"/>
          <w:szCs w:val="22"/>
          <w:highlight w:val="none"/>
        </w:rPr>
        <w:t>第三章</w:t>
      </w:r>
      <w:r>
        <w:rPr>
          <w:rFonts w:hint="eastAsia" w:cs="Arial"/>
          <w:color w:val="auto"/>
          <w:sz w:val="32"/>
          <w:szCs w:val="22"/>
          <w:highlight w:val="none"/>
          <w:lang w:val="en-US" w:eastAsia="zh-CN"/>
        </w:rPr>
        <w:t xml:space="preserve"> </w:t>
      </w:r>
      <w:r>
        <w:rPr>
          <w:rFonts w:hint="eastAsia" w:cs="Arial"/>
          <w:color w:val="auto"/>
          <w:sz w:val="32"/>
          <w:szCs w:val="22"/>
          <w:highlight w:val="none"/>
        </w:rPr>
        <w:t>评标办法</w:t>
      </w:r>
      <w:bookmarkEnd w:id="66"/>
      <w:bookmarkEnd w:id="67"/>
      <w:bookmarkEnd w:id="68"/>
      <w:r>
        <w:rPr>
          <w:rFonts w:hint="eastAsia" w:cs="Arial"/>
          <w:color w:val="auto"/>
          <w:sz w:val="32"/>
          <w:szCs w:val="22"/>
          <w:highlight w:val="none"/>
        </w:rPr>
        <w:t>（双信封 综合评估法）</w:t>
      </w:r>
    </w:p>
    <w:p>
      <w:pPr>
        <w:spacing w:line="360"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评标办法前附表</w:t>
      </w:r>
    </w:p>
    <w:tbl>
      <w:tblPr>
        <w:tblStyle w:val="30"/>
        <w:tblW w:w="9505"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986"/>
        <w:gridCol w:w="1278"/>
        <w:gridCol w:w="724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986" w:type="dxa"/>
            <w:noWrap w:val="0"/>
            <w:vAlign w:val="center"/>
          </w:tcPr>
          <w:p>
            <w:pPr>
              <w:keepNext w:val="0"/>
              <w:keepLines w:val="0"/>
              <w:pageBreakBefore w:val="0"/>
              <w:kinsoku/>
              <w:overflowPunct/>
              <w:topLinePunct w:val="0"/>
              <w:autoSpaceDE/>
              <w:autoSpaceDN/>
              <w:bidi w:val="0"/>
              <w:adjustRightInd/>
              <w:snapToGrid/>
              <w:spacing w:line="360" w:lineRule="exact"/>
              <w:jc w:val="center"/>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条款号</w:t>
            </w:r>
          </w:p>
        </w:tc>
        <w:tc>
          <w:tcPr>
            <w:tcW w:w="1278" w:type="dxa"/>
            <w:noWrap w:val="0"/>
            <w:vAlign w:val="center"/>
          </w:tcPr>
          <w:p>
            <w:pPr>
              <w:keepNext w:val="0"/>
              <w:keepLines w:val="0"/>
              <w:pageBreakBefore w:val="0"/>
              <w:kinsoku/>
              <w:overflowPunct/>
              <w:topLinePunct w:val="0"/>
              <w:autoSpaceDE/>
              <w:autoSpaceDN/>
              <w:bidi w:val="0"/>
              <w:adjustRightInd/>
              <w:snapToGrid/>
              <w:spacing w:line="360" w:lineRule="exact"/>
              <w:jc w:val="center"/>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条款名称</w:t>
            </w:r>
          </w:p>
        </w:tc>
        <w:tc>
          <w:tcPr>
            <w:tcW w:w="7241" w:type="dxa"/>
            <w:noWrap w:val="0"/>
            <w:vAlign w:val="center"/>
          </w:tcPr>
          <w:p>
            <w:pPr>
              <w:keepNext w:val="0"/>
              <w:keepLines w:val="0"/>
              <w:pageBreakBefore w:val="0"/>
              <w:kinsoku/>
              <w:overflowPunct/>
              <w:topLinePunct w:val="0"/>
              <w:autoSpaceDE/>
              <w:autoSpaceDN/>
              <w:bidi w:val="0"/>
              <w:adjustRightInd/>
              <w:snapToGrid/>
              <w:spacing w:line="360" w:lineRule="exact"/>
              <w:jc w:val="center"/>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评审因素与评审标准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986" w:type="dxa"/>
            <w:noWrap w:val="0"/>
            <w:vAlign w:val="center"/>
          </w:tcPr>
          <w:p>
            <w:pPr>
              <w:keepNext w:val="0"/>
              <w:keepLines w:val="0"/>
              <w:pageBreakBefore w:val="0"/>
              <w:kinsoku/>
              <w:overflowPunct/>
              <w:topLinePunct w:val="0"/>
              <w:autoSpaceDE/>
              <w:autoSpaceDN/>
              <w:bidi w:val="0"/>
              <w:adjustRightInd/>
              <w:snapToGrid/>
              <w:spacing w:line="360" w:lineRule="exact"/>
              <w:jc w:val="center"/>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2.2</w:t>
            </w:r>
          </w:p>
        </w:tc>
        <w:tc>
          <w:tcPr>
            <w:tcW w:w="1278" w:type="dxa"/>
            <w:noWrap w:val="0"/>
            <w:vAlign w:val="center"/>
          </w:tcPr>
          <w:p>
            <w:pPr>
              <w:keepNext w:val="0"/>
              <w:keepLines w:val="0"/>
              <w:pageBreakBefore w:val="0"/>
              <w:kinsoku/>
              <w:overflowPunct/>
              <w:topLinePunct w:val="0"/>
              <w:autoSpaceDE/>
              <w:autoSpaceDN/>
              <w:bidi w:val="0"/>
              <w:adjustRightInd/>
              <w:snapToGrid/>
              <w:spacing w:line="360" w:lineRule="exact"/>
              <w:jc w:val="center"/>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第一信封</w:t>
            </w:r>
          </w:p>
          <w:p>
            <w:pPr>
              <w:keepNext w:val="0"/>
              <w:keepLines w:val="0"/>
              <w:pageBreakBefore w:val="0"/>
              <w:kinsoku/>
              <w:overflowPunct/>
              <w:topLinePunct w:val="0"/>
              <w:autoSpaceDE/>
              <w:autoSpaceDN/>
              <w:bidi w:val="0"/>
              <w:adjustRightInd/>
              <w:snapToGrid/>
              <w:spacing w:line="360" w:lineRule="exact"/>
              <w:jc w:val="center"/>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资格审查</w:t>
            </w:r>
          </w:p>
        </w:tc>
        <w:tc>
          <w:tcPr>
            <w:tcW w:w="7241" w:type="dxa"/>
            <w:noWrap w:val="0"/>
            <w:vAlign w:val="center"/>
          </w:tcPr>
          <w:p>
            <w:pPr>
              <w:keepNext w:val="0"/>
              <w:keepLines w:val="0"/>
              <w:pageBreakBefore w:val="0"/>
              <w:tabs>
                <w:tab w:val="left" w:pos="0"/>
              </w:tabs>
              <w:kinsoku/>
              <w:overflowPunct/>
              <w:topLinePunct w:val="0"/>
              <w:autoSpaceDE/>
              <w:autoSpaceDN/>
              <w:bidi w:val="0"/>
              <w:adjustRightInd/>
              <w:snapToGrid/>
              <w:spacing w:line="360" w:lineRule="exact"/>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（1）资质</w:t>
            </w:r>
            <w:r>
              <w:rPr>
                <w:rFonts w:hint="eastAsia" w:ascii="宋体" w:hAnsi="宋体" w:eastAsia="宋体" w:cs="宋体"/>
                <w:b/>
                <w:color w:val="auto"/>
                <w:sz w:val="22"/>
                <w:szCs w:val="22"/>
                <w:highlight w:val="none"/>
                <w:lang w:val="en-US" w:eastAsia="zh-CN"/>
              </w:rPr>
              <w:t>要求</w:t>
            </w:r>
            <w:r>
              <w:rPr>
                <w:rFonts w:hint="eastAsia" w:ascii="宋体" w:hAnsi="宋体" w:eastAsia="宋体" w:cs="宋体"/>
                <w:b/>
                <w:color w:val="auto"/>
                <w:sz w:val="22"/>
                <w:szCs w:val="22"/>
                <w:highlight w:val="none"/>
              </w:rPr>
              <w:t>：详见</w:t>
            </w:r>
            <w:r>
              <w:rPr>
                <w:rFonts w:hint="eastAsia" w:ascii="宋体" w:hAnsi="宋体" w:eastAsia="宋体" w:cs="宋体"/>
                <w:b/>
                <w:color w:val="auto"/>
                <w:sz w:val="22"/>
                <w:szCs w:val="22"/>
                <w:highlight w:val="none"/>
                <w:lang w:val="en-US" w:eastAsia="zh-CN"/>
              </w:rPr>
              <w:t xml:space="preserve">第一章 </w:t>
            </w:r>
            <w:r>
              <w:rPr>
                <w:rFonts w:hint="eastAsia" w:ascii="宋体" w:hAnsi="宋体" w:eastAsia="宋体" w:cs="宋体"/>
                <w:b/>
                <w:color w:val="auto"/>
                <w:sz w:val="22"/>
                <w:szCs w:val="22"/>
                <w:highlight w:val="none"/>
              </w:rPr>
              <w:t>招标公告。</w:t>
            </w:r>
          </w:p>
          <w:p>
            <w:pPr>
              <w:keepNext w:val="0"/>
              <w:keepLines w:val="0"/>
              <w:pageBreakBefore w:val="0"/>
              <w:tabs>
                <w:tab w:val="left" w:pos="0"/>
              </w:tabs>
              <w:kinsoku/>
              <w:overflowPunct/>
              <w:topLinePunct w:val="0"/>
              <w:autoSpaceDE/>
              <w:autoSpaceDN/>
              <w:bidi w:val="0"/>
              <w:adjustRightInd/>
              <w:snapToGrid/>
              <w:spacing w:line="360" w:lineRule="exact"/>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（2）信誉</w:t>
            </w:r>
            <w:r>
              <w:rPr>
                <w:rFonts w:hint="eastAsia" w:ascii="宋体" w:hAnsi="宋体" w:eastAsia="宋体" w:cs="宋体"/>
                <w:b/>
                <w:color w:val="auto"/>
                <w:sz w:val="22"/>
                <w:szCs w:val="22"/>
                <w:highlight w:val="none"/>
                <w:lang w:val="en-US" w:eastAsia="zh-CN"/>
              </w:rPr>
              <w:t>要求</w:t>
            </w:r>
            <w:r>
              <w:rPr>
                <w:rFonts w:hint="eastAsia" w:ascii="宋体" w:hAnsi="宋体" w:eastAsia="宋体" w:cs="宋体"/>
                <w:b/>
                <w:color w:val="auto"/>
                <w:sz w:val="22"/>
                <w:szCs w:val="22"/>
                <w:highlight w:val="none"/>
              </w:rPr>
              <w:t>：详见</w:t>
            </w:r>
            <w:r>
              <w:rPr>
                <w:rFonts w:hint="eastAsia" w:ascii="宋体" w:hAnsi="宋体" w:eastAsia="宋体" w:cs="宋体"/>
                <w:b/>
                <w:color w:val="auto"/>
                <w:sz w:val="22"/>
                <w:szCs w:val="22"/>
                <w:highlight w:val="none"/>
                <w:lang w:val="en-US" w:eastAsia="zh-CN"/>
              </w:rPr>
              <w:t xml:space="preserve">第一章 </w:t>
            </w:r>
            <w:r>
              <w:rPr>
                <w:rFonts w:hint="eastAsia" w:ascii="宋体" w:hAnsi="宋体" w:eastAsia="宋体" w:cs="宋体"/>
                <w:b/>
                <w:color w:val="auto"/>
                <w:sz w:val="22"/>
                <w:szCs w:val="22"/>
                <w:highlight w:val="none"/>
              </w:rPr>
              <w:t>招标公告。</w:t>
            </w:r>
          </w:p>
          <w:p>
            <w:pPr>
              <w:keepNext w:val="0"/>
              <w:keepLines w:val="0"/>
              <w:pageBreakBefore w:val="0"/>
              <w:tabs>
                <w:tab w:val="left" w:pos="0"/>
              </w:tabs>
              <w:kinsoku/>
              <w:overflowPunct/>
              <w:topLinePunct w:val="0"/>
              <w:autoSpaceDE/>
              <w:autoSpaceDN/>
              <w:bidi w:val="0"/>
              <w:adjustRightInd/>
              <w:snapToGrid/>
              <w:spacing w:line="360" w:lineRule="exact"/>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（3）业绩</w:t>
            </w:r>
            <w:r>
              <w:rPr>
                <w:rFonts w:hint="eastAsia" w:ascii="宋体" w:hAnsi="宋体" w:eastAsia="宋体" w:cs="宋体"/>
                <w:b/>
                <w:color w:val="auto"/>
                <w:sz w:val="22"/>
                <w:szCs w:val="22"/>
                <w:highlight w:val="none"/>
                <w:lang w:val="en-US" w:eastAsia="zh-CN"/>
              </w:rPr>
              <w:t>要求</w:t>
            </w:r>
            <w:r>
              <w:rPr>
                <w:rFonts w:hint="eastAsia" w:ascii="宋体" w:hAnsi="宋体" w:eastAsia="宋体" w:cs="宋体"/>
                <w:b/>
                <w:color w:val="auto"/>
                <w:sz w:val="22"/>
                <w:szCs w:val="22"/>
                <w:highlight w:val="none"/>
              </w:rPr>
              <w:t>：详见</w:t>
            </w:r>
            <w:r>
              <w:rPr>
                <w:rFonts w:hint="eastAsia" w:ascii="宋体" w:hAnsi="宋体" w:eastAsia="宋体" w:cs="宋体"/>
                <w:b/>
                <w:color w:val="auto"/>
                <w:sz w:val="22"/>
                <w:szCs w:val="22"/>
                <w:highlight w:val="none"/>
                <w:lang w:val="en-US" w:eastAsia="zh-CN"/>
              </w:rPr>
              <w:t xml:space="preserve">第一章 </w:t>
            </w:r>
            <w:r>
              <w:rPr>
                <w:rFonts w:hint="eastAsia" w:ascii="宋体" w:hAnsi="宋体" w:eastAsia="宋体" w:cs="宋体"/>
                <w:b/>
                <w:color w:val="auto"/>
                <w:sz w:val="22"/>
                <w:szCs w:val="22"/>
                <w:highlight w:val="none"/>
              </w:rPr>
              <w:t>招标公告。</w:t>
            </w:r>
          </w:p>
          <w:p>
            <w:pPr>
              <w:keepNext w:val="0"/>
              <w:keepLines w:val="0"/>
              <w:pageBreakBefore w:val="0"/>
              <w:tabs>
                <w:tab w:val="left" w:pos="0"/>
              </w:tabs>
              <w:kinsoku/>
              <w:overflowPunct/>
              <w:topLinePunct w:val="0"/>
              <w:autoSpaceDE/>
              <w:autoSpaceDN/>
              <w:bidi w:val="0"/>
              <w:adjustRightInd/>
              <w:snapToGrid/>
              <w:spacing w:line="360" w:lineRule="exact"/>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（4）项目负责人</w:t>
            </w:r>
            <w:r>
              <w:rPr>
                <w:rFonts w:hint="eastAsia" w:ascii="宋体" w:hAnsi="宋体" w:eastAsia="宋体" w:cs="宋体"/>
                <w:b/>
                <w:color w:val="auto"/>
                <w:sz w:val="22"/>
                <w:szCs w:val="22"/>
                <w:highlight w:val="none"/>
                <w:lang w:val="en-US" w:eastAsia="zh-CN"/>
              </w:rPr>
              <w:t>要求</w:t>
            </w:r>
            <w:r>
              <w:rPr>
                <w:rFonts w:hint="eastAsia" w:ascii="宋体" w:hAnsi="宋体" w:eastAsia="宋体" w:cs="宋体"/>
                <w:b/>
                <w:color w:val="auto"/>
                <w:sz w:val="22"/>
                <w:szCs w:val="22"/>
                <w:highlight w:val="none"/>
              </w:rPr>
              <w:t>：详见</w:t>
            </w:r>
            <w:r>
              <w:rPr>
                <w:rFonts w:hint="eastAsia" w:ascii="宋体" w:hAnsi="宋体" w:eastAsia="宋体" w:cs="宋体"/>
                <w:b/>
                <w:color w:val="auto"/>
                <w:sz w:val="22"/>
                <w:szCs w:val="22"/>
                <w:highlight w:val="none"/>
                <w:lang w:val="en-US" w:eastAsia="zh-CN"/>
              </w:rPr>
              <w:t xml:space="preserve">第一章 </w:t>
            </w:r>
            <w:r>
              <w:rPr>
                <w:rFonts w:hint="eastAsia" w:ascii="宋体" w:hAnsi="宋体" w:eastAsia="宋体" w:cs="宋体"/>
                <w:b/>
                <w:color w:val="auto"/>
                <w:sz w:val="22"/>
                <w:szCs w:val="22"/>
                <w:highlight w:val="none"/>
              </w:rPr>
              <w:t>招标公告。</w:t>
            </w:r>
          </w:p>
          <w:p>
            <w:pPr>
              <w:keepNext w:val="0"/>
              <w:keepLines w:val="0"/>
              <w:pageBreakBefore w:val="0"/>
              <w:tabs>
                <w:tab w:val="left" w:pos="0"/>
              </w:tabs>
              <w:kinsoku/>
              <w:overflowPunct/>
              <w:topLinePunct w:val="0"/>
              <w:autoSpaceDE/>
              <w:autoSpaceDN/>
              <w:bidi w:val="0"/>
              <w:adjustRightInd/>
              <w:snapToGrid/>
              <w:spacing w:line="360" w:lineRule="exact"/>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（5）</w:t>
            </w:r>
            <w:r>
              <w:rPr>
                <w:rFonts w:hint="eastAsia" w:ascii="宋体" w:hAnsi="宋体" w:eastAsia="宋体" w:cs="宋体"/>
                <w:b/>
                <w:color w:val="auto"/>
                <w:sz w:val="22"/>
                <w:szCs w:val="22"/>
                <w:highlight w:val="none"/>
                <w:lang w:val="en-US" w:eastAsia="zh-CN"/>
              </w:rPr>
              <w:t>其他要求：</w:t>
            </w:r>
            <w:r>
              <w:rPr>
                <w:rFonts w:hint="eastAsia" w:ascii="宋体" w:hAnsi="宋体" w:eastAsia="宋体" w:cs="宋体"/>
                <w:b/>
                <w:color w:val="auto"/>
                <w:sz w:val="22"/>
                <w:szCs w:val="22"/>
                <w:highlight w:val="none"/>
              </w:rPr>
              <w:t>详见</w:t>
            </w:r>
            <w:r>
              <w:rPr>
                <w:rFonts w:hint="eastAsia" w:ascii="宋体" w:hAnsi="宋体" w:eastAsia="宋体" w:cs="宋体"/>
                <w:b/>
                <w:color w:val="auto"/>
                <w:sz w:val="22"/>
                <w:szCs w:val="22"/>
                <w:highlight w:val="none"/>
                <w:lang w:val="en-US" w:eastAsia="zh-CN"/>
              </w:rPr>
              <w:t xml:space="preserve">第一章 </w:t>
            </w:r>
            <w:r>
              <w:rPr>
                <w:rFonts w:hint="eastAsia" w:ascii="宋体" w:hAnsi="宋体" w:eastAsia="宋体" w:cs="宋体"/>
                <w:b/>
                <w:color w:val="auto"/>
                <w:sz w:val="22"/>
                <w:szCs w:val="22"/>
                <w:highlight w:val="none"/>
              </w:rPr>
              <w:t>招标公告。</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986" w:type="dxa"/>
            <w:noWrap w:val="0"/>
            <w:vAlign w:val="center"/>
          </w:tcPr>
          <w:p>
            <w:pPr>
              <w:keepNext w:val="0"/>
              <w:keepLines w:val="0"/>
              <w:pageBreakBefore w:val="0"/>
              <w:kinsoku/>
              <w:overflowPunct/>
              <w:topLinePunct w:val="0"/>
              <w:autoSpaceDE/>
              <w:autoSpaceDN/>
              <w:bidi w:val="0"/>
              <w:adjustRightInd/>
              <w:snapToGrid/>
              <w:spacing w:line="360" w:lineRule="exact"/>
              <w:jc w:val="center"/>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2.3</w:t>
            </w:r>
          </w:p>
        </w:tc>
        <w:tc>
          <w:tcPr>
            <w:tcW w:w="1278" w:type="dxa"/>
            <w:noWrap w:val="0"/>
            <w:vAlign w:val="center"/>
          </w:tcPr>
          <w:p>
            <w:pPr>
              <w:keepNext w:val="0"/>
              <w:keepLines w:val="0"/>
              <w:pageBreakBefore w:val="0"/>
              <w:kinsoku/>
              <w:overflowPunct/>
              <w:topLinePunct w:val="0"/>
              <w:autoSpaceDE/>
              <w:autoSpaceDN/>
              <w:bidi w:val="0"/>
              <w:adjustRightInd/>
              <w:snapToGrid/>
              <w:spacing w:line="360" w:lineRule="exact"/>
              <w:jc w:val="center"/>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第一信封</w:t>
            </w:r>
          </w:p>
          <w:p>
            <w:pPr>
              <w:keepNext w:val="0"/>
              <w:keepLines w:val="0"/>
              <w:pageBreakBefore w:val="0"/>
              <w:kinsoku/>
              <w:overflowPunct/>
              <w:topLinePunct w:val="0"/>
              <w:autoSpaceDE/>
              <w:autoSpaceDN/>
              <w:bidi w:val="0"/>
              <w:adjustRightInd/>
              <w:snapToGrid/>
              <w:spacing w:line="360" w:lineRule="exact"/>
              <w:jc w:val="center"/>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形式与响应性评审</w:t>
            </w:r>
          </w:p>
        </w:tc>
        <w:tc>
          <w:tcPr>
            <w:tcW w:w="7241" w:type="dxa"/>
            <w:noWrap w:val="0"/>
            <w:vAlign w:val="center"/>
          </w:tcPr>
          <w:p>
            <w:pPr>
              <w:keepNext w:val="0"/>
              <w:keepLines w:val="0"/>
              <w:pageBreakBefore w:val="0"/>
              <w:tabs>
                <w:tab w:val="left" w:pos="0"/>
              </w:tabs>
              <w:kinsoku/>
              <w:wordWrap w:val="0"/>
              <w:overflowPunct/>
              <w:topLinePunct w:val="0"/>
              <w:autoSpaceDE/>
              <w:autoSpaceDN/>
              <w:bidi w:val="0"/>
              <w:adjustRightInd/>
              <w:snapToGrid/>
              <w:spacing w:line="360" w:lineRule="exact"/>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（1）投标文件中，法定代表人或其授权代理人签字以及盖单位公章齐全。</w:t>
            </w:r>
          </w:p>
          <w:p>
            <w:pPr>
              <w:keepNext w:val="0"/>
              <w:keepLines w:val="0"/>
              <w:pageBreakBefore w:val="0"/>
              <w:tabs>
                <w:tab w:val="left" w:pos="0"/>
              </w:tabs>
              <w:kinsoku/>
              <w:wordWrap w:val="0"/>
              <w:overflowPunct/>
              <w:topLinePunct w:val="0"/>
              <w:autoSpaceDE/>
              <w:autoSpaceDN/>
              <w:bidi w:val="0"/>
              <w:adjustRightInd/>
              <w:snapToGrid/>
              <w:spacing w:line="360" w:lineRule="exact"/>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（2）按招标文件规定格式</w:t>
            </w:r>
            <w:r>
              <w:rPr>
                <w:rFonts w:hint="eastAsia" w:ascii="宋体" w:hAnsi="宋体" w:cs="宋体"/>
                <w:b/>
                <w:color w:val="auto"/>
                <w:sz w:val="22"/>
                <w:szCs w:val="22"/>
                <w:highlight w:val="none"/>
                <w:lang w:val="en-US" w:eastAsia="zh-CN"/>
              </w:rPr>
              <w:t>要求</w:t>
            </w:r>
            <w:r>
              <w:rPr>
                <w:rFonts w:hint="eastAsia" w:ascii="宋体" w:hAnsi="宋体" w:eastAsia="宋体" w:cs="宋体"/>
                <w:b/>
                <w:color w:val="auto"/>
                <w:sz w:val="22"/>
                <w:szCs w:val="22"/>
                <w:highlight w:val="none"/>
              </w:rPr>
              <w:t>编制投标文件，内容齐全，字迹清晰可辨。</w:t>
            </w:r>
          </w:p>
          <w:p>
            <w:pPr>
              <w:keepNext w:val="0"/>
              <w:keepLines w:val="0"/>
              <w:pageBreakBefore w:val="0"/>
              <w:tabs>
                <w:tab w:val="left" w:pos="0"/>
              </w:tabs>
              <w:kinsoku/>
              <w:wordWrap w:val="0"/>
              <w:overflowPunct/>
              <w:topLinePunct w:val="0"/>
              <w:autoSpaceDE/>
              <w:autoSpaceDN/>
              <w:bidi w:val="0"/>
              <w:adjustRightInd/>
              <w:snapToGrid/>
              <w:spacing w:line="360" w:lineRule="exact"/>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（3）如投标文件法定代表人亲自签署，提供了法定代表人身份证明。</w:t>
            </w:r>
          </w:p>
          <w:p>
            <w:pPr>
              <w:keepNext w:val="0"/>
              <w:keepLines w:val="0"/>
              <w:pageBreakBefore w:val="0"/>
              <w:tabs>
                <w:tab w:val="left" w:pos="0"/>
              </w:tabs>
              <w:kinsoku/>
              <w:wordWrap w:val="0"/>
              <w:overflowPunct/>
              <w:topLinePunct w:val="0"/>
              <w:autoSpaceDE/>
              <w:autoSpaceDN/>
              <w:bidi w:val="0"/>
              <w:adjustRightInd/>
              <w:snapToGrid/>
              <w:spacing w:line="360" w:lineRule="exact"/>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（4）如投标文件非法定代表人签署，提供了法定代表人身份证明</w:t>
            </w:r>
            <w:r>
              <w:rPr>
                <w:rFonts w:hint="eastAsia" w:ascii="宋体" w:hAnsi="宋体" w:cs="宋体"/>
                <w:b/>
                <w:color w:val="auto"/>
                <w:sz w:val="22"/>
                <w:szCs w:val="22"/>
                <w:highlight w:val="none"/>
                <w:lang w:val="en-US" w:eastAsia="zh-CN"/>
              </w:rPr>
              <w:t>和</w:t>
            </w:r>
            <w:r>
              <w:rPr>
                <w:rFonts w:hint="eastAsia" w:ascii="宋体" w:hAnsi="宋体" w:eastAsia="宋体" w:cs="宋体"/>
                <w:b/>
                <w:color w:val="auto"/>
                <w:sz w:val="22"/>
                <w:szCs w:val="22"/>
                <w:highlight w:val="none"/>
              </w:rPr>
              <w:t>授权委托书，并符合下列要求：授权人和被授权人均在授权书上签字，可使用印章或签名章，不得使用其他电子制版签名代替。</w:t>
            </w:r>
          </w:p>
          <w:p>
            <w:pPr>
              <w:keepNext w:val="0"/>
              <w:keepLines w:val="0"/>
              <w:pageBreakBefore w:val="0"/>
              <w:tabs>
                <w:tab w:val="left" w:pos="0"/>
              </w:tabs>
              <w:kinsoku/>
              <w:wordWrap w:val="0"/>
              <w:overflowPunct/>
              <w:topLinePunct w:val="0"/>
              <w:autoSpaceDE/>
              <w:autoSpaceDN/>
              <w:bidi w:val="0"/>
              <w:adjustRightInd/>
              <w:snapToGrid/>
              <w:spacing w:line="360" w:lineRule="exact"/>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w:t>
            </w:r>
            <w:r>
              <w:rPr>
                <w:rFonts w:hint="eastAsia" w:ascii="宋体" w:hAnsi="宋体" w:eastAsia="宋体" w:cs="宋体"/>
                <w:b/>
                <w:color w:val="auto"/>
                <w:sz w:val="22"/>
                <w:szCs w:val="22"/>
                <w:highlight w:val="none"/>
                <w:lang w:val="en-US" w:eastAsia="zh-CN"/>
              </w:rPr>
              <w:t>5</w:t>
            </w:r>
            <w:r>
              <w:rPr>
                <w:rFonts w:hint="eastAsia" w:ascii="宋体" w:hAnsi="宋体" w:eastAsia="宋体" w:cs="宋体"/>
                <w:b/>
                <w:color w:val="auto"/>
                <w:sz w:val="22"/>
                <w:szCs w:val="22"/>
                <w:highlight w:val="none"/>
              </w:rPr>
              <w:t>）同一投标人未提交两个以上不同的投标，但招标文件要求提交备选投标的除外。</w:t>
            </w:r>
          </w:p>
          <w:p>
            <w:pPr>
              <w:keepNext w:val="0"/>
              <w:keepLines w:val="0"/>
              <w:pageBreakBefore w:val="0"/>
              <w:tabs>
                <w:tab w:val="left" w:pos="0"/>
              </w:tabs>
              <w:kinsoku/>
              <w:wordWrap w:val="0"/>
              <w:overflowPunct/>
              <w:topLinePunct w:val="0"/>
              <w:autoSpaceDE/>
              <w:autoSpaceDN/>
              <w:bidi w:val="0"/>
              <w:adjustRightInd/>
              <w:snapToGrid/>
              <w:spacing w:line="360" w:lineRule="exact"/>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w:t>
            </w:r>
            <w:r>
              <w:rPr>
                <w:rFonts w:hint="eastAsia" w:ascii="宋体" w:hAnsi="宋体" w:eastAsia="宋体" w:cs="宋体"/>
                <w:b/>
                <w:color w:val="auto"/>
                <w:sz w:val="22"/>
                <w:szCs w:val="22"/>
                <w:highlight w:val="none"/>
                <w:lang w:val="en-US" w:eastAsia="zh-CN"/>
              </w:rPr>
              <w:t>6</w:t>
            </w:r>
            <w:r>
              <w:rPr>
                <w:rFonts w:hint="eastAsia" w:ascii="宋体" w:hAnsi="宋体" w:eastAsia="宋体" w:cs="宋体"/>
                <w:b/>
                <w:color w:val="auto"/>
                <w:sz w:val="22"/>
                <w:szCs w:val="22"/>
                <w:highlight w:val="none"/>
              </w:rPr>
              <w:t>）投标文件中未出现有关投标报价的内容。</w:t>
            </w:r>
          </w:p>
          <w:p>
            <w:pPr>
              <w:keepNext w:val="0"/>
              <w:keepLines w:val="0"/>
              <w:pageBreakBefore w:val="0"/>
              <w:tabs>
                <w:tab w:val="left" w:pos="0"/>
              </w:tabs>
              <w:kinsoku/>
              <w:wordWrap w:val="0"/>
              <w:overflowPunct/>
              <w:topLinePunct w:val="0"/>
              <w:autoSpaceDE/>
              <w:autoSpaceDN/>
              <w:bidi w:val="0"/>
              <w:adjustRightInd/>
              <w:snapToGrid/>
              <w:spacing w:line="360" w:lineRule="exact"/>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w:t>
            </w:r>
            <w:r>
              <w:rPr>
                <w:rFonts w:hint="eastAsia" w:ascii="宋体" w:hAnsi="宋体" w:eastAsia="宋体" w:cs="宋体"/>
                <w:b/>
                <w:color w:val="auto"/>
                <w:sz w:val="22"/>
                <w:szCs w:val="22"/>
                <w:highlight w:val="none"/>
                <w:lang w:val="en-US" w:eastAsia="zh-CN"/>
              </w:rPr>
              <w:t>7</w:t>
            </w:r>
            <w:r>
              <w:rPr>
                <w:rFonts w:hint="eastAsia" w:ascii="宋体" w:hAnsi="宋体" w:eastAsia="宋体" w:cs="宋体"/>
                <w:b/>
                <w:color w:val="auto"/>
                <w:sz w:val="22"/>
                <w:szCs w:val="22"/>
                <w:highlight w:val="none"/>
              </w:rPr>
              <w:t>）投标函中招标项目完成期限未超过招标文件规定的期限。</w:t>
            </w:r>
          </w:p>
          <w:p>
            <w:pPr>
              <w:keepNext w:val="0"/>
              <w:keepLines w:val="0"/>
              <w:pageBreakBefore w:val="0"/>
              <w:tabs>
                <w:tab w:val="left" w:pos="0"/>
              </w:tabs>
              <w:kinsoku/>
              <w:wordWrap w:val="0"/>
              <w:overflowPunct/>
              <w:topLinePunct w:val="0"/>
              <w:autoSpaceDE/>
              <w:autoSpaceDN/>
              <w:bidi w:val="0"/>
              <w:adjustRightInd/>
              <w:snapToGrid/>
              <w:spacing w:line="360" w:lineRule="exact"/>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w:t>
            </w:r>
            <w:r>
              <w:rPr>
                <w:rFonts w:hint="eastAsia" w:ascii="宋体" w:hAnsi="宋体" w:eastAsia="宋体" w:cs="宋体"/>
                <w:b/>
                <w:color w:val="auto"/>
                <w:sz w:val="22"/>
                <w:szCs w:val="22"/>
                <w:highlight w:val="none"/>
                <w:lang w:val="en-US" w:eastAsia="zh-CN"/>
              </w:rPr>
              <w:t>8</w:t>
            </w:r>
            <w:r>
              <w:rPr>
                <w:rFonts w:hint="eastAsia" w:ascii="宋体" w:hAnsi="宋体" w:eastAsia="宋体" w:cs="宋体"/>
                <w:b/>
                <w:color w:val="auto"/>
                <w:sz w:val="22"/>
                <w:szCs w:val="22"/>
                <w:highlight w:val="none"/>
              </w:rPr>
              <w:t>）投标文件未附有招标人不能接受的条件。</w:t>
            </w:r>
          </w:p>
          <w:p>
            <w:pPr>
              <w:keepNext w:val="0"/>
              <w:keepLines w:val="0"/>
              <w:pageBreakBefore w:val="0"/>
              <w:tabs>
                <w:tab w:val="left" w:pos="0"/>
              </w:tabs>
              <w:kinsoku/>
              <w:wordWrap w:val="0"/>
              <w:overflowPunct/>
              <w:topLinePunct w:val="0"/>
              <w:autoSpaceDE/>
              <w:autoSpaceDN/>
              <w:bidi w:val="0"/>
              <w:adjustRightInd/>
              <w:snapToGrid/>
              <w:spacing w:line="360" w:lineRule="exact"/>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w:t>
            </w:r>
            <w:r>
              <w:rPr>
                <w:rFonts w:hint="eastAsia" w:ascii="宋体" w:hAnsi="宋体" w:eastAsia="宋体" w:cs="宋体"/>
                <w:b/>
                <w:color w:val="auto"/>
                <w:sz w:val="22"/>
                <w:szCs w:val="22"/>
                <w:highlight w:val="none"/>
                <w:lang w:val="en-US" w:eastAsia="zh-CN"/>
              </w:rPr>
              <w:t>9</w:t>
            </w:r>
            <w:r>
              <w:rPr>
                <w:rFonts w:hint="eastAsia" w:ascii="宋体" w:hAnsi="宋体" w:eastAsia="宋体" w:cs="宋体"/>
                <w:b/>
                <w:color w:val="auto"/>
                <w:sz w:val="22"/>
                <w:szCs w:val="22"/>
                <w:highlight w:val="none"/>
              </w:rPr>
              <w:t>）权利义务符合招标文件规定：a.投标人应接受招标文件规定的风险划分原则，不得提出新的风险划分办法；b.投标人不得增加招标人的责任范围，或减少投标人义务；c.投标人不得提出不同的工程验收、计量、考核支付办法；d.投标人对合同纠纷、事故处理办法不得提出异议；e.投标人在投标活动中不得含有欺诈行为；f.投标人不得对合同条款有重要保留。</w:t>
            </w:r>
          </w:p>
          <w:p>
            <w:pPr>
              <w:keepNext w:val="0"/>
              <w:keepLines w:val="0"/>
              <w:pageBreakBefore w:val="0"/>
              <w:tabs>
                <w:tab w:val="left" w:pos="0"/>
              </w:tabs>
              <w:kinsoku/>
              <w:wordWrap w:val="0"/>
              <w:overflowPunct/>
              <w:topLinePunct w:val="0"/>
              <w:autoSpaceDE/>
              <w:autoSpaceDN/>
              <w:bidi w:val="0"/>
              <w:adjustRightInd/>
              <w:snapToGrid/>
              <w:spacing w:line="360" w:lineRule="exact"/>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w:t>
            </w:r>
            <w:r>
              <w:rPr>
                <w:rFonts w:hint="eastAsia" w:ascii="宋体" w:hAnsi="宋体" w:eastAsia="宋体" w:cs="宋体"/>
                <w:b/>
                <w:color w:val="auto"/>
                <w:sz w:val="22"/>
                <w:szCs w:val="22"/>
                <w:highlight w:val="none"/>
                <w:lang w:val="en-US" w:eastAsia="zh-CN"/>
              </w:rPr>
              <w:t>10</w:t>
            </w:r>
            <w:r>
              <w:rPr>
                <w:rFonts w:hint="eastAsia" w:ascii="宋体" w:hAnsi="宋体" w:eastAsia="宋体" w:cs="宋体"/>
                <w:b/>
                <w:color w:val="auto"/>
                <w:sz w:val="22"/>
                <w:szCs w:val="22"/>
                <w:highlight w:val="none"/>
              </w:rPr>
              <w:t>）与招标文件要求不存在重大偏离或保留。</w:t>
            </w:r>
          </w:p>
        </w:tc>
      </w:tr>
    </w:tbl>
    <w:p>
      <w:pPr>
        <w:keepNext w:val="0"/>
        <w:keepLines w:val="0"/>
        <w:pageBreakBefore w:val="0"/>
        <w:widowControl/>
        <w:kinsoku/>
        <w:overflowPunct/>
        <w:topLinePunct w:val="0"/>
        <w:autoSpaceDE/>
        <w:autoSpaceDN/>
        <w:bidi w:val="0"/>
        <w:adjustRightInd/>
        <w:snapToGrid/>
        <w:spacing w:line="360" w:lineRule="exact"/>
        <w:jc w:val="righ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续上表</w:t>
      </w:r>
    </w:p>
    <w:tbl>
      <w:tblPr>
        <w:tblStyle w:val="30"/>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979"/>
        <w:gridCol w:w="1305"/>
        <w:gridCol w:w="7114"/>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79" w:type="dxa"/>
            <w:noWrap w:val="0"/>
            <w:vAlign w:val="center"/>
          </w:tcPr>
          <w:p>
            <w:pPr>
              <w:keepNext w:val="0"/>
              <w:keepLines w:val="0"/>
              <w:pageBreakBefore w:val="0"/>
              <w:kinsoku/>
              <w:overflowPunct/>
              <w:topLinePunct w:val="0"/>
              <w:autoSpaceDE/>
              <w:autoSpaceDN/>
              <w:bidi w:val="0"/>
              <w:adjustRightInd/>
              <w:snapToGrid/>
              <w:spacing w:line="360" w:lineRule="exact"/>
              <w:jc w:val="center"/>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条款号</w:t>
            </w:r>
          </w:p>
        </w:tc>
        <w:tc>
          <w:tcPr>
            <w:tcW w:w="1305" w:type="dxa"/>
            <w:noWrap w:val="0"/>
            <w:vAlign w:val="center"/>
          </w:tcPr>
          <w:p>
            <w:pPr>
              <w:keepNext w:val="0"/>
              <w:keepLines w:val="0"/>
              <w:pageBreakBefore w:val="0"/>
              <w:kinsoku/>
              <w:overflowPunct/>
              <w:topLinePunct w:val="0"/>
              <w:autoSpaceDE/>
              <w:autoSpaceDN/>
              <w:bidi w:val="0"/>
              <w:adjustRightInd/>
              <w:snapToGrid/>
              <w:spacing w:line="360" w:lineRule="exact"/>
              <w:jc w:val="center"/>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条款名称</w:t>
            </w:r>
          </w:p>
        </w:tc>
        <w:tc>
          <w:tcPr>
            <w:tcW w:w="7114" w:type="dxa"/>
            <w:noWrap w:val="0"/>
            <w:vAlign w:val="center"/>
          </w:tcPr>
          <w:p>
            <w:pPr>
              <w:keepNext w:val="0"/>
              <w:keepLines w:val="0"/>
              <w:pageBreakBefore w:val="0"/>
              <w:kinsoku/>
              <w:overflowPunct/>
              <w:topLinePunct w:val="0"/>
              <w:autoSpaceDE/>
              <w:autoSpaceDN/>
              <w:bidi w:val="0"/>
              <w:adjustRightInd/>
              <w:snapToGrid/>
              <w:spacing w:line="360" w:lineRule="exact"/>
              <w:jc w:val="center"/>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评审因素与评审标准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979" w:type="dxa"/>
            <w:noWrap w:val="0"/>
            <w:vAlign w:val="center"/>
          </w:tcPr>
          <w:p>
            <w:pPr>
              <w:keepNext w:val="0"/>
              <w:keepLines w:val="0"/>
              <w:pageBreakBefore w:val="0"/>
              <w:kinsoku/>
              <w:overflowPunct/>
              <w:topLinePunct w:val="0"/>
              <w:autoSpaceDE/>
              <w:autoSpaceDN/>
              <w:bidi w:val="0"/>
              <w:adjustRightInd/>
              <w:snapToGrid/>
              <w:spacing w:line="360" w:lineRule="exact"/>
              <w:jc w:val="center"/>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2.5</w:t>
            </w:r>
          </w:p>
        </w:tc>
        <w:tc>
          <w:tcPr>
            <w:tcW w:w="1305" w:type="dxa"/>
            <w:noWrap w:val="0"/>
            <w:vAlign w:val="center"/>
          </w:tcPr>
          <w:p>
            <w:pPr>
              <w:keepNext w:val="0"/>
              <w:keepLines w:val="0"/>
              <w:pageBreakBefore w:val="0"/>
              <w:kinsoku/>
              <w:overflowPunct/>
              <w:topLinePunct w:val="0"/>
              <w:autoSpaceDE/>
              <w:autoSpaceDN/>
              <w:bidi w:val="0"/>
              <w:adjustRightInd/>
              <w:snapToGrid/>
              <w:spacing w:line="360" w:lineRule="exact"/>
              <w:jc w:val="center"/>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第一信封</w:t>
            </w:r>
          </w:p>
          <w:p>
            <w:pPr>
              <w:keepNext w:val="0"/>
              <w:keepLines w:val="0"/>
              <w:pageBreakBefore w:val="0"/>
              <w:kinsoku/>
              <w:overflowPunct/>
              <w:topLinePunct w:val="0"/>
              <w:autoSpaceDE/>
              <w:autoSpaceDN/>
              <w:bidi w:val="0"/>
              <w:adjustRightInd/>
              <w:snapToGrid/>
              <w:spacing w:line="360" w:lineRule="exact"/>
              <w:jc w:val="center"/>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详细评审</w:t>
            </w:r>
          </w:p>
        </w:tc>
        <w:tc>
          <w:tcPr>
            <w:tcW w:w="7114" w:type="dxa"/>
            <w:noWrap w:val="0"/>
            <w:vAlign w:val="center"/>
          </w:tcPr>
          <w:p>
            <w:pPr>
              <w:keepNext w:val="0"/>
              <w:keepLines w:val="0"/>
              <w:pageBreakBefore w:val="0"/>
              <w:kinsoku/>
              <w:overflowPunct/>
              <w:topLinePunct w:val="0"/>
              <w:autoSpaceDE/>
              <w:autoSpaceDN/>
              <w:bidi w:val="0"/>
              <w:adjustRightInd/>
              <w:snapToGrid/>
              <w:spacing w:line="360" w:lineRule="exact"/>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第一个信封（商务及技术文件）评分分值构成：</w:t>
            </w:r>
          </w:p>
          <w:p>
            <w:pPr>
              <w:keepNext w:val="0"/>
              <w:keepLines w:val="0"/>
              <w:pageBreakBefore w:val="0"/>
              <w:kinsoku/>
              <w:overflowPunct/>
              <w:topLinePunct w:val="0"/>
              <w:autoSpaceDE/>
              <w:autoSpaceDN/>
              <w:bidi w:val="0"/>
              <w:adjustRightInd/>
              <w:snapToGrid/>
              <w:spacing w:line="36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类似</w:t>
            </w:r>
            <w:r>
              <w:rPr>
                <w:rFonts w:hint="eastAsia" w:ascii="宋体" w:hAnsi="宋体" w:eastAsia="宋体" w:cs="宋体"/>
                <w:color w:val="auto"/>
                <w:sz w:val="22"/>
                <w:szCs w:val="22"/>
                <w:highlight w:val="none"/>
              </w:rPr>
              <w:t>业绩</w:t>
            </w:r>
            <w:r>
              <w:rPr>
                <w:rFonts w:hint="eastAsia" w:ascii="宋体" w:hAnsi="宋体" w:eastAsia="宋体" w:cs="宋体"/>
                <w:color w:val="auto"/>
                <w:sz w:val="22"/>
                <w:szCs w:val="22"/>
                <w:highlight w:val="none"/>
                <w:lang w:val="en-US" w:eastAsia="zh-CN"/>
              </w:rPr>
              <w:t>：20</w:t>
            </w:r>
            <w:r>
              <w:rPr>
                <w:rFonts w:hint="eastAsia" w:ascii="宋体" w:hAnsi="宋体" w:eastAsia="宋体" w:cs="宋体"/>
                <w:color w:val="auto"/>
                <w:sz w:val="22"/>
                <w:szCs w:val="22"/>
                <w:highlight w:val="none"/>
              </w:rPr>
              <w:t>分</w:t>
            </w:r>
          </w:p>
          <w:p>
            <w:pPr>
              <w:keepNext w:val="0"/>
              <w:keepLines w:val="0"/>
              <w:pageBreakBefore w:val="0"/>
              <w:kinsoku/>
              <w:overflowPunct/>
              <w:topLinePunct w:val="0"/>
              <w:autoSpaceDE/>
              <w:autoSpaceDN/>
              <w:bidi w:val="0"/>
              <w:adjustRightInd/>
              <w:snapToGrid/>
              <w:spacing w:line="36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项目负责人：15</w:t>
            </w:r>
            <w:r>
              <w:rPr>
                <w:rFonts w:hint="eastAsia" w:ascii="宋体" w:hAnsi="宋体" w:eastAsia="宋体" w:cs="宋体"/>
                <w:color w:val="auto"/>
                <w:sz w:val="22"/>
                <w:szCs w:val="22"/>
                <w:highlight w:val="none"/>
              </w:rPr>
              <w:t>分</w:t>
            </w:r>
          </w:p>
          <w:p>
            <w:pPr>
              <w:keepNext w:val="0"/>
              <w:keepLines w:val="0"/>
              <w:pageBreakBefore w:val="0"/>
              <w:kinsoku/>
              <w:overflowPunct/>
              <w:topLinePunct w:val="0"/>
              <w:autoSpaceDE/>
              <w:autoSpaceDN/>
              <w:bidi w:val="0"/>
              <w:adjustRightInd/>
              <w:snapToGrid/>
              <w:spacing w:line="360" w:lineRule="exac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其他主要技术人员：10分</w:t>
            </w:r>
          </w:p>
          <w:p>
            <w:pPr>
              <w:keepNext w:val="0"/>
              <w:keepLines w:val="0"/>
              <w:pageBreakBefore w:val="0"/>
              <w:kinsoku/>
              <w:overflowPunct/>
              <w:topLinePunct w:val="0"/>
              <w:autoSpaceDE/>
              <w:autoSpaceDN/>
              <w:bidi w:val="0"/>
              <w:adjustRightInd/>
              <w:snapToGrid/>
              <w:spacing w:line="36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工作大纲</w:t>
            </w:r>
            <w:r>
              <w:rPr>
                <w:rFonts w:hint="eastAsia" w:ascii="宋体" w:hAnsi="宋体" w:eastAsia="宋体" w:cs="宋体"/>
                <w:color w:val="auto"/>
                <w:sz w:val="22"/>
                <w:szCs w:val="22"/>
                <w:highlight w:val="none"/>
                <w:lang w:val="en-US" w:eastAsia="zh-CN"/>
              </w:rPr>
              <w:t>：45</w:t>
            </w:r>
            <w:r>
              <w:rPr>
                <w:rFonts w:hint="eastAsia" w:ascii="宋体" w:hAnsi="宋体" w:eastAsia="宋体" w:cs="宋体"/>
                <w:color w:val="auto"/>
                <w:sz w:val="22"/>
                <w:szCs w:val="22"/>
                <w:highlight w:val="none"/>
              </w:rPr>
              <w:t>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463" w:hRule="atLeast"/>
          <w:jc w:val="center"/>
        </w:trPr>
        <w:tc>
          <w:tcPr>
            <w:tcW w:w="979" w:type="dxa"/>
            <w:noWrap w:val="0"/>
            <w:vAlign w:val="center"/>
          </w:tcPr>
          <w:p>
            <w:pPr>
              <w:keepNext w:val="0"/>
              <w:keepLines w:val="0"/>
              <w:pageBreakBefore w:val="0"/>
              <w:kinsoku/>
              <w:overflowPunct/>
              <w:topLinePunct w:val="0"/>
              <w:autoSpaceDE/>
              <w:autoSpaceDN/>
              <w:bidi w:val="0"/>
              <w:adjustRightInd/>
              <w:snapToGrid/>
              <w:spacing w:line="360" w:lineRule="exact"/>
              <w:jc w:val="center"/>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2.7</w:t>
            </w:r>
          </w:p>
        </w:tc>
        <w:tc>
          <w:tcPr>
            <w:tcW w:w="1305" w:type="dxa"/>
            <w:noWrap w:val="0"/>
            <w:vAlign w:val="center"/>
          </w:tcPr>
          <w:p>
            <w:pPr>
              <w:keepNext w:val="0"/>
              <w:keepLines w:val="0"/>
              <w:pageBreakBefore w:val="0"/>
              <w:kinsoku/>
              <w:overflowPunct/>
              <w:topLinePunct w:val="0"/>
              <w:autoSpaceDE/>
              <w:autoSpaceDN/>
              <w:bidi w:val="0"/>
              <w:adjustRightInd/>
              <w:snapToGrid/>
              <w:spacing w:line="360" w:lineRule="exact"/>
              <w:jc w:val="center"/>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第二信封</w:t>
            </w:r>
          </w:p>
          <w:p>
            <w:pPr>
              <w:keepNext w:val="0"/>
              <w:keepLines w:val="0"/>
              <w:pageBreakBefore w:val="0"/>
              <w:kinsoku/>
              <w:overflowPunct/>
              <w:topLinePunct w:val="0"/>
              <w:autoSpaceDE/>
              <w:autoSpaceDN/>
              <w:bidi w:val="0"/>
              <w:adjustRightInd/>
              <w:snapToGrid/>
              <w:spacing w:line="360" w:lineRule="exact"/>
              <w:jc w:val="center"/>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初步评审</w:t>
            </w:r>
          </w:p>
        </w:tc>
        <w:tc>
          <w:tcPr>
            <w:tcW w:w="7114" w:type="dxa"/>
            <w:noWrap w:val="0"/>
            <w:vAlign w:val="center"/>
          </w:tcPr>
          <w:p>
            <w:pPr>
              <w:keepNext w:val="0"/>
              <w:keepLines w:val="0"/>
              <w:pageBreakBefore w:val="0"/>
              <w:kinsoku/>
              <w:overflowPunct/>
              <w:topLinePunct w:val="0"/>
              <w:autoSpaceDE/>
              <w:autoSpaceDN/>
              <w:bidi w:val="0"/>
              <w:adjustRightInd/>
              <w:snapToGrid/>
              <w:spacing w:line="360" w:lineRule="exact"/>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1）投标文件按照招标文件规定的格式、内容填写，字迹清晰可辨，内容齐全完整：a.投标函按招标文件规定填报了项目名称、标段号、补遗书编号（如有）、投标价；b.投标文件组成齐全完整，内容均按规定填写。</w:t>
            </w:r>
          </w:p>
          <w:p>
            <w:pPr>
              <w:keepNext w:val="0"/>
              <w:keepLines w:val="0"/>
              <w:pageBreakBefore w:val="0"/>
              <w:kinsoku/>
              <w:overflowPunct/>
              <w:topLinePunct w:val="0"/>
              <w:autoSpaceDE/>
              <w:autoSpaceDN/>
              <w:bidi w:val="0"/>
              <w:adjustRightInd/>
              <w:snapToGrid/>
              <w:spacing w:line="360" w:lineRule="exact"/>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（2）投标文件上法定代表人或其委托代理人的签字、投标人的单位章盖章齐全，符合招标文件规定。</w:t>
            </w:r>
          </w:p>
          <w:p>
            <w:pPr>
              <w:keepNext w:val="0"/>
              <w:keepLines w:val="0"/>
              <w:pageBreakBefore w:val="0"/>
              <w:kinsoku/>
              <w:overflowPunct/>
              <w:topLinePunct w:val="0"/>
              <w:autoSpaceDE/>
              <w:autoSpaceDN/>
              <w:bidi w:val="0"/>
              <w:adjustRightInd/>
              <w:snapToGrid/>
              <w:spacing w:line="360" w:lineRule="exact"/>
              <w:textAlignment w:val="auto"/>
              <w:rPr>
                <w:rFonts w:hint="eastAsia" w:ascii="宋体" w:hAnsi="宋体" w:eastAsia="宋体" w:cs="宋体"/>
                <w:b/>
                <w:bCs/>
                <w:color w:val="auto"/>
                <w:sz w:val="22"/>
                <w:szCs w:val="22"/>
                <w:highlight w:val="none"/>
                <w:lang w:eastAsia="zh-CN"/>
              </w:rPr>
            </w:pPr>
            <w:r>
              <w:rPr>
                <w:rFonts w:hint="eastAsia" w:ascii="宋体" w:hAnsi="宋体" w:eastAsia="宋体" w:cs="宋体"/>
                <w:b/>
                <w:bCs/>
                <w:color w:val="auto"/>
                <w:sz w:val="22"/>
                <w:szCs w:val="22"/>
                <w:highlight w:val="none"/>
              </w:rPr>
              <w:t>（3）投标报价超出招标人设定的最高投标限价的</w:t>
            </w:r>
            <w:r>
              <w:rPr>
                <w:rFonts w:hint="eastAsia" w:ascii="宋体" w:hAnsi="宋体" w:cs="宋体"/>
                <w:b/>
                <w:bCs/>
                <w:color w:val="auto"/>
                <w:sz w:val="22"/>
                <w:szCs w:val="22"/>
                <w:highlight w:val="none"/>
                <w:lang w:eastAsia="zh-CN"/>
              </w:rPr>
              <w:t>。</w:t>
            </w:r>
          </w:p>
          <w:p>
            <w:pPr>
              <w:keepNext w:val="0"/>
              <w:keepLines w:val="0"/>
              <w:pageBreakBefore w:val="0"/>
              <w:kinsoku/>
              <w:overflowPunct/>
              <w:topLinePunct w:val="0"/>
              <w:autoSpaceDE/>
              <w:autoSpaceDN/>
              <w:bidi w:val="0"/>
              <w:adjustRightInd/>
              <w:snapToGrid/>
              <w:spacing w:line="360" w:lineRule="exact"/>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（4）同一投标人未提交两个以上不同的投标报价。</w:t>
            </w:r>
          </w:p>
          <w:p>
            <w:pPr>
              <w:keepNext w:val="0"/>
              <w:keepLines w:val="0"/>
              <w:pageBreakBefore w:val="0"/>
              <w:kinsoku/>
              <w:overflowPunct/>
              <w:topLinePunct w:val="0"/>
              <w:autoSpaceDE/>
              <w:autoSpaceDN/>
              <w:bidi w:val="0"/>
              <w:adjustRightInd/>
              <w:snapToGrid/>
              <w:spacing w:line="360" w:lineRule="exact"/>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（5）投标报价的大写金额能够确定具体数值。</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935" w:hRule="atLeast"/>
          <w:jc w:val="center"/>
        </w:trPr>
        <w:tc>
          <w:tcPr>
            <w:tcW w:w="979" w:type="dxa"/>
            <w:noWrap w:val="0"/>
            <w:vAlign w:val="center"/>
          </w:tcPr>
          <w:p>
            <w:pPr>
              <w:keepNext w:val="0"/>
              <w:keepLines w:val="0"/>
              <w:pageBreakBefore w:val="0"/>
              <w:kinsoku/>
              <w:overflowPunct/>
              <w:topLinePunct w:val="0"/>
              <w:autoSpaceDE/>
              <w:autoSpaceDN/>
              <w:bidi w:val="0"/>
              <w:adjustRightInd/>
              <w:snapToGrid/>
              <w:spacing w:line="360" w:lineRule="exact"/>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2.9</w:t>
            </w:r>
          </w:p>
        </w:tc>
        <w:tc>
          <w:tcPr>
            <w:tcW w:w="1305" w:type="dxa"/>
            <w:noWrap w:val="0"/>
            <w:vAlign w:val="center"/>
          </w:tcPr>
          <w:p>
            <w:pPr>
              <w:keepNext w:val="0"/>
              <w:keepLines w:val="0"/>
              <w:pageBreakBefore w:val="0"/>
              <w:kinsoku/>
              <w:overflowPunct/>
              <w:topLinePunct w:val="0"/>
              <w:autoSpaceDE/>
              <w:autoSpaceDN/>
              <w:bidi w:val="0"/>
              <w:adjustRightInd/>
              <w:snapToGrid/>
              <w:spacing w:line="360" w:lineRule="exact"/>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第二信封</w:t>
            </w:r>
          </w:p>
          <w:p>
            <w:pPr>
              <w:keepNext w:val="0"/>
              <w:keepLines w:val="0"/>
              <w:pageBreakBefore w:val="0"/>
              <w:kinsoku/>
              <w:overflowPunct/>
              <w:topLinePunct w:val="0"/>
              <w:autoSpaceDE/>
              <w:autoSpaceDN/>
              <w:bidi w:val="0"/>
              <w:adjustRightInd/>
              <w:snapToGrid/>
              <w:spacing w:line="360" w:lineRule="exact"/>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澄清</w:t>
            </w:r>
          </w:p>
        </w:tc>
        <w:tc>
          <w:tcPr>
            <w:tcW w:w="7114" w:type="dxa"/>
            <w:noWrap w:val="0"/>
            <w:vAlign w:val="center"/>
          </w:tcPr>
          <w:p>
            <w:pPr>
              <w:keepNext w:val="0"/>
              <w:keepLines w:val="0"/>
              <w:pageBreakBefore w:val="0"/>
              <w:kinsoku/>
              <w:overflowPunct/>
              <w:topLinePunct w:val="0"/>
              <w:autoSpaceDE/>
              <w:autoSpaceDN/>
              <w:bidi w:val="0"/>
              <w:adjustRightInd/>
              <w:snapToGrid/>
              <w:spacing w:line="36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第二信封澄清过程中，发生以下任一情形的，作否决投标处理：</w:t>
            </w:r>
          </w:p>
          <w:p>
            <w:pPr>
              <w:keepNext w:val="0"/>
              <w:keepLines w:val="0"/>
              <w:pageBreakBefore w:val="0"/>
              <w:kinsoku/>
              <w:overflowPunct/>
              <w:topLinePunct w:val="0"/>
              <w:autoSpaceDE/>
              <w:autoSpaceDN/>
              <w:bidi w:val="0"/>
              <w:adjustRightInd/>
              <w:snapToGrid/>
              <w:spacing w:line="36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（1）投标人拒绝确认算术性修正后的报价；</w:t>
            </w:r>
          </w:p>
          <w:p>
            <w:pPr>
              <w:keepNext w:val="0"/>
              <w:keepLines w:val="0"/>
              <w:pageBreakBefore w:val="0"/>
              <w:kinsoku/>
              <w:overflowPunct/>
              <w:topLinePunct w:val="0"/>
              <w:autoSpaceDE/>
              <w:autoSpaceDN/>
              <w:bidi w:val="0"/>
              <w:adjustRightInd/>
              <w:snapToGrid/>
              <w:spacing w:line="36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（2）修正后的最终投标报价超过最高投标限价。</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769" w:hRule="atLeast"/>
          <w:jc w:val="center"/>
        </w:trPr>
        <w:tc>
          <w:tcPr>
            <w:tcW w:w="979" w:type="dxa"/>
            <w:noWrap w:val="0"/>
            <w:vAlign w:val="center"/>
          </w:tcPr>
          <w:p>
            <w:pPr>
              <w:keepNext w:val="0"/>
              <w:keepLines w:val="0"/>
              <w:pageBreakBefore w:val="0"/>
              <w:kinsoku/>
              <w:overflowPunct/>
              <w:topLinePunct w:val="0"/>
              <w:autoSpaceDE/>
              <w:autoSpaceDN/>
              <w:bidi w:val="0"/>
              <w:adjustRightInd/>
              <w:snapToGrid/>
              <w:spacing w:line="360" w:lineRule="exact"/>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2.10</w:t>
            </w:r>
          </w:p>
        </w:tc>
        <w:tc>
          <w:tcPr>
            <w:tcW w:w="1305" w:type="dxa"/>
            <w:noWrap w:val="0"/>
            <w:vAlign w:val="center"/>
          </w:tcPr>
          <w:p>
            <w:pPr>
              <w:keepNext w:val="0"/>
              <w:keepLines w:val="0"/>
              <w:pageBreakBefore w:val="0"/>
              <w:kinsoku/>
              <w:overflowPunct/>
              <w:topLinePunct w:val="0"/>
              <w:autoSpaceDE/>
              <w:autoSpaceDN/>
              <w:bidi w:val="0"/>
              <w:adjustRightInd/>
              <w:snapToGrid/>
              <w:spacing w:line="360" w:lineRule="exact"/>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第二信封</w:t>
            </w:r>
          </w:p>
          <w:p>
            <w:pPr>
              <w:keepNext w:val="0"/>
              <w:keepLines w:val="0"/>
              <w:pageBreakBefore w:val="0"/>
              <w:kinsoku/>
              <w:overflowPunct/>
              <w:topLinePunct w:val="0"/>
              <w:autoSpaceDE/>
              <w:autoSpaceDN/>
              <w:bidi w:val="0"/>
              <w:adjustRightInd/>
              <w:snapToGrid/>
              <w:spacing w:line="360" w:lineRule="exact"/>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详细评审</w:t>
            </w:r>
          </w:p>
        </w:tc>
        <w:tc>
          <w:tcPr>
            <w:tcW w:w="7114" w:type="dxa"/>
            <w:noWrap w:val="0"/>
            <w:vAlign w:val="center"/>
          </w:tcPr>
          <w:p>
            <w:pPr>
              <w:keepNext w:val="0"/>
              <w:keepLines w:val="0"/>
              <w:pageBreakBefore w:val="0"/>
              <w:kinsoku/>
              <w:overflowPunct/>
              <w:topLinePunct w:val="0"/>
              <w:autoSpaceDE/>
              <w:autoSpaceDN/>
              <w:bidi w:val="0"/>
              <w:adjustRightInd/>
              <w:snapToGrid/>
              <w:spacing w:line="36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投标报价</w:t>
            </w:r>
            <w:r>
              <w:rPr>
                <w:rFonts w:hint="eastAsia" w:ascii="宋体" w:hAnsi="宋体" w:eastAsia="宋体" w:cs="宋体"/>
                <w:b/>
                <w:bCs/>
                <w:color w:val="auto"/>
                <w:sz w:val="22"/>
                <w:szCs w:val="22"/>
                <w:highlight w:val="none"/>
              </w:rPr>
              <w:t>（满分10分）</w:t>
            </w:r>
          </w:p>
          <w:p>
            <w:pPr>
              <w:keepNext w:val="0"/>
              <w:keepLines w:val="0"/>
              <w:pageBreakBefore w:val="0"/>
              <w:kinsoku/>
              <w:overflowPunct/>
              <w:topLinePunct w:val="0"/>
              <w:autoSpaceDE/>
              <w:autoSpaceDN/>
              <w:bidi w:val="0"/>
              <w:adjustRightInd/>
              <w:snapToGrid/>
              <w:spacing w:line="360" w:lineRule="exact"/>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注：</w:t>
            </w:r>
            <w:r>
              <w:rPr>
                <w:rFonts w:hint="eastAsia" w:ascii="宋体" w:hAnsi="宋体" w:eastAsia="宋体" w:cs="宋体"/>
                <w:b/>
                <w:bCs/>
                <w:snapToGrid w:val="0"/>
                <w:color w:val="auto"/>
                <w:kern w:val="0"/>
                <w:sz w:val="22"/>
                <w:szCs w:val="22"/>
                <w:highlight w:val="none"/>
              </w:rPr>
              <w:t>未通过第一信封评审和第二信封初步</w:t>
            </w:r>
            <w:r>
              <w:rPr>
                <w:rFonts w:hint="eastAsia" w:ascii="宋体" w:hAnsi="宋体" w:eastAsia="宋体" w:cs="宋体"/>
                <w:b/>
                <w:bCs/>
                <w:snapToGrid w:val="0"/>
                <w:color w:val="auto"/>
                <w:kern w:val="0"/>
                <w:sz w:val="22"/>
                <w:szCs w:val="22"/>
                <w:highlight w:val="none"/>
                <w:lang w:val="en-US" w:eastAsia="zh-CN"/>
              </w:rPr>
              <w:t>评审</w:t>
            </w:r>
            <w:r>
              <w:rPr>
                <w:rFonts w:hint="eastAsia" w:ascii="宋体" w:hAnsi="宋体" w:eastAsia="宋体" w:cs="宋体"/>
                <w:b/>
                <w:bCs/>
                <w:snapToGrid w:val="0"/>
                <w:color w:val="auto"/>
                <w:kern w:val="0"/>
                <w:sz w:val="22"/>
                <w:szCs w:val="22"/>
                <w:highlight w:val="none"/>
              </w:rPr>
              <w:t>和澄清的，</w:t>
            </w:r>
            <w:r>
              <w:rPr>
                <w:rFonts w:hint="eastAsia" w:ascii="宋体" w:hAnsi="宋体" w:eastAsia="宋体" w:cs="宋体"/>
                <w:b/>
                <w:color w:val="auto"/>
                <w:sz w:val="22"/>
                <w:szCs w:val="22"/>
                <w:highlight w:val="none"/>
              </w:rPr>
              <w:t>不再参与评第二信封详细评审。</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1" w:hRule="atLeast"/>
          <w:jc w:val="center"/>
        </w:trPr>
        <w:tc>
          <w:tcPr>
            <w:tcW w:w="979" w:type="dxa"/>
            <w:noWrap w:val="0"/>
            <w:vAlign w:val="center"/>
          </w:tcPr>
          <w:p>
            <w:pPr>
              <w:keepNext w:val="0"/>
              <w:keepLines w:val="0"/>
              <w:pageBreakBefore w:val="0"/>
              <w:kinsoku/>
              <w:overflowPunct/>
              <w:topLinePunct w:val="0"/>
              <w:autoSpaceDE/>
              <w:autoSpaceDN/>
              <w:bidi w:val="0"/>
              <w:adjustRightInd/>
              <w:snapToGrid/>
              <w:spacing w:line="360" w:lineRule="exact"/>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2.12</w:t>
            </w:r>
          </w:p>
        </w:tc>
        <w:tc>
          <w:tcPr>
            <w:tcW w:w="1305" w:type="dxa"/>
            <w:noWrap w:val="0"/>
            <w:vAlign w:val="center"/>
          </w:tcPr>
          <w:p>
            <w:pPr>
              <w:keepNext w:val="0"/>
              <w:keepLines w:val="0"/>
              <w:pageBreakBefore w:val="0"/>
              <w:kinsoku/>
              <w:overflowPunct/>
              <w:topLinePunct w:val="0"/>
              <w:autoSpaceDE/>
              <w:autoSpaceDN/>
              <w:bidi w:val="0"/>
              <w:adjustRightInd/>
              <w:snapToGrid/>
              <w:spacing w:line="360" w:lineRule="exact"/>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评标结果</w:t>
            </w:r>
          </w:p>
        </w:tc>
        <w:tc>
          <w:tcPr>
            <w:tcW w:w="7114" w:type="dxa"/>
            <w:noWrap w:val="0"/>
            <w:vAlign w:val="center"/>
          </w:tcPr>
          <w:p>
            <w:pPr>
              <w:keepNext w:val="0"/>
              <w:keepLines w:val="0"/>
              <w:pageBreakBefore w:val="0"/>
              <w:kinsoku/>
              <w:overflowPunct/>
              <w:topLinePunct w:val="0"/>
              <w:autoSpaceDE/>
              <w:autoSpaceDN/>
              <w:bidi w:val="0"/>
              <w:adjustRightInd/>
              <w:snapToGrid/>
              <w:spacing w:line="360" w:lineRule="exact"/>
              <w:textAlignment w:val="auto"/>
              <w:rPr>
                <w:rFonts w:hint="eastAsia" w:ascii="宋体" w:hAnsi="宋体" w:eastAsia="宋体" w:cs="宋体"/>
                <w:color w:val="auto"/>
                <w:sz w:val="22"/>
                <w:szCs w:val="22"/>
                <w:highlight w:val="none"/>
              </w:rPr>
            </w:pPr>
            <w:r>
              <w:rPr>
                <w:rFonts w:hint="eastAsia" w:ascii="宋体" w:hAnsi="宋体" w:eastAsia="宋体" w:cs="宋体"/>
                <w:b w:val="0"/>
                <w:bCs w:val="0"/>
                <w:color w:val="auto"/>
                <w:sz w:val="22"/>
                <w:szCs w:val="22"/>
                <w:highlight w:val="none"/>
                <w:u w:val="none"/>
              </w:rPr>
              <w:t>推荐的中标候选人的人数为3名（分别为第一、二、三中标候选人，不足三名，则按实际数量推荐）</w:t>
            </w:r>
            <w:r>
              <w:rPr>
                <w:rFonts w:hint="eastAsia" w:ascii="宋体" w:hAnsi="宋体" w:eastAsia="宋体" w:cs="宋体"/>
                <w:b w:val="0"/>
                <w:bCs w:val="0"/>
                <w:color w:val="auto"/>
                <w:kern w:val="0"/>
                <w:sz w:val="22"/>
                <w:szCs w:val="22"/>
                <w:highlight w:val="none"/>
                <w:u w:val="none"/>
              </w:rPr>
              <w:t>。</w:t>
            </w:r>
          </w:p>
        </w:tc>
      </w:tr>
    </w:tbl>
    <w:p>
      <w:pPr>
        <w:keepNext w:val="0"/>
        <w:keepLines w:val="0"/>
        <w:pageBreakBefore w:val="0"/>
        <w:widowControl/>
        <w:kinsoku/>
        <w:overflowPunct/>
        <w:topLinePunct w:val="0"/>
        <w:autoSpaceDE/>
        <w:autoSpaceDN/>
        <w:bidi w:val="0"/>
        <w:adjustRightInd/>
        <w:snapToGrid/>
        <w:spacing w:line="360" w:lineRule="exact"/>
        <w:jc w:val="righ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续上表</w:t>
      </w:r>
    </w:p>
    <w:tbl>
      <w:tblPr>
        <w:tblStyle w:val="30"/>
        <w:tblW w:w="9565"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716"/>
        <w:gridCol w:w="1959"/>
        <w:gridCol w:w="1215"/>
        <w:gridCol w:w="5675"/>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3890" w:type="dxa"/>
            <w:gridSpan w:val="3"/>
            <w:noWrap w:val="0"/>
            <w:vAlign w:val="center"/>
          </w:tcPr>
          <w:p>
            <w:pPr>
              <w:keepNext w:val="0"/>
              <w:keepLines w:val="0"/>
              <w:pageBreakBefore w:val="0"/>
              <w:widowControl w:val="0"/>
              <w:kinsoku/>
              <w:overflowPunct/>
              <w:topLinePunct w:val="0"/>
              <w:autoSpaceDE/>
              <w:autoSpaceDN/>
              <w:bidi w:val="0"/>
              <w:adjustRightInd/>
              <w:snapToGrid/>
              <w:spacing w:line="340" w:lineRule="exact"/>
              <w:jc w:val="center"/>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评审因素与评分值</w:t>
            </w:r>
          </w:p>
        </w:tc>
        <w:tc>
          <w:tcPr>
            <w:tcW w:w="5675" w:type="dxa"/>
            <w:vMerge w:val="restart"/>
            <w:noWrap w:val="0"/>
            <w:vAlign w:val="center"/>
          </w:tcPr>
          <w:p>
            <w:pPr>
              <w:keepNext w:val="0"/>
              <w:keepLines w:val="0"/>
              <w:pageBreakBefore w:val="0"/>
              <w:widowControl w:val="0"/>
              <w:kinsoku/>
              <w:overflowPunct/>
              <w:topLinePunct w:val="0"/>
              <w:autoSpaceDE/>
              <w:autoSpaceDN/>
              <w:bidi w:val="0"/>
              <w:adjustRightInd/>
              <w:snapToGrid/>
              <w:spacing w:line="340" w:lineRule="exact"/>
              <w:jc w:val="center"/>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各评审因素细分项</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34" w:hRule="atLeast"/>
          <w:jc w:val="center"/>
        </w:trPr>
        <w:tc>
          <w:tcPr>
            <w:tcW w:w="716"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序号</w:t>
            </w:r>
          </w:p>
        </w:tc>
        <w:tc>
          <w:tcPr>
            <w:tcW w:w="1959"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评审因素</w:t>
            </w:r>
          </w:p>
        </w:tc>
        <w:tc>
          <w:tcPr>
            <w:tcW w:w="1215"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评分因素权重分值</w:t>
            </w:r>
          </w:p>
        </w:tc>
        <w:tc>
          <w:tcPr>
            <w:tcW w:w="5675" w:type="dxa"/>
            <w:vMerge w:val="continue"/>
            <w:noWrap w:val="0"/>
            <w:vAlign w:val="center"/>
          </w:tcPr>
          <w:p>
            <w:pPr>
              <w:keepNext w:val="0"/>
              <w:keepLines w:val="0"/>
              <w:pageBreakBefore w:val="0"/>
              <w:widowControl w:val="0"/>
              <w:kinsoku/>
              <w:overflowPunct/>
              <w:topLinePunct w:val="0"/>
              <w:autoSpaceDE/>
              <w:autoSpaceDN/>
              <w:bidi w:val="0"/>
              <w:adjustRightInd/>
              <w:snapToGrid/>
              <w:spacing w:line="340" w:lineRule="exact"/>
              <w:jc w:val="center"/>
              <w:textAlignment w:val="auto"/>
              <w:rPr>
                <w:rFonts w:hint="eastAsia" w:ascii="宋体" w:hAnsi="宋体" w:eastAsia="宋体" w:cs="宋体"/>
                <w:color w:val="auto"/>
                <w:sz w:val="22"/>
                <w:szCs w:val="22"/>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716" w:type="dxa"/>
            <w:noWrap w:val="0"/>
            <w:vAlign w:val="center"/>
          </w:tcPr>
          <w:p>
            <w:pPr>
              <w:keepNext w:val="0"/>
              <w:keepLines w:val="0"/>
              <w:pageBreakBefore w:val="0"/>
              <w:widowControl w:val="0"/>
              <w:kinsoku/>
              <w:overflowPunct/>
              <w:topLinePunct w:val="0"/>
              <w:autoSpaceDE/>
              <w:autoSpaceDN/>
              <w:bidi w:val="0"/>
              <w:adjustRightInd/>
              <w:snapToGrid/>
              <w:spacing w:line="340" w:lineRule="exact"/>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1</w:t>
            </w:r>
          </w:p>
        </w:tc>
        <w:tc>
          <w:tcPr>
            <w:tcW w:w="1959" w:type="dxa"/>
            <w:noWrap w:val="0"/>
            <w:vAlign w:val="center"/>
          </w:tcPr>
          <w:p>
            <w:pPr>
              <w:keepNext w:val="0"/>
              <w:keepLines w:val="0"/>
              <w:pageBreakBefore w:val="0"/>
              <w:widowControl w:val="0"/>
              <w:kinsoku/>
              <w:overflowPunct/>
              <w:topLinePunct w:val="0"/>
              <w:autoSpaceDE/>
              <w:autoSpaceDN/>
              <w:bidi w:val="0"/>
              <w:adjustRightInd/>
              <w:snapToGrid/>
              <w:spacing w:line="340" w:lineRule="exact"/>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类似业绩</w:t>
            </w:r>
          </w:p>
        </w:tc>
        <w:tc>
          <w:tcPr>
            <w:tcW w:w="1215" w:type="dxa"/>
            <w:noWrap w:val="0"/>
            <w:vAlign w:val="center"/>
          </w:tcPr>
          <w:p>
            <w:pPr>
              <w:keepNext w:val="0"/>
              <w:keepLines w:val="0"/>
              <w:pageBreakBefore w:val="0"/>
              <w:widowControl w:val="0"/>
              <w:kinsoku/>
              <w:overflowPunct/>
              <w:topLinePunct w:val="0"/>
              <w:autoSpaceDE/>
              <w:autoSpaceDN/>
              <w:bidi w:val="0"/>
              <w:adjustRightInd/>
              <w:snapToGrid/>
              <w:spacing w:line="340" w:lineRule="exact"/>
              <w:jc w:val="center"/>
              <w:textAlignment w:val="auto"/>
              <w:rPr>
                <w:rFonts w:hint="default" w:ascii="宋体" w:hAnsi="宋体" w:eastAsia="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20</w:t>
            </w:r>
          </w:p>
        </w:tc>
        <w:tc>
          <w:tcPr>
            <w:tcW w:w="5675" w:type="dxa"/>
            <w:noWrap w:val="0"/>
            <w:vAlign w:val="center"/>
          </w:tcPr>
          <w:p>
            <w:pPr>
              <w:keepNext w:val="0"/>
              <w:keepLines w:val="0"/>
              <w:pageBreakBefore w:val="0"/>
              <w:kinsoku/>
              <w:wordWrap/>
              <w:overflowPunct/>
              <w:topLinePunct w:val="0"/>
              <w:bidi w:val="0"/>
              <w:adjustRightInd/>
              <w:snapToGrid/>
              <w:spacing w:line="340" w:lineRule="exact"/>
              <w:textAlignment w:val="auto"/>
              <w:rPr>
                <w:rFonts w:hint="eastAsia" w:ascii="宋体" w:hAnsi="宋体" w:eastAsia="宋体" w:cs="宋体"/>
                <w:b w:val="0"/>
                <w:bCs w:val="0"/>
                <w:snapToGrid w:val="0"/>
                <w:color w:val="auto"/>
                <w:kern w:val="0"/>
                <w:sz w:val="22"/>
                <w:szCs w:val="22"/>
                <w:highlight w:val="none"/>
                <w:lang w:val="en-US" w:eastAsia="zh-CN" w:bidi="ar-SA"/>
              </w:rPr>
            </w:pPr>
            <w:r>
              <w:rPr>
                <w:rFonts w:hint="eastAsia" w:ascii="宋体" w:hAnsi="宋体" w:cs="宋体"/>
                <w:color w:val="auto"/>
                <w:sz w:val="22"/>
                <w:szCs w:val="22"/>
                <w:highlight w:val="none"/>
                <w:lang w:val="en-US" w:eastAsia="zh-CN"/>
              </w:rPr>
              <w:t>满足资格条件要求的得基本分14分，在此基础上，每增加一个满足资格条件的企业业绩加3分，最多可加6分。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716" w:type="dxa"/>
            <w:noWrap w:val="0"/>
            <w:vAlign w:val="center"/>
          </w:tcPr>
          <w:p>
            <w:pPr>
              <w:keepNext w:val="0"/>
              <w:keepLines w:val="0"/>
              <w:pageBreakBefore w:val="0"/>
              <w:widowControl w:val="0"/>
              <w:kinsoku/>
              <w:overflowPunct/>
              <w:topLinePunct w:val="0"/>
              <w:autoSpaceDE/>
              <w:autoSpaceDN/>
              <w:bidi w:val="0"/>
              <w:adjustRightInd/>
              <w:snapToGrid/>
              <w:spacing w:line="340" w:lineRule="exact"/>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2</w:t>
            </w:r>
          </w:p>
        </w:tc>
        <w:tc>
          <w:tcPr>
            <w:tcW w:w="1959" w:type="dxa"/>
            <w:noWrap w:val="0"/>
            <w:vAlign w:val="center"/>
          </w:tcPr>
          <w:p>
            <w:pPr>
              <w:keepNext w:val="0"/>
              <w:keepLines w:val="0"/>
              <w:pageBreakBefore w:val="0"/>
              <w:widowControl w:val="0"/>
              <w:tabs>
                <w:tab w:val="left" w:pos="993"/>
              </w:tabs>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项目负责人</w:t>
            </w:r>
          </w:p>
        </w:tc>
        <w:tc>
          <w:tcPr>
            <w:tcW w:w="1215" w:type="dxa"/>
            <w:noWrap w:val="0"/>
            <w:vAlign w:val="center"/>
          </w:tcPr>
          <w:p>
            <w:pPr>
              <w:keepNext w:val="0"/>
              <w:keepLines w:val="0"/>
              <w:pageBreakBefore w:val="0"/>
              <w:widowControl w:val="0"/>
              <w:tabs>
                <w:tab w:val="left" w:pos="993"/>
              </w:tabs>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15</w:t>
            </w:r>
          </w:p>
        </w:tc>
        <w:tc>
          <w:tcPr>
            <w:tcW w:w="5675" w:type="dxa"/>
            <w:noWrap w:val="0"/>
            <w:vAlign w:val="center"/>
          </w:tcPr>
          <w:p>
            <w:pPr>
              <w:keepNext w:val="0"/>
              <w:keepLines w:val="0"/>
              <w:pageBreakBefore w:val="0"/>
              <w:kinsoku/>
              <w:wordWrap/>
              <w:overflowPunct/>
              <w:topLinePunct w:val="0"/>
              <w:bidi w:val="0"/>
              <w:adjustRightInd/>
              <w:snapToGrid/>
              <w:spacing w:line="340" w:lineRule="exact"/>
              <w:textAlignment w:val="auto"/>
              <w:rPr>
                <w:rFonts w:hint="default" w:ascii="宋体" w:hAnsi="宋体" w:cs="宋体"/>
                <w:color w:val="auto"/>
                <w:sz w:val="22"/>
                <w:szCs w:val="22"/>
                <w:highlight w:val="none"/>
                <w:lang w:val="en-US" w:eastAsia="zh-CN"/>
              </w:rPr>
            </w:pPr>
            <w:r>
              <w:rPr>
                <w:rFonts w:hint="eastAsia" w:ascii="宋体" w:hAnsi="宋体" w:cs="宋体"/>
                <w:color w:val="auto"/>
                <w:sz w:val="22"/>
                <w:szCs w:val="22"/>
                <w:highlight w:val="none"/>
                <w:lang w:val="en-US" w:eastAsia="zh-CN"/>
              </w:rPr>
              <w:t>满足资格条件要求的得基本分9分，在此基础上进行加分：</w:t>
            </w:r>
          </w:p>
          <w:p>
            <w:pPr>
              <w:keepNext w:val="0"/>
              <w:keepLines w:val="0"/>
              <w:pageBreakBefore w:val="0"/>
              <w:kinsoku/>
              <w:wordWrap/>
              <w:overflowPunct/>
              <w:topLinePunct w:val="0"/>
              <w:bidi w:val="0"/>
              <w:adjustRightInd/>
              <w:snapToGrid/>
              <w:spacing w:line="340" w:lineRule="exac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拟投入的项目负责人：</w:t>
            </w:r>
          </w:p>
          <w:p>
            <w:pPr>
              <w:keepNext w:val="0"/>
              <w:keepLines w:val="0"/>
              <w:pageBreakBefore w:val="0"/>
              <w:kinsoku/>
              <w:wordWrap/>
              <w:overflowPunct/>
              <w:topLinePunct w:val="0"/>
              <w:bidi w:val="0"/>
              <w:adjustRightInd/>
              <w:snapToGrid/>
              <w:spacing w:line="340" w:lineRule="exact"/>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①具有高级或以上技术职称的加</w:t>
            </w:r>
            <w:r>
              <w:rPr>
                <w:rFonts w:hint="eastAsia" w:ascii="宋体" w:hAnsi="宋体" w:cs="宋体"/>
                <w:color w:val="auto"/>
                <w:sz w:val="22"/>
                <w:szCs w:val="22"/>
                <w:highlight w:val="none"/>
                <w:lang w:val="en-US" w:eastAsia="zh-CN"/>
              </w:rPr>
              <w:t>2</w:t>
            </w:r>
            <w:r>
              <w:rPr>
                <w:rFonts w:hint="eastAsia" w:ascii="宋体" w:hAnsi="宋体" w:eastAsia="宋体" w:cs="宋体"/>
                <w:color w:val="auto"/>
                <w:sz w:val="22"/>
                <w:szCs w:val="22"/>
                <w:highlight w:val="none"/>
                <w:lang w:val="en-US" w:eastAsia="zh-CN"/>
              </w:rPr>
              <w:t>分。</w:t>
            </w:r>
          </w:p>
          <w:p>
            <w:pPr>
              <w:keepNext w:val="0"/>
              <w:keepLines w:val="0"/>
              <w:pageBreakBefore w:val="0"/>
              <w:kinsoku/>
              <w:wordWrap/>
              <w:overflowPunct/>
              <w:topLinePunct w:val="0"/>
              <w:bidi w:val="0"/>
              <w:adjustRightInd/>
              <w:snapToGrid/>
              <w:spacing w:line="340" w:lineRule="exact"/>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color w:val="auto"/>
                <w:sz w:val="22"/>
                <w:szCs w:val="22"/>
                <w:highlight w:val="none"/>
                <w:lang w:val="en-US" w:eastAsia="zh-CN"/>
              </w:rPr>
              <w:t>②项目负责人每增加一个</w:t>
            </w:r>
            <w:r>
              <w:rPr>
                <w:rFonts w:hint="eastAsia" w:ascii="宋体" w:hAnsi="宋体" w:cs="宋体"/>
                <w:color w:val="auto"/>
                <w:sz w:val="22"/>
                <w:szCs w:val="22"/>
                <w:highlight w:val="none"/>
                <w:lang w:val="en-US" w:eastAsia="zh-CN"/>
              </w:rPr>
              <w:t>满足资格</w:t>
            </w:r>
            <w:r>
              <w:rPr>
                <w:rFonts w:hint="eastAsia" w:ascii="宋体" w:hAnsi="宋体" w:cs="宋体"/>
                <w:b w:val="0"/>
                <w:bCs w:val="0"/>
                <w:color w:val="auto"/>
                <w:sz w:val="22"/>
                <w:szCs w:val="22"/>
                <w:highlight w:val="none"/>
                <w:lang w:val="en-US" w:eastAsia="zh-CN"/>
              </w:rPr>
              <w:t>条件的</w:t>
            </w:r>
            <w:r>
              <w:rPr>
                <w:rFonts w:hint="eastAsia" w:ascii="宋体" w:hAnsi="宋体" w:eastAsia="宋体" w:cs="宋体"/>
                <w:b w:val="0"/>
                <w:bCs w:val="0"/>
                <w:color w:val="auto"/>
                <w:sz w:val="22"/>
                <w:szCs w:val="22"/>
                <w:highlight w:val="none"/>
                <w:lang w:val="en-US" w:eastAsia="zh-CN"/>
              </w:rPr>
              <w:t>业绩加</w:t>
            </w:r>
            <w:r>
              <w:rPr>
                <w:rFonts w:hint="eastAsia" w:ascii="宋体" w:hAnsi="宋体" w:cs="宋体"/>
                <w:b w:val="0"/>
                <w:bCs w:val="0"/>
                <w:color w:val="auto"/>
                <w:sz w:val="22"/>
                <w:szCs w:val="22"/>
                <w:highlight w:val="none"/>
                <w:lang w:val="en-US" w:eastAsia="zh-CN"/>
              </w:rPr>
              <w:t>2</w:t>
            </w:r>
            <w:r>
              <w:rPr>
                <w:rFonts w:hint="eastAsia" w:ascii="宋体" w:hAnsi="宋体" w:eastAsia="宋体" w:cs="宋体"/>
                <w:b w:val="0"/>
                <w:bCs w:val="0"/>
                <w:color w:val="auto"/>
                <w:sz w:val="22"/>
                <w:szCs w:val="22"/>
                <w:highlight w:val="none"/>
                <w:lang w:val="en-US" w:eastAsia="zh-CN"/>
              </w:rPr>
              <w:t>分，最多加</w:t>
            </w:r>
            <w:r>
              <w:rPr>
                <w:rFonts w:hint="eastAsia" w:ascii="宋体" w:hAnsi="宋体" w:cs="宋体"/>
                <w:b w:val="0"/>
                <w:bCs w:val="0"/>
                <w:color w:val="auto"/>
                <w:sz w:val="22"/>
                <w:szCs w:val="22"/>
                <w:highlight w:val="none"/>
                <w:lang w:val="en-US" w:eastAsia="zh-CN"/>
              </w:rPr>
              <w:t>4</w:t>
            </w:r>
            <w:r>
              <w:rPr>
                <w:rFonts w:hint="eastAsia" w:ascii="宋体" w:hAnsi="宋体" w:eastAsia="宋体" w:cs="宋体"/>
                <w:b w:val="0"/>
                <w:bCs w:val="0"/>
                <w:color w:val="auto"/>
                <w:sz w:val="22"/>
                <w:szCs w:val="22"/>
                <w:highlight w:val="none"/>
                <w:lang w:val="en-US" w:eastAsia="zh-CN"/>
              </w:rPr>
              <w:t>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716" w:type="dxa"/>
            <w:noWrap w:val="0"/>
            <w:vAlign w:val="center"/>
          </w:tcPr>
          <w:p>
            <w:pPr>
              <w:keepNext w:val="0"/>
              <w:keepLines w:val="0"/>
              <w:pageBreakBefore w:val="0"/>
              <w:widowControl w:val="0"/>
              <w:kinsoku/>
              <w:overflowPunct/>
              <w:topLinePunct w:val="0"/>
              <w:autoSpaceDE/>
              <w:autoSpaceDN/>
              <w:bidi w:val="0"/>
              <w:adjustRightInd/>
              <w:snapToGrid/>
              <w:spacing w:line="340" w:lineRule="exact"/>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3</w:t>
            </w:r>
          </w:p>
        </w:tc>
        <w:tc>
          <w:tcPr>
            <w:tcW w:w="1959" w:type="dxa"/>
            <w:noWrap w:val="0"/>
            <w:vAlign w:val="center"/>
          </w:tcPr>
          <w:p>
            <w:pPr>
              <w:keepNext w:val="0"/>
              <w:keepLines w:val="0"/>
              <w:pageBreakBefore w:val="0"/>
              <w:widowControl w:val="0"/>
              <w:tabs>
                <w:tab w:val="left" w:pos="993"/>
              </w:tabs>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其他主要技术人员</w:t>
            </w:r>
          </w:p>
        </w:tc>
        <w:tc>
          <w:tcPr>
            <w:tcW w:w="1215" w:type="dxa"/>
            <w:noWrap w:val="0"/>
            <w:vAlign w:val="center"/>
          </w:tcPr>
          <w:p>
            <w:pPr>
              <w:keepNext w:val="0"/>
              <w:keepLines w:val="0"/>
              <w:pageBreakBefore w:val="0"/>
              <w:widowControl w:val="0"/>
              <w:tabs>
                <w:tab w:val="left" w:pos="993"/>
              </w:tabs>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10</w:t>
            </w:r>
          </w:p>
        </w:tc>
        <w:tc>
          <w:tcPr>
            <w:tcW w:w="5675"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both"/>
              <w:textAlignment w:val="auto"/>
              <w:rPr>
                <w:rFonts w:hint="eastAsia" w:ascii="宋体" w:hAnsi="宋体" w:eastAsia="宋体" w:cs="宋体"/>
                <w:b w:val="0"/>
                <w:bCs w:val="0"/>
                <w:color w:val="auto"/>
                <w:sz w:val="22"/>
                <w:szCs w:val="22"/>
                <w:highlight w:val="none"/>
                <w:lang w:eastAsia="zh-CN"/>
              </w:rPr>
            </w:pPr>
            <w:r>
              <w:rPr>
                <w:rFonts w:hint="eastAsia" w:ascii="宋体" w:hAnsi="宋体" w:eastAsia="宋体" w:cs="宋体"/>
                <w:color w:val="auto"/>
                <w:sz w:val="22"/>
                <w:szCs w:val="22"/>
                <w:highlight w:val="none"/>
              </w:rPr>
              <w:t>根据投入的具备考古发掘个人领队资格人员的数量、人员结构、从业经历、工作业绩等方面进行综合评分。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49" w:hRule="atLeast"/>
          <w:jc w:val="center"/>
        </w:trPr>
        <w:tc>
          <w:tcPr>
            <w:tcW w:w="716" w:type="dxa"/>
            <w:noWrap w:val="0"/>
            <w:vAlign w:val="center"/>
          </w:tcPr>
          <w:p>
            <w:pPr>
              <w:keepNext w:val="0"/>
              <w:keepLines w:val="0"/>
              <w:pageBreakBefore w:val="0"/>
              <w:widowControl w:val="0"/>
              <w:kinsoku/>
              <w:overflowPunct/>
              <w:topLinePunct w:val="0"/>
              <w:autoSpaceDE/>
              <w:autoSpaceDN/>
              <w:bidi w:val="0"/>
              <w:adjustRightInd/>
              <w:snapToGrid/>
              <w:spacing w:line="340" w:lineRule="exact"/>
              <w:jc w:val="center"/>
              <w:textAlignment w:val="auto"/>
              <w:rPr>
                <w:rFonts w:hint="eastAsia" w:ascii="宋体" w:hAnsi="宋体" w:eastAsia="宋体" w:cs="宋体"/>
                <w:b w:val="0"/>
                <w:bCs w:val="0"/>
                <w:color w:val="auto"/>
                <w:sz w:val="22"/>
                <w:szCs w:val="22"/>
                <w:highlight w:val="none"/>
                <w:lang w:eastAsia="zh-CN"/>
              </w:rPr>
            </w:pPr>
            <w:r>
              <w:rPr>
                <w:rFonts w:hint="eastAsia" w:ascii="宋体" w:hAnsi="宋体" w:eastAsia="宋体" w:cs="宋体"/>
                <w:b w:val="0"/>
                <w:bCs w:val="0"/>
                <w:color w:val="auto"/>
                <w:sz w:val="22"/>
                <w:szCs w:val="22"/>
                <w:highlight w:val="none"/>
                <w:lang w:val="en-US" w:eastAsia="zh-CN"/>
              </w:rPr>
              <w:t>4</w:t>
            </w:r>
          </w:p>
        </w:tc>
        <w:tc>
          <w:tcPr>
            <w:tcW w:w="8849" w:type="dxa"/>
            <w:gridSpan w:val="3"/>
            <w:noWrap w:val="0"/>
            <w:vAlign w:val="center"/>
          </w:tcPr>
          <w:p>
            <w:pPr>
              <w:keepNext w:val="0"/>
              <w:keepLines w:val="0"/>
              <w:pageBreakBefore w:val="0"/>
              <w:widowControl w:val="0"/>
              <w:kinsoku/>
              <w:overflowPunct/>
              <w:topLinePunct w:val="0"/>
              <w:autoSpaceDE/>
              <w:autoSpaceDN/>
              <w:bidi w:val="0"/>
              <w:adjustRightInd/>
              <w:snapToGrid/>
              <w:spacing w:line="340" w:lineRule="exact"/>
              <w:ind w:firstLine="440" w:firstLineChars="200"/>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snapToGrid w:val="0"/>
                <w:color w:val="auto"/>
                <w:kern w:val="0"/>
                <w:sz w:val="22"/>
                <w:szCs w:val="22"/>
                <w:highlight w:val="none"/>
              </w:rPr>
              <w:t>工作大纲</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716" w:type="dxa"/>
            <w:noWrap w:val="0"/>
            <w:vAlign w:val="center"/>
          </w:tcPr>
          <w:p>
            <w:pPr>
              <w:keepNext w:val="0"/>
              <w:keepLines w:val="0"/>
              <w:pageBreakBefore w:val="0"/>
              <w:widowControl w:val="0"/>
              <w:kinsoku/>
              <w:overflowPunct/>
              <w:topLinePunct w:val="0"/>
              <w:autoSpaceDE/>
              <w:autoSpaceDN/>
              <w:bidi w:val="0"/>
              <w:adjustRightInd/>
              <w:snapToGrid/>
              <w:spacing w:line="340" w:lineRule="exact"/>
              <w:jc w:val="right"/>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1）</w:t>
            </w:r>
          </w:p>
        </w:tc>
        <w:tc>
          <w:tcPr>
            <w:tcW w:w="1959" w:type="dxa"/>
            <w:noWrap w:val="0"/>
            <w:vAlign w:val="center"/>
          </w:tcPr>
          <w:p>
            <w:pPr>
              <w:keepNext w:val="0"/>
              <w:keepLines w:val="0"/>
              <w:pageBreakBefore w:val="0"/>
              <w:widowControl w:val="0"/>
              <w:tabs>
                <w:tab w:val="left" w:pos="993"/>
              </w:tabs>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sz w:val="22"/>
                <w:szCs w:val="22"/>
                <w:highlight w:val="none"/>
                <w:lang w:val="en-US" w:eastAsia="zh-CN"/>
              </w:rPr>
              <w:t>对本项目的理解</w:t>
            </w:r>
          </w:p>
        </w:tc>
        <w:tc>
          <w:tcPr>
            <w:tcW w:w="1215" w:type="dxa"/>
            <w:noWrap w:val="0"/>
            <w:vAlign w:val="center"/>
          </w:tcPr>
          <w:p>
            <w:pPr>
              <w:keepNext w:val="0"/>
              <w:keepLines w:val="0"/>
              <w:pageBreakBefore w:val="0"/>
              <w:widowControl w:val="0"/>
              <w:tabs>
                <w:tab w:val="left" w:pos="993"/>
              </w:tabs>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sz w:val="22"/>
                <w:szCs w:val="22"/>
                <w:highlight w:val="none"/>
                <w:lang w:val="en-US" w:eastAsia="zh-CN"/>
              </w:rPr>
              <w:t>10</w:t>
            </w:r>
          </w:p>
        </w:tc>
        <w:tc>
          <w:tcPr>
            <w:tcW w:w="5675"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ind w:right="0" w:rightChars="0"/>
              <w:textAlignment w:val="auto"/>
              <w:rPr>
                <w:rFonts w:hint="eastAsia" w:ascii="宋体" w:hAnsi="宋体" w:eastAsia="宋体" w:cs="宋体"/>
                <w:b w:val="0"/>
                <w:bCs w:val="0"/>
                <w:snapToGrid w:val="0"/>
                <w:color w:val="auto"/>
                <w:kern w:val="0"/>
                <w:sz w:val="22"/>
                <w:szCs w:val="22"/>
                <w:highlight w:val="none"/>
                <w:lang w:val="en-US" w:eastAsia="zh-CN" w:bidi="ar-SA"/>
              </w:rPr>
            </w:pPr>
            <w:r>
              <w:rPr>
                <w:rFonts w:hint="eastAsia" w:ascii="宋体" w:hAnsi="宋体" w:eastAsia="宋体" w:cs="宋体"/>
                <w:b w:val="0"/>
                <w:bCs w:val="0"/>
                <w:color w:val="auto"/>
                <w:sz w:val="22"/>
                <w:szCs w:val="22"/>
                <w:highlight w:val="none"/>
              </w:rPr>
              <w:t>根据</w:t>
            </w:r>
            <w:r>
              <w:rPr>
                <w:rFonts w:hint="eastAsia" w:ascii="宋体" w:hAnsi="宋体" w:eastAsia="宋体" w:cs="宋体"/>
                <w:b w:val="0"/>
                <w:bCs w:val="0"/>
                <w:color w:val="auto"/>
                <w:sz w:val="22"/>
                <w:szCs w:val="22"/>
                <w:highlight w:val="none"/>
                <w:lang w:val="en-US" w:eastAsia="zh-CN"/>
              </w:rPr>
              <w:t>投标人</w:t>
            </w:r>
            <w:r>
              <w:rPr>
                <w:rFonts w:hint="eastAsia" w:ascii="宋体" w:hAnsi="宋体" w:eastAsia="宋体" w:cs="宋体"/>
                <w:b w:val="0"/>
                <w:bCs w:val="0"/>
                <w:color w:val="auto"/>
                <w:sz w:val="22"/>
                <w:szCs w:val="22"/>
                <w:highlight w:val="none"/>
              </w:rPr>
              <w:t>对本项目的理解是否全面、深刻等方面进行综合评分。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716" w:type="dxa"/>
            <w:noWrap w:val="0"/>
            <w:vAlign w:val="center"/>
          </w:tcPr>
          <w:p>
            <w:pPr>
              <w:keepNext w:val="0"/>
              <w:keepLines w:val="0"/>
              <w:pageBreakBefore w:val="0"/>
              <w:widowControl w:val="0"/>
              <w:kinsoku/>
              <w:overflowPunct/>
              <w:topLinePunct w:val="0"/>
              <w:autoSpaceDE/>
              <w:autoSpaceDN/>
              <w:bidi w:val="0"/>
              <w:adjustRightInd/>
              <w:snapToGrid/>
              <w:spacing w:line="340" w:lineRule="exact"/>
              <w:jc w:val="right"/>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2）</w:t>
            </w:r>
          </w:p>
        </w:tc>
        <w:tc>
          <w:tcPr>
            <w:tcW w:w="1959" w:type="dxa"/>
            <w:noWrap w:val="0"/>
            <w:vAlign w:val="center"/>
          </w:tcPr>
          <w:p>
            <w:pPr>
              <w:keepNext w:val="0"/>
              <w:keepLines w:val="0"/>
              <w:pageBreakBefore w:val="0"/>
              <w:widowControl w:val="0"/>
              <w:tabs>
                <w:tab w:val="left" w:pos="993"/>
              </w:tabs>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工作的程序与</w:t>
            </w:r>
          </w:p>
          <w:p>
            <w:pPr>
              <w:keepNext w:val="0"/>
              <w:keepLines w:val="0"/>
              <w:pageBreakBefore w:val="0"/>
              <w:widowControl w:val="0"/>
              <w:tabs>
                <w:tab w:val="left" w:pos="993"/>
              </w:tabs>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sz w:val="22"/>
                <w:szCs w:val="22"/>
                <w:highlight w:val="none"/>
                <w:lang w:val="en-US" w:eastAsia="zh-CN"/>
              </w:rPr>
              <w:t>方法</w:t>
            </w:r>
          </w:p>
        </w:tc>
        <w:tc>
          <w:tcPr>
            <w:tcW w:w="1215" w:type="dxa"/>
            <w:noWrap w:val="0"/>
            <w:vAlign w:val="center"/>
          </w:tcPr>
          <w:p>
            <w:pPr>
              <w:keepNext w:val="0"/>
              <w:keepLines w:val="0"/>
              <w:pageBreakBefore w:val="0"/>
              <w:widowControl w:val="0"/>
              <w:tabs>
                <w:tab w:val="left" w:pos="993"/>
              </w:tabs>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sz w:val="22"/>
                <w:szCs w:val="22"/>
                <w:highlight w:val="none"/>
                <w:lang w:val="en-US" w:eastAsia="zh-CN"/>
              </w:rPr>
              <w:t>15</w:t>
            </w:r>
          </w:p>
        </w:tc>
        <w:tc>
          <w:tcPr>
            <w:tcW w:w="5675"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both"/>
              <w:textAlignment w:val="auto"/>
              <w:rPr>
                <w:rFonts w:hint="eastAsia" w:ascii="宋体" w:hAnsi="宋体" w:eastAsia="宋体" w:cs="宋体"/>
                <w:b w:val="0"/>
                <w:bCs w:val="0"/>
                <w:color w:val="auto"/>
                <w:kern w:val="2"/>
                <w:sz w:val="22"/>
                <w:szCs w:val="22"/>
                <w:highlight w:val="none"/>
                <w:lang w:val="en-GB" w:eastAsia="zh-CN" w:bidi="ar-SA"/>
              </w:rPr>
            </w:pPr>
            <w:r>
              <w:rPr>
                <w:rFonts w:hint="eastAsia" w:ascii="宋体" w:hAnsi="宋体" w:eastAsia="宋体" w:cs="宋体"/>
                <w:b w:val="0"/>
                <w:bCs w:val="0"/>
                <w:color w:val="auto"/>
                <w:sz w:val="22"/>
                <w:szCs w:val="22"/>
                <w:highlight w:val="none"/>
              </w:rPr>
              <w:t>工作方案、方法、指导思想、取得成果的可行性、针对性和可靠性，重点、难点分析及对策措施的可行性等方面进行综合评分。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24" w:hRule="atLeast"/>
          <w:jc w:val="center"/>
        </w:trPr>
        <w:tc>
          <w:tcPr>
            <w:tcW w:w="716" w:type="dxa"/>
            <w:noWrap w:val="0"/>
            <w:vAlign w:val="center"/>
          </w:tcPr>
          <w:p>
            <w:pPr>
              <w:keepNext w:val="0"/>
              <w:keepLines w:val="0"/>
              <w:pageBreakBefore w:val="0"/>
              <w:widowControl w:val="0"/>
              <w:kinsoku/>
              <w:overflowPunct/>
              <w:topLinePunct w:val="0"/>
              <w:autoSpaceDE/>
              <w:autoSpaceDN/>
              <w:bidi w:val="0"/>
              <w:adjustRightInd/>
              <w:snapToGrid/>
              <w:spacing w:line="340" w:lineRule="exact"/>
              <w:jc w:val="right"/>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3）</w:t>
            </w:r>
          </w:p>
        </w:tc>
        <w:tc>
          <w:tcPr>
            <w:tcW w:w="1959" w:type="dxa"/>
            <w:noWrap w:val="0"/>
            <w:vAlign w:val="center"/>
          </w:tcPr>
          <w:p>
            <w:pPr>
              <w:keepNext w:val="0"/>
              <w:keepLines w:val="0"/>
              <w:pageBreakBefore w:val="0"/>
              <w:widowControl w:val="0"/>
              <w:tabs>
                <w:tab w:val="left" w:pos="993"/>
              </w:tabs>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sz w:val="22"/>
                <w:szCs w:val="22"/>
                <w:highlight w:val="none"/>
                <w:lang w:val="en-US" w:eastAsia="zh-CN"/>
              </w:rPr>
              <w:t>工作服务的目标及保证措施</w:t>
            </w:r>
          </w:p>
        </w:tc>
        <w:tc>
          <w:tcPr>
            <w:tcW w:w="1215" w:type="dxa"/>
            <w:noWrap w:val="0"/>
            <w:vAlign w:val="center"/>
          </w:tcPr>
          <w:p>
            <w:pPr>
              <w:keepNext w:val="0"/>
              <w:keepLines w:val="0"/>
              <w:pageBreakBefore w:val="0"/>
              <w:widowControl w:val="0"/>
              <w:tabs>
                <w:tab w:val="left" w:pos="993"/>
              </w:tabs>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sz w:val="22"/>
                <w:szCs w:val="22"/>
                <w:highlight w:val="none"/>
                <w:lang w:val="en-US" w:eastAsia="zh-CN"/>
              </w:rPr>
              <w:t>15</w:t>
            </w:r>
          </w:p>
        </w:tc>
        <w:tc>
          <w:tcPr>
            <w:tcW w:w="5675"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both"/>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sz w:val="22"/>
                <w:szCs w:val="22"/>
                <w:highlight w:val="none"/>
              </w:rPr>
              <w:t>工作服务的目标、服务承诺、工作计划及保证进度的措施、工作质量与服务保证措施等方面进行综合评分。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716" w:type="dxa"/>
            <w:noWrap w:val="0"/>
            <w:vAlign w:val="center"/>
          </w:tcPr>
          <w:p>
            <w:pPr>
              <w:keepNext w:val="0"/>
              <w:keepLines w:val="0"/>
              <w:pageBreakBefore w:val="0"/>
              <w:widowControl w:val="0"/>
              <w:kinsoku/>
              <w:overflowPunct/>
              <w:topLinePunct w:val="0"/>
              <w:autoSpaceDE/>
              <w:autoSpaceDN/>
              <w:bidi w:val="0"/>
              <w:adjustRightInd/>
              <w:snapToGrid/>
              <w:spacing w:line="340" w:lineRule="exact"/>
              <w:jc w:val="right"/>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4）</w:t>
            </w:r>
          </w:p>
        </w:tc>
        <w:tc>
          <w:tcPr>
            <w:tcW w:w="1959" w:type="dxa"/>
            <w:noWrap w:val="0"/>
            <w:vAlign w:val="center"/>
          </w:tcPr>
          <w:p>
            <w:pPr>
              <w:keepNext w:val="0"/>
              <w:keepLines w:val="0"/>
              <w:pageBreakBefore w:val="0"/>
              <w:widowControl w:val="0"/>
              <w:tabs>
                <w:tab w:val="left" w:pos="993"/>
              </w:tabs>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snapToGrid w:val="0"/>
                <w:color w:val="auto"/>
                <w:kern w:val="0"/>
                <w:sz w:val="22"/>
                <w:szCs w:val="22"/>
                <w:highlight w:val="none"/>
                <w:lang w:val="en-US" w:eastAsia="zh-CN"/>
              </w:rPr>
              <w:t>投标人</w:t>
            </w:r>
            <w:r>
              <w:rPr>
                <w:rFonts w:hint="eastAsia" w:ascii="宋体" w:hAnsi="宋体" w:eastAsia="宋体" w:cs="宋体"/>
                <w:b w:val="0"/>
                <w:bCs w:val="0"/>
                <w:color w:val="auto"/>
                <w:sz w:val="22"/>
                <w:szCs w:val="22"/>
                <w:highlight w:val="none"/>
                <w:lang w:val="en-US" w:eastAsia="zh-CN"/>
              </w:rPr>
              <w:t>自身优势</w:t>
            </w:r>
          </w:p>
        </w:tc>
        <w:tc>
          <w:tcPr>
            <w:tcW w:w="1215" w:type="dxa"/>
            <w:noWrap w:val="0"/>
            <w:vAlign w:val="center"/>
          </w:tcPr>
          <w:p>
            <w:pPr>
              <w:keepNext w:val="0"/>
              <w:keepLines w:val="0"/>
              <w:pageBreakBefore w:val="0"/>
              <w:widowControl w:val="0"/>
              <w:tabs>
                <w:tab w:val="left" w:pos="993"/>
              </w:tabs>
              <w:kinsoku/>
              <w:wordWrap/>
              <w:overflowPunct/>
              <w:topLinePunct w:val="0"/>
              <w:autoSpaceDE w:val="0"/>
              <w:autoSpaceDN w:val="0"/>
              <w:bidi w:val="0"/>
              <w:adjustRightInd/>
              <w:snapToGrid/>
              <w:spacing w:line="340" w:lineRule="exact"/>
              <w:jc w:val="center"/>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sz w:val="22"/>
                <w:szCs w:val="22"/>
                <w:highlight w:val="none"/>
                <w:lang w:val="en-US" w:eastAsia="zh-CN"/>
              </w:rPr>
              <w:t>5</w:t>
            </w:r>
          </w:p>
        </w:tc>
        <w:tc>
          <w:tcPr>
            <w:tcW w:w="5675"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both"/>
              <w:textAlignment w:val="auto"/>
              <w:rPr>
                <w:rFonts w:hint="eastAsia" w:ascii="宋体" w:hAnsi="宋体" w:eastAsia="宋体" w:cs="宋体"/>
                <w:b w:val="0"/>
                <w:bCs w:val="0"/>
                <w:snapToGrid w:val="0"/>
                <w:color w:val="auto"/>
                <w:kern w:val="0"/>
                <w:sz w:val="22"/>
                <w:szCs w:val="22"/>
                <w:highlight w:val="none"/>
                <w:lang w:val="en-US" w:eastAsia="zh-CN" w:bidi="ar-SA"/>
              </w:rPr>
            </w:pPr>
            <w:r>
              <w:rPr>
                <w:rFonts w:hint="eastAsia" w:ascii="宋体" w:hAnsi="宋体" w:eastAsia="宋体" w:cs="宋体"/>
                <w:b w:val="0"/>
                <w:bCs w:val="0"/>
                <w:snapToGrid w:val="0"/>
                <w:color w:val="auto"/>
                <w:kern w:val="0"/>
                <w:sz w:val="22"/>
                <w:szCs w:val="22"/>
                <w:highlight w:val="none"/>
              </w:rPr>
              <w:t>根据</w:t>
            </w:r>
            <w:r>
              <w:rPr>
                <w:rFonts w:hint="eastAsia" w:ascii="宋体" w:hAnsi="宋体" w:eastAsia="宋体" w:cs="宋体"/>
                <w:b w:val="0"/>
                <w:bCs w:val="0"/>
                <w:snapToGrid w:val="0"/>
                <w:color w:val="auto"/>
                <w:kern w:val="0"/>
                <w:sz w:val="22"/>
                <w:szCs w:val="22"/>
                <w:highlight w:val="none"/>
                <w:lang w:val="en-US" w:eastAsia="zh-CN"/>
              </w:rPr>
              <w:t>投标人</w:t>
            </w:r>
            <w:r>
              <w:rPr>
                <w:rFonts w:hint="eastAsia" w:ascii="宋体" w:hAnsi="宋体" w:eastAsia="宋体" w:cs="宋体"/>
                <w:b w:val="0"/>
                <w:bCs w:val="0"/>
                <w:snapToGrid w:val="0"/>
                <w:color w:val="auto"/>
                <w:kern w:val="0"/>
                <w:sz w:val="22"/>
                <w:szCs w:val="22"/>
                <w:highlight w:val="none"/>
              </w:rPr>
              <w:t>综合实力</w:t>
            </w:r>
            <w:r>
              <w:rPr>
                <w:rFonts w:hint="eastAsia" w:ascii="宋体" w:hAnsi="宋体" w:cs="宋体"/>
                <w:b w:val="0"/>
                <w:bCs w:val="0"/>
                <w:snapToGrid w:val="0"/>
                <w:color w:val="auto"/>
                <w:kern w:val="0"/>
                <w:sz w:val="22"/>
                <w:szCs w:val="22"/>
                <w:highlight w:val="none"/>
                <w:lang w:eastAsia="zh-CN"/>
              </w:rPr>
              <w:t>、</w:t>
            </w:r>
            <w:r>
              <w:rPr>
                <w:rFonts w:hint="eastAsia" w:ascii="宋体" w:hAnsi="宋体" w:cs="宋体"/>
                <w:b w:val="0"/>
                <w:bCs w:val="0"/>
                <w:snapToGrid w:val="0"/>
                <w:color w:val="auto"/>
                <w:kern w:val="0"/>
                <w:sz w:val="22"/>
                <w:szCs w:val="22"/>
                <w:highlight w:val="none"/>
                <w:lang w:val="en-US" w:eastAsia="zh-CN"/>
              </w:rPr>
              <w:t>证书</w:t>
            </w:r>
            <w:r>
              <w:rPr>
                <w:rFonts w:hint="eastAsia" w:ascii="宋体" w:hAnsi="宋体" w:eastAsia="宋体" w:cs="宋体"/>
                <w:b w:val="0"/>
                <w:bCs w:val="0"/>
                <w:snapToGrid w:val="0"/>
                <w:color w:val="auto"/>
                <w:kern w:val="0"/>
                <w:sz w:val="22"/>
                <w:szCs w:val="22"/>
                <w:highlight w:val="none"/>
              </w:rPr>
              <w:t>以及</w:t>
            </w:r>
            <w:r>
              <w:rPr>
                <w:rFonts w:hint="eastAsia" w:ascii="宋体" w:hAnsi="宋体" w:eastAsia="宋体" w:cs="宋体"/>
                <w:b w:val="0"/>
                <w:bCs w:val="0"/>
                <w:snapToGrid w:val="0"/>
                <w:color w:val="auto"/>
                <w:kern w:val="0"/>
                <w:sz w:val="22"/>
                <w:szCs w:val="22"/>
                <w:highlight w:val="none"/>
                <w:lang w:val="en-US" w:eastAsia="zh-CN"/>
              </w:rPr>
              <w:t>投标人</w:t>
            </w:r>
            <w:r>
              <w:rPr>
                <w:rFonts w:hint="eastAsia" w:ascii="宋体" w:hAnsi="宋体" w:eastAsia="宋体" w:cs="宋体"/>
                <w:b w:val="0"/>
                <w:bCs w:val="0"/>
                <w:snapToGrid w:val="0"/>
                <w:color w:val="auto"/>
                <w:kern w:val="0"/>
                <w:sz w:val="22"/>
                <w:szCs w:val="22"/>
                <w:highlight w:val="none"/>
              </w:rPr>
              <w:t>完成</w:t>
            </w:r>
            <w:r>
              <w:rPr>
                <w:rFonts w:hint="eastAsia" w:ascii="宋体" w:hAnsi="宋体" w:eastAsia="宋体" w:cs="宋体"/>
                <w:b w:val="0"/>
                <w:bCs w:val="0"/>
                <w:snapToGrid w:val="0"/>
                <w:color w:val="auto"/>
                <w:kern w:val="0"/>
                <w:sz w:val="22"/>
                <w:szCs w:val="22"/>
                <w:highlight w:val="none"/>
                <w:lang w:val="en-US" w:eastAsia="zh-CN"/>
              </w:rPr>
              <w:t>本项目</w:t>
            </w:r>
            <w:r>
              <w:rPr>
                <w:rFonts w:hint="eastAsia" w:ascii="宋体" w:hAnsi="宋体" w:eastAsia="宋体" w:cs="宋体"/>
                <w:b w:val="0"/>
                <w:bCs w:val="0"/>
                <w:snapToGrid w:val="0"/>
                <w:color w:val="auto"/>
                <w:kern w:val="0"/>
                <w:sz w:val="22"/>
                <w:szCs w:val="22"/>
                <w:highlight w:val="none"/>
              </w:rPr>
              <w:t>优势等方面</w:t>
            </w:r>
            <w:r>
              <w:rPr>
                <w:rFonts w:hint="eastAsia" w:ascii="宋体" w:hAnsi="宋体" w:eastAsia="宋体" w:cs="宋体"/>
                <w:b w:val="0"/>
                <w:bCs w:val="0"/>
                <w:color w:val="auto"/>
                <w:sz w:val="22"/>
                <w:szCs w:val="22"/>
                <w:highlight w:val="none"/>
              </w:rPr>
              <w:t>进行综合评分。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716" w:type="dxa"/>
            <w:noWrap w:val="0"/>
            <w:vAlign w:val="center"/>
          </w:tcPr>
          <w:p>
            <w:pPr>
              <w:keepNext w:val="0"/>
              <w:keepLines w:val="0"/>
              <w:pageBreakBefore w:val="0"/>
              <w:widowControl w:val="0"/>
              <w:kinsoku/>
              <w:overflowPunct/>
              <w:topLinePunct w:val="0"/>
              <w:autoSpaceDE/>
              <w:autoSpaceDN/>
              <w:bidi w:val="0"/>
              <w:adjustRightInd/>
              <w:snapToGrid/>
              <w:spacing w:line="340" w:lineRule="exact"/>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w:t>
            </w:r>
          </w:p>
        </w:tc>
        <w:tc>
          <w:tcPr>
            <w:tcW w:w="1959" w:type="dxa"/>
            <w:noWrap w:val="0"/>
            <w:vAlign w:val="center"/>
          </w:tcPr>
          <w:p>
            <w:pPr>
              <w:keepNext w:val="0"/>
              <w:keepLines w:val="0"/>
              <w:pageBreakBefore w:val="0"/>
              <w:widowControl w:val="0"/>
              <w:kinsoku/>
              <w:overflowPunct/>
              <w:topLinePunct w:val="0"/>
              <w:autoSpaceDE/>
              <w:autoSpaceDN/>
              <w:bidi w:val="0"/>
              <w:adjustRightInd/>
              <w:snapToGrid/>
              <w:spacing w:line="340" w:lineRule="exact"/>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评标价</w:t>
            </w:r>
          </w:p>
        </w:tc>
        <w:tc>
          <w:tcPr>
            <w:tcW w:w="1215" w:type="dxa"/>
            <w:noWrap w:val="0"/>
            <w:vAlign w:val="center"/>
          </w:tcPr>
          <w:p>
            <w:pPr>
              <w:keepNext w:val="0"/>
              <w:keepLines w:val="0"/>
              <w:pageBreakBefore w:val="0"/>
              <w:widowControl w:val="0"/>
              <w:kinsoku/>
              <w:overflowPunct/>
              <w:topLinePunct w:val="0"/>
              <w:autoSpaceDE/>
              <w:autoSpaceDN/>
              <w:bidi w:val="0"/>
              <w:adjustRightInd/>
              <w:snapToGrid/>
              <w:spacing w:line="340" w:lineRule="exact"/>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w:t>
            </w:r>
          </w:p>
        </w:tc>
        <w:tc>
          <w:tcPr>
            <w:tcW w:w="5675"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auto"/>
              <w:rPr>
                <w:rFonts w:ascii="Times New Roman" w:hAnsi="Times New Roman" w:cs="Times New Roman"/>
                <w:b/>
                <w:bCs/>
                <w:color w:val="auto"/>
                <w:sz w:val="22"/>
                <w:szCs w:val="22"/>
                <w:highlight w:val="none"/>
              </w:rPr>
            </w:pPr>
            <w:r>
              <w:rPr>
                <w:rFonts w:hint="eastAsia" w:ascii="宋体" w:hAnsi="宋体" w:eastAsia="宋体" w:cs="宋体"/>
                <w:b/>
                <w:bCs/>
                <w:color w:val="auto"/>
                <w:kern w:val="0"/>
                <w:sz w:val="22"/>
                <w:szCs w:val="22"/>
                <w:highlight w:val="none"/>
                <w:lang w:val="en-US" w:eastAsia="zh-CN" w:bidi="ar"/>
              </w:rPr>
              <w:t>评标基准价的计算：</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auto"/>
              <w:rPr>
                <w:rFonts w:hint="eastAsia" w:ascii="宋体" w:hAnsi="宋体" w:eastAsia="宋体" w:cs="宋体"/>
                <w:b/>
                <w:bCs/>
                <w:color w:val="auto"/>
                <w:kern w:val="0"/>
                <w:sz w:val="22"/>
                <w:szCs w:val="22"/>
                <w:highlight w:val="none"/>
                <w:lang w:val="en-US" w:eastAsia="zh-CN" w:bidi="ar"/>
              </w:rPr>
            </w:pPr>
            <w:r>
              <w:rPr>
                <w:rFonts w:hint="eastAsia" w:ascii="宋体" w:hAnsi="宋体" w:eastAsia="宋体" w:cs="宋体"/>
                <w:b/>
                <w:bCs/>
                <w:color w:val="auto"/>
                <w:kern w:val="0"/>
                <w:sz w:val="22"/>
                <w:szCs w:val="22"/>
                <w:highlight w:val="none"/>
                <w:lang w:val="en-US" w:eastAsia="zh-CN" w:bidi="ar"/>
              </w:rPr>
              <w:t>在开标现场，招标人将当场计算并宣布评标基准价</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auto"/>
              <w:rPr>
                <w:rFonts w:ascii="Times New Roman" w:hAnsi="Times New Roman" w:cs="Times New Roman"/>
                <w:b/>
                <w:bCs/>
                <w:color w:val="auto"/>
                <w:sz w:val="22"/>
                <w:szCs w:val="22"/>
                <w:highlight w:val="none"/>
              </w:rPr>
            </w:pPr>
            <w:r>
              <w:rPr>
                <w:rFonts w:hint="eastAsia" w:ascii="宋体" w:hAnsi="宋体" w:eastAsia="宋体" w:cs="宋体"/>
                <w:b/>
                <w:bCs/>
                <w:color w:val="auto"/>
                <w:kern w:val="0"/>
                <w:sz w:val="22"/>
                <w:szCs w:val="22"/>
                <w:highlight w:val="none"/>
                <w:lang w:val="en-US" w:eastAsia="zh-CN" w:bidi="ar"/>
              </w:rPr>
              <w:t>(1)评标价的确定：</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auto"/>
              <w:rPr>
                <w:rFonts w:ascii="Times New Roman" w:hAnsi="Times New Roman" w:cs="Times New Roman"/>
                <w:b/>
                <w:bCs/>
                <w:color w:val="auto"/>
                <w:sz w:val="22"/>
                <w:szCs w:val="22"/>
                <w:highlight w:val="none"/>
              </w:rPr>
            </w:pPr>
            <w:r>
              <w:rPr>
                <w:rFonts w:hint="eastAsia" w:ascii="宋体" w:hAnsi="宋体" w:eastAsia="宋体" w:cs="宋体"/>
                <w:b/>
                <w:bCs/>
                <w:color w:val="auto"/>
                <w:kern w:val="0"/>
                <w:sz w:val="22"/>
                <w:szCs w:val="22"/>
                <w:highlight w:val="none"/>
                <w:lang w:val="en-US" w:eastAsia="zh-CN" w:bidi="ar"/>
              </w:rPr>
              <w:t>评标价=投标函文字报价</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auto"/>
              <w:rPr>
                <w:rFonts w:ascii="Times New Roman" w:hAnsi="Times New Roman" w:cs="Times New Roman"/>
                <w:b/>
                <w:bCs/>
                <w:color w:val="auto"/>
                <w:sz w:val="22"/>
                <w:szCs w:val="22"/>
                <w:highlight w:val="none"/>
              </w:rPr>
            </w:pPr>
            <w:r>
              <w:rPr>
                <w:rFonts w:hint="eastAsia" w:ascii="宋体" w:hAnsi="宋体" w:eastAsia="宋体" w:cs="宋体"/>
                <w:b/>
                <w:bCs/>
                <w:color w:val="auto"/>
                <w:kern w:val="0"/>
                <w:sz w:val="22"/>
                <w:szCs w:val="22"/>
                <w:highlight w:val="none"/>
                <w:lang w:val="en-US" w:eastAsia="zh-CN" w:bidi="ar"/>
              </w:rPr>
              <w:t>(2)基准价计算公示：</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auto"/>
              <w:rPr>
                <w:rFonts w:ascii="Times New Roman" w:hAnsi="Times New Roman" w:cs="Times New Roman"/>
                <w:b/>
                <w:bCs/>
                <w:color w:val="auto"/>
                <w:sz w:val="22"/>
                <w:szCs w:val="22"/>
                <w:highlight w:val="none"/>
              </w:rPr>
            </w:pPr>
            <w:r>
              <w:rPr>
                <w:rFonts w:hint="eastAsia" w:ascii="宋体" w:hAnsi="宋体" w:eastAsia="宋体" w:cs="宋体"/>
                <w:b/>
                <w:bCs/>
                <w:color w:val="auto"/>
                <w:kern w:val="0"/>
                <w:sz w:val="22"/>
                <w:szCs w:val="22"/>
                <w:highlight w:val="none"/>
                <w:lang w:val="en-US" w:eastAsia="zh-CN" w:bidi="ar"/>
              </w:rPr>
              <w:t>当n&lt;5时：C=[A*T+((a1+a2+a3+...+an)/n)*(1-T)]*K</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auto"/>
              <w:rPr>
                <w:rFonts w:hint="eastAsia" w:ascii="宋体" w:hAnsi="宋体" w:eastAsia="宋体" w:cs="宋体"/>
                <w:b/>
                <w:bCs/>
                <w:color w:val="auto"/>
                <w:kern w:val="0"/>
                <w:sz w:val="22"/>
                <w:szCs w:val="22"/>
                <w:highlight w:val="none"/>
                <w:lang w:val="en-US" w:eastAsia="zh-CN" w:bidi="ar"/>
              </w:rPr>
            </w:pPr>
            <w:r>
              <w:rPr>
                <w:rFonts w:hint="eastAsia" w:ascii="宋体" w:hAnsi="宋体" w:eastAsia="宋体" w:cs="宋体"/>
                <w:b/>
                <w:bCs/>
                <w:color w:val="auto"/>
                <w:kern w:val="0"/>
                <w:sz w:val="22"/>
                <w:szCs w:val="22"/>
                <w:highlight w:val="none"/>
                <w:lang w:val="en-US" w:eastAsia="zh-CN" w:bidi="ar"/>
              </w:rPr>
              <w:t>当5&lt;=n&lt;12时：</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auto"/>
              <w:rPr>
                <w:rFonts w:ascii="Times New Roman" w:hAnsi="Times New Roman" w:cs="Times New Roman"/>
                <w:b/>
                <w:bCs/>
                <w:color w:val="auto"/>
                <w:sz w:val="22"/>
                <w:szCs w:val="22"/>
                <w:highlight w:val="none"/>
              </w:rPr>
            </w:pPr>
            <w:r>
              <w:rPr>
                <w:rFonts w:hint="eastAsia" w:ascii="宋体" w:hAnsi="宋体" w:eastAsia="宋体" w:cs="宋体"/>
                <w:b/>
                <w:bCs/>
                <w:color w:val="auto"/>
                <w:kern w:val="0"/>
                <w:sz w:val="22"/>
                <w:szCs w:val="22"/>
                <w:highlight w:val="none"/>
                <w:lang w:val="en-US" w:eastAsia="zh-CN" w:bidi="ar"/>
              </w:rPr>
              <w:t>C=[A*T+((a1+a2+a3+...+an-M1-N1)/(n-2))*(1-T)]*K</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auto"/>
              <w:rPr>
                <w:rFonts w:hint="eastAsia" w:ascii="宋体" w:hAnsi="宋体" w:eastAsia="宋体" w:cs="宋体"/>
                <w:b/>
                <w:bCs/>
                <w:color w:val="auto"/>
                <w:kern w:val="0"/>
                <w:sz w:val="22"/>
                <w:szCs w:val="22"/>
                <w:highlight w:val="none"/>
                <w:lang w:val="en-US" w:eastAsia="zh-CN" w:bidi="ar"/>
              </w:rPr>
            </w:pPr>
            <w:r>
              <w:rPr>
                <w:rFonts w:hint="eastAsia" w:ascii="宋体" w:hAnsi="宋体" w:eastAsia="宋体" w:cs="宋体"/>
                <w:b/>
                <w:bCs/>
                <w:color w:val="auto"/>
                <w:kern w:val="0"/>
                <w:sz w:val="22"/>
                <w:szCs w:val="22"/>
                <w:highlight w:val="none"/>
                <w:lang w:val="en-US" w:eastAsia="zh-CN" w:bidi="ar"/>
              </w:rPr>
              <w:t>当12&lt;=n&lt;18时：</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auto"/>
              <w:rPr>
                <w:rFonts w:ascii="Times New Roman" w:hAnsi="Times New Roman" w:cs="Times New Roman"/>
                <w:b/>
                <w:bCs/>
                <w:color w:val="auto"/>
                <w:sz w:val="22"/>
                <w:szCs w:val="22"/>
                <w:highlight w:val="none"/>
              </w:rPr>
            </w:pPr>
            <w:r>
              <w:rPr>
                <w:rFonts w:hint="eastAsia" w:ascii="宋体" w:hAnsi="宋体" w:eastAsia="宋体" w:cs="宋体"/>
                <w:b/>
                <w:bCs/>
                <w:color w:val="auto"/>
                <w:kern w:val="0"/>
                <w:sz w:val="22"/>
                <w:szCs w:val="22"/>
                <w:highlight w:val="none"/>
                <w:lang w:val="en-US" w:eastAsia="zh-CN" w:bidi="ar"/>
              </w:rPr>
              <w:t>C=[A*T+((a1+a2+a3+...+an-M1-M2-N1-N2)/(n-4))*(1-T)]*K</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auto"/>
              <w:rPr>
                <w:rFonts w:hint="eastAsia" w:ascii="宋体" w:hAnsi="宋体" w:eastAsia="宋体" w:cs="宋体"/>
                <w:b/>
                <w:bCs/>
                <w:color w:val="auto"/>
                <w:kern w:val="0"/>
                <w:sz w:val="22"/>
                <w:szCs w:val="22"/>
                <w:highlight w:val="none"/>
                <w:lang w:val="en-US" w:eastAsia="zh-CN" w:bidi="ar"/>
              </w:rPr>
            </w:pPr>
            <w:r>
              <w:rPr>
                <w:rFonts w:hint="eastAsia" w:ascii="宋体" w:hAnsi="宋体" w:eastAsia="宋体" w:cs="宋体"/>
                <w:b/>
                <w:bCs/>
                <w:color w:val="auto"/>
                <w:kern w:val="0"/>
                <w:sz w:val="22"/>
                <w:szCs w:val="22"/>
                <w:highlight w:val="none"/>
                <w:lang w:val="en-US" w:eastAsia="zh-CN" w:bidi="ar"/>
              </w:rPr>
              <w:t>当18&lt;=n&lt;24时：</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auto"/>
              <w:rPr>
                <w:rFonts w:ascii="Times New Roman" w:hAnsi="Times New Roman" w:cs="Times New Roman"/>
                <w:b/>
                <w:bCs/>
                <w:color w:val="auto"/>
                <w:sz w:val="22"/>
                <w:szCs w:val="22"/>
                <w:highlight w:val="none"/>
              </w:rPr>
            </w:pPr>
            <w:r>
              <w:rPr>
                <w:rFonts w:hint="eastAsia" w:ascii="宋体" w:hAnsi="宋体" w:eastAsia="宋体" w:cs="宋体"/>
                <w:b/>
                <w:bCs/>
                <w:color w:val="auto"/>
                <w:kern w:val="0"/>
                <w:sz w:val="22"/>
                <w:szCs w:val="22"/>
                <w:highlight w:val="none"/>
                <w:lang w:val="en-US" w:eastAsia="zh-CN" w:bidi="ar"/>
              </w:rPr>
              <w:t>C=[A*T+((a1+a2+a3+...+an-M1-M2-M3-N1-N2-N3)/(n-6))*(1-T)]*K</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auto"/>
              <w:rPr>
                <w:rFonts w:hint="eastAsia" w:ascii="宋体" w:hAnsi="宋体" w:eastAsia="宋体" w:cs="宋体"/>
                <w:b/>
                <w:bCs/>
                <w:color w:val="auto"/>
                <w:kern w:val="0"/>
                <w:sz w:val="22"/>
                <w:szCs w:val="22"/>
                <w:highlight w:val="none"/>
                <w:lang w:val="en-US" w:eastAsia="zh-CN" w:bidi="ar"/>
              </w:rPr>
            </w:pPr>
            <w:r>
              <w:rPr>
                <w:rFonts w:hint="eastAsia" w:ascii="宋体" w:hAnsi="宋体" w:eastAsia="宋体" w:cs="宋体"/>
                <w:b/>
                <w:bCs/>
                <w:color w:val="auto"/>
                <w:kern w:val="0"/>
                <w:sz w:val="22"/>
                <w:szCs w:val="22"/>
                <w:highlight w:val="none"/>
                <w:lang w:val="en-US" w:eastAsia="zh-CN" w:bidi="ar"/>
              </w:rPr>
              <w:t>当24&lt;=n时：</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auto"/>
              <w:rPr>
                <w:rFonts w:ascii="Times New Roman" w:hAnsi="Times New Roman" w:cs="Times New Roman"/>
                <w:b/>
                <w:bCs/>
                <w:color w:val="auto"/>
                <w:sz w:val="22"/>
                <w:szCs w:val="22"/>
                <w:highlight w:val="none"/>
              </w:rPr>
            </w:pPr>
            <w:r>
              <w:rPr>
                <w:rFonts w:hint="eastAsia" w:ascii="宋体" w:hAnsi="宋体" w:eastAsia="宋体" w:cs="宋体"/>
                <w:b/>
                <w:bCs/>
                <w:color w:val="auto"/>
                <w:kern w:val="0"/>
                <w:sz w:val="22"/>
                <w:szCs w:val="22"/>
                <w:highlight w:val="none"/>
                <w:lang w:val="en-US" w:eastAsia="zh-CN" w:bidi="ar"/>
              </w:rPr>
              <w:t>C=[A*T+((a1+a2+a3+...+an-M1-M2-M3-M4-N1-N2-N3-N4)/(n-8))*(1-T)]*K</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auto"/>
              <w:rPr>
                <w:rFonts w:ascii="Times New Roman" w:hAnsi="Times New Roman" w:cs="Times New Roman"/>
                <w:b/>
                <w:bCs/>
                <w:color w:val="auto"/>
                <w:sz w:val="22"/>
                <w:szCs w:val="22"/>
                <w:highlight w:val="none"/>
              </w:rPr>
            </w:pPr>
            <w:r>
              <w:rPr>
                <w:rFonts w:hint="eastAsia" w:ascii="宋体" w:hAnsi="宋体" w:eastAsia="宋体" w:cs="宋体"/>
                <w:b/>
                <w:bCs/>
                <w:color w:val="auto"/>
                <w:kern w:val="0"/>
                <w:sz w:val="22"/>
                <w:szCs w:val="22"/>
                <w:highlight w:val="none"/>
                <w:lang w:val="en-US" w:eastAsia="zh-CN" w:bidi="ar"/>
              </w:rPr>
              <w:t>A=招标人设定投标控制价上限；</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auto"/>
              <w:rPr>
                <w:rFonts w:ascii="Times New Roman" w:hAnsi="Times New Roman" w:cs="Times New Roman"/>
                <w:b/>
                <w:bCs/>
                <w:color w:val="auto"/>
                <w:sz w:val="22"/>
                <w:szCs w:val="22"/>
                <w:highlight w:val="none"/>
              </w:rPr>
            </w:pPr>
            <w:r>
              <w:rPr>
                <w:rFonts w:hint="eastAsia" w:ascii="宋体" w:hAnsi="宋体" w:eastAsia="宋体" w:cs="宋体"/>
                <w:b/>
                <w:bCs/>
                <w:color w:val="auto"/>
                <w:kern w:val="0"/>
                <w:sz w:val="22"/>
                <w:szCs w:val="22"/>
                <w:highlight w:val="none"/>
                <w:lang w:val="en-US" w:eastAsia="zh-CN" w:bidi="ar"/>
              </w:rPr>
              <w:t>C—评标基准价；</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auto"/>
              <w:rPr>
                <w:rFonts w:ascii="Times New Roman" w:hAnsi="Times New Roman" w:cs="Times New Roman"/>
                <w:b/>
                <w:bCs/>
                <w:color w:val="auto"/>
                <w:sz w:val="22"/>
                <w:szCs w:val="22"/>
                <w:highlight w:val="none"/>
              </w:rPr>
            </w:pPr>
            <w:r>
              <w:rPr>
                <w:rFonts w:hint="eastAsia" w:ascii="宋体" w:hAnsi="宋体" w:eastAsia="宋体" w:cs="宋体"/>
                <w:b/>
                <w:bCs/>
                <w:color w:val="auto"/>
                <w:kern w:val="0"/>
                <w:sz w:val="22"/>
                <w:szCs w:val="22"/>
                <w:highlight w:val="none"/>
                <w:lang w:val="en-US" w:eastAsia="zh-CN" w:bidi="ar"/>
              </w:rPr>
              <w:t>T—投标控制价上限权重值，T的数值为0.3、0.35、0.4三个数值之一，开标现场由招标人纪检随机抽取产生；</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auto"/>
              <w:rPr>
                <w:rFonts w:ascii="Times New Roman" w:hAnsi="Times New Roman" w:cs="Times New Roman"/>
                <w:b/>
                <w:bCs/>
                <w:color w:val="auto"/>
                <w:sz w:val="22"/>
                <w:szCs w:val="22"/>
                <w:highlight w:val="none"/>
              </w:rPr>
            </w:pPr>
            <w:r>
              <w:rPr>
                <w:rFonts w:hint="eastAsia" w:ascii="宋体" w:hAnsi="宋体" w:eastAsia="宋体" w:cs="宋体"/>
                <w:b/>
                <w:bCs/>
                <w:color w:val="auto"/>
                <w:kern w:val="0"/>
                <w:sz w:val="22"/>
                <w:szCs w:val="22"/>
                <w:highlight w:val="none"/>
                <w:lang w:val="en-US" w:eastAsia="zh-CN" w:bidi="ar"/>
              </w:rPr>
              <w:t>K—评标基准价浮动系数，K的数值为0.99、1、1.01三个数值之一，开标现场由招标人纪检随机抽取产生；</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auto"/>
              <w:rPr>
                <w:rFonts w:ascii="Times New Roman" w:hAnsi="Times New Roman" w:cs="Times New Roman"/>
                <w:b/>
                <w:bCs/>
                <w:color w:val="auto"/>
                <w:sz w:val="22"/>
                <w:szCs w:val="22"/>
                <w:highlight w:val="none"/>
              </w:rPr>
            </w:pPr>
            <w:r>
              <w:rPr>
                <w:rFonts w:hint="eastAsia" w:ascii="宋体" w:hAnsi="宋体" w:eastAsia="宋体" w:cs="宋体"/>
                <w:b/>
                <w:bCs/>
                <w:color w:val="auto"/>
                <w:kern w:val="0"/>
                <w:sz w:val="22"/>
                <w:szCs w:val="22"/>
                <w:highlight w:val="none"/>
                <w:lang w:val="en-US" w:eastAsia="zh-CN" w:bidi="ar"/>
              </w:rPr>
              <w:t>ai—进入评标基准价计算的合格投标人的评标价（i＝1，2，…，n）；</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auto"/>
              <w:rPr>
                <w:rFonts w:ascii="Times New Roman" w:hAnsi="Times New Roman" w:cs="Times New Roman"/>
                <w:b/>
                <w:bCs/>
                <w:color w:val="auto"/>
                <w:sz w:val="22"/>
                <w:szCs w:val="22"/>
                <w:highlight w:val="none"/>
              </w:rPr>
            </w:pPr>
            <w:r>
              <w:rPr>
                <w:rFonts w:hint="eastAsia" w:ascii="宋体" w:hAnsi="宋体" w:eastAsia="宋体" w:cs="宋体"/>
                <w:b/>
                <w:bCs/>
                <w:color w:val="auto"/>
                <w:kern w:val="0"/>
                <w:sz w:val="22"/>
                <w:szCs w:val="22"/>
                <w:highlight w:val="none"/>
                <w:lang w:val="en-US" w:eastAsia="zh-CN" w:bidi="ar"/>
              </w:rPr>
              <w:t>n—进入评标基准价计算的合格投标人个数；</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auto"/>
              <w:rPr>
                <w:rFonts w:ascii="Times New Roman" w:hAnsi="Times New Roman" w:cs="Times New Roman"/>
                <w:b/>
                <w:bCs/>
                <w:color w:val="auto"/>
                <w:sz w:val="22"/>
                <w:szCs w:val="22"/>
                <w:highlight w:val="none"/>
              </w:rPr>
            </w:pPr>
            <w:r>
              <w:rPr>
                <w:rFonts w:hint="eastAsia" w:ascii="宋体" w:hAnsi="宋体" w:eastAsia="宋体" w:cs="宋体"/>
                <w:b/>
                <w:bCs/>
                <w:color w:val="auto"/>
                <w:kern w:val="0"/>
                <w:sz w:val="22"/>
                <w:szCs w:val="22"/>
                <w:highlight w:val="none"/>
                <w:lang w:val="en-US" w:eastAsia="zh-CN" w:bidi="ar"/>
              </w:rPr>
              <w:t>M—进入评标基准价计算的最高的合格投标人的评标价（M1为第一个最高评标价、M2为去掉M1后的一个最高评标价，M3为去掉M1和M2后的一个最高评标价，M4为去掉M1、M2和M3后的一个最高评标价）；</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auto"/>
              <w:rPr>
                <w:rFonts w:ascii="Times New Roman" w:hAnsi="Times New Roman" w:cs="Times New Roman"/>
                <w:b/>
                <w:bCs/>
                <w:color w:val="auto"/>
                <w:sz w:val="22"/>
                <w:szCs w:val="22"/>
                <w:highlight w:val="none"/>
              </w:rPr>
            </w:pPr>
            <w:r>
              <w:rPr>
                <w:rFonts w:hint="eastAsia" w:ascii="宋体" w:hAnsi="宋体" w:eastAsia="宋体" w:cs="宋体"/>
                <w:b/>
                <w:bCs/>
                <w:color w:val="auto"/>
                <w:kern w:val="0"/>
                <w:sz w:val="22"/>
                <w:szCs w:val="22"/>
                <w:highlight w:val="none"/>
                <w:lang w:val="en-US" w:eastAsia="zh-CN" w:bidi="ar"/>
              </w:rPr>
              <w:t>N—进入基准价计算最低的合格投标人有效报价（N1为第一个最低评标价、N2为去掉N1后的一个最低评标价，N3为去掉N1和N2后的一个最低评标价，N4为去掉N1、N2和N3后的一个最低评标价）</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auto"/>
              <w:rPr>
                <w:rFonts w:ascii="Times New Roman" w:hAnsi="Times New Roman" w:cs="Times New Roman"/>
                <w:b/>
                <w:bCs/>
                <w:color w:val="auto"/>
                <w:sz w:val="22"/>
                <w:szCs w:val="22"/>
                <w:highlight w:val="none"/>
              </w:rPr>
            </w:pPr>
            <w:r>
              <w:rPr>
                <w:rFonts w:hint="eastAsia" w:ascii="宋体" w:hAnsi="宋体" w:eastAsia="宋体" w:cs="宋体"/>
                <w:b/>
                <w:bCs/>
                <w:color w:val="auto"/>
                <w:kern w:val="0"/>
                <w:sz w:val="22"/>
                <w:szCs w:val="22"/>
                <w:highlight w:val="none"/>
                <w:lang w:val="en-US" w:eastAsia="zh-CN" w:bidi="ar"/>
              </w:rPr>
              <w:t>偏差率=100%×(投标人评标价－评标基准价)/评标基准价</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auto"/>
              <w:rPr>
                <w:rFonts w:ascii="Times New Roman" w:hAnsi="Times New Roman" w:cs="Times New Roman"/>
                <w:b/>
                <w:bCs/>
                <w:color w:val="auto"/>
                <w:sz w:val="22"/>
                <w:szCs w:val="22"/>
                <w:highlight w:val="none"/>
              </w:rPr>
            </w:pPr>
            <w:r>
              <w:rPr>
                <w:rFonts w:hint="eastAsia" w:ascii="宋体" w:hAnsi="宋体" w:eastAsia="宋体" w:cs="宋体"/>
                <w:b/>
                <w:bCs/>
                <w:color w:val="auto"/>
                <w:kern w:val="0"/>
                <w:sz w:val="22"/>
                <w:szCs w:val="22"/>
                <w:highlight w:val="none"/>
                <w:lang w:val="en-US" w:eastAsia="zh-CN" w:bidi="ar"/>
              </w:rPr>
              <w:t>当偏差率大于0：偏差率从0开始每递升1%减1分；</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auto"/>
              <w:rPr>
                <w:rFonts w:ascii="Times New Roman" w:hAnsi="Times New Roman" w:cs="Times New Roman"/>
                <w:b/>
                <w:bCs/>
                <w:color w:val="auto"/>
                <w:sz w:val="22"/>
                <w:szCs w:val="22"/>
                <w:highlight w:val="none"/>
              </w:rPr>
            </w:pPr>
            <w:r>
              <w:rPr>
                <w:rFonts w:hint="eastAsia" w:ascii="宋体" w:hAnsi="宋体" w:eastAsia="宋体" w:cs="宋体"/>
                <w:b/>
                <w:bCs/>
                <w:color w:val="auto"/>
                <w:kern w:val="0"/>
                <w:sz w:val="22"/>
                <w:szCs w:val="22"/>
                <w:highlight w:val="none"/>
                <w:lang w:val="en-US" w:eastAsia="zh-CN" w:bidi="ar"/>
              </w:rPr>
              <w:t>当偏差率等于0：报价分为满分；</w:t>
            </w:r>
          </w:p>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auto"/>
              <w:rPr>
                <w:rFonts w:ascii="Times New Roman" w:hAnsi="Times New Roman" w:cs="Times New Roman"/>
                <w:b/>
                <w:bCs/>
                <w:color w:val="auto"/>
                <w:sz w:val="22"/>
                <w:szCs w:val="22"/>
                <w:highlight w:val="none"/>
              </w:rPr>
            </w:pPr>
            <w:r>
              <w:rPr>
                <w:rFonts w:hint="eastAsia" w:ascii="宋体" w:hAnsi="宋体" w:eastAsia="宋体" w:cs="宋体"/>
                <w:b/>
                <w:bCs/>
                <w:color w:val="auto"/>
                <w:kern w:val="0"/>
                <w:sz w:val="22"/>
                <w:szCs w:val="22"/>
                <w:highlight w:val="none"/>
                <w:lang w:val="en-US" w:eastAsia="zh-CN" w:bidi="ar"/>
              </w:rPr>
              <w:t>当偏差率小于0：偏差率从0开始每降1%减0.5分。</w:t>
            </w:r>
          </w:p>
          <w:p>
            <w:pPr>
              <w:keepNext w:val="0"/>
              <w:keepLines w:val="0"/>
              <w:pageBreakBefore w:val="0"/>
              <w:widowControl w:val="0"/>
              <w:kinsoku/>
              <w:overflowPunct/>
              <w:topLinePunct w:val="0"/>
              <w:autoSpaceDE/>
              <w:autoSpaceDN/>
              <w:bidi w:val="0"/>
              <w:adjustRightInd/>
              <w:snapToGrid/>
              <w:spacing w:line="340" w:lineRule="exact"/>
              <w:textAlignment w:val="auto"/>
              <w:rPr>
                <w:rFonts w:hint="eastAsia" w:ascii="宋体" w:hAnsi="宋体" w:eastAsia="宋体" w:cs="宋体"/>
                <w:b/>
                <w:bCs/>
                <w:color w:val="auto"/>
                <w:sz w:val="22"/>
                <w:szCs w:val="22"/>
                <w:highlight w:val="none"/>
                <w:u w:val="none"/>
              </w:rPr>
            </w:pPr>
            <w:r>
              <w:rPr>
                <w:rFonts w:hint="eastAsia" w:ascii="宋体" w:hAnsi="宋体" w:eastAsia="宋体" w:cs="宋体"/>
                <w:b/>
                <w:bCs/>
                <w:color w:val="auto"/>
                <w:kern w:val="0"/>
                <w:sz w:val="22"/>
                <w:szCs w:val="22"/>
                <w:highlight w:val="none"/>
                <w:u w:val="none"/>
                <w:lang w:val="en-US" w:eastAsia="zh-CN"/>
              </w:rPr>
              <w:t>评标价得分最低分值为零分。评标价得分精确至小数点后两位。</w:t>
            </w:r>
          </w:p>
          <w:p>
            <w:pPr>
              <w:keepNext w:val="0"/>
              <w:keepLines w:val="0"/>
              <w:pageBreakBefore w:val="0"/>
              <w:widowControl w:val="0"/>
              <w:kinsoku/>
              <w:overflowPunct/>
              <w:topLinePunct w:val="0"/>
              <w:autoSpaceDE/>
              <w:autoSpaceDN/>
              <w:bidi w:val="0"/>
              <w:adjustRightInd/>
              <w:snapToGrid/>
              <w:spacing w:line="340" w:lineRule="exact"/>
              <w:jc w:val="left"/>
              <w:textAlignment w:val="auto"/>
              <w:rPr>
                <w:rFonts w:hint="eastAsia" w:ascii="宋体" w:hAnsi="宋体" w:eastAsia="宋体" w:cs="宋体"/>
                <w:snapToGrid w:val="0"/>
                <w:color w:val="auto"/>
                <w:kern w:val="0"/>
                <w:sz w:val="22"/>
                <w:szCs w:val="22"/>
                <w:highlight w:val="none"/>
              </w:rPr>
            </w:pPr>
            <w:r>
              <w:rPr>
                <w:rFonts w:hint="eastAsia" w:ascii="宋体" w:hAnsi="宋体" w:eastAsia="宋体" w:cs="宋体"/>
                <w:b/>
                <w:bCs/>
                <w:color w:val="auto"/>
                <w:kern w:val="0"/>
                <w:sz w:val="22"/>
                <w:szCs w:val="22"/>
                <w:highlight w:val="none"/>
                <w:lang w:val="en-US" w:eastAsia="zh-CN" w:bidi="ar"/>
              </w:rPr>
              <w:t>在评标过程中，评标委员会应对招标人计算的评标基准价进行复核，存在计算错误的应予以修正并在评标报告中做出说明。除此之外，评标基准价在整个评标期间保持不变，不随任何因素发生变化。（包括因投诉或其他原因而进行的评标复议期间）</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 w:hRule="atLeast"/>
          <w:jc w:val="center"/>
        </w:trPr>
        <w:tc>
          <w:tcPr>
            <w:tcW w:w="9565" w:type="dxa"/>
            <w:gridSpan w:val="4"/>
            <w:noWrap w:val="0"/>
            <w:vAlign w:val="center"/>
          </w:tcPr>
          <w:p>
            <w:pPr>
              <w:keepNext w:val="0"/>
              <w:keepLines w:val="0"/>
              <w:pageBreakBefore w:val="0"/>
              <w:widowControl w:val="0"/>
              <w:kinsoku/>
              <w:overflowPunct/>
              <w:topLinePunct w:val="0"/>
              <w:autoSpaceDE/>
              <w:autoSpaceDN/>
              <w:bidi w:val="0"/>
              <w:adjustRightInd/>
              <w:snapToGrid/>
              <w:spacing w:line="34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需要补充的其他内容：</w:t>
            </w:r>
          </w:p>
          <w:p>
            <w:pPr>
              <w:keepNext w:val="0"/>
              <w:keepLines w:val="0"/>
              <w:pageBreakBefore w:val="0"/>
              <w:widowControl w:val="0"/>
              <w:kinsoku/>
              <w:overflowPunct/>
              <w:topLinePunct w:val="0"/>
              <w:autoSpaceDE/>
              <w:autoSpaceDN/>
              <w:bidi w:val="0"/>
              <w:adjustRightInd/>
              <w:snapToGrid/>
              <w:spacing w:line="34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1.评标委员会首先依据本章第2.2款的规定对投标文件第一个信封（商务及技术文件）进行资格审查，有一项不符合评审标准的，作否决投标处理，且不再参与投标文件第二个信封（报价文件）开标、评审。</w:t>
            </w:r>
          </w:p>
          <w:p>
            <w:pPr>
              <w:keepNext w:val="0"/>
              <w:keepLines w:val="0"/>
              <w:pageBreakBefore w:val="0"/>
              <w:widowControl w:val="0"/>
              <w:kinsoku/>
              <w:overflowPunct/>
              <w:topLinePunct w:val="0"/>
              <w:autoSpaceDE/>
              <w:autoSpaceDN/>
              <w:bidi w:val="0"/>
              <w:adjustRightInd/>
              <w:snapToGrid/>
              <w:spacing w:line="34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2.评标委员会根据本章第2.3款的规定对投标文件第一个信封（商务及技术文件）进行形式与响应</w:t>
            </w:r>
            <w:r>
              <w:rPr>
                <w:rFonts w:hint="eastAsia" w:ascii="宋体" w:hAnsi="宋体" w:cs="宋体"/>
                <w:color w:val="auto"/>
                <w:sz w:val="22"/>
                <w:szCs w:val="22"/>
                <w:highlight w:val="none"/>
                <w:lang w:val="en-US" w:eastAsia="zh-CN"/>
              </w:rPr>
              <w:t>性</w:t>
            </w:r>
            <w:r>
              <w:rPr>
                <w:rFonts w:hint="eastAsia" w:ascii="宋体" w:hAnsi="宋体" w:eastAsia="宋体" w:cs="宋体"/>
                <w:color w:val="auto"/>
                <w:sz w:val="22"/>
                <w:szCs w:val="22"/>
                <w:highlight w:val="none"/>
              </w:rPr>
              <w:t>评审，有一项不符合评审标准的，作否决投标处理，且不再参与投标文件第二个信封（报价文件）开标、评审。</w:t>
            </w:r>
          </w:p>
          <w:p>
            <w:pPr>
              <w:keepNext w:val="0"/>
              <w:keepLines w:val="0"/>
              <w:pageBreakBefore w:val="0"/>
              <w:widowControl w:val="0"/>
              <w:kinsoku/>
              <w:overflowPunct/>
              <w:topLinePunct w:val="0"/>
              <w:autoSpaceDE/>
              <w:autoSpaceDN/>
              <w:bidi w:val="0"/>
              <w:adjustRightInd/>
              <w:snapToGrid/>
              <w:spacing w:line="340" w:lineRule="exact"/>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3</w:t>
            </w:r>
            <w:r>
              <w:rPr>
                <w:rFonts w:hint="eastAsia" w:ascii="宋体" w:hAnsi="宋体" w:eastAsia="宋体" w:cs="宋体"/>
                <w:color w:val="auto"/>
                <w:sz w:val="22"/>
                <w:szCs w:val="22"/>
                <w:highlight w:val="none"/>
              </w:rPr>
              <w:t>.</w:t>
            </w:r>
            <w:r>
              <w:rPr>
                <w:rFonts w:hint="eastAsia" w:ascii="宋体" w:hAnsi="宋体" w:eastAsia="宋体" w:cs="宋体"/>
                <w:b/>
                <w:color w:val="auto"/>
                <w:sz w:val="22"/>
                <w:szCs w:val="22"/>
                <w:highlight w:val="none"/>
              </w:rPr>
              <w:t>若有效投标文件不足三个，评标委员会应当认真审查有效投标是否具有竞争性，如认定投标具有竞争性的，可以进行评标，并在评标报告中载明；如认定投标明显缺乏竞争，决定否决全部投标的，招标人应当依法重新招标。</w:t>
            </w:r>
          </w:p>
          <w:p>
            <w:pPr>
              <w:keepNext w:val="0"/>
              <w:keepLines w:val="0"/>
              <w:pageBreakBefore w:val="0"/>
              <w:widowControl w:val="0"/>
              <w:kinsoku/>
              <w:overflowPunct/>
              <w:topLinePunct w:val="0"/>
              <w:autoSpaceDE/>
              <w:autoSpaceDN/>
              <w:bidi w:val="0"/>
              <w:adjustRightInd/>
              <w:snapToGrid/>
              <w:spacing w:line="34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4.评标委员会各成员应以投标人的投标文件及根据要求所提交的澄清文件为依据，在讨论的基础上独立评分，</w:t>
            </w:r>
            <w:r>
              <w:rPr>
                <w:rFonts w:hint="eastAsia" w:ascii="宋体" w:hAnsi="宋体" w:eastAsia="宋体" w:cs="宋体"/>
                <w:b/>
                <w:bCs/>
                <w:color w:val="auto"/>
                <w:sz w:val="22"/>
                <w:szCs w:val="22"/>
                <w:highlight w:val="none"/>
              </w:rPr>
              <w:t>各评分均保留至小数点后一位</w:t>
            </w:r>
            <w:r>
              <w:rPr>
                <w:rFonts w:hint="eastAsia" w:ascii="宋体" w:hAnsi="宋体" w:eastAsia="宋体" w:cs="宋体"/>
                <w:color w:val="auto"/>
                <w:sz w:val="22"/>
                <w:szCs w:val="22"/>
                <w:highlight w:val="none"/>
              </w:rPr>
              <w:t>，</w:t>
            </w:r>
            <w:r>
              <w:rPr>
                <w:rFonts w:hint="eastAsia" w:ascii="宋体" w:hAnsi="宋体" w:eastAsia="宋体" w:cs="宋体"/>
                <w:b/>
                <w:bCs/>
                <w:color w:val="auto"/>
                <w:sz w:val="22"/>
                <w:szCs w:val="22"/>
                <w:highlight w:val="none"/>
              </w:rPr>
              <w:t>评分分值计算保留小数点后两位</w:t>
            </w:r>
            <w:r>
              <w:rPr>
                <w:rFonts w:hint="eastAsia" w:ascii="宋体" w:hAnsi="宋体" w:eastAsia="宋体" w:cs="宋体"/>
                <w:color w:val="auto"/>
                <w:sz w:val="22"/>
                <w:szCs w:val="22"/>
                <w:highlight w:val="none"/>
              </w:rPr>
              <w:t>。对各评分因素评分低于其权重得分60%的需在评标报告予以说明。</w:t>
            </w:r>
          </w:p>
          <w:p>
            <w:pPr>
              <w:keepNext w:val="0"/>
              <w:keepLines w:val="0"/>
              <w:pageBreakBefore w:val="0"/>
              <w:widowControl w:val="0"/>
              <w:kinsoku/>
              <w:overflowPunct/>
              <w:topLinePunct w:val="0"/>
              <w:autoSpaceDE/>
              <w:autoSpaceDN/>
              <w:bidi w:val="0"/>
              <w:adjustRightInd/>
              <w:snapToGrid/>
              <w:spacing w:line="34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各评分因素细分项的得分以评标委员会各成员的评分平均值确定，评标委员会成员总数为7人及以上时，该平均值以去掉一个最高和一个最低分后计算；投标文件第一个信封评分分值为各项的评分之和。计算结果保留2位小数，小数点后第三位“四舍五入”。</w:t>
            </w:r>
          </w:p>
          <w:p>
            <w:pPr>
              <w:keepNext w:val="0"/>
              <w:keepLines w:val="0"/>
              <w:pageBreakBefore w:val="0"/>
              <w:widowControl w:val="0"/>
              <w:kinsoku/>
              <w:overflowPunct/>
              <w:topLinePunct w:val="0"/>
              <w:autoSpaceDE/>
              <w:autoSpaceDN/>
              <w:bidi w:val="0"/>
              <w:adjustRightInd/>
              <w:snapToGrid/>
              <w:spacing w:line="34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6.招标人仅对通过投标文件第一个信封商务及技术评审的投标人的投标文件第二个信封（报价文件）进行开标。</w:t>
            </w:r>
          </w:p>
          <w:p>
            <w:pPr>
              <w:keepNext w:val="0"/>
              <w:keepLines w:val="0"/>
              <w:pageBreakBefore w:val="0"/>
              <w:widowControl w:val="0"/>
              <w:kinsoku/>
              <w:overflowPunct/>
              <w:topLinePunct w:val="0"/>
              <w:autoSpaceDE/>
              <w:autoSpaceDN/>
              <w:bidi w:val="0"/>
              <w:adjustRightInd/>
              <w:snapToGrid/>
              <w:spacing w:line="340" w:lineRule="exac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7.评标委员会依据本章第2.7款的规定对投标文件第二个信封（报价文件）进行初步评审。</w:t>
            </w:r>
          </w:p>
          <w:p>
            <w:pPr>
              <w:keepNext w:val="0"/>
              <w:keepLines w:val="0"/>
              <w:pageBreakBefore w:val="0"/>
              <w:widowControl w:val="0"/>
              <w:kinsoku/>
              <w:overflowPunct/>
              <w:topLinePunct w:val="0"/>
              <w:autoSpaceDE/>
              <w:autoSpaceDN/>
              <w:bidi w:val="0"/>
              <w:adjustRightInd/>
              <w:snapToGrid/>
              <w:spacing w:line="340" w:lineRule="exact"/>
              <w:textAlignment w:val="auto"/>
              <w:rPr>
                <w:rFonts w:hint="eastAsia" w:ascii="宋体" w:hAnsi="宋体" w:eastAsia="宋体" w:cs="宋体"/>
                <w:color w:val="auto"/>
                <w:sz w:val="22"/>
                <w:szCs w:val="22"/>
                <w:highlight w:val="none"/>
                <w:u w:val="none"/>
              </w:rPr>
            </w:pPr>
            <w:r>
              <w:rPr>
                <w:rFonts w:hint="eastAsia" w:ascii="宋体" w:hAnsi="宋体" w:eastAsia="宋体" w:cs="宋体"/>
                <w:b w:val="0"/>
                <w:bCs w:val="0"/>
                <w:color w:val="auto"/>
                <w:kern w:val="0"/>
                <w:sz w:val="22"/>
                <w:szCs w:val="22"/>
                <w:highlight w:val="none"/>
                <w:u w:val="none"/>
                <w:lang w:val="en-US" w:eastAsia="zh-CN"/>
              </w:rPr>
              <w:t>8</w:t>
            </w:r>
            <w:r>
              <w:rPr>
                <w:rFonts w:hint="eastAsia" w:ascii="宋体" w:hAnsi="宋体" w:eastAsia="宋体" w:cs="宋体"/>
                <w:color w:val="auto"/>
                <w:sz w:val="22"/>
                <w:szCs w:val="22"/>
                <w:highlight w:val="none"/>
              </w:rPr>
              <w:t>.</w:t>
            </w:r>
            <w:r>
              <w:rPr>
                <w:rFonts w:hint="eastAsia" w:ascii="宋体" w:hAnsi="宋体" w:eastAsia="宋体" w:cs="宋体"/>
                <w:b w:val="0"/>
                <w:bCs w:val="0"/>
                <w:color w:val="auto"/>
                <w:kern w:val="0"/>
                <w:sz w:val="22"/>
                <w:szCs w:val="22"/>
                <w:highlight w:val="none"/>
                <w:u w:val="none"/>
                <w:lang w:val="en-US" w:eastAsia="zh-CN"/>
              </w:rPr>
              <w:t>评标价得分最低为0分。</w:t>
            </w:r>
          </w:p>
          <w:p>
            <w:pPr>
              <w:keepNext w:val="0"/>
              <w:keepLines w:val="0"/>
              <w:pageBreakBefore w:val="0"/>
              <w:widowControl w:val="0"/>
              <w:kinsoku/>
              <w:overflowPunct/>
              <w:topLinePunct w:val="0"/>
              <w:autoSpaceDE/>
              <w:autoSpaceDN/>
              <w:bidi w:val="0"/>
              <w:adjustRightInd/>
              <w:snapToGrid/>
              <w:spacing w:line="340" w:lineRule="exact"/>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9</w:t>
            </w:r>
            <w:r>
              <w:rPr>
                <w:rFonts w:hint="eastAsia" w:ascii="宋体" w:hAnsi="宋体" w:eastAsia="宋体" w:cs="宋体"/>
                <w:color w:val="auto"/>
                <w:sz w:val="22"/>
                <w:szCs w:val="22"/>
                <w:highlight w:val="none"/>
              </w:rPr>
              <w:t>.评标委员会按照综合得分</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第一信封得分和第二信封得分合计</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从高到低的顺序推荐中标候选人，得分最高者为第一中标候选人、第二、第三名依次为第二、第三中标候选人。综合得分相等时，评标委员会按照以下优先顺序推荐中标候选人：</w:t>
            </w:r>
          </w:p>
          <w:p>
            <w:pPr>
              <w:keepNext w:val="0"/>
              <w:keepLines w:val="0"/>
              <w:pageBreakBefore w:val="0"/>
              <w:widowControl w:val="0"/>
              <w:kinsoku/>
              <w:overflowPunct/>
              <w:topLinePunct w:val="0"/>
              <w:autoSpaceDE/>
              <w:autoSpaceDN/>
              <w:bidi w:val="0"/>
              <w:adjustRightInd/>
              <w:snapToGrid/>
              <w:spacing w:line="340" w:lineRule="exact"/>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（1）评标价低的投标人优先；</w:t>
            </w:r>
          </w:p>
          <w:p>
            <w:pPr>
              <w:keepNext w:val="0"/>
              <w:keepLines w:val="0"/>
              <w:pageBreakBefore w:val="0"/>
              <w:widowControl w:val="0"/>
              <w:kinsoku/>
              <w:overflowPunct/>
              <w:topLinePunct w:val="0"/>
              <w:autoSpaceDE/>
              <w:autoSpaceDN/>
              <w:bidi w:val="0"/>
              <w:adjustRightInd/>
              <w:snapToGrid/>
              <w:spacing w:line="340" w:lineRule="exact"/>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w:t>
            </w:r>
            <w:r>
              <w:rPr>
                <w:rFonts w:hint="eastAsia" w:ascii="宋体" w:hAnsi="宋体" w:eastAsia="宋体" w:cs="宋体"/>
                <w:b/>
                <w:color w:val="auto"/>
                <w:sz w:val="22"/>
                <w:szCs w:val="22"/>
                <w:highlight w:val="none"/>
                <w:lang w:val="en-US" w:eastAsia="zh-CN"/>
              </w:rPr>
              <w:t>2</w:t>
            </w:r>
            <w:r>
              <w:rPr>
                <w:rFonts w:hint="eastAsia" w:ascii="宋体" w:hAnsi="宋体" w:eastAsia="宋体" w:cs="宋体"/>
                <w:b/>
                <w:color w:val="auto"/>
                <w:sz w:val="22"/>
                <w:szCs w:val="22"/>
                <w:highlight w:val="none"/>
              </w:rPr>
              <w:t>）工作大纲得分较高的投标人优先；</w:t>
            </w:r>
          </w:p>
          <w:p>
            <w:pPr>
              <w:keepNext w:val="0"/>
              <w:keepLines w:val="0"/>
              <w:pageBreakBefore w:val="0"/>
              <w:widowControl w:val="0"/>
              <w:kinsoku/>
              <w:overflowPunct/>
              <w:topLinePunct w:val="0"/>
              <w:autoSpaceDE/>
              <w:autoSpaceDN/>
              <w:bidi w:val="0"/>
              <w:adjustRightInd/>
              <w:snapToGrid/>
              <w:spacing w:line="340" w:lineRule="exact"/>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w:t>
            </w:r>
            <w:r>
              <w:rPr>
                <w:rFonts w:hint="eastAsia" w:ascii="宋体" w:hAnsi="宋体" w:eastAsia="宋体" w:cs="宋体"/>
                <w:b/>
                <w:color w:val="auto"/>
                <w:sz w:val="22"/>
                <w:szCs w:val="22"/>
                <w:highlight w:val="none"/>
                <w:lang w:val="en-US" w:eastAsia="zh-CN"/>
              </w:rPr>
              <w:t>3</w:t>
            </w:r>
            <w:r>
              <w:rPr>
                <w:rFonts w:hint="eastAsia" w:ascii="宋体" w:hAnsi="宋体" w:eastAsia="宋体" w:cs="宋体"/>
                <w:b/>
                <w:color w:val="auto"/>
                <w:sz w:val="22"/>
                <w:szCs w:val="22"/>
                <w:highlight w:val="none"/>
              </w:rPr>
              <w:t>）评标委员会全体成员记名票决确定中标候选人。</w:t>
            </w:r>
          </w:p>
          <w:p>
            <w:pPr>
              <w:keepNext w:val="0"/>
              <w:keepLines w:val="0"/>
              <w:pageBreakBefore w:val="0"/>
              <w:widowControl w:val="0"/>
              <w:kinsoku/>
              <w:overflowPunct/>
              <w:topLinePunct w:val="0"/>
              <w:autoSpaceDE/>
              <w:autoSpaceDN/>
              <w:bidi w:val="0"/>
              <w:adjustRightInd/>
              <w:snapToGrid/>
              <w:spacing w:line="340" w:lineRule="exact"/>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10</w:t>
            </w:r>
            <w:r>
              <w:rPr>
                <w:rFonts w:hint="eastAsia" w:ascii="宋体" w:hAnsi="宋体" w:eastAsia="宋体" w:cs="宋体"/>
                <w:color w:val="auto"/>
                <w:sz w:val="22"/>
                <w:szCs w:val="22"/>
                <w:highlight w:val="none"/>
              </w:rPr>
              <w:t>.如果评标委员会认为在评标过程中有影响最终评标结果的不能确定的特殊问题，应在评标意见中记载并提请招标人决定。</w:t>
            </w:r>
          </w:p>
        </w:tc>
      </w:tr>
    </w:tbl>
    <w:p>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cs="宋体"/>
          <w:b/>
          <w:color w:val="auto"/>
          <w:sz w:val="22"/>
          <w:szCs w:val="22"/>
          <w:highlight w:val="none"/>
        </w:rPr>
      </w:pPr>
      <w:r>
        <w:rPr>
          <w:rFonts w:hint="eastAsia" w:ascii="宋体" w:hAnsi="宋体" w:cs="宋体"/>
          <w:color w:val="auto"/>
          <w:sz w:val="21"/>
          <w:szCs w:val="21"/>
          <w:highlight w:val="none"/>
        </w:rPr>
        <w:br w:type="page"/>
      </w:r>
      <w:r>
        <w:rPr>
          <w:rFonts w:hint="eastAsia" w:ascii="宋体" w:hAnsi="宋体" w:cs="宋体"/>
          <w:b/>
          <w:color w:val="auto"/>
          <w:sz w:val="22"/>
          <w:szCs w:val="22"/>
          <w:highlight w:val="none"/>
        </w:rPr>
        <w:t>1.总则</w:t>
      </w:r>
    </w:p>
    <w:p>
      <w:pPr>
        <w:keepNext w:val="0"/>
        <w:keepLines w:val="0"/>
        <w:pageBreakBefore w:val="0"/>
        <w:kinsoku/>
        <w:wordWrap/>
        <w:overflowPunct/>
        <w:topLinePunct w:val="0"/>
        <w:autoSpaceDE/>
        <w:autoSpaceDN/>
        <w:bidi w:val="0"/>
        <w:adjustRightInd w:val="0"/>
        <w:snapToGrid w:val="0"/>
        <w:spacing w:line="360" w:lineRule="auto"/>
        <w:ind w:firstLine="440" w:firstLineChars="200"/>
        <w:jc w:val="left"/>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本次评标采用综合评估法。评标委员会对满足招标文件实质性要求的投标文件，按照本章第2条规定的评分标准进行打分，并按得分由高到低顺序推荐中标候选人，或根据招标人授权直接确定中标人。</w:t>
      </w:r>
    </w:p>
    <w:p>
      <w:pPr>
        <w:keepNext w:val="0"/>
        <w:keepLines w:val="0"/>
        <w:pageBreakBefore w:val="0"/>
        <w:kinsoku/>
        <w:wordWrap/>
        <w:overflowPunct/>
        <w:topLinePunct w:val="0"/>
        <w:autoSpaceDE/>
        <w:autoSpaceDN/>
        <w:bidi w:val="0"/>
        <w:adjustRightInd w:val="0"/>
        <w:snapToGrid w:val="0"/>
        <w:spacing w:line="360" w:lineRule="auto"/>
        <w:ind w:firstLine="442" w:firstLineChars="200"/>
        <w:jc w:val="left"/>
        <w:textAlignment w:val="auto"/>
        <w:rPr>
          <w:rFonts w:hint="eastAsia" w:ascii="宋体" w:hAnsi="宋体" w:cs="宋体"/>
          <w:b/>
          <w:color w:val="auto"/>
          <w:sz w:val="22"/>
          <w:szCs w:val="22"/>
          <w:highlight w:val="none"/>
        </w:rPr>
      </w:pPr>
      <w:r>
        <w:rPr>
          <w:rFonts w:hint="eastAsia" w:ascii="宋体" w:hAnsi="宋体" w:cs="宋体"/>
          <w:b/>
          <w:color w:val="auto"/>
          <w:sz w:val="22"/>
          <w:szCs w:val="22"/>
          <w:highlight w:val="none"/>
        </w:rPr>
        <w:t>2.评标程序和评审标准</w:t>
      </w:r>
    </w:p>
    <w:p>
      <w:pPr>
        <w:keepNext w:val="0"/>
        <w:keepLines w:val="0"/>
        <w:pageBreakBefore w:val="0"/>
        <w:kinsoku/>
        <w:wordWrap/>
        <w:overflowPunct/>
        <w:topLinePunct w:val="0"/>
        <w:autoSpaceDE/>
        <w:autoSpaceDN/>
        <w:bidi w:val="0"/>
        <w:adjustRightInd w:val="0"/>
        <w:snapToGrid w:val="0"/>
        <w:spacing w:line="360" w:lineRule="auto"/>
        <w:ind w:firstLine="442" w:firstLineChars="200"/>
        <w:jc w:val="left"/>
        <w:textAlignment w:val="auto"/>
        <w:rPr>
          <w:rFonts w:hint="eastAsia" w:ascii="宋体" w:hAnsi="宋体" w:cs="宋体"/>
          <w:b/>
          <w:color w:val="auto"/>
          <w:sz w:val="22"/>
          <w:szCs w:val="22"/>
          <w:highlight w:val="none"/>
        </w:rPr>
      </w:pPr>
      <w:r>
        <w:rPr>
          <w:rFonts w:hint="eastAsia" w:ascii="宋体" w:hAnsi="宋体" w:cs="宋体"/>
          <w:b/>
          <w:color w:val="auto"/>
          <w:sz w:val="22"/>
          <w:szCs w:val="22"/>
          <w:highlight w:val="none"/>
        </w:rPr>
        <w:t>2.1 评标程序</w:t>
      </w:r>
    </w:p>
    <w:p>
      <w:pPr>
        <w:keepNext w:val="0"/>
        <w:keepLines w:val="0"/>
        <w:pageBreakBefore w:val="0"/>
        <w:kinsoku/>
        <w:wordWrap/>
        <w:overflowPunct/>
        <w:topLinePunct w:val="0"/>
        <w:autoSpaceDE/>
        <w:autoSpaceDN/>
        <w:bidi w:val="0"/>
        <w:adjustRightInd w:val="0"/>
        <w:snapToGrid w:val="0"/>
        <w:spacing w:line="360" w:lineRule="auto"/>
        <w:ind w:firstLine="440" w:firstLineChars="200"/>
        <w:jc w:val="left"/>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评标工作按以下程序进行：</w:t>
      </w:r>
    </w:p>
    <w:p>
      <w:pPr>
        <w:spacing w:line="360" w:lineRule="auto"/>
        <w:ind w:firstLine="440" w:firstLineChars="20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2.1.1 第一信封资格审查；</w:t>
      </w:r>
    </w:p>
    <w:p>
      <w:pPr>
        <w:spacing w:line="360" w:lineRule="auto"/>
        <w:ind w:firstLine="440" w:firstLineChars="20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第一信封形式与响应性评审；</w:t>
      </w:r>
    </w:p>
    <w:p>
      <w:pPr>
        <w:spacing w:line="360" w:lineRule="auto"/>
        <w:ind w:firstLine="440" w:firstLineChars="20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第一信封澄清（如果需要）；</w:t>
      </w:r>
    </w:p>
    <w:p>
      <w:pPr>
        <w:spacing w:line="360" w:lineRule="auto"/>
        <w:ind w:firstLine="440" w:firstLineChars="20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第一信封详细评审。</w:t>
      </w:r>
    </w:p>
    <w:p>
      <w:pPr>
        <w:spacing w:line="360" w:lineRule="auto"/>
        <w:ind w:firstLine="440" w:firstLineChars="20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2.1.2 第二信封初步评审；</w:t>
      </w:r>
    </w:p>
    <w:p>
      <w:pPr>
        <w:spacing w:line="360" w:lineRule="auto"/>
        <w:ind w:firstLine="440" w:firstLineChars="20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第二信封算术性修正</w:t>
      </w:r>
    </w:p>
    <w:p>
      <w:pPr>
        <w:spacing w:line="360" w:lineRule="auto"/>
        <w:ind w:firstLine="440" w:firstLineChars="20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第二信封澄清（如果需要）；</w:t>
      </w:r>
    </w:p>
    <w:p>
      <w:pPr>
        <w:spacing w:line="360" w:lineRule="auto"/>
        <w:ind w:firstLine="440" w:firstLineChars="20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第二信封详细评审。</w:t>
      </w:r>
    </w:p>
    <w:p>
      <w:pPr>
        <w:spacing w:line="360" w:lineRule="auto"/>
        <w:ind w:firstLine="440" w:firstLineChars="20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2.1.3 综合评价，推荐中标候选人。</w:t>
      </w:r>
    </w:p>
    <w:p>
      <w:pPr>
        <w:spacing w:line="360" w:lineRule="auto"/>
        <w:ind w:firstLine="440" w:firstLineChars="20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2.1.4 编写评标报告。</w:t>
      </w:r>
    </w:p>
    <w:p>
      <w:pPr>
        <w:spacing w:line="360" w:lineRule="auto"/>
        <w:ind w:firstLine="442" w:firstLineChars="200"/>
        <w:jc w:val="left"/>
        <w:rPr>
          <w:rFonts w:hint="eastAsia" w:ascii="宋体" w:hAnsi="宋体" w:cs="宋体"/>
          <w:b/>
          <w:color w:val="auto"/>
          <w:sz w:val="22"/>
          <w:szCs w:val="22"/>
          <w:highlight w:val="none"/>
        </w:rPr>
      </w:pPr>
      <w:r>
        <w:rPr>
          <w:rFonts w:hint="eastAsia" w:ascii="宋体" w:hAnsi="宋体" w:cs="宋体"/>
          <w:b/>
          <w:color w:val="auto"/>
          <w:sz w:val="22"/>
          <w:szCs w:val="22"/>
          <w:highlight w:val="none"/>
        </w:rPr>
        <w:t>2.2 第一信封资格审查</w:t>
      </w:r>
    </w:p>
    <w:p>
      <w:pPr>
        <w:spacing w:line="360" w:lineRule="auto"/>
        <w:ind w:firstLine="440" w:firstLineChars="20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评标委员会首先对投标人提交的资格审查表进行审查，有一项不符合评审标准的，作废标处理。通过资格审查的标准见“评标办法前附表”。评标委员会可以要求投标人提交有关证明和证件的原件，以便核验。</w:t>
      </w:r>
    </w:p>
    <w:p>
      <w:pPr>
        <w:spacing w:line="360" w:lineRule="auto"/>
        <w:ind w:firstLine="442" w:firstLineChars="200"/>
        <w:jc w:val="left"/>
        <w:rPr>
          <w:rFonts w:hint="eastAsia" w:ascii="宋体" w:hAnsi="宋体" w:cs="宋体"/>
          <w:b/>
          <w:color w:val="auto"/>
          <w:sz w:val="22"/>
          <w:szCs w:val="22"/>
          <w:highlight w:val="none"/>
        </w:rPr>
      </w:pPr>
      <w:r>
        <w:rPr>
          <w:rFonts w:hint="eastAsia" w:ascii="宋体" w:hAnsi="宋体" w:cs="宋体"/>
          <w:b/>
          <w:color w:val="auto"/>
          <w:sz w:val="22"/>
          <w:szCs w:val="22"/>
          <w:highlight w:val="none"/>
        </w:rPr>
        <w:t>2.3 第一信封形式与响应性评审</w:t>
      </w:r>
    </w:p>
    <w:p>
      <w:pPr>
        <w:spacing w:line="360" w:lineRule="auto"/>
        <w:ind w:firstLine="440" w:firstLineChars="200"/>
        <w:jc w:val="left"/>
        <w:rPr>
          <w:rFonts w:hint="eastAsia" w:ascii="宋体" w:hAnsi="宋体" w:cs="宋体"/>
          <w:color w:val="auto"/>
          <w:sz w:val="22"/>
          <w:szCs w:val="22"/>
          <w:highlight w:val="none"/>
        </w:rPr>
      </w:pPr>
      <w:r>
        <w:rPr>
          <w:rFonts w:hint="eastAsia" w:ascii="宋体" w:hAnsi="宋体" w:cs="宋体"/>
          <w:b w:val="0"/>
          <w:bCs w:val="0"/>
          <w:color w:val="auto"/>
          <w:sz w:val="22"/>
          <w:szCs w:val="22"/>
          <w:highlight w:val="none"/>
        </w:rPr>
        <w:t>评标委员会对通过资格审查的投标文件</w:t>
      </w:r>
      <w:r>
        <w:rPr>
          <w:rFonts w:hint="eastAsia" w:ascii="宋体" w:hAnsi="宋体" w:cs="宋体"/>
          <w:b w:val="0"/>
          <w:bCs w:val="0"/>
          <w:color w:val="auto"/>
          <w:sz w:val="22"/>
          <w:szCs w:val="22"/>
          <w:highlight w:val="none"/>
          <w:lang w:eastAsia="zh-CN"/>
        </w:rPr>
        <w:t>第一个信封（商务及技术文件）</w:t>
      </w:r>
      <w:r>
        <w:rPr>
          <w:rFonts w:hint="eastAsia" w:ascii="宋体" w:hAnsi="宋体" w:cs="宋体"/>
          <w:b w:val="0"/>
          <w:bCs w:val="0"/>
          <w:color w:val="auto"/>
          <w:sz w:val="22"/>
          <w:szCs w:val="22"/>
          <w:highlight w:val="none"/>
        </w:rPr>
        <w:t>进行初步形式与响应性评审，有一项不符合评审标准的，作废标处理。通过初步评审的标准见“评标办法前附表”。</w:t>
      </w:r>
    </w:p>
    <w:p>
      <w:pPr>
        <w:spacing w:line="360" w:lineRule="auto"/>
        <w:ind w:firstLine="442" w:firstLineChars="200"/>
        <w:jc w:val="left"/>
        <w:rPr>
          <w:rFonts w:hint="eastAsia" w:ascii="宋体" w:hAnsi="宋体" w:cs="宋体"/>
          <w:b/>
          <w:color w:val="auto"/>
          <w:sz w:val="22"/>
          <w:szCs w:val="22"/>
          <w:highlight w:val="none"/>
        </w:rPr>
      </w:pPr>
      <w:r>
        <w:rPr>
          <w:rFonts w:hint="eastAsia" w:ascii="宋体" w:hAnsi="宋体" w:cs="宋体"/>
          <w:b/>
          <w:color w:val="auto"/>
          <w:sz w:val="22"/>
          <w:szCs w:val="22"/>
          <w:highlight w:val="none"/>
        </w:rPr>
        <w:t>2.4 第一信封澄清</w:t>
      </w:r>
    </w:p>
    <w:p>
      <w:pPr>
        <w:spacing w:line="360" w:lineRule="auto"/>
        <w:ind w:firstLine="440" w:firstLineChars="20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在评标过程中，评标委员会可以书面形式要求投标人对所提交投标文件中含义不明确、对同类问题表述不一致或者有明显文字错误的内容作必要的澄清、说明或者补正。评标委员会不接受投标人主动提出的澄清、说明或补正。</w:t>
      </w:r>
    </w:p>
    <w:p>
      <w:pPr>
        <w:spacing w:line="360" w:lineRule="auto"/>
        <w:ind w:firstLine="440" w:firstLineChars="20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澄清、说明或者补正应以书面方式进行，并不得超出投标文件的范围或者改变投标文件的实质性内容。投标人的书面澄清、说明和补正属于投标文件的组成部分。</w:t>
      </w:r>
    </w:p>
    <w:p>
      <w:pPr>
        <w:spacing w:line="360" w:lineRule="auto"/>
        <w:ind w:firstLine="440" w:firstLineChars="20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评标委员会对投标人提交的澄清、说明或补正有疑问的，可以要求投标人进一步澄清、说明或补正，直至满足评标委员会的要求。凡超出招标文件规定的或给发包人带来未曾要求的利益的变化、偏差或其他因素在评标时不予考虑。</w:t>
      </w:r>
    </w:p>
    <w:p>
      <w:pPr>
        <w:spacing w:line="360" w:lineRule="auto"/>
        <w:ind w:firstLine="442" w:firstLineChars="200"/>
        <w:jc w:val="left"/>
        <w:rPr>
          <w:rFonts w:hint="eastAsia" w:ascii="宋体" w:hAnsi="宋体" w:cs="宋体"/>
          <w:b/>
          <w:color w:val="auto"/>
          <w:sz w:val="22"/>
          <w:szCs w:val="22"/>
          <w:highlight w:val="none"/>
        </w:rPr>
      </w:pPr>
      <w:r>
        <w:rPr>
          <w:rFonts w:hint="eastAsia" w:ascii="宋体" w:hAnsi="宋体" w:cs="宋体"/>
          <w:b/>
          <w:color w:val="auto"/>
          <w:sz w:val="22"/>
          <w:szCs w:val="22"/>
          <w:highlight w:val="none"/>
        </w:rPr>
        <w:t>2.5 第一信封详细评审</w:t>
      </w:r>
    </w:p>
    <w:p>
      <w:pPr>
        <w:spacing w:line="360" w:lineRule="auto"/>
        <w:ind w:firstLine="440" w:firstLineChars="20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评标委员会只对通过初步评审的投标文件</w:t>
      </w:r>
      <w:r>
        <w:rPr>
          <w:rFonts w:hint="eastAsia" w:ascii="宋体" w:hAnsi="宋体" w:cs="宋体"/>
          <w:color w:val="auto"/>
          <w:sz w:val="22"/>
          <w:szCs w:val="22"/>
          <w:highlight w:val="none"/>
          <w:lang w:eastAsia="zh-CN"/>
        </w:rPr>
        <w:t>第一个信封（商务及技术文件）</w:t>
      </w:r>
      <w:r>
        <w:rPr>
          <w:rFonts w:hint="eastAsia" w:ascii="宋体" w:hAnsi="宋体" w:cs="宋体"/>
          <w:color w:val="auto"/>
          <w:sz w:val="22"/>
          <w:szCs w:val="22"/>
          <w:highlight w:val="none"/>
        </w:rPr>
        <w:t>进行详细评审。评标委员会按“评标办法前附表”规定的评审因素和评分值进行评分，并计算出各投标人的商务和技术得分。</w:t>
      </w:r>
    </w:p>
    <w:p>
      <w:pPr>
        <w:spacing w:line="360" w:lineRule="auto"/>
        <w:ind w:firstLine="442" w:firstLineChars="200"/>
        <w:jc w:val="left"/>
        <w:rPr>
          <w:rFonts w:hint="eastAsia" w:ascii="宋体" w:hAnsi="宋体" w:cs="宋体"/>
          <w:b/>
          <w:color w:val="auto"/>
          <w:sz w:val="22"/>
          <w:szCs w:val="22"/>
          <w:highlight w:val="none"/>
        </w:rPr>
      </w:pPr>
      <w:r>
        <w:rPr>
          <w:rFonts w:hint="eastAsia" w:ascii="宋体" w:hAnsi="宋体" w:cs="宋体"/>
          <w:b/>
          <w:color w:val="auto"/>
          <w:sz w:val="22"/>
          <w:szCs w:val="22"/>
          <w:highlight w:val="none"/>
        </w:rPr>
        <w:t>2.6  第二信封开标</w:t>
      </w:r>
    </w:p>
    <w:p>
      <w:pPr>
        <w:spacing w:line="360" w:lineRule="auto"/>
        <w:ind w:firstLine="440" w:firstLineChars="200"/>
        <w:jc w:val="left"/>
        <w:rPr>
          <w:rFonts w:hint="eastAsia" w:ascii="宋体" w:hAnsi="宋体" w:cs="宋体"/>
          <w:color w:val="auto"/>
          <w:sz w:val="22"/>
          <w:szCs w:val="22"/>
          <w:highlight w:val="none"/>
        </w:rPr>
      </w:pPr>
      <w:r>
        <w:rPr>
          <w:rFonts w:hint="eastAsia" w:ascii="宋体" w:hAnsi="宋体" w:cs="宋体"/>
          <w:color w:val="auto"/>
          <w:sz w:val="22"/>
          <w:szCs w:val="22"/>
          <w:highlight w:val="none"/>
          <w:lang w:eastAsia="zh-CN"/>
        </w:rPr>
        <w:t>第一个信封（商务及技术文件）</w:t>
      </w:r>
      <w:r>
        <w:rPr>
          <w:rFonts w:hint="eastAsia" w:ascii="宋体" w:hAnsi="宋体" w:cs="宋体"/>
          <w:color w:val="auto"/>
          <w:sz w:val="22"/>
          <w:szCs w:val="22"/>
          <w:highlight w:val="none"/>
        </w:rPr>
        <w:t>评审结束后，招标人将对通过投标文件</w:t>
      </w:r>
      <w:r>
        <w:rPr>
          <w:rFonts w:hint="eastAsia" w:ascii="宋体" w:hAnsi="宋体" w:cs="宋体"/>
          <w:color w:val="auto"/>
          <w:sz w:val="22"/>
          <w:szCs w:val="22"/>
          <w:highlight w:val="none"/>
          <w:lang w:eastAsia="zh-CN"/>
        </w:rPr>
        <w:t>第一个信封（商务及技术文件）</w:t>
      </w:r>
      <w:r>
        <w:rPr>
          <w:rFonts w:hint="eastAsia" w:ascii="宋体" w:hAnsi="宋体" w:cs="宋体"/>
          <w:color w:val="auto"/>
          <w:sz w:val="22"/>
          <w:szCs w:val="22"/>
          <w:highlight w:val="none"/>
        </w:rPr>
        <w:t>评审的投标文件</w:t>
      </w:r>
      <w:r>
        <w:rPr>
          <w:rFonts w:hint="eastAsia" w:ascii="宋体" w:hAnsi="宋体" w:cs="宋体"/>
          <w:color w:val="auto"/>
          <w:sz w:val="22"/>
          <w:szCs w:val="22"/>
          <w:highlight w:val="none"/>
          <w:lang w:eastAsia="zh-CN"/>
        </w:rPr>
        <w:t>第二个信封（报价文件）</w:t>
      </w:r>
      <w:r>
        <w:rPr>
          <w:rFonts w:hint="eastAsia" w:ascii="宋体" w:hAnsi="宋体" w:cs="宋体"/>
          <w:color w:val="auto"/>
          <w:sz w:val="22"/>
          <w:szCs w:val="22"/>
          <w:highlight w:val="none"/>
        </w:rPr>
        <w:t>进行开标。未通过第一信封评审的，不再参与投标文件第二个信封（报价文件）开标、评审。</w:t>
      </w:r>
    </w:p>
    <w:p>
      <w:pPr>
        <w:spacing w:line="360" w:lineRule="auto"/>
        <w:ind w:firstLine="442" w:firstLineChars="200"/>
        <w:jc w:val="left"/>
        <w:rPr>
          <w:rFonts w:hint="eastAsia" w:ascii="宋体" w:hAnsi="宋体" w:cs="宋体"/>
          <w:b/>
          <w:color w:val="auto"/>
          <w:sz w:val="22"/>
          <w:szCs w:val="22"/>
          <w:highlight w:val="none"/>
        </w:rPr>
      </w:pPr>
      <w:r>
        <w:rPr>
          <w:rFonts w:hint="eastAsia" w:ascii="宋体" w:hAnsi="宋体" w:cs="宋体"/>
          <w:b/>
          <w:color w:val="auto"/>
          <w:sz w:val="22"/>
          <w:szCs w:val="22"/>
          <w:highlight w:val="none"/>
        </w:rPr>
        <w:t>2.7 第二信封初步评审</w:t>
      </w:r>
    </w:p>
    <w:p>
      <w:pPr>
        <w:spacing w:line="360" w:lineRule="auto"/>
        <w:ind w:firstLine="440" w:firstLineChars="20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评标委员会对通过投标文件</w:t>
      </w:r>
      <w:r>
        <w:rPr>
          <w:rFonts w:hint="eastAsia" w:ascii="宋体" w:hAnsi="宋体" w:cs="宋体"/>
          <w:color w:val="auto"/>
          <w:sz w:val="22"/>
          <w:szCs w:val="22"/>
          <w:highlight w:val="none"/>
          <w:lang w:eastAsia="zh-CN"/>
        </w:rPr>
        <w:t>第一个信封（商务及技术文件）</w:t>
      </w:r>
      <w:r>
        <w:rPr>
          <w:rFonts w:hint="eastAsia" w:ascii="宋体" w:hAnsi="宋体" w:cs="宋体"/>
          <w:color w:val="auto"/>
          <w:sz w:val="22"/>
          <w:szCs w:val="22"/>
          <w:highlight w:val="none"/>
        </w:rPr>
        <w:t>评审的投标文件</w:t>
      </w:r>
      <w:r>
        <w:rPr>
          <w:rFonts w:hint="eastAsia" w:ascii="宋体" w:hAnsi="宋体" w:cs="宋体"/>
          <w:color w:val="auto"/>
          <w:sz w:val="22"/>
          <w:szCs w:val="22"/>
          <w:highlight w:val="none"/>
          <w:lang w:eastAsia="zh-CN"/>
        </w:rPr>
        <w:t>第二个信封（报价文件）</w:t>
      </w:r>
      <w:r>
        <w:rPr>
          <w:rFonts w:hint="eastAsia" w:ascii="宋体" w:hAnsi="宋体" w:cs="宋体"/>
          <w:color w:val="auto"/>
          <w:sz w:val="22"/>
          <w:szCs w:val="22"/>
          <w:highlight w:val="none"/>
        </w:rPr>
        <w:t>进行初步评审，有一项不符合评审标准的，作废标处理。通过初步评审的标准见“评标办法前附表”。</w:t>
      </w:r>
    </w:p>
    <w:p>
      <w:pPr>
        <w:spacing w:line="360" w:lineRule="auto"/>
        <w:ind w:firstLine="442" w:firstLineChars="200"/>
        <w:jc w:val="left"/>
        <w:rPr>
          <w:rFonts w:hint="eastAsia" w:ascii="宋体" w:hAnsi="宋体" w:cs="宋体"/>
          <w:b/>
          <w:color w:val="auto"/>
          <w:sz w:val="22"/>
          <w:szCs w:val="22"/>
          <w:highlight w:val="none"/>
        </w:rPr>
      </w:pPr>
      <w:r>
        <w:rPr>
          <w:rFonts w:hint="eastAsia" w:ascii="宋体" w:hAnsi="宋体" w:cs="宋体"/>
          <w:b/>
          <w:color w:val="auto"/>
          <w:sz w:val="22"/>
          <w:szCs w:val="22"/>
          <w:highlight w:val="none"/>
        </w:rPr>
        <w:t>2.8 第二信封算术性修正</w:t>
      </w:r>
    </w:p>
    <w:p>
      <w:pPr>
        <w:spacing w:line="360" w:lineRule="auto"/>
        <w:ind w:firstLine="440" w:firstLineChars="20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评标委员会对通过投标文件</w:t>
      </w:r>
      <w:r>
        <w:rPr>
          <w:rFonts w:hint="eastAsia" w:ascii="宋体" w:hAnsi="宋体" w:cs="宋体"/>
          <w:color w:val="auto"/>
          <w:sz w:val="22"/>
          <w:szCs w:val="22"/>
          <w:highlight w:val="none"/>
          <w:lang w:eastAsia="zh-CN"/>
        </w:rPr>
        <w:t>第二个信封（报价文件）</w:t>
      </w:r>
      <w:r>
        <w:rPr>
          <w:rFonts w:hint="eastAsia" w:ascii="宋体" w:hAnsi="宋体" w:cs="宋体"/>
          <w:color w:val="auto"/>
          <w:sz w:val="22"/>
          <w:szCs w:val="22"/>
          <w:highlight w:val="none"/>
        </w:rPr>
        <w:t>初步评审的投标人的投标报价进行校核，并对其中的算术性错误予以修正。修正的原则如下：</w:t>
      </w:r>
    </w:p>
    <w:p>
      <w:pPr>
        <w:spacing w:line="360" w:lineRule="auto"/>
        <w:ind w:firstLine="440" w:firstLineChars="20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（1）大写金额与小写金额不一致的，以大写金额为准；</w:t>
      </w:r>
    </w:p>
    <w:p>
      <w:pPr>
        <w:spacing w:line="360" w:lineRule="auto"/>
        <w:ind w:firstLine="440" w:firstLineChars="20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（2）单价金额与数量相乘与合价金额不一致的，以单价金额为准；如果单价金额有明显的小数点位置差错，应以标出的合价金额为准，同时对单价金额予以修正；</w:t>
      </w:r>
    </w:p>
    <w:p>
      <w:pPr>
        <w:spacing w:line="360" w:lineRule="auto"/>
        <w:ind w:firstLine="440" w:firstLineChars="20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（3）合价金额累计与总价金额不一致的，以合价金额为准，修正总价金额。</w:t>
      </w:r>
    </w:p>
    <w:p>
      <w:pPr>
        <w:spacing w:line="360" w:lineRule="auto"/>
        <w:ind w:firstLine="442" w:firstLineChars="200"/>
        <w:jc w:val="left"/>
        <w:rPr>
          <w:rFonts w:hint="eastAsia" w:ascii="宋体" w:hAnsi="宋体" w:cs="宋体"/>
          <w:b/>
          <w:color w:val="auto"/>
          <w:sz w:val="22"/>
          <w:szCs w:val="22"/>
          <w:highlight w:val="none"/>
        </w:rPr>
      </w:pPr>
      <w:r>
        <w:rPr>
          <w:rFonts w:hint="eastAsia" w:ascii="宋体" w:hAnsi="宋体" w:cs="宋体"/>
          <w:b/>
          <w:color w:val="auto"/>
          <w:sz w:val="22"/>
          <w:szCs w:val="22"/>
          <w:highlight w:val="none"/>
        </w:rPr>
        <w:t>2.9 第二信封澄清</w:t>
      </w:r>
    </w:p>
    <w:p>
      <w:pPr>
        <w:spacing w:line="360" w:lineRule="auto"/>
        <w:ind w:firstLine="440" w:firstLineChars="20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算术性修正后的报价如果与投标人原报价不同，评标时将书面通知投标人进行澄清，投标人应确认算术性修正后的报价；如投标人拒绝确认，则其投标文件将不予评审，作废标处理。修正后的最终投标报价若超过最高投标限价，投标人的投标文件作废标处理。</w:t>
      </w:r>
    </w:p>
    <w:p>
      <w:pPr>
        <w:spacing w:line="360" w:lineRule="auto"/>
        <w:ind w:firstLine="442" w:firstLineChars="200"/>
        <w:jc w:val="left"/>
        <w:rPr>
          <w:rFonts w:hint="eastAsia" w:ascii="宋体" w:hAnsi="宋体" w:cs="宋体"/>
          <w:b/>
          <w:color w:val="auto"/>
          <w:sz w:val="22"/>
          <w:szCs w:val="22"/>
          <w:highlight w:val="none"/>
        </w:rPr>
      </w:pPr>
      <w:r>
        <w:rPr>
          <w:rFonts w:hint="eastAsia" w:ascii="宋体" w:hAnsi="宋体" w:cs="宋体"/>
          <w:b/>
          <w:color w:val="auto"/>
          <w:sz w:val="22"/>
          <w:szCs w:val="22"/>
          <w:highlight w:val="none"/>
        </w:rPr>
        <w:t>2.10 第二信封详细评审</w:t>
      </w:r>
    </w:p>
    <w:p>
      <w:pPr>
        <w:spacing w:line="360" w:lineRule="auto"/>
        <w:ind w:firstLine="440" w:firstLineChars="20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计算所有通过</w:t>
      </w:r>
      <w:r>
        <w:rPr>
          <w:rFonts w:hint="eastAsia" w:ascii="宋体" w:hAnsi="宋体" w:cs="宋体"/>
          <w:color w:val="auto"/>
          <w:sz w:val="22"/>
          <w:szCs w:val="22"/>
          <w:highlight w:val="none"/>
          <w:lang w:eastAsia="zh-CN"/>
        </w:rPr>
        <w:t>第二个信封（报价文件）</w:t>
      </w:r>
      <w:r>
        <w:rPr>
          <w:rFonts w:hint="eastAsia" w:ascii="宋体" w:hAnsi="宋体" w:cs="宋体"/>
          <w:color w:val="auto"/>
          <w:sz w:val="22"/>
          <w:szCs w:val="22"/>
          <w:highlight w:val="none"/>
        </w:rPr>
        <w:t>初步评审以及算术性修正后的投标人的投标价得分。投标价得分的计算方法见“评标办法前附表”。</w:t>
      </w:r>
    </w:p>
    <w:p>
      <w:pPr>
        <w:spacing w:line="360" w:lineRule="auto"/>
        <w:ind w:firstLine="442" w:firstLineChars="200"/>
        <w:jc w:val="left"/>
        <w:rPr>
          <w:rFonts w:hint="eastAsia" w:ascii="宋体" w:hAnsi="宋体" w:cs="宋体"/>
          <w:b/>
          <w:color w:val="auto"/>
          <w:sz w:val="22"/>
          <w:szCs w:val="22"/>
          <w:highlight w:val="none"/>
        </w:rPr>
      </w:pPr>
      <w:r>
        <w:rPr>
          <w:rFonts w:hint="eastAsia" w:ascii="宋体" w:hAnsi="宋体" w:cs="宋体"/>
          <w:b/>
          <w:color w:val="auto"/>
          <w:sz w:val="22"/>
          <w:szCs w:val="22"/>
          <w:highlight w:val="none"/>
        </w:rPr>
        <w:t>2.11 评标排序</w:t>
      </w:r>
    </w:p>
    <w:p>
      <w:pPr>
        <w:spacing w:line="360" w:lineRule="auto"/>
        <w:ind w:firstLine="440" w:firstLineChars="20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评标委员会成员应当按照评标办法的规定，独立评分并署名。各投标人的综合得分为商务和技术得分与报价得分之和。按照综合得分由高到低的顺序，评标委员会对投标人进行排名。</w:t>
      </w:r>
    </w:p>
    <w:p>
      <w:pPr>
        <w:spacing w:line="360" w:lineRule="auto"/>
        <w:ind w:firstLine="440" w:firstLineChars="20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评标委员会推荐综合得分排名第一的投标人为第一中标候选人，综合得分排名第二、第三的投标人分别为第二、第三中标候选人。</w:t>
      </w:r>
    </w:p>
    <w:p>
      <w:pPr>
        <w:spacing w:line="360" w:lineRule="auto"/>
        <w:ind w:firstLine="442" w:firstLineChars="200"/>
        <w:jc w:val="left"/>
        <w:rPr>
          <w:rFonts w:hint="eastAsia" w:ascii="宋体" w:hAnsi="宋体" w:cs="宋体"/>
          <w:b/>
          <w:color w:val="auto"/>
          <w:sz w:val="22"/>
          <w:szCs w:val="22"/>
          <w:highlight w:val="none"/>
        </w:rPr>
      </w:pPr>
      <w:r>
        <w:rPr>
          <w:rFonts w:hint="eastAsia" w:ascii="宋体" w:hAnsi="宋体" w:cs="宋体"/>
          <w:b/>
          <w:color w:val="auto"/>
          <w:sz w:val="22"/>
          <w:szCs w:val="22"/>
          <w:highlight w:val="none"/>
        </w:rPr>
        <w:t>2.12 评标结果</w:t>
      </w:r>
    </w:p>
    <w:p>
      <w:pPr>
        <w:pStyle w:val="28"/>
        <w:spacing w:before="0" w:after="0" w:line="360" w:lineRule="auto"/>
        <w:ind w:firstLine="440" w:firstLineChars="200"/>
        <w:jc w:val="left"/>
        <w:outlineLvl w:val="9"/>
        <w:rPr>
          <w:rFonts w:hint="eastAsia" w:ascii="宋体" w:hAnsi="宋体" w:cs="宋体"/>
          <w:b w:val="0"/>
          <w:bCs w:val="0"/>
          <w:color w:val="auto"/>
          <w:kern w:val="2"/>
          <w:sz w:val="22"/>
          <w:szCs w:val="22"/>
          <w:highlight w:val="none"/>
        </w:rPr>
      </w:pPr>
      <w:r>
        <w:rPr>
          <w:rFonts w:hint="eastAsia" w:ascii="宋体" w:hAnsi="宋体" w:cs="宋体"/>
          <w:b w:val="0"/>
          <w:bCs w:val="0"/>
          <w:color w:val="auto"/>
          <w:kern w:val="2"/>
          <w:sz w:val="22"/>
          <w:szCs w:val="22"/>
          <w:highlight w:val="none"/>
        </w:rPr>
        <w:t>评标委员会应当在评标工作完成后，按“评标办法前附表”规定的人数推荐中标候选人并向招标人提交书面评标报告。</w:t>
      </w:r>
    </w:p>
    <w:p>
      <w:pPr>
        <w:pStyle w:val="28"/>
        <w:spacing w:before="0" w:after="0" w:line="360" w:lineRule="auto"/>
        <w:rPr>
          <w:rFonts w:hint="eastAsia" w:cs="Arial"/>
          <w:color w:val="auto"/>
          <w:sz w:val="32"/>
          <w:szCs w:val="22"/>
          <w:highlight w:val="none"/>
        </w:rPr>
      </w:pPr>
      <w:r>
        <w:rPr>
          <w:rFonts w:ascii="宋体" w:hAnsi="宋体"/>
          <w:color w:val="auto"/>
          <w:sz w:val="22"/>
          <w:szCs w:val="22"/>
          <w:highlight w:val="none"/>
        </w:rPr>
        <w:br w:type="page"/>
      </w:r>
      <w:bookmarkStart w:id="69" w:name="_Toc300760821"/>
      <w:bookmarkStart w:id="70" w:name="_Toc33625856"/>
      <w:r>
        <w:rPr>
          <w:rFonts w:hint="eastAsia" w:cs="Arial"/>
          <w:color w:val="auto"/>
          <w:sz w:val="32"/>
          <w:szCs w:val="22"/>
          <w:highlight w:val="none"/>
        </w:rPr>
        <w:t>第四章 合同条款</w:t>
      </w:r>
      <w:bookmarkEnd w:id="69"/>
      <w:bookmarkStart w:id="71" w:name="_Toc43117627"/>
      <w:bookmarkStart w:id="72" w:name="_Toc16408980"/>
      <w:bookmarkStart w:id="73" w:name="_Toc142466840"/>
      <w:bookmarkStart w:id="74" w:name="_Toc142467793"/>
      <w:bookmarkStart w:id="75" w:name="_Toc258313639"/>
      <w:r>
        <w:rPr>
          <w:rFonts w:hint="eastAsia" w:cs="Arial"/>
          <w:color w:val="auto"/>
          <w:sz w:val="32"/>
          <w:szCs w:val="22"/>
          <w:highlight w:val="none"/>
        </w:rPr>
        <w:t>及格式</w:t>
      </w:r>
      <w:bookmarkEnd w:id="70"/>
    </w:p>
    <w:p>
      <w:pPr>
        <w:keepNext w:val="0"/>
        <w:keepLines w:val="0"/>
        <w:pageBreakBefore w:val="0"/>
        <w:widowControl w:val="0"/>
        <w:tabs>
          <w:tab w:val="left" w:pos="360"/>
        </w:tabs>
        <w:kinsoku/>
        <w:wordWrap/>
        <w:overflowPunct/>
        <w:topLinePunct w:val="0"/>
        <w:bidi w:val="0"/>
        <w:adjustRightInd/>
        <w:snapToGrid/>
        <w:spacing w:line="360" w:lineRule="auto"/>
        <w:ind w:left="0" w:leftChars="0" w:firstLine="442" w:firstLineChars="200"/>
        <w:outlineLvl w:val="0"/>
        <w:rPr>
          <w:rFonts w:hint="eastAsia" w:ascii="宋体" w:hAnsi="宋体" w:eastAsia="宋体" w:cs="宋体"/>
          <w:b/>
          <w:bCs/>
          <w:color w:val="auto"/>
          <w:sz w:val="22"/>
          <w:szCs w:val="22"/>
          <w:highlight w:val="none"/>
        </w:rPr>
      </w:pPr>
      <w:bookmarkStart w:id="76" w:name="_Toc62509784"/>
      <w:r>
        <w:rPr>
          <w:rFonts w:hint="eastAsia" w:ascii="宋体" w:hAnsi="宋体" w:eastAsia="宋体" w:cs="宋体"/>
          <w:b/>
          <w:bCs/>
          <w:color w:val="auto"/>
          <w:sz w:val="22"/>
          <w:szCs w:val="22"/>
          <w:highlight w:val="none"/>
        </w:rPr>
        <w:t>一、定义与解释</w:t>
      </w:r>
      <w:bookmarkEnd w:id="76"/>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本合同条款下述定义和解释仅限于本招标文件使用。</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1、委托方：本合同的委托方为</w:t>
      </w:r>
      <w:r>
        <w:rPr>
          <w:rFonts w:hint="eastAsia" w:ascii="宋体" w:hAnsi="宋体" w:eastAsia="宋体" w:cs="宋体"/>
          <w:color w:val="auto"/>
          <w:sz w:val="22"/>
          <w:szCs w:val="22"/>
          <w:highlight w:val="none"/>
          <w:u w:val="single"/>
          <w:lang w:eastAsia="zh-CN"/>
        </w:rPr>
        <w:t>南通市江海河联运项目建设指挥部</w:t>
      </w:r>
      <w:r>
        <w:rPr>
          <w:rFonts w:hint="eastAsia" w:ascii="宋体" w:hAnsi="宋体" w:eastAsia="宋体" w:cs="宋体"/>
          <w:color w:val="auto"/>
          <w:sz w:val="22"/>
          <w:szCs w:val="22"/>
          <w:highlight w:val="none"/>
        </w:rPr>
        <w:t>。</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2、受托方：是指其投标书已为委托方所接受，并与委托方签订了合同书承担本项目服务的机构，以及取得该当事机构资格的合法继承人。</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3、项目负责人：是指由受托方书面委任的负责本项目质量技术服务工作的组织管理者。</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4</w:t>
      </w:r>
      <w:r>
        <w:rPr>
          <w:rFonts w:hint="eastAsia" w:ascii="宋体" w:hAnsi="宋体" w:eastAsia="宋体" w:cs="宋体"/>
          <w:color w:val="auto"/>
          <w:sz w:val="22"/>
          <w:szCs w:val="22"/>
          <w:highlight w:val="none"/>
        </w:rPr>
        <w:t>、签约合同价格：是指签订合同时合同协议书中写明的服务报酬总金额。</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5</w:t>
      </w:r>
      <w:r>
        <w:rPr>
          <w:rFonts w:hint="eastAsia" w:ascii="宋体" w:hAnsi="宋体" w:eastAsia="宋体" w:cs="宋体"/>
          <w:color w:val="auto"/>
          <w:sz w:val="22"/>
          <w:szCs w:val="22"/>
          <w:highlight w:val="none"/>
        </w:rPr>
        <w:t>、天：指日历日。年、月、日按公历计算。</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、时间：本招标文件所指时间均为北京时间。</w:t>
      </w:r>
    </w:p>
    <w:p>
      <w:pPr>
        <w:keepNext w:val="0"/>
        <w:keepLines w:val="0"/>
        <w:pageBreakBefore w:val="0"/>
        <w:widowControl w:val="0"/>
        <w:tabs>
          <w:tab w:val="left" w:pos="360"/>
          <w:tab w:val="left" w:pos="1260"/>
        </w:tabs>
        <w:kinsoku/>
        <w:wordWrap/>
        <w:overflowPunct/>
        <w:topLinePunct w:val="0"/>
        <w:bidi w:val="0"/>
        <w:adjustRightInd/>
        <w:snapToGrid/>
        <w:spacing w:line="360" w:lineRule="auto"/>
        <w:ind w:left="0" w:leftChars="0" w:firstLine="442" w:firstLineChars="200"/>
        <w:outlineLvl w:val="0"/>
        <w:rPr>
          <w:rFonts w:hint="eastAsia" w:ascii="宋体" w:hAnsi="宋体" w:eastAsia="宋体" w:cs="宋体"/>
          <w:b/>
          <w:bCs/>
          <w:color w:val="auto"/>
          <w:sz w:val="22"/>
          <w:szCs w:val="22"/>
          <w:highlight w:val="none"/>
        </w:rPr>
      </w:pPr>
      <w:bookmarkStart w:id="77" w:name="_Toc62509785"/>
      <w:bookmarkStart w:id="78" w:name="_Toc143763566"/>
      <w:bookmarkStart w:id="79" w:name="_Toc393638321"/>
      <w:bookmarkStart w:id="80" w:name="_Toc510442598"/>
      <w:r>
        <w:rPr>
          <w:rFonts w:hint="eastAsia" w:ascii="宋体" w:hAnsi="宋体" w:eastAsia="宋体" w:cs="宋体"/>
          <w:b/>
          <w:bCs/>
          <w:color w:val="auto"/>
          <w:sz w:val="22"/>
          <w:szCs w:val="22"/>
          <w:highlight w:val="none"/>
        </w:rPr>
        <w:t>二、委托的项目名称</w:t>
      </w:r>
      <w:bookmarkEnd w:id="77"/>
      <w:bookmarkEnd w:id="78"/>
      <w:bookmarkEnd w:id="79"/>
      <w:bookmarkEnd w:id="80"/>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eastAsia="zh-CN"/>
        </w:rPr>
        <w:t>南通市内河干线航道文物资源区域评估项目NTGX-WWPG1标段</w:t>
      </w:r>
    </w:p>
    <w:p>
      <w:pPr>
        <w:keepNext w:val="0"/>
        <w:keepLines w:val="0"/>
        <w:pageBreakBefore w:val="0"/>
        <w:widowControl w:val="0"/>
        <w:tabs>
          <w:tab w:val="left" w:pos="360"/>
          <w:tab w:val="left" w:pos="1260"/>
        </w:tabs>
        <w:kinsoku/>
        <w:wordWrap/>
        <w:overflowPunct/>
        <w:topLinePunct w:val="0"/>
        <w:bidi w:val="0"/>
        <w:adjustRightInd/>
        <w:snapToGrid/>
        <w:spacing w:line="360" w:lineRule="auto"/>
        <w:ind w:left="0" w:leftChars="0" w:firstLine="442" w:firstLineChars="200"/>
        <w:outlineLvl w:val="0"/>
        <w:rPr>
          <w:rFonts w:hint="eastAsia" w:ascii="宋体" w:hAnsi="宋体" w:eastAsia="宋体" w:cs="宋体"/>
          <w:b/>
          <w:bCs/>
          <w:color w:val="auto"/>
          <w:sz w:val="22"/>
          <w:szCs w:val="22"/>
          <w:highlight w:val="none"/>
        </w:rPr>
      </w:pPr>
      <w:bookmarkStart w:id="81" w:name="_Toc393638322"/>
      <w:bookmarkStart w:id="82" w:name="_Toc143763567"/>
      <w:bookmarkStart w:id="83" w:name="_Toc510442599"/>
      <w:bookmarkStart w:id="84" w:name="_Toc62509786"/>
      <w:r>
        <w:rPr>
          <w:rFonts w:hint="eastAsia" w:ascii="宋体" w:hAnsi="宋体" w:eastAsia="宋体" w:cs="宋体"/>
          <w:b/>
          <w:bCs/>
          <w:color w:val="auto"/>
          <w:sz w:val="22"/>
          <w:szCs w:val="22"/>
          <w:highlight w:val="none"/>
        </w:rPr>
        <w:t>三、委托的内容和</w:t>
      </w:r>
      <w:bookmarkEnd w:id="81"/>
      <w:bookmarkEnd w:id="82"/>
      <w:r>
        <w:rPr>
          <w:rFonts w:hint="eastAsia" w:ascii="宋体" w:hAnsi="宋体" w:eastAsia="宋体" w:cs="宋体"/>
          <w:b/>
          <w:color w:val="auto"/>
          <w:sz w:val="22"/>
          <w:szCs w:val="22"/>
          <w:highlight w:val="none"/>
        </w:rPr>
        <w:t>成果要求</w:t>
      </w:r>
      <w:bookmarkEnd w:id="83"/>
      <w:bookmarkEnd w:id="84"/>
    </w:p>
    <w:p>
      <w:pPr>
        <w:keepNext w:val="0"/>
        <w:keepLines w:val="0"/>
        <w:pageBreakBefore w:val="0"/>
        <w:widowControl w:val="0"/>
        <w:kinsoku/>
        <w:wordWrap/>
        <w:overflowPunct/>
        <w:topLinePunct w:val="0"/>
        <w:autoSpaceDE/>
        <w:autoSpaceDN/>
        <w:bidi w:val="0"/>
        <w:adjustRightInd/>
        <w:snapToGrid/>
        <w:spacing w:line="360" w:lineRule="auto"/>
        <w:ind w:left="0" w:leftChars="0"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1、委托的内容</w:t>
      </w:r>
    </w:p>
    <w:p>
      <w:pPr>
        <w:keepNext w:val="0"/>
        <w:keepLines w:val="0"/>
        <w:pageBreakBefore w:val="0"/>
        <w:widowControl w:val="0"/>
        <w:kinsoku/>
        <w:wordWrap w:val="0"/>
        <w:overflowPunct/>
        <w:topLinePunct w:val="0"/>
        <w:autoSpaceDE/>
        <w:autoSpaceDN/>
        <w:bidi w:val="0"/>
        <w:adjustRightInd/>
        <w:snapToGrid/>
        <w:spacing w:line="360" w:lineRule="auto"/>
        <w:ind w:right="0" w:firstLine="440" w:firstLineChars="200"/>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本次招标共设1个标段，即NTGX-WWPG1标段，主要工作内容为（包括但不限于）：</w:t>
      </w:r>
    </w:p>
    <w:p>
      <w:pPr>
        <w:keepNext w:val="0"/>
        <w:keepLines w:val="0"/>
        <w:pageBreakBefore w:val="0"/>
        <w:widowControl w:val="0"/>
        <w:kinsoku/>
        <w:wordWrap w:val="0"/>
        <w:overflowPunct/>
        <w:topLinePunct w:val="0"/>
        <w:autoSpaceDE/>
        <w:autoSpaceDN/>
        <w:bidi w:val="0"/>
        <w:adjustRightInd/>
        <w:snapToGrid/>
        <w:spacing w:line="360" w:lineRule="auto"/>
        <w:ind w:right="0" w:firstLine="440" w:firstLineChars="200"/>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在对南通市内河干线航道资源区域现场踏勘的基础上，对南通市内河干线航道的现状等特点进行初步分析，确定论证范围、论证内容和要求，编制论证工作方案。通过现场测试、资料收集和处理，开展论证分析，组织考古调查勘探，编制文物资源区域评估报告，给出论证结论。形成的最终调查报告，需通过江苏省文物局组织的审核，取得批复文件，同时还应开展后期服务，包括论证报告结论的应用解释、与其他评价报告结论的衔接等。具体要求详见招标文件第五章发包人要求。</w:t>
      </w:r>
    </w:p>
    <w:p>
      <w:pPr>
        <w:keepNext w:val="0"/>
        <w:keepLines w:val="0"/>
        <w:pageBreakBefore w:val="0"/>
        <w:widowControl w:val="0"/>
        <w:kinsoku/>
        <w:wordWrap w:val="0"/>
        <w:overflowPunct/>
        <w:topLinePunct w:val="0"/>
        <w:autoSpaceDE/>
        <w:autoSpaceDN/>
        <w:bidi w:val="0"/>
        <w:adjustRightInd/>
        <w:snapToGrid/>
        <w:spacing w:line="360" w:lineRule="auto"/>
        <w:ind w:right="0" w:firstLine="442" w:firstLineChars="200"/>
        <w:textAlignment w:val="auto"/>
        <w:rPr>
          <w:rFonts w:hint="eastAsia" w:ascii="宋体" w:hAnsi="宋体" w:eastAsia="宋体" w:cs="宋体"/>
          <w:b/>
          <w:bCs w:val="0"/>
          <w:color w:val="auto"/>
          <w:sz w:val="22"/>
          <w:szCs w:val="22"/>
          <w:highlight w:val="none"/>
          <w:lang w:eastAsia="zh-CN"/>
        </w:rPr>
      </w:pPr>
      <w:r>
        <w:rPr>
          <w:rFonts w:hint="eastAsia" w:ascii="宋体" w:hAnsi="宋体" w:eastAsia="宋体" w:cs="宋体"/>
          <w:b/>
          <w:bCs w:val="0"/>
          <w:color w:val="auto"/>
          <w:sz w:val="22"/>
          <w:szCs w:val="22"/>
          <w:highlight w:val="none"/>
          <w:lang w:val="en-US" w:eastAsia="zh-CN"/>
        </w:rPr>
        <w:t>2、</w:t>
      </w:r>
      <w:r>
        <w:rPr>
          <w:rFonts w:hint="eastAsia" w:ascii="宋体" w:hAnsi="宋体" w:eastAsia="宋体" w:cs="宋体"/>
          <w:b/>
          <w:bCs w:val="0"/>
          <w:color w:val="auto"/>
          <w:sz w:val="22"/>
          <w:szCs w:val="22"/>
          <w:highlight w:val="none"/>
          <w:lang w:eastAsia="zh-CN"/>
        </w:rPr>
        <w:t>服务周期</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textAlignment w:val="auto"/>
        <w:rPr>
          <w:rFonts w:hint="eastAsia" w:ascii="宋体" w:hAnsi="宋体" w:cs="宋体"/>
          <w:color w:val="auto"/>
          <w:sz w:val="22"/>
          <w:szCs w:val="22"/>
          <w:highlight w:val="none"/>
          <w:lang w:eastAsia="zh-CN"/>
        </w:rPr>
      </w:pPr>
      <w:r>
        <w:rPr>
          <w:rFonts w:hint="eastAsia" w:ascii="宋体" w:hAnsi="宋体" w:cs="宋体"/>
          <w:color w:val="auto"/>
          <w:sz w:val="22"/>
          <w:szCs w:val="22"/>
          <w:highlight w:val="none"/>
          <w:lang w:eastAsia="zh-CN"/>
        </w:rPr>
        <w:t>①合同签订后甲方签发指令50日内完成文物资源区域评估工作；</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textAlignment w:val="auto"/>
        <w:rPr>
          <w:rFonts w:hint="eastAsia" w:ascii="宋体" w:hAnsi="宋体" w:cs="宋体"/>
          <w:color w:val="auto"/>
          <w:sz w:val="22"/>
          <w:szCs w:val="22"/>
          <w:highlight w:val="none"/>
          <w:lang w:eastAsia="zh-CN"/>
        </w:rPr>
      </w:pPr>
      <w:r>
        <w:rPr>
          <w:rFonts w:hint="eastAsia" w:ascii="宋体" w:hAnsi="宋体" w:cs="宋体"/>
          <w:color w:val="auto"/>
          <w:sz w:val="22"/>
          <w:szCs w:val="22"/>
          <w:highlight w:val="none"/>
          <w:lang w:eastAsia="zh-CN"/>
        </w:rPr>
        <w:t>②合同签订后甲方签发指令60日内通过江苏省文物局验收并取得批复。</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textAlignment w:val="auto"/>
        <w:rPr>
          <w:rFonts w:hint="eastAsia" w:ascii="宋体" w:hAnsi="宋体" w:cs="宋体"/>
          <w:color w:val="auto"/>
          <w:sz w:val="22"/>
          <w:szCs w:val="22"/>
          <w:highlight w:val="none"/>
          <w:lang w:eastAsia="zh-CN"/>
        </w:rPr>
      </w:pPr>
      <w:r>
        <w:rPr>
          <w:rFonts w:hint="eastAsia" w:ascii="宋体" w:hAnsi="宋体" w:cs="宋体"/>
          <w:color w:val="auto"/>
          <w:sz w:val="22"/>
          <w:szCs w:val="22"/>
          <w:highlight w:val="none"/>
          <w:lang w:eastAsia="zh-CN"/>
        </w:rPr>
        <w:t>如遇重要考古发现经发包人确认后可适当顺延，实际工作周期可能调整，承包人应服从发包人的统一工作安排。</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3、主要成果部分</w:t>
      </w:r>
      <w:r>
        <w:rPr>
          <w:rFonts w:hint="eastAsia" w:ascii="宋体" w:hAnsi="宋体" w:eastAsia="宋体" w:cs="宋体"/>
          <w:b/>
          <w:color w:val="auto"/>
          <w:sz w:val="22"/>
          <w:szCs w:val="22"/>
          <w:highlight w:val="none"/>
          <w:lang w:eastAsia="zh-CN"/>
        </w:rPr>
        <w:t>（</w:t>
      </w:r>
      <w:r>
        <w:rPr>
          <w:rFonts w:hint="eastAsia" w:ascii="宋体" w:hAnsi="宋体" w:eastAsia="宋体" w:cs="宋体"/>
          <w:b/>
          <w:color w:val="auto"/>
          <w:sz w:val="22"/>
          <w:szCs w:val="22"/>
          <w:highlight w:val="none"/>
          <w:lang w:val="en-US" w:eastAsia="zh-CN"/>
        </w:rPr>
        <w:t>包括但不限于</w:t>
      </w:r>
      <w:r>
        <w:rPr>
          <w:rFonts w:hint="eastAsia" w:ascii="宋体" w:hAnsi="宋体" w:eastAsia="宋体" w:cs="宋体"/>
          <w:b/>
          <w:color w:val="auto"/>
          <w:sz w:val="22"/>
          <w:szCs w:val="22"/>
          <w:highlight w:val="none"/>
          <w:lang w:eastAsia="zh-CN"/>
        </w:rPr>
        <w:t>）</w:t>
      </w:r>
      <w:r>
        <w:rPr>
          <w:rFonts w:hint="eastAsia" w:ascii="宋体" w:hAnsi="宋体" w:eastAsia="宋体" w:cs="宋体"/>
          <w:b/>
          <w:color w:val="auto"/>
          <w:sz w:val="22"/>
          <w:szCs w:val="22"/>
          <w:highlight w:val="none"/>
        </w:rPr>
        <w:t>：</w:t>
      </w:r>
    </w:p>
    <w:p>
      <w:pPr>
        <w:keepNext w:val="0"/>
        <w:keepLines w:val="0"/>
        <w:pageBreakBefore w:val="0"/>
        <w:widowControl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（1）成果报告：一式五份，装订成册，同时提交电子文件一份，电子文件采用AUTOCAD、WORD、EXCEL、或TXT（纯文本文件）等电子文档格式，一律为非扫描图像格式文件，同时提交一份PDF格式电子文件。</w:t>
      </w:r>
    </w:p>
    <w:p>
      <w:pPr>
        <w:keepNext w:val="0"/>
        <w:keepLines w:val="0"/>
        <w:pageBreakBefore w:val="0"/>
        <w:widowControl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（2）过程原始资料。</w:t>
      </w:r>
    </w:p>
    <w:p>
      <w:pPr>
        <w:keepNext w:val="0"/>
        <w:keepLines w:val="0"/>
        <w:pageBreakBefore w:val="0"/>
        <w:widowControl w:val="0"/>
        <w:tabs>
          <w:tab w:val="left" w:pos="360"/>
          <w:tab w:val="left" w:pos="1260"/>
        </w:tabs>
        <w:kinsoku/>
        <w:wordWrap/>
        <w:overflowPunct/>
        <w:topLinePunct w:val="0"/>
        <w:bidi w:val="0"/>
        <w:adjustRightInd/>
        <w:snapToGrid/>
        <w:spacing w:line="360" w:lineRule="auto"/>
        <w:ind w:left="0" w:leftChars="0" w:firstLine="442" w:firstLineChars="200"/>
        <w:outlineLvl w:val="0"/>
        <w:rPr>
          <w:rFonts w:hint="eastAsia" w:ascii="宋体" w:hAnsi="宋体" w:eastAsia="宋体" w:cs="宋体"/>
          <w:b/>
          <w:bCs/>
          <w:color w:val="auto"/>
          <w:sz w:val="22"/>
          <w:szCs w:val="22"/>
          <w:highlight w:val="none"/>
        </w:rPr>
      </w:pPr>
      <w:bookmarkStart w:id="85" w:name="_Toc62509787"/>
      <w:bookmarkStart w:id="86" w:name="_Toc510442600"/>
      <w:bookmarkStart w:id="87" w:name="_Toc393638323"/>
      <w:bookmarkStart w:id="88" w:name="_Toc143763568"/>
      <w:r>
        <w:rPr>
          <w:rFonts w:hint="eastAsia" w:ascii="宋体" w:hAnsi="宋体" w:eastAsia="宋体" w:cs="宋体"/>
          <w:b/>
          <w:bCs/>
          <w:color w:val="auto"/>
          <w:sz w:val="22"/>
          <w:szCs w:val="22"/>
          <w:highlight w:val="none"/>
        </w:rPr>
        <w:t>四、各方的责任</w:t>
      </w:r>
      <w:bookmarkEnd w:id="85"/>
      <w:bookmarkEnd w:id="86"/>
      <w:bookmarkEnd w:id="87"/>
      <w:bookmarkEnd w:id="88"/>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2" w:firstLineChars="200"/>
        <w:textAlignment w:val="bottom"/>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lang w:val="en-US" w:eastAsia="zh-CN"/>
        </w:rPr>
        <w:t>1</w:t>
      </w:r>
      <w:r>
        <w:rPr>
          <w:rFonts w:hint="eastAsia" w:ascii="宋体" w:hAnsi="宋体" w:eastAsia="宋体" w:cs="宋体"/>
          <w:b/>
          <w:bCs/>
          <w:color w:val="auto"/>
          <w:sz w:val="22"/>
          <w:szCs w:val="22"/>
          <w:highlight w:val="none"/>
        </w:rPr>
        <w:t>、委托方的责任：</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委托方根据工程项目的具体情况和技术要求，确定各阶段</w:t>
      </w:r>
      <w:r>
        <w:rPr>
          <w:rFonts w:hint="eastAsia" w:ascii="宋体" w:hAnsi="宋体" w:eastAsia="宋体" w:cs="宋体"/>
          <w:color w:val="auto"/>
          <w:sz w:val="22"/>
          <w:szCs w:val="22"/>
          <w:highlight w:val="none"/>
          <w:lang w:eastAsia="zh-CN"/>
        </w:rPr>
        <w:t>服务周期</w:t>
      </w:r>
      <w:r>
        <w:rPr>
          <w:rFonts w:hint="eastAsia" w:ascii="宋体" w:hAnsi="宋体" w:eastAsia="宋体" w:cs="宋体"/>
          <w:color w:val="auto"/>
          <w:sz w:val="22"/>
          <w:szCs w:val="22"/>
          <w:highlight w:val="none"/>
        </w:rPr>
        <w:t>，并按本合同有关规定及时支付咨询服务的费用。</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委托方应向受托方提供开展咨询服务工作所需要的相关前期文件、批复、资料及附件、有关的协议、文件等，并对提供的原始资料的可靠性负责。</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在</w:t>
      </w:r>
      <w:r>
        <w:rPr>
          <w:rFonts w:hint="eastAsia" w:ascii="宋体" w:hAnsi="宋体" w:eastAsia="宋体" w:cs="宋体"/>
          <w:color w:val="auto"/>
          <w:sz w:val="22"/>
          <w:szCs w:val="22"/>
          <w:highlight w:val="none"/>
          <w:lang w:val="en-US" w:eastAsia="zh-CN"/>
        </w:rPr>
        <w:t>受托方</w:t>
      </w:r>
      <w:r>
        <w:rPr>
          <w:rFonts w:hint="eastAsia" w:ascii="宋体" w:hAnsi="宋体" w:eastAsia="宋体" w:cs="宋体"/>
          <w:color w:val="auto"/>
          <w:sz w:val="22"/>
          <w:szCs w:val="22"/>
          <w:highlight w:val="none"/>
        </w:rPr>
        <w:t>进入现场进行调查作业时，委托方应对</w:t>
      </w:r>
      <w:r>
        <w:rPr>
          <w:rFonts w:hint="eastAsia" w:ascii="宋体" w:hAnsi="宋体" w:eastAsia="宋体" w:cs="宋体"/>
          <w:color w:val="auto"/>
          <w:sz w:val="22"/>
          <w:szCs w:val="22"/>
          <w:highlight w:val="none"/>
          <w:lang w:val="en-US" w:eastAsia="zh-CN"/>
        </w:rPr>
        <w:t>受托方</w:t>
      </w:r>
      <w:r>
        <w:rPr>
          <w:rFonts w:hint="eastAsia" w:ascii="宋体" w:hAnsi="宋体" w:eastAsia="宋体" w:cs="宋体"/>
          <w:color w:val="auto"/>
          <w:sz w:val="22"/>
          <w:szCs w:val="22"/>
          <w:highlight w:val="none"/>
        </w:rPr>
        <w:t>与地方政府及有关部门的协调工作提供必要的协助，但不免除受托方根据本合同规定应负的责任。</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4</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除合同另有规定外，委托方应保护</w:t>
      </w:r>
      <w:r>
        <w:rPr>
          <w:rFonts w:hint="eastAsia" w:ascii="宋体" w:hAnsi="宋体" w:eastAsia="宋体" w:cs="宋体"/>
          <w:color w:val="auto"/>
          <w:sz w:val="22"/>
          <w:szCs w:val="22"/>
          <w:highlight w:val="none"/>
          <w:lang w:val="en-US" w:eastAsia="zh-CN"/>
        </w:rPr>
        <w:t>受托方</w:t>
      </w:r>
      <w:r>
        <w:rPr>
          <w:rFonts w:hint="eastAsia" w:ascii="宋体" w:hAnsi="宋体" w:eastAsia="宋体" w:cs="宋体"/>
          <w:color w:val="auto"/>
          <w:sz w:val="22"/>
          <w:szCs w:val="22"/>
          <w:highlight w:val="none"/>
        </w:rPr>
        <w:t>的</w:t>
      </w:r>
      <w:r>
        <w:rPr>
          <w:rFonts w:hint="eastAsia" w:ascii="宋体" w:hAnsi="宋体" w:eastAsia="宋体" w:cs="宋体"/>
          <w:color w:val="auto"/>
          <w:sz w:val="22"/>
          <w:szCs w:val="22"/>
          <w:highlight w:val="none"/>
          <w:lang w:val="en-US" w:eastAsia="zh-CN"/>
        </w:rPr>
        <w:t>投标函</w:t>
      </w:r>
      <w:r>
        <w:rPr>
          <w:rFonts w:hint="eastAsia" w:ascii="宋体" w:hAnsi="宋体" w:eastAsia="宋体" w:cs="宋体"/>
          <w:color w:val="auto"/>
          <w:sz w:val="22"/>
          <w:szCs w:val="22"/>
          <w:highlight w:val="none"/>
        </w:rPr>
        <w:t>、报告书。未经受托方同意，委托方对受托方交付的成果文件不得擅自修改、复制或向第三方转让或用于本合同以外的项目。</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5</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由于执行委托方的书面指令而造成相关报告书不能通过主管部门的审查或不能取得批复，应由委托方承担主要责任。但不免除受托方应负的责任。</w:t>
      </w:r>
    </w:p>
    <w:p>
      <w:pPr>
        <w:keepNext w:val="0"/>
        <w:keepLines w:val="0"/>
        <w:pageBreakBefore w:val="0"/>
        <w:widowControl w:val="0"/>
        <w:tabs>
          <w:tab w:val="left" w:pos="360"/>
        </w:tabs>
        <w:kinsoku/>
        <w:wordWrap/>
        <w:overflowPunct/>
        <w:topLinePunct w:val="0"/>
        <w:bidi w:val="0"/>
        <w:adjustRightInd/>
        <w:snapToGrid/>
        <w:spacing w:line="360" w:lineRule="auto"/>
        <w:ind w:left="0" w:leftChars="0" w:firstLine="442" w:firstLineChars="200"/>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lang w:val="en-US" w:eastAsia="zh-CN"/>
        </w:rPr>
        <w:t>2、</w:t>
      </w:r>
      <w:r>
        <w:rPr>
          <w:rFonts w:hint="eastAsia" w:ascii="宋体" w:hAnsi="宋体" w:eastAsia="宋体" w:cs="宋体"/>
          <w:b/>
          <w:bCs/>
          <w:color w:val="auto"/>
          <w:sz w:val="22"/>
          <w:szCs w:val="22"/>
          <w:highlight w:val="none"/>
        </w:rPr>
        <w:t>受托方的责任：</w:t>
      </w:r>
    </w:p>
    <w:p>
      <w:pPr>
        <w:pStyle w:val="16"/>
        <w:keepNext w:val="0"/>
        <w:keepLines w:val="0"/>
        <w:pageBreakBefore w:val="0"/>
        <w:widowControl w:val="0"/>
        <w:tabs>
          <w:tab w:val="left" w:pos="360"/>
        </w:tabs>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（1）受托方应根据本合同工程项目的特点和具体情况，充分考虑到本项目的复杂性和不确定性，按照国家及地方、水利、交通等部门关于</w:t>
      </w:r>
      <w:r>
        <w:rPr>
          <w:rFonts w:hint="eastAsia" w:ascii="宋体" w:hAnsi="宋体" w:eastAsia="宋体" w:cs="宋体"/>
          <w:color w:val="auto"/>
          <w:sz w:val="22"/>
          <w:szCs w:val="22"/>
          <w:highlight w:val="none"/>
          <w:lang w:val="en-US" w:eastAsia="zh-CN"/>
        </w:rPr>
        <w:t>本项目</w:t>
      </w:r>
      <w:r>
        <w:rPr>
          <w:rFonts w:hint="eastAsia" w:ascii="宋体" w:hAnsi="宋体" w:eastAsia="宋体" w:cs="宋体"/>
          <w:color w:val="auto"/>
          <w:sz w:val="22"/>
          <w:szCs w:val="22"/>
          <w:highlight w:val="none"/>
        </w:rPr>
        <w:t>方面现行的法律、法规、标准、规范、规程、办法、示例等有关规定，在委托方规定的时间内完成本合同工程的咨询服务工作。</w:t>
      </w:r>
    </w:p>
    <w:p>
      <w:pPr>
        <w:pStyle w:val="16"/>
        <w:keepNext w:val="0"/>
        <w:keepLines w:val="0"/>
        <w:pageBreakBefore w:val="0"/>
        <w:widowControl w:val="0"/>
        <w:tabs>
          <w:tab w:val="left" w:pos="360"/>
        </w:tabs>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受托方应按相关规定做好质量管理工作，建立健全质量保证体系，加强全过程的质量控制，建立完整的文件的编制、复核、审核、会签和批准制度，明确各阶段的责任人，并对本合同工程的咨询服务质量负责。</w:t>
      </w:r>
    </w:p>
    <w:p>
      <w:pPr>
        <w:pStyle w:val="16"/>
        <w:keepNext w:val="0"/>
        <w:keepLines w:val="0"/>
        <w:pageBreakBefore w:val="0"/>
        <w:widowControl w:val="0"/>
        <w:tabs>
          <w:tab w:val="left" w:pos="360"/>
        </w:tabs>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（3）受托方必须根据委托方提供的规划文件、设计文件及其它资料，如果咨询服务过程中，缺少与项目有关的资料，应与委托方协商借阅或购买，除委托方提供的资料外，受托方应根据工作要求收集相关资料。</w:t>
      </w:r>
    </w:p>
    <w:p>
      <w:pPr>
        <w:pStyle w:val="16"/>
        <w:keepNext w:val="0"/>
        <w:keepLines w:val="0"/>
        <w:pageBreakBefore w:val="0"/>
        <w:widowControl w:val="0"/>
        <w:tabs>
          <w:tab w:val="left" w:pos="360"/>
        </w:tabs>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（4）受托方应按委托方要求的数量提供咨询服务报告书及相关文件，接受委托方或上级主管部门及相关主管部门的审查，并对相关问题做出澄清和解答。</w:t>
      </w:r>
    </w:p>
    <w:p>
      <w:pPr>
        <w:pStyle w:val="16"/>
        <w:keepNext w:val="0"/>
        <w:keepLines w:val="0"/>
        <w:pageBreakBefore w:val="0"/>
        <w:widowControl w:val="0"/>
        <w:tabs>
          <w:tab w:val="left" w:pos="360"/>
        </w:tabs>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（5）人员保证与变更</w:t>
      </w:r>
    </w:p>
    <w:p>
      <w:pPr>
        <w:pStyle w:val="16"/>
        <w:keepNext w:val="0"/>
        <w:keepLines w:val="0"/>
        <w:pageBreakBefore w:val="0"/>
        <w:widowControl w:val="0"/>
        <w:tabs>
          <w:tab w:val="left" w:pos="360"/>
        </w:tabs>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1）受托方应安排</w:t>
      </w:r>
      <w:r>
        <w:rPr>
          <w:rFonts w:hint="eastAsia" w:ascii="宋体" w:hAnsi="宋体" w:eastAsia="宋体" w:cs="宋体"/>
          <w:color w:val="auto"/>
          <w:sz w:val="22"/>
          <w:szCs w:val="22"/>
          <w:highlight w:val="none"/>
          <w:lang w:val="en-US" w:eastAsia="zh-CN"/>
        </w:rPr>
        <w:t>投标文件</w:t>
      </w:r>
      <w:r>
        <w:rPr>
          <w:rFonts w:hint="eastAsia" w:ascii="宋体" w:hAnsi="宋体" w:eastAsia="宋体" w:cs="宋体"/>
          <w:color w:val="auto"/>
          <w:sz w:val="22"/>
          <w:szCs w:val="22"/>
          <w:highlight w:val="none"/>
        </w:rPr>
        <w:t>中承诺的人员投入工作，并在服务过程中和</w:t>
      </w:r>
      <w:r>
        <w:rPr>
          <w:rFonts w:hint="eastAsia" w:ascii="宋体" w:hAnsi="宋体" w:eastAsia="宋体" w:cs="宋体"/>
          <w:color w:val="auto"/>
          <w:sz w:val="22"/>
          <w:szCs w:val="22"/>
          <w:highlight w:val="none"/>
          <w:lang w:eastAsia="zh-CN"/>
        </w:rPr>
        <w:t>服务周期</w:t>
      </w:r>
      <w:r>
        <w:rPr>
          <w:rFonts w:hint="eastAsia" w:ascii="宋体" w:hAnsi="宋体" w:eastAsia="宋体" w:cs="宋体"/>
          <w:color w:val="auto"/>
          <w:sz w:val="22"/>
          <w:szCs w:val="22"/>
          <w:highlight w:val="none"/>
        </w:rPr>
        <w:t>内保持人员的相对稳定。</w:t>
      </w:r>
    </w:p>
    <w:p>
      <w:pPr>
        <w:pStyle w:val="16"/>
        <w:keepNext w:val="0"/>
        <w:keepLines w:val="0"/>
        <w:pageBreakBefore w:val="0"/>
        <w:widowControl w:val="0"/>
        <w:tabs>
          <w:tab w:val="left" w:pos="360"/>
        </w:tabs>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2）如果项目服务人员不能胜任工作、渎职或从事其他违法活动，委托方有权以书面形式提出更换要求，受托方应立即派出具有同等资历的人员替换；若非因上述原因，受托方有权拒绝。</w:t>
      </w:r>
    </w:p>
    <w:p>
      <w:pPr>
        <w:pStyle w:val="16"/>
        <w:keepNext w:val="0"/>
        <w:keepLines w:val="0"/>
        <w:pageBreakBefore w:val="0"/>
        <w:widowControl w:val="0"/>
        <w:tabs>
          <w:tab w:val="left" w:pos="360"/>
        </w:tabs>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3）受托方的工作进度没有达到</w:t>
      </w:r>
      <w:r>
        <w:rPr>
          <w:rFonts w:hint="eastAsia" w:ascii="宋体" w:hAnsi="宋体" w:eastAsia="宋体" w:cs="宋体"/>
          <w:color w:val="auto"/>
          <w:sz w:val="22"/>
          <w:szCs w:val="22"/>
          <w:highlight w:val="none"/>
          <w:lang w:val="en-US" w:eastAsia="zh-CN"/>
        </w:rPr>
        <w:t>投标文件</w:t>
      </w:r>
      <w:r>
        <w:rPr>
          <w:rFonts w:hint="eastAsia" w:ascii="宋体" w:hAnsi="宋体" w:eastAsia="宋体" w:cs="宋体"/>
          <w:color w:val="auto"/>
          <w:sz w:val="22"/>
          <w:szCs w:val="22"/>
          <w:highlight w:val="none"/>
        </w:rPr>
        <w:t>中承诺的进度计划时，委托方有权提出要求增加服务人员，受托方应立即安排，其费用被认为已包含在合同价格之中，不再另行支付。</w:t>
      </w:r>
    </w:p>
    <w:p>
      <w:pPr>
        <w:pStyle w:val="16"/>
        <w:keepNext w:val="0"/>
        <w:keepLines w:val="0"/>
        <w:pageBreakBefore w:val="0"/>
        <w:widowControl w:val="0"/>
        <w:tabs>
          <w:tab w:val="left" w:pos="360"/>
        </w:tabs>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受托方在编制咨询服务报告书的过程中，如果因其采用的技术方案等方面发生侵犯专利权的行为而引起索赔或诉讼，则受托方应承担全部责任，并保障委托方免于承担由此造成的一切损害和损失。受托方采用其它未成交人响应文件中技术方案的，应当征得未成交人的书面同意，并支付合理的使用费。</w:t>
      </w:r>
    </w:p>
    <w:p>
      <w:pPr>
        <w:pStyle w:val="16"/>
        <w:keepNext w:val="0"/>
        <w:keepLines w:val="0"/>
        <w:pageBreakBefore w:val="0"/>
        <w:widowControl w:val="0"/>
        <w:tabs>
          <w:tab w:val="left" w:pos="360"/>
        </w:tabs>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（7）受托方除需承担在工作过程中的决策和指导责任外，对其工作范围外的工作不承担任何责任。</w:t>
      </w:r>
    </w:p>
    <w:p>
      <w:pPr>
        <w:pStyle w:val="16"/>
        <w:keepNext w:val="0"/>
        <w:keepLines w:val="0"/>
        <w:pageBreakBefore w:val="0"/>
        <w:widowControl w:val="0"/>
        <w:tabs>
          <w:tab w:val="left" w:pos="360"/>
        </w:tabs>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（8）对于受托方在咨询服务过程中发生的人员伤亡，或者造成第三方的人员伤亡，或财产损失，或由此而引起的其他一切损害和损失，委托方均不承担责任。</w:t>
      </w:r>
    </w:p>
    <w:p>
      <w:pPr>
        <w:pStyle w:val="16"/>
        <w:keepNext w:val="0"/>
        <w:keepLines w:val="0"/>
        <w:pageBreakBefore w:val="0"/>
        <w:widowControl w:val="0"/>
        <w:tabs>
          <w:tab w:val="left" w:pos="360"/>
        </w:tabs>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（9）咨询服务过程中，受托方为完成咨询服务项目，而购买或收集的一切资料和文件的所有权为受托方与委托方共有。</w:t>
      </w:r>
    </w:p>
    <w:p>
      <w:pPr>
        <w:pStyle w:val="16"/>
        <w:keepNext w:val="0"/>
        <w:keepLines w:val="0"/>
        <w:pageBreakBefore w:val="0"/>
        <w:widowControl w:val="0"/>
        <w:tabs>
          <w:tab w:val="left" w:pos="360"/>
        </w:tabs>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（10）本项目按期取得相关主管部门的批复文件所需一切工作和费用均由受托方负责和承担。</w:t>
      </w:r>
    </w:p>
    <w:p>
      <w:pPr>
        <w:keepNext w:val="0"/>
        <w:keepLines w:val="0"/>
        <w:pageBreakBefore w:val="0"/>
        <w:widowControl w:val="0"/>
        <w:tabs>
          <w:tab w:val="left" w:pos="360"/>
          <w:tab w:val="left" w:pos="1260"/>
        </w:tabs>
        <w:kinsoku/>
        <w:wordWrap/>
        <w:overflowPunct/>
        <w:topLinePunct w:val="0"/>
        <w:bidi w:val="0"/>
        <w:adjustRightInd/>
        <w:snapToGrid/>
        <w:spacing w:line="360" w:lineRule="auto"/>
        <w:ind w:left="0" w:leftChars="0" w:firstLine="442" w:firstLineChars="200"/>
        <w:outlineLvl w:val="0"/>
        <w:rPr>
          <w:rFonts w:hint="eastAsia" w:ascii="宋体" w:hAnsi="宋体" w:eastAsia="宋体" w:cs="宋体"/>
          <w:b/>
          <w:bCs/>
          <w:color w:val="auto"/>
          <w:sz w:val="22"/>
          <w:szCs w:val="22"/>
          <w:highlight w:val="none"/>
        </w:rPr>
      </w:pPr>
      <w:bookmarkStart w:id="89" w:name="_Toc393638324"/>
      <w:bookmarkStart w:id="90" w:name="_Toc510442601"/>
      <w:bookmarkStart w:id="91" w:name="_Toc62509788"/>
      <w:bookmarkStart w:id="92" w:name="_Toc143763569"/>
      <w:r>
        <w:rPr>
          <w:rFonts w:hint="eastAsia" w:ascii="宋体" w:hAnsi="宋体" w:eastAsia="宋体" w:cs="宋体"/>
          <w:b/>
          <w:bCs/>
          <w:color w:val="auto"/>
          <w:sz w:val="22"/>
          <w:szCs w:val="22"/>
          <w:highlight w:val="none"/>
        </w:rPr>
        <w:t>五、违约责任</w:t>
      </w:r>
      <w:bookmarkEnd w:id="89"/>
      <w:bookmarkEnd w:id="90"/>
      <w:bookmarkEnd w:id="91"/>
      <w:bookmarkEnd w:id="92"/>
    </w:p>
    <w:p>
      <w:pPr>
        <w:pStyle w:val="16"/>
        <w:keepNext w:val="0"/>
        <w:keepLines w:val="0"/>
        <w:pageBreakBefore w:val="0"/>
        <w:widowControl w:val="0"/>
        <w:tabs>
          <w:tab w:val="left" w:pos="360"/>
        </w:tabs>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1、委托方的违约：合同生效后，因委托方原因，委托方提出终止合同，委托方将给予受托方2万～4万元违约罚款。</w:t>
      </w:r>
    </w:p>
    <w:p>
      <w:pPr>
        <w:keepNext w:val="0"/>
        <w:keepLines w:val="0"/>
        <w:pageBreakBefore w:val="0"/>
        <w:widowControl w:val="0"/>
        <w:tabs>
          <w:tab w:val="left" w:pos="360"/>
          <w:tab w:val="left" w:pos="1260"/>
        </w:tabs>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2、受托方的违约</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（1）如果受托方将任务转包或者分包，除整改外委托方将按合同价的</w:t>
      </w: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5</w:t>
      </w:r>
      <w:r>
        <w:rPr>
          <w:rFonts w:hint="eastAsia" w:ascii="宋体" w:hAnsi="宋体" w:eastAsia="宋体" w:cs="宋体"/>
          <w:color w:val="auto"/>
          <w:sz w:val="22"/>
          <w:szCs w:val="22"/>
          <w:highlight w:val="none"/>
        </w:rPr>
        <w:t>%扣除受托方的违约金。</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（2）受托方未按照国家及相关主管部门现行的强制性技术标准、规范和规程编制咨询服务报告书（表），委托方将计扣受托方合同价</w:t>
      </w: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5</w:t>
      </w:r>
      <w:r>
        <w:rPr>
          <w:rFonts w:hint="eastAsia" w:ascii="宋体" w:hAnsi="宋体" w:eastAsia="宋体" w:cs="宋体"/>
          <w:color w:val="auto"/>
          <w:sz w:val="22"/>
          <w:szCs w:val="22"/>
          <w:highlight w:val="none"/>
        </w:rPr>
        <w:t>%的违约金。</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2" w:firstLineChars="200"/>
        <w:textAlignment w:val="bottom"/>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受托方未能按期提交报告书的按0.3万/天标准扣除受托方的违约金，受托方未能在承诺的工作周期内拿到相关主管部门的批文的，则按0.5万/天标准扣除受托方的违约金，延期超过30天时，委托方可以中止合同（委托方同意延长期的除外），违约金总额不大于合同金额10%。</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（3）合同生效后，如受托方提出终止合同，应给予委托方</w:t>
      </w: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万～</w:t>
      </w: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万元违约罚款。</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（4）本项目更换项目负责人或现场负责人时，受托方必须支付委托方2万元人员违约金。</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（5）违反本合同有关廉洁条款的规定，委托方将给予受托方</w:t>
      </w:r>
      <w:r>
        <w:rPr>
          <w:rFonts w:hint="eastAsia" w:ascii="宋体" w:hAnsi="宋体" w:eastAsia="宋体" w:cs="宋体"/>
          <w:color w:val="auto"/>
          <w:sz w:val="22"/>
          <w:szCs w:val="22"/>
          <w:highlight w:val="none"/>
          <w:lang w:val="en-US" w:eastAsia="zh-CN"/>
        </w:rPr>
        <w:t>0.</w:t>
      </w:r>
      <w:r>
        <w:rPr>
          <w:rFonts w:hint="eastAsia" w:ascii="宋体" w:hAnsi="宋体" w:cs="宋体"/>
          <w:color w:val="auto"/>
          <w:sz w:val="22"/>
          <w:szCs w:val="22"/>
          <w:highlight w:val="none"/>
          <w:lang w:val="en-US" w:eastAsia="zh-CN"/>
        </w:rPr>
        <w:t>2</w:t>
      </w:r>
      <w:r>
        <w:rPr>
          <w:rFonts w:hint="eastAsia" w:ascii="宋体" w:hAnsi="宋体" w:eastAsia="宋体" w:cs="宋体"/>
          <w:color w:val="auto"/>
          <w:sz w:val="22"/>
          <w:szCs w:val="22"/>
          <w:highlight w:val="none"/>
        </w:rPr>
        <w:t>万～</w:t>
      </w:r>
      <w:r>
        <w:rPr>
          <w:rFonts w:hint="eastAsia" w:ascii="宋体" w:hAnsi="宋体" w:cs="宋体"/>
          <w:color w:val="auto"/>
          <w:sz w:val="22"/>
          <w:szCs w:val="22"/>
          <w:highlight w:val="none"/>
          <w:lang w:val="en-US" w:eastAsia="zh-CN"/>
        </w:rPr>
        <w:t>0.5</w:t>
      </w:r>
      <w:r>
        <w:rPr>
          <w:rFonts w:hint="eastAsia" w:ascii="宋体" w:hAnsi="宋体" w:eastAsia="宋体" w:cs="宋体"/>
          <w:color w:val="auto"/>
          <w:sz w:val="22"/>
          <w:szCs w:val="22"/>
          <w:highlight w:val="none"/>
        </w:rPr>
        <w:t>万元违约罚款。</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（6）上述（1）～（5）款累计违约金限额为</w:t>
      </w:r>
      <w:r>
        <w:rPr>
          <w:rFonts w:hint="eastAsia" w:ascii="宋体" w:hAnsi="宋体" w:eastAsia="宋体" w:cs="宋体"/>
          <w:color w:val="auto"/>
          <w:sz w:val="22"/>
          <w:szCs w:val="22"/>
          <w:highlight w:val="none"/>
          <w:lang w:val="en-US" w:eastAsia="zh-CN"/>
        </w:rPr>
        <w:t>合同总价的30%</w:t>
      </w:r>
      <w:r>
        <w:rPr>
          <w:rFonts w:hint="eastAsia" w:ascii="宋体" w:hAnsi="宋体" w:eastAsia="宋体" w:cs="宋体"/>
          <w:color w:val="auto"/>
          <w:sz w:val="22"/>
          <w:szCs w:val="22"/>
          <w:highlight w:val="none"/>
        </w:rPr>
        <w:t>。若发生上述（1）～（5）情况中任一款委托方有权收回已委托的全部或部分工作，受托方无条件接受。</w:t>
      </w:r>
    </w:p>
    <w:p>
      <w:pPr>
        <w:keepNext w:val="0"/>
        <w:keepLines w:val="0"/>
        <w:pageBreakBefore w:val="0"/>
        <w:widowControl w:val="0"/>
        <w:tabs>
          <w:tab w:val="left" w:pos="360"/>
          <w:tab w:val="left" w:pos="1260"/>
        </w:tabs>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3、责任的期限</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受托方与委托方双方的责任与义务期限为合同协议书或合同条款规定的时间范围。</w:t>
      </w:r>
    </w:p>
    <w:p>
      <w:pPr>
        <w:keepNext w:val="0"/>
        <w:keepLines w:val="0"/>
        <w:pageBreakBefore w:val="0"/>
        <w:widowControl w:val="0"/>
        <w:tabs>
          <w:tab w:val="left" w:pos="360"/>
          <w:tab w:val="left" w:pos="1260"/>
        </w:tabs>
        <w:kinsoku/>
        <w:wordWrap/>
        <w:overflowPunct/>
        <w:topLinePunct w:val="0"/>
        <w:bidi w:val="0"/>
        <w:adjustRightInd/>
        <w:snapToGrid/>
        <w:spacing w:line="360" w:lineRule="auto"/>
        <w:ind w:left="0" w:leftChars="0" w:firstLine="442" w:firstLineChars="200"/>
        <w:outlineLvl w:val="0"/>
        <w:rPr>
          <w:rFonts w:hint="eastAsia" w:ascii="宋体" w:hAnsi="宋体" w:eastAsia="宋体" w:cs="宋体"/>
          <w:b/>
          <w:bCs/>
          <w:color w:val="auto"/>
          <w:sz w:val="22"/>
          <w:szCs w:val="22"/>
          <w:highlight w:val="none"/>
        </w:rPr>
      </w:pPr>
      <w:bookmarkStart w:id="93" w:name="_Toc62509789"/>
      <w:bookmarkStart w:id="94" w:name="_Toc510442602"/>
      <w:bookmarkStart w:id="95" w:name="_Toc393638325"/>
      <w:r>
        <w:rPr>
          <w:rFonts w:hint="eastAsia" w:ascii="宋体" w:hAnsi="宋体" w:eastAsia="宋体" w:cs="宋体"/>
          <w:b/>
          <w:bCs/>
          <w:color w:val="auto"/>
          <w:sz w:val="22"/>
          <w:szCs w:val="22"/>
          <w:highlight w:val="none"/>
        </w:rPr>
        <w:t>六、安全措施</w:t>
      </w:r>
      <w:bookmarkEnd w:id="93"/>
      <w:bookmarkEnd w:id="94"/>
      <w:bookmarkEnd w:id="95"/>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在现场工作时，受托方应遵守政府有关部门、业主方及有关单位安全保卫制度，并对其人员的安全负责，受托方应对由于自己或其代理人的过错包括侵犯版权或发明权而给委托方或任何第三方造成的损失负赔偿责任。在作业现场，受托方应采取必要的安全措施，并应保障委托方免于承担由此导致的一切诉讼、争执、索赔、罚款。</w:t>
      </w:r>
    </w:p>
    <w:p>
      <w:pPr>
        <w:keepNext w:val="0"/>
        <w:keepLines w:val="0"/>
        <w:pageBreakBefore w:val="0"/>
        <w:widowControl w:val="0"/>
        <w:tabs>
          <w:tab w:val="left" w:pos="360"/>
          <w:tab w:val="left" w:pos="1260"/>
        </w:tabs>
        <w:kinsoku/>
        <w:wordWrap/>
        <w:overflowPunct/>
        <w:topLinePunct w:val="0"/>
        <w:bidi w:val="0"/>
        <w:adjustRightInd/>
        <w:snapToGrid/>
        <w:spacing w:line="360" w:lineRule="auto"/>
        <w:ind w:left="0" w:leftChars="0" w:firstLine="442" w:firstLineChars="200"/>
        <w:outlineLvl w:val="0"/>
        <w:rPr>
          <w:rFonts w:hint="eastAsia" w:ascii="宋体" w:hAnsi="宋体" w:eastAsia="宋体" w:cs="宋体"/>
          <w:b/>
          <w:bCs/>
          <w:color w:val="auto"/>
          <w:sz w:val="22"/>
          <w:szCs w:val="22"/>
          <w:highlight w:val="none"/>
        </w:rPr>
      </w:pPr>
      <w:bookmarkStart w:id="96" w:name="_Toc62509790"/>
      <w:bookmarkStart w:id="97" w:name="_Toc393638326"/>
      <w:bookmarkStart w:id="98" w:name="_Toc510442603"/>
      <w:r>
        <w:rPr>
          <w:rFonts w:hint="eastAsia" w:ascii="宋体" w:hAnsi="宋体" w:eastAsia="宋体" w:cs="宋体"/>
          <w:b/>
          <w:bCs/>
          <w:color w:val="auto"/>
          <w:sz w:val="22"/>
          <w:szCs w:val="22"/>
          <w:highlight w:val="none"/>
        </w:rPr>
        <w:t>七、保险</w:t>
      </w:r>
      <w:bookmarkEnd w:id="96"/>
      <w:bookmarkEnd w:id="97"/>
      <w:bookmarkEnd w:id="98"/>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项目的工程一切险、第三方责任险、受托方装备险和受托方职工的（人身）事故险均由受托方投保，保险费由受托方承担并支付，并包含在合同总价中，不单独计量与支付。在本合同工程实施过程中，受托方雇员的人身死亡或伤残，或财产（设备）的损失或损害，由受托方自行负责，委托方不予赔偿。</w:t>
      </w:r>
    </w:p>
    <w:p>
      <w:pPr>
        <w:keepNext w:val="0"/>
        <w:keepLines w:val="0"/>
        <w:pageBreakBefore w:val="0"/>
        <w:widowControl w:val="0"/>
        <w:tabs>
          <w:tab w:val="left" w:pos="360"/>
          <w:tab w:val="left" w:pos="1260"/>
        </w:tabs>
        <w:kinsoku/>
        <w:wordWrap/>
        <w:overflowPunct/>
        <w:topLinePunct w:val="0"/>
        <w:bidi w:val="0"/>
        <w:adjustRightInd/>
        <w:snapToGrid/>
        <w:spacing w:line="360" w:lineRule="auto"/>
        <w:ind w:left="0" w:leftChars="0" w:firstLine="442" w:firstLineChars="200"/>
        <w:outlineLvl w:val="0"/>
        <w:rPr>
          <w:rFonts w:hint="eastAsia" w:ascii="宋体" w:hAnsi="宋体" w:eastAsia="宋体" w:cs="宋体"/>
          <w:b/>
          <w:bCs/>
          <w:color w:val="auto"/>
          <w:sz w:val="22"/>
          <w:szCs w:val="22"/>
          <w:highlight w:val="none"/>
        </w:rPr>
      </w:pPr>
      <w:bookmarkStart w:id="99" w:name="_Toc143763570"/>
      <w:bookmarkStart w:id="100" w:name="_Toc62509791"/>
      <w:bookmarkStart w:id="101" w:name="_Toc510442604"/>
      <w:bookmarkStart w:id="102" w:name="_Toc393638327"/>
      <w:r>
        <w:rPr>
          <w:rFonts w:hint="eastAsia" w:ascii="宋体" w:hAnsi="宋体" w:eastAsia="宋体" w:cs="宋体"/>
          <w:b/>
          <w:bCs/>
          <w:color w:val="auto"/>
          <w:sz w:val="22"/>
          <w:szCs w:val="22"/>
          <w:highlight w:val="none"/>
        </w:rPr>
        <w:t>八、合同费用与支付</w:t>
      </w:r>
      <w:bookmarkEnd w:id="99"/>
      <w:bookmarkEnd w:id="100"/>
      <w:bookmarkEnd w:id="101"/>
      <w:bookmarkEnd w:id="102"/>
    </w:p>
    <w:p>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42" w:firstLineChars="200"/>
        <w:textAlignment w:val="bottom"/>
        <w:rPr>
          <w:rFonts w:hint="eastAsia" w:ascii="宋体" w:hAnsi="宋体" w:eastAsia="宋体" w:cs="宋体"/>
          <w:b/>
          <w:bCs/>
          <w:color w:val="auto"/>
          <w:sz w:val="22"/>
          <w:szCs w:val="22"/>
          <w:highlight w:val="none"/>
        </w:rPr>
      </w:pPr>
      <w:bookmarkStart w:id="103" w:name="_Toc143763571"/>
      <w:r>
        <w:rPr>
          <w:rFonts w:hint="eastAsia" w:ascii="宋体" w:hAnsi="宋体" w:eastAsia="宋体" w:cs="宋体"/>
          <w:b/>
          <w:bCs/>
          <w:color w:val="auto"/>
          <w:sz w:val="22"/>
          <w:szCs w:val="22"/>
          <w:highlight w:val="none"/>
        </w:rPr>
        <w:t>1、服务费用支付方式：</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42" w:firstLineChars="200"/>
        <w:textAlignment w:val="bottom"/>
        <w:rPr>
          <w:rFonts w:hint="eastAsia" w:ascii="宋体" w:hAnsi="宋体" w:eastAsia="宋体" w:cs="宋体"/>
          <w:b/>
          <w:bCs/>
          <w:color w:val="auto"/>
          <w:sz w:val="22"/>
          <w:szCs w:val="22"/>
          <w:highlight w:val="none"/>
          <w:u w:val="none"/>
          <w:lang w:val="en-US" w:eastAsia="zh-CN"/>
        </w:rPr>
      </w:pPr>
      <w:r>
        <w:rPr>
          <w:rFonts w:hint="eastAsia" w:ascii="宋体" w:hAnsi="宋体" w:eastAsia="宋体" w:cs="宋体"/>
          <w:b/>
          <w:bCs/>
          <w:color w:val="auto"/>
          <w:sz w:val="22"/>
          <w:szCs w:val="22"/>
          <w:highlight w:val="none"/>
          <w:u w:val="none"/>
          <w:lang w:val="en-US" w:eastAsia="zh-CN"/>
        </w:rPr>
        <w:t>合同采用固定总价的合同方式。</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42" w:firstLineChars="200"/>
        <w:textAlignment w:val="bottom"/>
        <w:rPr>
          <w:rFonts w:hint="eastAsia" w:ascii="宋体" w:hAnsi="宋体" w:eastAsia="宋体" w:cs="宋体"/>
          <w:b/>
          <w:bCs/>
          <w:color w:val="auto"/>
          <w:sz w:val="22"/>
          <w:szCs w:val="22"/>
          <w:highlight w:val="none"/>
          <w:u w:val="none"/>
          <w:lang w:val="en-US" w:eastAsia="zh-CN"/>
        </w:rPr>
      </w:pPr>
      <w:r>
        <w:rPr>
          <w:rFonts w:hint="eastAsia" w:ascii="宋体" w:hAnsi="宋体" w:eastAsia="宋体" w:cs="宋体"/>
          <w:b/>
          <w:bCs/>
          <w:color w:val="auto"/>
          <w:sz w:val="22"/>
          <w:szCs w:val="22"/>
          <w:highlight w:val="none"/>
          <w:u w:val="none"/>
          <w:lang w:val="en-US" w:eastAsia="zh-CN"/>
        </w:rPr>
        <w:t>完成南通市内河干线航道文物资源区域评估报告并通过江苏省文物局的验收取得批复后30日内支付全部合同价款。(不计息）</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42" w:firstLineChars="200"/>
        <w:textAlignment w:val="bottom"/>
        <w:rPr>
          <w:rFonts w:hint="eastAsia" w:ascii="宋体" w:hAnsi="宋体" w:eastAsia="宋体" w:cs="宋体"/>
          <w:b/>
          <w:bCs/>
          <w:color w:val="auto"/>
          <w:sz w:val="22"/>
          <w:szCs w:val="22"/>
          <w:highlight w:val="none"/>
          <w:u w:val="none"/>
          <w:lang w:val="en-US" w:eastAsia="zh-CN"/>
        </w:rPr>
      </w:pPr>
      <w:r>
        <w:rPr>
          <w:rFonts w:hint="eastAsia" w:ascii="宋体" w:hAnsi="宋体" w:eastAsia="宋体" w:cs="宋体"/>
          <w:b/>
          <w:bCs/>
          <w:color w:val="auto"/>
          <w:sz w:val="22"/>
          <w:szCs w:val="22"/>
          <w:highlight w:val="none"/>
          <w:u w:val="none"/>
          <w:lang w:val="en-US" w:eastAsia="zh-CN"/>
        </w:rPr>
        <w:t>注：每次支付咨询服务费用时，承包人必须向发包人提供正规税务发票（当次支付的全额发票），否则不予支付。</w:t>
      </w:r>
    </w:p>
    <w:p>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2、在合同实施过程中，技术服务工作如有推迟或延误而超过约定的</w:t>
      </w:r>
      <w:r>
        <w:rPr>
          <w:rFonts w:hint="eastAsia" w:ascii="宋体" w:hAnsi="宋体" w:eastAsia="宋体" w:cs="宋体"/>
          <w:b w:val="0"/>
          <w:bCs/>
          <w:color w:val="auto"/>
          <w:sz w:val="22"/>
          <w:szCs w:val="22"/>
          <w:highlight w:val="none"/>
          <w:lang w:eastAsia="zh-CN"/>
        </w:rPr>
        <w:t>服务周期</w:t>
      </w:r>
      <w:r>
        <w:rPr>
          <w:rFonts w:hint="eastAsia" w:ascii="宋体" w:hAnsi="宋体" w:eastAsia="宋体" w:cs="宋体"/>
          <w:b w:val="0"/>
          <w:bCs/>
          <w:color w:val="auto"/>
          <w:sz w:val="22"/>
          <w:szCs w:val="22"/>
          <w:highlight w:val="none"/>
        </w:rPr>
        <w:t>限，应相应延长</w:t>
      </w:r>
      <w:r>
        <w:rPr>
          <w:rFonts w:hint="eastAsia" w:ascii="宋体" w:hAnsi="宋体" w:eastAsia="宋体" w:cs="宋体"/>
          <w:b w:val="0"/>
          <w:bCs/>
          <w:color w:val="auto"/>
          <w:sz w:val="22"/>
          <w:szCs w:val="22"/>
          <w:highlight w:val="none"/>
          <w:lang w:eastAsia="zh-CN"/>
        </w:rPr>
        <w:t>服务周期</w:t>
      </w:r>
      <w:r>
        <w:rPr>
          <w:rFonts w:hint="eastAsia" w:ascii="宋体" w:hAnsi="宋体" w:eastAsia="宋体" w:cs="宋体"/>
          <w:b w:val="0"/>
          <w:bCs/>
          <w:color w:val="auto"/>
          <w:sz w:val="22"/>
          <w:szCs w:val="22"/>
          <w:highlight w:val="none"/>
        </w:rPr>
        <w:t>，但并不因</w:t>
      </w:r>
      <w:r>
        <w:rPr>
          <w:rFonts w:hint="eastAsia" w:ascii="宋体" w:hAnsi="宋体" w:eastAsia="宋体" w:cs="宋体"/>
          <w:b w:val="0"/>
          <w:bCs/>
          <w:color w:val="auto"/>
          <w:sz w:val="22"/>
          <w:szCs w:val="22"/>
          <w:highlight w:val="none"/>
          <w:lang w:eastAsia="zh-CN"/>
        </w:rPr>
        <w:t>服务周期</w:t>
      </w:r>
      <w:r>
        <w:rPr>
          <w:rFonts w:hint="eastAsia" w:ascii="宋体" w:hAnsi="宋体" w:eastAsia="宋体" w:cs="宋体"/>
          <w:b w:val="0"/>
          <w:bCs/>
          <w:color w:val="auto"/>
          <w:sz w:val="22"/>
          <w:szCs w:val="22"/>
          <w:highlight w:val="none"/>
        </w:rPr>
        <w:t>的延长原因调整各项单价及总价。</w:t>
      </w:r>
    </w:p>
    <w:p>
      <w:pPr>
        <w:keepNext w:val="0"/>
        <w:keepLines w:val="0"/>
        <w:pageBreakBefore w:val="0"/>
        <w:widowControl w:val="0"/>
        <w:tabs>
          <w:tab w:val="left" w:pos="360"/>
          <w:tab w:val="left" w:pos="1260"/>
        </w:tabs>
        <w:kinsoku/>
        <w:wordWrap/>
        <w:overflowPunct/>
        <w:topLinePunct w:val="0"/>
        <w:bidi w:val="0"/>
        <w:adjustRightInd/>
        <w:snapToGrid/>
        <w:spacing w:line="360" w:lineRule="auto"/>
        <w:ind w:left="0" w:leftChars="0" w:firstLine="442" w:firstLineChars="200"/>
        <w:outlineLvl w:val="0"/>
        <w:rPr>
          <w:rFonts w:hint="eastAsia" w:ascii="宋体" w:hAnsi="宋体" w:eastAsia="宋体" w:cs="宋体"/>
          <w:b/>
          <w:bCs/>
          <w:color w:val="auto"/>
          <w:sz w:val="22"/>
          <w:szCs w:val="22"/>
          <w:highlight w:val="none"/>
        </w:rPr>
      </w:pPr>
      <w:bookmarkStart w:id="104" w:name="_Toc62509792"/>
      <w:bookmarkStart w:id="105" w:name="_Toc510442605"/>
      <w:bookmarkStart w:id="106" w:name="_Toc393638328"/>
      <w:r>
        <w:rPr>
          <w:rFonts w:hint="eastAsia" w:ascii="宋体" w:hAnsi="宋体" w:eastAsia="宋体" w:cs="宋体"/>
          <w:b/>
          <w:bCs/>
          <w:color w:val="auto"/>
          <w:sz w:val="22"/>
          <w:szCs w:val="22"/>
          <w:highlight w:val="none"/>
        </w:rPr>
        <w:t>九、合同的调价</w:t>
      </w:r>
      <w:bookmarkEnd w:id="103"/>
      <w:bookmarkEnd w:id="104"/>
      <w:bookmarkEnd w:id="105"/>
      <w:bookmarkEnd w:id="106"/>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在签订本合同后，因法律、法规发生变化引起该技术服务费变化，以及因物价变动、规范性文件发生变化等其他因素而引起费用变化，合同价格不作调整。</w:t>
      </w:r>
    </w:p>
    <w:p>
      <w:pPr>
        <w:keepNext w:val="0"/>
        <w:keepLines w:val="0"/>
        <w:pageBreakBefore w:val="0"/>
        <w:widowControl w:val="0"/>
        <w:tabs>
          <w:tab w:val="left" w:pos="360"/>
          <w:tab w:val="left" w:pos="1260"/>
        </w:tabs>
        <w:kinsoku/>
        <w:wordWrap/>
        <w:overflowPunct/>
        <w:topLinePunct w:val="0"/>
        <w:bidi w:val="0"/>
        <w:adjustRightInd/>
        <w:snapToGrid/>
        <w:spacing w:line="360" w:lineRule="auto"/>
        <w:ind w:left="0" w:leftChars="0" w:firstLine="442" w:firstLineChars="200"/>
        <w:outlineLvl w:val="0"/>
        <w:rPr>
          <w:rFonts w:hint="eastAsia" w:ascii="宋体" w:hAnsi="宋体" w:eastAsia="宋体" w:cs="宋体"/>
          <w:b/>
          <w:bCs/>
          <w:color w:val="auto"/>
          <w:sz w:val="22"/>
          <w:szCs w:val="22"/>
          <w:highlight w:val="none"/>
        </w:rPr>
      </w:pPr>
      <w:bookmarkStart w:id="107" w:name="_Toc510442606"/>
      <w:bookmarkStart w:id="108" w:name="_Toc393638329"/>
      <w:bookmarkStart w:id="109" w:name="_Toc62509793"/>
      <w:r>
        <w:rPr>
          <w:rFonts w:hint="eastAsia" w:ascii="宋体" w:hAnsi="宋体" w:eastAsia="宋体" w:cs="宋体"/>
          <w:b/>
          <w:bCs/>
          <w:color w:val="auto"/>
          <w:sz w:val="22"/>
          <w:szCs w:val="22"/>
          <w:highlight w:val="none"/>
        </w:rPr>
        <w:t>十、转包与分包</w:t>
      </w:r>
      <w:bookmarkEnd w:id="107"/>
      <w:bookmarkEnd w:id="108"/>
      <w:bookmarkEnd w:id="109"/>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bookmarkStart w:id="110" w:name="_Toc393638330"/>
      <w:r>
        <w:rPr>
          <w:rFonts w:hint="eastAsia" w:ascii="宋体" w:hAnsi="宋体" w:eastAsia="宋体" w:cs="宋体"/>
          <w:snapToGrid w:val="0"/>
          <w:color w:val="auto"/>
          <w:kern w:val="0"/>
          <w:sz w:val="22"/>
          <w:szCs w:val="22"/>
          <w:highlight w:val="none"/>
        </w:rPr>
        <w:t>本项目禁止转包、禁止违法分包。</w:t>
      </w:r>
      <w:bookmarkEnd w:id="110"/>
    </w:p>
    <w:p>
      <w:pPr>
        <w:keepNext w:val="0"/>
        <w:keepLines w:val="0"/>
        <w:pageBreakBefore w:val="0"/>
        <w:widowControl w:val="0"/>
        <w:tabs>
          <w:tab w:val="left" w:pos="360"/>
          <w:tab w:val="left" w:pos="1260"/>
        </w:tabs>
        <w:kinsoku/>
        <w:wordWrap/>
        <w:overflowPunct/>
        <w:topLinePunct w:val="0"/>
        <w:bidi w:val="0"/>
        <w:adjustRightInd/>
        <w:snapToGrid/>
        <w:spacing w:line="360" w:lineRule="auto"/>
        <w:ind w:left="0" w:leftChars="0" w:firstLine="442" w:firstLineChars="200"/>
        <w:outlineLvl w:val="0"/>
        <w:rPr>
          <w:rFonts w:hint="eastAsia" w:ascii="宋体" w:hAnsi="宋体" w:eastAsia="宋体" w:cs="宋体"/>
          <w:b/>
          <w:bCs/>
          <w:color w:val="auto"/>
          <w:sz w:val="22"/>
          <w:szCs w:val="22"/>
          <w:highlight w:val="none"/>
        </w:rPr>
      </w:pPr>
      <w:bookmarkStart w:id="111" w:name="_Toc393638331"/>
      <w:bookmarkStart w:id="112" w:name="_Toc62509794"/>
      <w:bookmarkStart w:id="113" w:name="_Toc510442607"/>
      <w:r>
        <w:rPr>
          <w:rFonts w:hint="eastAsia" w:ascii="宋体" w:hAnsi="宋体" w:eastAsia="宋体" w:cs="宋体"/>
          <w:b/>
          <w:bCs/>
          <w:color w:val="auto"/>
          <w:sz w:val="22"/>
          <w:szCs w:val="22"/>
          <w:highlight w:val="none"/>
        </w:rPr>
        <w:t>十一、不可抗力</w:t>
      </w:r>
      <w:bookmarkEnd w:id="111"/>
      <w:bookmarkEnd w:id="112"/>
      <w:bookmarkEnd w:id="113"/>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1、除非合同另有约定，不可抗力系指委托方和受托方都不可预见、不可避免、不能克服的超出认识控制和防范能力的事件。这类事件使合同一方的履约已变得不可能。不可抗力可以包括(但不限于)下列情况：</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(1)战争、敌对行动(不论宣战与否)、入侵、外敌行动；</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(2)叛乱、革命、暴动或军事政变或篡夺政权，或内战；</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(3)暴乱、骚乱或混乱，但对于完全局限在受托方雇用人员内部并且是由于从事本工程而发生的事件除外；</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(4)离子辐射或放射性污染；</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(5)以音速或超音速飞行的飞机或其他飞行装置产生的压力波，飞行器坠落；</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(6)自然灾害(地震、洪水、海啸、飓风、超强台风、雷击)。</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遇有不可抗力事件的一方因此影响合同执行时，应在不可抗力事件发生后立即以书面形式通知对方，并应在不可抗力事情发生后15天内，提供事件详细及合同不能履行、或者部分不能履行、或者需要延期履行的理由的有效证明文件。按照事件对履行合同的影响程度，由双方协商解决是否解除合同，或者部分免除履行合同的责任，或者延期履行合同。</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3、因合同一方拖延履行合同后发生不可抗力的，不能免除拖延履行方的相应责任。</w:t>
      </w:r>
    </w:p>
    <w:p>
      <w:pPr>
        <w:keepNext w:val="0"/>
        <w:keepLines w:val="0"/>
        <w:pageBreakBefore w:val="0"/>
        <w:widowControl w:val="0"/>
        <w:tabs>
          <w:tab w:val="left" w:pos="360"/>
          <w:tab w:val="left" w:pos="1260"/>
        </w:tabs>
        <w:kinsoku/>
        <w:wordWrap/>
        <w:overflowPunct/>
        <w:topLinePunct w:val="0"/>
        <w:bidi w:val="0"/>
        <w:adjustRightInd/>
        <w:snapToGrid/>
        <w:spacing w:line="360" w:lineRule="auto"/>
        <w:ind w:left="0" w:leftChars="0" w:firstLine="442" w:firstLineChars="200"/>
        <w:outlineLvl w:val="0"/>
        <w:rPr>
          <w:rFonts w:hint="eastAsia" w:ascii="宋体" w:hAnsi="宋体" w:eastAsia="宋体" w:cs="宋体"/>
          <w:b/>
          <w:bCs/>
          <w:color w:val="auto"/>
          <w:sz w:val="22"/>
          <w:szCs w:val="22"/>
          <w:highlight w:val="none"/>
        </w:rPr>
      </w:pPr>
      <w:bookmarkStart w:id="114" w:name="_Toc62509795"/>
      <w:bookmarkStart w:id="115" w:name="_Toc510442608"/>
      <w:bookmarkStart w:id="116" w:name="_Toc393638332"/>
      <w:r>
        <w:rPr>
          <w:rFonts w:hint="eastAsia" w:ascii="宋体" w:hAnsi="宋体" w:eastAsia="宋体" w:cs="宋体"/>
          <w:b/>
          <w:bCs/>
          <w:color w:val="auto"/>
          <w:sz w:val="22"/>
          <w:szCs w:val="22"/>
          <w:highlight w:val="none"/>
        </w:rPr>
        <w:t>十二、索赔</w:t>
      </w:r>
      <w:bookmarkEnd w:id="114"/>
      <w:bookmarkEnd w:id="115"/>
      <w:bookmarkEnd w:id="116"/>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1、当一方提出索赔时，要有正当索赔理由，且有索赔事件发生时的有效证据。</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2、委托方未能按合同约定履行自己的各项义务或发生错误以及应由委托方承担责任的其他情况，造成受托方的经济损失，受托方可按下列程序以书面形式向委托方索赔：</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(1)索赔事件发生后28日内，发出索赔意向通知；</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(2)委托方在收到受托方送交的索赔报告和有关资料后，于28日内给予答复，或要求受托方进一步补充索赔理由和证据；</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(3)委托方在收到受托方送交的索赔报告和有关资料后28内给予答复或未对受托方作进一步要求，视为该项索赔已经认可；</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(4)当该索赔事件持续进行时，受托方应当阶段性向委托方发出索赔意向，在索赔事件终了后28日内，向委托方送交索赔的有关资料和最终索赔报告。索赔的程序与(2)、(3)规定相同。</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3、受托方未能按合同约定履行自己的各项义务或发生错误，造成工期延误和(或)对委托方造成的其它经济损失，委托方可按本合同上述第2款确定的时限和方式向受托方提出索赔。</w:t>
      </w:r>
    </w:p>
    <w:p>
      <w:pPr>
        <w:keepNext w:val="0"/>
        <w:keepLines w:val="0"/>
        <w:pageBreakBefore w:val="0"/>
        <w:widowControl w:val="0"/>
        <w:tabs>
          <w:tab w:val="left" w:pos="360"/>
          <w:tab w:val="left" w:pos="1260"/>
        </w:tabs>
        <w:kinsoku/>
        <w:wordWrap/>
        <w:overflowPunct/>
        <w:topLinePunct w:val="0"/>
        <w:bidi w:val="0"/>
        <w:adjustRightInd/>
        <w:snapToGrid/>
        <w:spacing w:line="360" w:lineRule="auto"/>
        <w:ind w:left="0" w:leftChars="0" w:firstLine="442" w:firstLineChars="200"/>
        <w:outlineLvl w:val="0"/>
        <w:rPr>
          <w:rFonts w:hint="eastAsia" w:ascii="宋体" w:hAnsi="宋体" w:eastAsia="宋体" w:cs="宋体"/>
          <w:b/>
          <w:bCs/>
          <w:color w:val="auto"/>
          <w:sz w:val="22"/>
          <w:szCs w:val="22"/>
          <w:highlight w:val="none"/>
        </w:rPr>
      </w:pPr>
      <w:bookmarkStart w:id="117" w:name="_Toc510442609"/>
      <w:bookmarkStart w:id="118" w:name="_Toc393638333"/>
      <w:bookmarkStart w:id="119" w:name="_Toc62509796"/>
      <w:r>
        <w:rPr>
          <w:rFonts w:hint="eastAsia" w:ascii="宋体" w:hAnsi="宋体" w:eastAsia="宋体" w:cs="宋体"/>
          <w:b/>
          <w:bCs/>
          <w:color w:val="auto"/>
          <w:sz w:val="22"/>
          <w:szCs w:val="22"/>
          <w:highlight w:val="none"/>
        </w:rPr>
        <w:t>十三、合同生效、变更、中止、解除和终止</w:t>
      </w:r>
      <w:bookmarkEnd w:id="117"/>
      <w:bookmarkEnd w:id="118"/>
      <w:bookmarkEnd w:id="119"/>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1、对本合同条款的任何变更、修改或增减，须经双方协商同意后由法定代表人或授权代理人签署书面补充文件，作为本合同的组成部分。</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2、委托方如果要求受托方全部或部分中止</w:t>
      </w:r>
      <w:r>
        <w:rPr>
          <w:rFonts w:hint="eastAsia" w:ascii="宋体" w:hAnsi="宋体" w:eastAsia="宋体" w:cs="宋体"/>
          <w:color w:val="auto"/>
          <w:sz w:val="22"/>
          <w:szCs w:val="22"/>
          <w:highlight w:val="none"/>
          <w:lang w:val="en-US" w:eastAsia="zh-CN"/>
        </w:rPr>
        <w:t>本项目</w:t>
      </w:r>
      <w:r>
        <w:rPr>
          <w:rFonts w:hint="eastAsia" w:ascii="宋体" w:hAnsi="宋体" w:eastAsia="宋体" w:cs="宋体"/>
          <w:color w:val="auto"/>
          <w:sz w:val="22"/>
          <w:szCs w:val="22"/>
          <w:highlight w:val="none"/>
        </w:rPr>
        <w:t>服务或终止合同，则应当在14日前通知受托方，受托方应当立即安排停止执行技术服务工作。</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3、如受托方发生违约行为，受托方除偿付委托方违约金和损失赔偿费外，委托方有权解除本合同。合同解除后，委托方不承担责任。</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4、双方因不可抗力致使合同无法履行，可以解除合同。</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一方根据上述条款约定要求解除合同的，应以书面形式向对方发出解除合同的通知，并在发出通知前14日告知对方，通知达到对方时合同解除。对解除合同有争议的，按本合同第16款“2、争议的解决”关于争议的约定处理。</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6、合同解除后，不影响双方在合同中约定的结算、清理和损害赔偿条款及争议的效力。</w:t>
      </w:r>
    </w:p>
    <w:p>
      <w:pPr>
        <w:keepNext w:val="0"/>
        <w:keepLines w:val="0"/>
        <w:pageBreakBefore w:val="0"/>
        <w:widowControl w:val="0"/>
        <w:tabs>
          <w:tab w:val="left" w:pos="360"/>
          <w:tab w:val="left" w:pos="1260"/>
        </w:tabs>
        <w:kinsoku/>
        <w:wordWrap/>
        <w:overflowPunct/>
        <w:topLinePunct w:val="0"/>
        <w:bidi w:val="0"/>
        <w:adjustRightInd/>
        <w:snapToGrid/>
        <w:spacing w:line="360" w:lineRule="auto"/>
        <w:ind w:left="0" w:leftChars="0" w:firstLine="442" w:firstLineChars="200"/>
        <w:outlineLvl w:val="0"/>
        <w:rPr>
          <w:rFonts w:hint="eastAsia" w:ascii="宋体" w:hAnsi="宋体" w:eastAsia="宋体" w:cs="宋体"/>
          <w:b/>
          <w:bCs/>
          <w:color w:val="auto"/>
          <w:sz w:val="22"/>
          <w:szCs w:val="22"/>
          <w:highlight w:val="none"/>
        </w:rPr>
      </w:pPr>
      <w:bookmarkStart w:id="120" w:name="_Toc62509797"/>
      <w:bookmarkStart w:id="121" w:name="_Toc510442610"/>
      <w:bookmarkStart w:id="122" w:name="_Toc393638335"/>
      <w:r>
        <w:rPr>
          <w:rFonts w:hint="eastAsia" w:ascii="宋体" w:hAnsi="宋体" w:eastAsia="宋体" w:cs="宋体"/>
          <w:b/>
          <w:bCs/>
          <w:color w:val="auto"/>
          <w:sz w:val="22"/>
          <w:szCs w:val="22"/>
          <w:highlight w:val="none"/>
        </w:rPr>
        <w:t>十四、廉洁条款</w:t>
      </w:r>
      <w:bookmarkEnd w:id="120"/>
      <w:bookmarkEnd w:id="121"/>
      <w:bookmarkEnd w:id="122"/>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委托方和受托方人员应当自觉遵守国家、江苏省关于建设工程廉政建设的有关规定。</w:t>
      </w:r>
    </w:p>
    <w:p>
      <w:pPr>
        <w:keepNext w:val="0"/>
        <w:keepLines w:val="0"/>
        <w:pageBreakBefore w:val="0"/>
        <w:widowControl w:val="0"/>
        <w:tabs>
          <w:tab w:val="left" w:pos="360"/>
          <w:tab w:val="left" w:pos="1260"/>
        </w:tabs>
        <w:kinsoku/>
        <w:wordWrap/>
        <w:overflowPunct/>
        <w:topLinePunct w:val="0"/>
        <w:bidi w:val="0"/>
        <w:adjustRightInd/>
        <w:snapToGrid/>
        <w:spacing w:line="360" w:lineRule="auto"/>
        <w:ind w:left="0" w:leftChars="0" w:firstLine="442" w:firstLineChars="200"/>
        <w:outlineLvl w:val="0"/>
        <w:rPr>
          <w:rFonts w:hint="eastAsia" w:ascii="宋体" w:hAnsi="宋体" w:eastAsia="宋体" w:cs="宋体"/>
          <w:b/>
          <w:bCs/>
          <w:color w:val="auto"/>
          <w:sz w:val="22"/>
          <w:szCs w:val="22"/>
          <w:highlight w:val="none"/>
        </w:rPr>
      </w:pPr>
      <w:bookmarkStart w:id="123" w:name="_Toc393638336"/>
      <w:bookmarkStart w:id="124" w:name="_Toc62509798"/>
      <w:bookmarkStart w:id="125" w:name="_Toc510442611"/>
      <w:bookmarkStart w:id="126" w:name="_Toc143763572"/>
      <w:r>
        <w:rPr>
          <w:rFonts w:hint="eastAsia" w:ascii="宋体" w:hAnsi="宋体" w:eastAsia="宋体" w:cs="宋体"/>
          <w:b/>
          <w:bCs/>
          <w:color w:val="auto"/>
          <w:sz w:val="22"/>
          <w:szCs w:val="22"/>
          <w:highlight w:val="none"/>
        </w:rPr>
        <w:t>十五、其它</w:t>
      </w:r>
      <w:bookmarkEnd w:id="123"/>
      <w:bookmarkEnd w:id="124"/>
      <w:bookmarkEnd w:id="125"/>
      <w:bookmarkEnd w:id="126"/>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bookmarkStart w:id="127" w:name="_Toc393638337"/>
      <w:r>
        <w:rPr>
          <w:rFonts w:hint="eastAsia" w:ascii="宋体" w:hAnsi="宋体" w:eastAsia="宋体" w:cs="宋体"/>
          <w:color w:val="auto"/>
          <w:sz w:val="22"/>
          <w:szCs w:val="22"/>
          <w:highlight w:val="none"/>
        </w:rPr>
        <w:t>1、法律和法规</w:t>
      </w:r>
      <w:bookmarkEnd w:id="127"/>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本合同必须服从国家的现行法律和法规，对合同的解释应以国家的现行法律和法规为准。</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双方根据有关法律、行政法规规定，结合工程实际，经协商一致后，可对本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服务合同条款进行补充或修改，另行签订补充协议，作为本合同的组成部分。</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2、争议的解决</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合同在执行过程中，如发生任何争端、纠纷或因违反、终止本合同而引起的对损失损害的任何赔偿，应事先协商，在受托方和委托方之间达成一致意见。如未能达成一致，可提交上级主管部门协调：若仍不能达成一致，双方约定通过仲裁方式解决。仲裁机构为</w:t>
      </w:r>
      <w:r>
        <w:rPr>
          <w:rFonts w:hint="eastAsia" w:ascii="宋体" w:hAnsi="宋体" w:eastAsia="宋体" w:cs="宋体"/>
          <w:color w:val="auto"/>
          <w:sz w:val="22"/>
          <w:szCs w:val="22"/>
          <w:highlight w:val="none"/>
          <w:lang w:val="en-US" w:eastAsia="zh-CN"/>
        </w:rPr>
        <w:t>南通</w:t>
      </w:r>
      <w:r>
        <w:rPr>
          <w:rFonts w:hint="eastAsia" w:ascii="宋体" w:hAnsi="宋体" w:eastAsia="宋体" w:cs="宋体"/>
          <w:color w:val="auto"/>
          <w:sz w:val="22"/>
          <w:szCs w:val="22"/>
          <w:highlight w:val="none"/>
        </w:rPr>
        <w:t>仲裁委员会。仲裁决定具有最终法律效力，其仲裁费用由败诉方承担。</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3、利益的冲突</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除合同另有规定外，受托方及其雇员不应接受本合同规定以外的与本工程有关的利益和报酬。</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4、本合同中的暂定金是委托方为本项目工程量的增加或留作不可预见费，由委托方决定是否全部或部分使用，或者根本不予使用。</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5、履约担保</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受托方</w:t>
      </w:r>
      <w:r>
        <w:rPr>
          <w:rFonts w:hint="eastAsia" w:ascii="宋体" w:hAnsi="宋体" w:eastAsia="宋体" w:cs="宋体"/>
          <w:color w:val="auto"/>
          <w:sz w:val="22"/>
          <w:szCs w:val="22"/>
          <w:highlight w:val="none"/>
        </w:rPr>
        <w:t>应按</w:t>
      </w:r>
      <w:r>
        <w:rPr>
          <w:rFonts w:hint="eastAsia" w:ascii="宋体" w:hAnsi="宋体" w:eastAsia="宋体" w:cs="宋体"/>
          <w:b w:val="0"/>
          <w:bCs w:val="0"/>
          <w:color w:val="auto"/>
          <w:sz w:val="22"/>
          <w:szCs w:val="22"/>
          <w:highlight w:val="none"/>
        </w:rPr>
        <w:t>签约合同价格的5%向</w:t>
      </w:r>
      <w:r>
        <w:rPr>
          <w:rFonts w:hint="eastAsia" w:ascii="宋体" w:hAnsi="宋体" w:eastAsia="宋体" w:cs="宋体"/>
          <w:color w:val="auto"/>
          <w:sz w:val="22"/>
          <w:szCs w:val="22"/>
          <w:highlight w:val="none"/>
          <w:lang w:val="en-US" w:eastAsia="zh-CN"/>
        </w:rPr>
        <w:t>委托方</w:t>
      </w:r>
      <w:r>
        <w:rPr>
          <w:rFonts w:hint="eastAsia" w:ascii="宋体" w:hAnsi="宋体" w:eastAsia="宋体" w:cs="宋体"/>
          <w:color w:val="auto"/>
          <w:sz w:val="22"/>
          <w:szCs w:val="22"/>
          <w:highlight w:val="none"/>
        </w:rPr>
        <w:t>提交履约担保。如采用银行保函形式，则开具保函的银行级别应为国有商业银行或股份制商业银行的支行及其以上级别，银行保函（保函格式、内容需获得</w:t>
      </w:r>
      <w:r>
        <w:rPr>
          <w:rFonts w:hint="eastAsia" w:ascii="宋体" w:hAnsi="宋体" w:eastAsia="宋体" w:cs="宋体"/>
          <w:color w:val="auto"/>
          <w:sz w:val="22"/>
          <w:szCs w:val="22"/>
          <w:highlight w:val="none"/>
          <w:lang w:val="en-US" w:eastAsia="zh-CN"/>
        </w:rPr>
        <w:t>委托方</w:t>
      </w:r>
      <w:r>
        <w:rPr>
          <w:rFonts w:hint="eastAsia" w:ascii="宋体" w:hAnsi="宋体" w:eastAsia="宋体" w:cs="宋体"/>
          <w:color w:val="auto"/>
          <w:sz w:val="22"/>
          <w:szCs w:val="22"/>
          <w:highlight w:val="none"/>
        </w:rPr>
        <w:t>认可）形式。</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6、版权</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对受托方拥有版权并已用于本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服务中的所有文件，委托方有权在合同项目中使用或复制。但未经受托方同意，委托方不得将上述文件直接或间接用于其他项目、工程或服务之中。</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受托方应对由于自己或其代理人的过错包括侵犯版权或发明权而给委托方或任何第三方造成的损失负赔偿责任。</w:t>
      </w:r>
    </w:p>
    <w:p>
      <w:pPr>
        <w:keepNext w:val="0"/>
        <w:keepLines w:val="0"/>
        <w:pageBreakBefore w:val="0"/>
        <w:widowControl w:val="0"/>
        <w:tabs>
          <w:tab w:val="left" w:pos="360"/>
        </w:tabs>
        <w:kinsoku/>
        <w:wordWrap/>
        <w:overflowPunct/>
        <w:topLinePunct w:val="0"/>
        <w:autoSpaceDE w:val="0"/>
        <w:autoSpaceDN w:val="0"/>
        <w:bidi w:val="0"/>
        <w:adjustRightInd/>
        <w:snapToGrid/>
        <w:spacing w:line="360" w:lineRule="auto"/>
        <w:ind w:left="0" w:leftChars="0" w:firstLine="440" w:firstLineChars="200"/>
        <w:textAlignment w:val="bottom"/>
        <w:rPr>
          <w:rFonts w:hint="eastAsia" w:ascii="宋体" w:hAnsi="宋体" w:eastAsia="宋体" w:cs="宋体"/>
          <w:color w:val="auto"/>
          <w:sz w:val="21"/>
          <w:szCs w:val="21"/>
          <w:highlight w:val="none"/>
        </w:rPr>
      </w:pPr>
      <w:r>
        <w:rPr>
          <w:rFonts w:hint="eastAsia" w:ascii="宋体" w:hAnsi="宋体" w:eastAsia="宋体" w:cs="宋体"/>
          <w:color w:val="auto"/>
          <w:sz w:val="22"/>
          <w:szCs w:val="22"/>
          <w:highlight w:val="none"/>
        </w:rPr>
        <w:t>受托方要出版与本项目相关的一切资料，必须事先征得委托方的书面同意。</w:t>
      </w:r>
    </w:p>
    <w:p>
      <w:pPr>
        <w:keepNext w:val="0"/>
        <w:keepLines w:val="0"/>
        <w:pageBreakBefore w:val="0"/>
        <w:kinsoku/>
        <w:wordWrap/>
        <w:overflowPunct/>
        <w:topLinePunct w:val="0"/>
        <w:autoSpaceDE w:val="0"/>
        <w:autoSpaceDN w:val="0"/>
        <w:bidi w:val="0"/>
        <w:adjustRightInd/>
        <w:snapToGrid/>
        <w:spacing w:line="360" w:lineRule="auto"/>
        <w:ind w:left="0" w:leftChars="0"/>
        <w:textAlignment w:val="bottom"/>
        <w:rPr>
          <w:rFonts w:hint="eastAsia" w:ascii="宋体" w:hAnsi="宋体" w:eastAsia="宋体" w:cs="宋体"/>
          <w:color w:val="auto"/>
          <w:sz w:val="21"/>
          <w:szCs w:val="21"/>
          <w:highlight w:val="none"/>
        </w:rPr>
      </w:pPr>
    </w:p>
    <w:p>
      <w:pPr>
        <w:keepNext w:val="0"/>
        <w:keepLines w:val="0"/>
        <w:pageBreakBefore w:val="0"/>
        <w:kinsoku/>
        <w:wordWrap/>
        <w:overflowPunct/>
        <w:topLinePunct w:val="0"/>
        <w:bidi w:val="0"/>
        <w:adjustRightInd/>
        <w:snapToGrid/>
        <w:spacing w:line="360" w:lineRule="auto"/>
        <w:ind w:left="0" w:leftChars="0"/>
        <w:jc w:val="center"/>
        <w:outlineLvl w:val="2"/>
        <w:rPr>
          <w:rFonts w:hint="eastAsia" w:ascii="宋体" w:hAnsi="宋体" w:eastAsia="宋体" w:cs="宋体"/>
          <w:b/>
          <w:bCs/>
          <w:color w:val="auto"/>
          <w:sz w:val="22"/>
          <w:szCs w:val="22"/>
          <w:highlight w:val="none"/>
        </w:rPr>
      </w:pPr>
      <w:r>
        <w:rPr>
          <w:rFonts w:hint="eastAsia" w:ascii="宋体" w:hAnsi="宋体" w:eastAsia="宋体" w:cs="宋体"/>
          <w:b/>
          <w:bCs/>
          <w:color w:val="auto"/>
          <w:sz w:val="21"/>
          <w:szCs w:val="21"/>
          <w:highlight w:val="none"/>
        </w:rPr>
        <w:br w:type="page"/>
      </w:r>
      <w:bookmarkStart w:id="128" w:name="_Toc6483"/>
      <w:bookmarkStart w:id="129" w:name="_Toc393638338"/>
      <w:bookmarkStart w:id="130" w:name="_Toc62140754"/>
      <w:bookmarkStart w:id="131" w:name="_Toc510442612"/>
      <w:bookmarkStart w:id="132" w:name="_Toc11237"/>
      <w:bookmarkStart w:id="133" w:name="_Toc143763573"/>
      <w:r>
        <w:rPr>
          <w:rFonts w:hint="eastAsia" w:ascii="宋体" w:hAnsi="宋体" w:eastAsia="宋体" w:cs="宋体"/>
          <w:b/>
          <w:bCs/>
          <w:color w:val="auto"/>
          <w:sz w:val="22"/>
          <w:szCs w:val="22"/>
          <w:highlight w:val="none"/>
        </w:rPr>
        <w:t>A、合同协议书格式（投标时不须填写）</w:t>
      </w:r>
      <w:bookmarkEnd w:id="128"/>
      <w:bookmarkEnd w:id="129"/>
      <w:bookmarkEnd w:id="130"/>
      <w:bookmarkEnd w:id="131"/>
      <w:bookmarkEnd w:id="132"/>
      <w:bookmarkEnd w:id="133"/>
    </w:p>
    <w:p>
      <w:pPr>
        <w:keepNext w:val="0"/>
        <w:keepLines w:val="0"/>
        <w:pageBreakBefore w:val="0"/>
        <w:widowControl/>
        <w:kinsoku/>
        <w:wordWrap/>
        <w:overflowPunct/>
        <w:topLinePunct w:val="0"/>
        <w:bidi w:val="0"/>
        <w:adjustRightInd/>
        <w:snapToGrid/>
        <w:spacing w:line="360" w:lineRule="auto"/>
        <w:ind w:left="0" w:leftChars="0" w:firstLine="440" w:firstLineChars="200"/>
        <w:jc w:val="left"/>
        <w:rPr>
          <w:rFonts w:hint="eastAsia" w:ascii="宋体" w:hAnsi="宋体" w:eastAsia="宋体" w:cs="宋体"/>
          <w:bCs/>
          <w:color w:val="auto"/>
          <w:sz w:val="22"/>
          <w:szCs w:val="22"/>
          <w:highlight w:val="none"/>
        </w:rPr>
      </w:pPr>
      <w:bookmarkStart w:id="134" w:name="_Toc143763574"/>
      <w:bookmarkStart w:id="135" w:name="_Toc393638339"/>
      <w:bookmarkStart w:id="136" w:name="_Toc13038"/>
      <w:bookmarkStart w:id="137" w:name="_Toc13450"/>
      <w:r>
        <w:rPr>
          <w:rFonts w:hint="eastAsia" w:ascii="宋体" w:hAnsi="宋体" w:eastAsia="宋体" w:cs="宋体"/>
          <w:bCs/>
          <w:color w:val="auto"/>
          <w:sz w:val="22"/>
          <w:szCs w:val="22"/>
          <w:highlight w:val="none"/>
        </w:rPr>
        <w:t xml:space="preserve"> </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rPr>
        <w:t>（委托人名称，以下简称“委托人”）为实施</w:t>
      </w:r>
      <w:r>
        <w:rPr>
          <w:rFonts w:hint="eastAsia" w:ascii="宋体" w:hAnsi="宋体" w:eastAsia="宋体" w:cs="宋体"/>
          <w:bCs/>
          <w:color w:val="auto"/>
          <w:sz w:val="22"/>
          <w:szCs w:val="22"/>
          <w:highlight w:val="none"/>
          <w:u w:val="single"/>
        </w:rPr>
        <w:t xml:space="preserve">         （项目名称）</w:t>
      </w:r>
      <w:r>
        <w:rPr>
          <w:rFonts w:hint="eastAsia" w:ascii="宋体" w:hAnsi="宋体" w:eastAsia="宋体" w:cs="宋体"/>
          <w:bCs/>
          <w:color w:val="auto"/>
          <w:sz w:val="22"/>
          <w:szCs w:val="22"/>
          <w:highlight w:val="none"/>
        </w:rPr>
        <w:t>，已接受</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rPr>
        <w:t>（</w:t>
      </w:r>
      <w:r>
        <w:rPr>
          <w:rFonts w:hint="eastAsia" w:ascii="宋体" w:hAnsi="宋体" w:eastAsia="宋体" w:cs="宋体"/>
          <w:color w:val="auto"/>
          <w:sz w:val="22"/>
          <w:szCs w:val="22"/>
          <w:highlight w:val="none"/>
        </w:rPr>
        <w:t>受托人</w:t>
      </w:r>
      <w:r>
        <w:rPr>
          <w:rFonts w:hint="eastAsia" w:ascii="宋体" w:hAnsi="宋体" w:eastAsia="宋体" w:cs="宋体"/>
          <w:bCs/>
          <w:color w:val="auto"/>
          <w:sz w:val="22"/>
          <w:szCs w:val="22"/>
          <w:highlight w:val="none"/>
        </w:rPr>
        <w:t>名称，以下简称“</w:t>
      </w:r>
      <w:r>
        <w:rPr>
          <w:rFonts w:hint="eastAsia" w:ascii="宋体" w:hAnsi="宋体" w:eastAsia="宋体" w:cs="宋体"/>
          <w:color w:val="auto"/>
          <w:sz w:val="22"/>
          <w:szCs w:val="22"/>
          <w:highlight w:val="none"/>
        </w:rPr>
        <w:t>受托人</w:t>
      </w:r>
      <w:r>
        <w:rPr>
          <w:rFonts w:hint="eastAsia" w:ascii="宋体" w:hAnsi="宋体" w:eastAsia="宋体" w:cs="宋体"/>
          <w:bCs/>
          <w:color w:val="auto"/>
          <w:sz w:val="22"/>
          <w:szCs w:val="22"/>
          <w:highlight w:val="none"/>
        </w:rPr>
        <w:t>”）对该项目投标。委托人和</w:t>
      </w:r>
      <w:r>
        <w:rPr>
          <w:rFonts w:hint="eastAsia" w:ascii="宋体" w:hAnsi="宋体" w:eastAsia="宋体" w:cs="宋体"/>
          <w:color w:val="auto"/>
          <w:sz w:val="22"/>
          <w:szCs w:val="22"/>
          <w:highlight w:val="none"/>
        </w:rPr>
        <w:t>受托人</w:t>
      </w:r>
      <w:r>
        <w:rPr>
          <w:rFonts w:hint="eastAsia" w:ascii="宋体" w:hAnsi="宋体" w:eastAsia="宋体" w:cs="宋体"/>
          <w:bCs/>
          <w:color w:val="auto"/>
          <w:sz w:val="22"/>
          <w:szCs w:val="22"/>
          <w:highlight w:val="none"/>
        </w:rPr>
        <w:t>共同达成如下协议。</w:t>
      </w:r>
    </w:p>
    <w:p>
      <w:pPr>
        <w:keepNext w:val="0"/>
        <w:keepLines w:val="0"/>
        <w:pageBreakBefore w:val="0"/>
        <w:widowControl/>
        <w:numPr>
          <w:ilvl w:val="0"/>
          <w:numId w:val="1"/>
        </w:numPr>
        <w:kinsoku/>
        <w:wordWrap/>
        <w:overflowPunct/>
        <w:topLinePunct w:val="0"/>
        <w:bidi w:val="0"/>
        <w:adjustRightInd/>
        <w:snapToGrid/>
        <w:spacing w:line="360" w:lineRule="auto"/>
        <w:ind w:left="0" w:leftChars="0" w:firstLine="440" w:firstLineChars="200"/>
        <w:jc w:val="left"/>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本协议书与下列文件一起构成合同文件：</w:t>
      </w:r>
    </w:p>
    <w:p>
      <w:pPr>
        <w:keepNext w:val="0"/>
        <w:keepLines w:val="0"/>
        <w:pageBreakBefore w:val="0"/>
        <w:widowControl/>
        <w:kinsoku/>
        <w:wordWrap/>
        <w:overflowPunct/>
        <w:topLinePunct w:val="0"/>
        <w:bidi w:val="0"/>
        <w:adjustRightInd/>
        <w:snapToGrid/>
        <w:spacing w:line="360" w:lineRule="auto"/>
        <w:ind w:left="0" w:leftChars="0" w:firstLine="440" w:firstLineChars="200"/>
        <w:jc w:val="left"/>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（1）委托合同协议书</w:t>
      </w:r>
    </w:p>
    <w:p>
      <w:pPr>
        <w:keepNext w:val="0"/>
        <w:keepLines w:val="0"/>
        <w:pageBreakBefore w:val="0"/>
        <w:widowControl/>
        <w:kinsoku/>
        <w:wordWrap/>
        <w:overflowPunct/>
        <w:topLinePunct w:val="0"/>
        <w:bidi w:val="0"/>
        <w:adjustRightInd/>
        <w:snapToGrid/>
        <w:spacing w:line="360" w:lineRule="auto"/>
        <w:ind w:left="0" w:leftChars="0" w:firstLine="440" w:firstLineChars="200"/>
        <w:jc w:val="left"/>
        <w:rPr>
          <w:rFonts w:hint="eastAsia" w:ascii="宋体" w:hAnsi="宋体" w:eastAsia="宋体" w:cs="宋体"/>
          <w:color w:val="auto"/>
          <w:sz w:val="22"/>
          <w:szCs w:val="22"/>
          <w:highlight w:val="none"/>
        </w:rPr>
      </w:pPr>
      <w:r>
        <w:rPr>
          <w:rFonts w:hint="eastAsia" w:ascii="宋体" w:hAnsi="宋体" w:eastAsia="宋体" w:cs="宋体"/>
          <w:bCs/>
          <w:color w:val="auto"/>
          <w:sz w:val="22"/>
          <w:szCs w:val="22"/>
          <w:highlight w:val="none"/>
        </w:rPr>
        <w:t>（2）委托合同条款及附件；</w:t>
      </w:r>
    </w:p>
    <w:p>
      <w:pPr>
        <w:keepNext w:val="0"/>
        <w:keepLines w:val="0"/>
        <w:pageBreakBefore w:val="0"/>
        <w:widowControl/>
        <w:kinsoku/>
        <w:wordWrap/>
        <w:overflowPunct/>
        <w:topLinePunct w:val="0"/>
        <w:bidi w:val="0"/>
        <w:adjustRightInd/>
        <w:snapToGrid/>
        <w:spacing w:line="360" w:lineRule="auto"/>
        <w:ind w:left="0" w:leftChars="0" w:firstLine="440" w:firstLineChars="200"/>
        <w:jc w:val="left"/>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（3）中标通知书；</w:t>
      </w:r>
    </w:p>
    <w:p>
      <w:pPr>
        <w:keepNext w:val="0"/>
        <w:keepLines w:val="0"/>
        <w:pageBreakBefore w:val="0"/>
        <w:widowControl/>
        <w:kinsoku/>
        <w:wordWrap/>
        <w:overflowPunct/>
        <w:topLinePunct w:val="0"/>
        <w:bidi w:val="0"/>
        <w:adjustRightInd/>
        <w:snapToGrid/>
        <w:spacing w:line="360" w:lineRule="auto"/>
        <w:ind w:left="0" w:leftChars="0" w:firstLine="440" w:firstLineChars="200"/>
        <w:jc w:val="left"/>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（4）投标函及投标函附录；</w:t>
      </w:r>
    </w:p>
    <w:p>
      <w:pPr>
        <w:keepNext w:val="0"/>
        <w:keepLines w:val="0"/>
        <w:pageBreakBefore w:val="0"/>
        <w:widowControl/>
        <w:kinsoku/>
        <w:wordWrap/>
        <w:overflowPunct/>
        <w:topLinePunct w:val="0"/>
        <w:bidi w:val="0"/>
        <w:adjustRightInd/>
        <w:snapToGrid/>
        <w:spacing w:line="360" w:lineRule="auto"/>
        <w:ind w:left="0" w:leftChars="0" w:firstLine="440" w:firstLineChars="200"/>
        <w:jc w:val="left"/>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（5）投标文件的其他组成部分；</w:t>
      </w:r>
    </w:p>
    <w:p>
      <w:pPr>
        <w:keepNext w:val="0"/>
        <w:keepLines w:val="0"/>
        <w:pageBreakBefore w:val="0"/>
        <w:widowControl/>
        <w:kinsoku/>
        <w:wordWrap/>
        <w:overflowPunct/>
        <w:topLinePunct w:val="0"/>
        <w:bidi w:val="0"/>
        <w:adjustRightInd/>
        <w:snapToGrid/>
        <w:spacing w:line="360" w:lineRule="auto"/>
        <w:ind w:left="0" w:leftChars="0" w:firstLine="440" w:firstLineChars="200"/>
        <w:jc w:val="left"/>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（6）委托合同执行中双方共同签署的补充与修正文件。</w:t>
      </w:r>
    </w:p>
    <w:p>
      <w:pPr>
        <w:keepNext w:val="0"/>
        <w:keepLines w:val="0"/>
        <w:pageBreakBefore w:val="0"/>
        <w:widowControl/>
        <w:kinsoku/>
        <w:wordWrap/>
        <w:overflowPunct/>
        <w:topLinePunct w:val="0"/>
        <w:bidi w:val="0"/>
        <w:adjustRightInd/>
        <w:snapToGrid/>
        <w:spacing w:line="360" w:lineRule="auto"/>
        <w:ind w:left="0" w:leftChars="0" w:firstLine="440" w:firstLineChars="200"/>
        <w:jc w:val="left"/>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二、 上述合同文件互相补充和解释。如果合同文件之间存在矛盾或不一致之处，以上述文件的排列顺序在先者为准。</w:t>
      </w:r>
    </w:p>
    <w:p>
      <w:pPr>
        <w:keepNext w:val="0"/>
        <w:keepLines w:val="0"/>
        <w:pageBreakBefore w:val="0"/>
        <w:widowControl/>
        <w:kinsoku/>
        <w:wordWrap/>
        <w:overflowPunct/>
        <w:topLinePunct w:val="0"/>
        <w:bidi w:val="0"/>
        <w:adjustRightInd/>
        <w:snapToGrid/>
        <w:spacing w:line="360" w:lineRule="auto"/>
        <w:ind w:left="0" w:leftChars="0" w:firstLine="440" w:firstLineChars="200"/>
        <w:jc w:val="left"/>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三、 签约合同价：人民币（大写）</w:t>
      </w:r>
      <w:r>
        <w:rPr>
          <w:rFonts w:hint="eastAsia" w:ascii="宋体" w:hAnsi="宋体" w:eastAsia="宋体" w:cs="宋体"/>
          <w:bCs/>
          <w:color w:val="auto"/>
          <w:sz w:val="22"/>
          <w:szCs w:val="22"/>
          <w:highlight w:val="none"/>
          <w:u w:val="single"/>
        </w:rPr>
        <w:t xml:space="preserve">                     （¥       ）</w:t>
      </w:r>
      <w:r>
        <w:rPr>
          <w:rFonts w:hint="eastAsia" w:ascii="宋体" w:hAnsi="宋体" w:eastAsia="宋体" w:cs="宋体"/>
          <w:bCs/>
          <w:color w:val="auto"/>
          <w:sz w:val="22"/>
          <w:szCs w:val="22"/>
          <w:highlight w:val="none"/>
        </w:rPr>
        <w:t>。</w:t>
      </w:r>
    </w:p>
    <w:p>
      <w:pPr>
        <w:keepNext w:val="0"/>
        <w:keepLines w:val="0"/>
        <w:pageBreakBefore w:val="0"/>
        <w:widowControl/>
        <w:kinsoku/>
        <w:wordWrap/>
        <w:overflowPunct/>
        <w:topLinePunct w:val="0"/>
        <w:bidi w:val="0"/>
        <w:adjustRightInd/>
        <w:snapToGrid/>
        <w:spacing w:line="360" w:lineRule="auto"/>
        <w:ind w:left="0" w:leftChars="0" w:firstLine="440" w:firstLineChars="200"/>
        <w:jc w:val="left"/>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四、 项目负责人：</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rPr>
        <w:t>。</w:t>
      </w:r>
    </w:p>
    <w:p>
      <w:pPr>
        <w:keepNext w:val="0"/>
        <w:keepLines w:val="0"/>
        <w:pageBreakBefore w:val="0"/>
        <w:widowControl/>
        <w:kinsoku/>
        <w:wordWrap/>
        <w:overflowPunct/>
        <w:topLinePunct w:val="0"/>
        <w:bidi w:val="0"/>
        <w:adjustRightInd/>
        <w:snapToGrid/>
        <w:spacing w:line="360" w:lineRule="auto"/>
        <w:ind w:left="0" w:leftChars="0" w:firstLine="440" w:firstLineChars="200"/>
        <w:jc w:val="left"/>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 xml:space="preserve">五、 </w:t>
      </w:r>
      <w:r>
        <w:rPr>
          <w:rFonts w:hint="eastAsia" w:ascii="宋体" w:hAnsi="宋体" w:eastAsia="宋体" w:cs="宋体"/>
          <w:color w:val="auto"/>
          <w:sz w:val="22"/>
          <w:szCs w:val="22"/>
          <w:highlight w:val="none"/>
        </w:rPr>
        <w:t>受托人同意按照本合同的规定，承担本合同条款中议定范围内的服务</w:t>
      </w:r>
      <w:r>
        <w:rPr>
          <w:rFonts w:hint="eastAsia" w:ascii="宋体" w:hAnsi="宋体" w:eastAsia="宋体" w:cs="宋体"/>
          <w:bCs/>
          <w:color w:val="auto"/>
          <w:sz w:val="22"/>
          <w:szCs w:val="22"/>
          <w:highlight w:val="none"/>
        </w:rPr>
        <w:t>。</w:t>
      </w:r>
    </w:p>
    <w:p>
      <w:pPr>
        <w:keepNext w:val="0"/>
        <w:keepLines w:val="0"/>
        <w:pageBreakBefore w:val="0"/>
        <w:widowControl/>
        <w:kinsoku/>
        <w:wordWrap/>
        <w:overflowPunct/>
        <w:topLinePunct w:val="0"/>
        <w:bidi w:val="0"/>
        <w:adjustRightInd/>
        <w:snapToGrid/>
        <w:spacing w:line="360" w:lineRule="auto"/>
        <w:ind w:left="0" w:leftChars="0" w:firstLine="440" w:firstLineChars="200"/>
        <w:jc w:val="left"/>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 xml:space="preserve">六、 </w:t>
      </w:r>
      <w:r>
        <w:rPr>
          <w:rFonts w:hint="eastAsia" w:ascii="宋体" w:hAnsi="宋体" w:eastAsia="宋体" w:cs="宋体"/>
          <w:color w:val="auto"/>
          <w:sz w:val="22"/>
          <w:szCs w:val="22"/>
          <w:highlight w:val="none"/>
        </w:rPr>
        <w:t>委托人同意按照本合同规定的期限、方式、币种、额度向受托人支付服务费用</w:t>
      </w:r>
      <w:r>
        <w:rPr>
          <w:rFonts w:hint="eastAsia" w:ascii="宋体" w:hAnsi="宋体" w:eastAsia="宋体" w:cs="宋体"/>
          <w:bCs/>
          <w:color w:val="auto"/>
          <w:sz w:val="22"/>
          <w:szCs w:val="22"/>
          <w:highlight w:val="none"/>
        </w:rPr>
        <w:t>。</w:t>
      </w:r>
    </w:p>
    <w:p>
      <w:pPr>
        <w:keepNext w:val="0"/>
        <w:keepLines w:val="0"/>
        <w:pageBreakBefore w:val="0"/>
        <w:widowControl/>
        <w:kinsoku/>
        <w:wordWrap/>
        <w:overflowPunct/>
        <w:topLinePunct w:val="0"/>
        <w:bidi w:val="0"/>
        <w:adjustRightInd/>
        <w:snapToGrid/>
        <w:spacing w:line="360" w:lineRule="auto"/>
        <w:ind w:left="0" w:leftChars="0" w:firstLine="440" w:firstLineChars="200"/>
        <w:jc w:val="left"/>
        <w:rPr>
          <w:rFonts w:hint="eastAsia" w:ascii="宋体" w:hAnsi="宋体" w:eastAsia="宋体" w:cs="宋体"/>
          <w:color w:val="auto"/>
          <w:sz w:val="22"/>
          <w:szCs w:val="22"/>
          <w:highlight w:val="none"/>
        </w:rPr>
      </w:pPr>
      <w:r>
        <w:rPr>
          <w:rFonts w:hint="eastAsia" w:ascii="宋体" w:hAnsi="宋体" w:eastAsia="宋体" w:cs="宋体"/>
          <w:bCs/>
          <w:color w:val="auto"/>
          <w:sz w:val="22"/>
          <w:szCs w:val="22"/>
          <w:highlight w:val="none"/>
        </w:rPr>
        <w:t xml:space="preserve">七、 </w:t>
      </w:r>
      <w:r>
        <w:rPr>
          <w:rFonts w:hint="eastAsia" w:ascii="宋体" w:hAnsi="宋体" w:cs="宋体"/>
          <w:bCs/>
          <w:color w:val="auto"/>
          <w:sz w:val="22"/>
          <w:szCs w:val="22"/>
          <w:highlight w:val="none"/>
          <w:lang w:eastAsia="zh-CN"/>
        </w:rPr>
        <w:t>服务周期</w:t>
      </w:r>
      <w:r>
        <w:rPr>
          <w:rFonts w:hint="eastAsia" w:ascii="宋体" w:hAnsi="宋体" w:eastAsia="宋体" w:cs="宋体"/>
          <w:bCs/>
          <w:color w:val="auto"/>
          <w:sz w:val="22"/>
          <w:szCs w:val="22"/>
          <w:highlight w:val="none"/>
        </w:rPr>
        <w:t>：</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rPr>
        <w:t>。</w:t>
      </w:r>
    </w:p>
    <w:p>
      <w:pPr>
        <w:keepNext w:val="0"/>
        <w:keepLines w:val="0"/>
        <w:pageBreakBefore w:val="0"/>
        <w:widowControl/>
        <w:kinsoku/>
        <w:wordWrap/>
        <w:overflowPunct/>
        <w:topLinePunct w:val="0"/>
        <w:bidi w:val="0"/>
        <w:adjustRightInd/>
        <w:snapToGrid/>
        <w:spacing w:line="360" w:lineRule="auto"/>
        <w:ind w:left="0" w:leftChars="0"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八、 本合同协议书一式</w:t>
      </w:r>
      <w:r>
        <w:rPr>
          <w:rFonts w:hint="eastAsia" w:ascii="宋体" w:hAnsi="宋体" w:cs="宋体"/>
          <w:color w:val="auto"/>
          <w:sz w:val="22"/>
          <w:szCs w:val="22"/>
          <w:highlight w:val="none"/>
          <w:u w:val="single"/>
          <w:lang w:val="en-US" w:eastAsia="zh-CN"/>
        </w:rPr>
        <w:t>肆</w:t>
      </w:r>
      <w:r>
        <w:rPr>
          <w:rFonts w:hint="eastAsia" w:ascii="宋体" w:hAnsi="宋体" w:eastAsia="宋体" w:cs="宋体"/>
          <w:color w:val="auto"/>
          <w:sz w:val="22"/>
          <w:szCs w:val="22"/>
          <w:highlight w:val="none"/>
        </w:rPr>
        <w:t>份，合同双方各执</w:t>
      </w:r>
      <w:r>
        <w:rPr>
          <w:rFonts w:hint="eastAsia" w:ascii="宋体" w:hAnsi="宋体" w:cs="宋体"/>
          <w:color w:val="auto"/>
          <w:sz w:val="22"/>
          <w:szCs w:val="22"/>
          <w:highlight w:val="none"/>
          <w:u w:val="single"/>
          <w:lang w:val="en-US" w:eastAsia="zh-CN"/>
        </w:rPr>
        <w:t>贰</w:t>
      </w:r>
      <w:r>
        <w:rPr>
          <w:rFonts w:hint="eastAsia" w:ascii="宋体" w:hAnsi="宋体" w:eastAsia="宋体" w:cs="宋体"/>
          <w:color w:val="auto"/>
          <w:sz w:val="22"/>
          <w:szCs w:val="22"/>
          <w:highlight w:val="none"/>
        </w:rPr>
        <w:t>份。</w:t>
      </w:r>
    </w:p>
    <w:p>
      <w:pPr>
        <w:keepNext w:val="0"/>
        <w:keepLines w:val="0"/>
        <w:pageBreakBefore w:val="0"/>
        <w:widowControl/>
        <w:kinsoku/>
        <w:wordWrap/>
        <w:overflowPunct/>
        <w:topLinePunct w:val="0"/>
        <w:bidi w:val="0"/>
        <w:adjustRightInd/>
        <w:snapToGrid/>
        <w:spacing w:line="360" w:lineRule="auto"/>
        <w:ind w:left="0" w:leftChars="0"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九、本协议书在受托人提供履约担保后，由双方法定代表人或其授权代理人签署与加盖单位章后生效。结清服务费用后自然失效。</w:t>
      </w:r>
    </w:p>
    <w:p>
      <w:pPr>
        <w:keepNext w:val="0"/>
        <w:keepLines w:val="0"/>
        <w:pageBreakBefore w:val="0"/>
        <w:widowControl/>
        <w:kinsoku/>
        <w:wordWrap/>
        <w:overflowPunct/>
        <w:topLinePunct w:val="0"/>
        <w:bidi w:val="0"/>
        <w:adjustRightInd/>
        <w:snapToGrid/>
        <w:spacing w:line="360" w:lineRule="auto"/>
        <w:ind w:left="0" w:leftChars="0"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十、合同未尽事宜，双方另行签订补充</w:t>
      </w:r>
      <w:r>
        <w:rPr>
          <w:rFonts w:hint="eastAsia" w:ascii="宋体" w:hAnsi="宋体" w:eastAsia="宋体" w:cs="宋体"/>
          <w:bCs/>
          <w:color w:val="auto"/>
          <w:sz w:val="22"/>
          <w:szCs w:val="22"/>
          <w:highlight w:val="none"/>
        </w:rPr>
        <w:t>协议。补充协议是合同的组成部分。</w:t>
      </w:r>
    </w:p>
    <w:p>
      <w:pPr>
        <w:keepNext w:val="0"/>
        <w:keepLines w:val="0"/>
        <w:pageBreakBefore w:val="0"/>
        <w:kinsoku/>
        <w:wordWrap/>
        <w:overflowPunct/>
        <w:topLinePunct w:val="0"/>
        <w:autoSpaceDN w:val="0"/>
        <w:bidi w:val="0"/>
        <w:adjustRightInd/>
        <w:snapToGrid/>
        <w:spacing w:line="360" w:lineRule="auto"/>
        <w:ind w:left="0" w:leftChars="0"/>
        <w:jc w:val="left"/>
        <w:rPr>
          <w:rFonts w:hint="eastAsia" w:ascii="宋体" w:hAnsi="宋体" w:eastAsia="宋体" w:cs="宋体"/>
          <w:color w:val="auto"/>
          <w:sz w:val="22"/>
          <w:szCs w:val="22"/>
          <w:highlight w:val="none"/>
        </w:rPr>
      </w:pPr>
    </w:p>
    <w:p>
      <w:pPr>
        <w:keepNext w:val="0"/>
        <w:keepLines w:val="0"/>
        <w:pageBreakBefore w:val="0"/>
        <w:kinsoku/>
        <w:wordWrap/>
        <w:overflowPunct/>
        <w:topLinePunct w:val="0"/>
        <w:autoSpaceDN w:val="0"/>
        <w:bidi w:val="0"/>
        <w:adjustRightInd/>
        <w:snapToGrid/>
        <w:spacing w:line="360" w:lineRule="auto"/>
        <w:ind w:left="0" w:leftChars="0"/>
        <w:jc w:val="left"/>
        <w:rPr>
          <w:rFonts w:hint="eastAsia" w:ascii="宋体" w:hAnsi="宋体" w:eastAsia="宋体" w:cs="宋体"/>
          <w:color w:val="auto"/>
          <w:sz w:val="22"/>
          <w:szCs w:val="22"/>
          <w:highlight w:val="none"/>
        </w:rPr>
        <w:sectPr>
          <w:headerReference r:id="rId6" w:type="default"/>
          <w:footerReference r:id="rId7" w:type="default"/>
          <w:pgSz w:w="11906" w:h="16838"/>
          <w:pgMar w:top="1247" w:right="1417" w:bottom="1247" w:left="1417" w:header="851" w:footer="992" w:gutter="0"/>
          <w:pgNumType w:fmt="decimal" w:start="1"/>
          <w:cols w:space="720" w:num="1"/>
          <w:docGrid w:linePitch="312" w:charSpace="0"/>
        </w:sectPr>
      </w:pPr>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pacing w:val="2"/>
          <w:sz w:val="22"/>
          <w:szCs w:val="22"/>
          <w:highlight w:val="none"/>
        </w:rPr>
      </w:pPr>
      <w:r>
        <w:rPr>
          <w:rFonts w:hint="eastAsia" w:ascii="宋体" w:hAnsi="宋体" w:eastAsia="宋体" w:cs="宋体"/>
          <w:color w:val="auto"/>
          <w:sz w:val="22"/>
          <w:szCs w:val="22"/>
          <w:highlight w:val="none"/>
        </w:rPr>
        <w:t>委托人</w:t>
      </w:r>
      <w:r>
        <w:rPr>
          <w:rFonts w:hint="eastAsia" w:ascii="宋体" w:hAnsi="宋体" w:eastAsia="宋体" w:cs="宋体"/>
          <w:color w:val="auto"/>
          <w:spacing w:val="2"/>
          <w:sz w:val="22"/>
          <w:szCs w:val="22"/>
          <w:highlight w:val="none"/>
        </w:rPr>
        <w:t>：</w:t>
      </w:r>
      <w:r>
        <w:rPr>
          <w:rFonts w:hint="eastAsia" w:ascii="宋体" w:hAnsi="宋体" w:eastAsia="宋体" w:cs="宋体"/>
          <w:color w:val="auto"/>
          <w:sz w:val="22"/>
          <w:szCs w:val="22"/>
          <w:highlight w:val="none"/>
        </w:rPr>
        <w:t>（盖章）</w:t>
      </w:r>
    </w:p>
    <w:p>
      <w:pPr>
        <w:keepNext w:val="0"/>
        <w:keepLines w:val="0"/>
        <w:pageBreakBefore w:val="0"/>
        <w:kinsoku/>
        <w:wordWrap/>
        <w:overflowPunct/>
        <w:topLinePunct w:val="0"/>
        <w:bidi w:val="0"/>
        <w:adjustRightInd/>
        <w:snapToGrid/>
        <w:spacing w:line="360" w:lineRule="auto"/>
        <w:ind w:left="0" w:leftChars="0" w:firstLine="448" w:firstLineChars="200"/>
        <w:rPr>
          <w:rFonts w:hint="eastAsia" w:ascii="宋体" w:hAnsi="宋体" w:eastAsia="宋体" w:cs="宋体"/>
          <w:color w:val="auto"/>
          <w:spacing w:val="2"/>
          <w:sz w:val="22"/>
          <w:szCs w:val="22"/>
          <w:highlight w:val="none"/>
        </w:rPr>
      </w:pPr>
      <w:r>
        <w:rPr>
          <w:rFonts w:hint="eastAsia" w:ascii="宋体" w:hAnsi="宋体" w:eastAsia="宋体" w:cs="宋体"/>
          <w:color w:val="auto"/>
          <w:spacing w:val="2"/>
          <w:sz w:val="22"/>
          <w:szCs w:val="22"/>
          <w:highlight w:val="none"/>
        </w:rPr>
        <w:t>法定代表人</w:t>
      </w:r>
    </w:p>
    <w:p>
      <w:pPr>
        <w:keepNext w:val="0"/>
        <w:keepLines w:val="0"/>
        <w:pageBreakBefore w:val="0"/>
        <w:kinsoku/>
        <w:wordWrap/>
        <w:overflowPunct/>
        <w:topLinePunct w:val="0"/>
        <w:bidi w:val="0"/>
        <w:adjustRightInd/>
        <w:snapToGrid/>
        <w:spacing w:line="360" w:lineRule="auto"/>
        <w:ind w:left="0" w:leftChars="0" w:firstLine="448" w:firstLineChars="200"/>
        <w:rPr>
          <w:rFonts w:hint="eastAsia" w:ascii="宋体" w:hAnsi="宋体" w:eastAsia="宋体" w:cs="宋体"/>
          <w:color w:val="auto"/>
          <w:spacing w:val="2"/>
          <w:sz w:val="22"/>
          <w:szCs w:val="22"/>
          <w:highlight w:val="none"/>
        </w:rPr>
      </w:pPr>
      <w:r>
        <w:rPr>
          <w:rFonts w:hint="eastAsia" w:ascii="宋体" w:hAnsi="宋体" w:eastAsia="宋体" w:cs="宋体"/>
          <w:color w:val="auto"/>
          <w:spacing w:val="2"/>
          <w:sz w:val="22"/>
          <w:szCs w:val="22"/>
          <w:highlight w:val="none"/>
        </w:rPr>
        <w:t>或其授权代理人：</w:t>
      </w:r>
    </w:p>
    <w:p>
      <w:pPr>
        <w:keepNext w:val="0"/>
        <w:keepLines w:val="0"/>
        <w:pageBreakBefore w:val="0"/>
        <w:kinsoku/>
        <w:wordWrap/>
        <w:overflowPunct/>
        <w:topLinePunct w:val="0"/>
        <w:bidi w:val="0"/>
        <w:adjustRightInd/>
        <w:snapToGrid/>
        <w:spacing w:line="360" w:lineRule="auto"/>
        <w:ind w:left="0" w:leftChars="0"/>
        <w:jc w:val="center"/>
        <w:rPr>
          <w:rFonts w:hint="eastAsia" w:ascii="宋体" w:hAnsi="宋体" w:eastAsia="宋体" w:cs="宋体"/>
          <w:color w:val="auto"/>
          <w:sz w:val="22"/>
          <w:szCs w:val="22"/>
          <w:highlight w:val="none"/>
        </w:rPr>
      </w:pPr>
    </w:p>
    <w:p>
      <w:pPr>
        <w:keepNext w:val="0"/>
        <w:keepLines w:val="0"/>
        <w:pageBreakBefore w:val="0"/>
        <w:kinsoku/>
        <w:wordWrap/>
        <w:overflowPunct/>
        <w:topLinePunct w:val="0"/>
        <w:bidi w:val="0"/>
        <w:adjustRightInd/>
        <w:snapToGrid/>
        <w:spacing w:line="360" w:lineRule="auto"/>
        <w:ind w:left="0" w:leftChars="0"/>
        <w:rPr>
          <w:rFonts w:hint="eastAsia" w:ascii="宋体" w:hAnsi="宋体" w:eastAsia="宋体" w:cs="宋体"/>
          <w:color w:val="auto"/>
          <w:sz w:val="22"/>
          <w:szCs w:val="22"/>
          <w:highlight w:val="none"/>
        </w:rPr>
      </w:pPr>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pacing w:val="2"/>
          <w:sz w:val="22"/>
          <w:szCs w:val="22"/>
          <w:highlight w:val="none"/>
        </w:rPr>
      </w:pPr>
      <w:r>
        <w:rPr>
          <w:rFonts w:hint="eastAsia" w:ascii="宋体" w:hAnsi="宋体" w:eastAsia="宋体" w:cs="宋体"/>
          <w:color w:val="auto"/>
          <w:sz w:val="22"/>
          <w:szCs w:val="22"/>
          <w:highlight w:val="none"/>
        </w:rPr>
        <w:t>受托人</w:t>
      </w:r>
      <w:r>
        <w:rPr>
          <w:rFonts w:hint="eastAsia" w:ascii="宋体" w:hAnsi="宋体" w:eastAsia="宋体" w:cs="宋体"/>
          <w:color w:val="auto"/>
          <w:spacing w:val="2"/>
          <w:sz w:val="22"/>
          <w:szCs w:val="22"/>
          <w:highlight w:val="none"/>
        </w:rPr>
        <w:t>：（盖章）</w:t>
      </w:r>
    </w:p>
    <w:p>
      <w:pPr>
        <w:keepNext w:val="0"/>
        <w:keepLines w:val="0"/>
        <w:pageBreakBefore w:val="0"/>
        <w:kinsoku/>
        <w:wordWrap/>
        <w:overflowPunct/>
        <w:topLinePunct w:val="0"/>
        <w:bidi w:val="0"/>
        <w:adjustRightInd/>
        <w:snapToGrid/>
        <w:spacing w:line="360" w:lineRule="auto"/>
        <w:ind w:left="0" w:leftChars="0" w:firstLine="448" w:firstLineChars="200"/>
        <w:rPr>
          <w:rFonts w:hint="eastAsia" w:ascii="宋体" w:hAnsi="宋体" w:eastAsia="宋体" w:cs="宋体"/>
          <w:color w:val="auto"/>
          <w:spacing w:val="2"/>
          <w:sz w:val="22"/>
          <w:szCs w:val="22"/>
          <w:highlight w:val="none"/>
        </w:rPr>
      </w:pPr>
      <w:r>
        <w:rPr>
          <w:rFonts w:hint="eastAsia" w:ascii="宋体" w:hAnsi="宋体" w:eastAsia="宋体" w:cs="宋体"/>
          <w:color w:val="auto"/>
          <w:spacing w:val="2"/>
          <w:sz w:val="22"/>
          <w:szCs w:val="22"/>
          <w:highlight w:val="none"/>
        </w:rPr>
        <w:t xml:space="preserve">法定代表人     </w:t>
      </w:r>
    </w:p>
    <w:p>
      <w:pPr>
        <w:keepNext w:val="0"/>
        <w:keepLines w:val="0"/>
        <w:pageBreakBefore w:val="0"/>
        <w:kinsoku/>
        <w:wordWrap/>
        <w:overflowPunct/>
        <w:topLinePunct w:val="0"/>
        <w:autoSpaceDN w:val="0"/>
        <w:bidi w:val="0"/>
        <w:adjustRightInd/>
        <w:snapToGrid/>
        <w:spacing w:line="360" w:lineRule="auto"/>
        <w:ind w:left="0" w:leftChars="0" w:firstLine="448"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2"/>
          <w:sz w:val="22"/>
          <w:szCs w:val="22"/>
          <w:highlight w:val="none"/>
        </w:rPr>
        <w:t>或其授权代理人：</w:t>
      </w:r>
    </w:p>
    <w:p>
      <w:pPr>
        <w:keepNext w:val="0"/>
        <w:keepLines w:val="0"/>
        <w:pageBreakBefore w:val="0"/>
        <w:kinsoku/>
        <w:wordWrap/>
        <w:overflowPunct/>
        <w:topLinePunct w:val="0"/>
        <w:autoSpaceDN w:val="0"/>
        <w:bidi w:val="0"/>
        <w:adjustRightInd/>
        <w:snapToGrid/>
        <w:spacing w:line="360" w:lineRule="auto"/>
        <w:ind w:left="0" w:leftChars="0"/>
        <w:jc w:val="right"/>
        <w:rPr>
          <w:rFonts w:hint="eastAsia" w:ascii="宋体" w:hAnsi="宋体" w:eastAsia="宋体" w:cs="宋体"/>
          <w:color w:val="auto"/>
          <w:sz w:val="22"/>
          <w:szCs w:val="22"/>
          <w:highlight w:val="none"/>
        </w:rPr>
        <w:sectPr>
          <w:type w:val="continuous"/>
          <w:pgSz w:w="11906" w:h="16838"/>
          <w:pgMar w:top="1247" w:right="1417" w:bottom="1247" w:left="1417" w:header="851" w:footer="992" w:gutter="0"/>
          <w:pgNumType w:fmt="decimal"/>
          <w:cols w:space="720" w:num="1"/>
          <w:docGrid w:linePitch="312" w:charSpace="0"/>
        </w:sectPr>
      </w:pPr>
      <w:r>
        <w:rPr>
          <w:rFonts w:hint="eastAsia" w:ascii="宋体" w:hAnsi="宋体" w:eastAsia="宋体" w:cs="宋体"/>
          <w:color w:val="auto"/>
          <w:sz w:val="22"/>
          <w:szCs w:val="22"/>
          <w:highlight w:val="none"/>
        </w:rPr>
        <w:t>日期：  年  月  日</w:t>
      </w:r>
    </w:p>
    <w:bookmarkEnd w:id="134"/>
    <w:p>
      <w:pPr>
        <w:keepNext w:val="0"/>
        <w:keepLines w:val="0"/>
        <w:pageBreakBefore w:val="0"/>
        <w:kinsoku/>
        <w:wordWrap/>
        <w:overflowPunct/>
        <w:topLinePunct w:val="0"/>
        <w:bidi w:val="0"/>
        <w:adjustRightInd/>
        <w:snapToGrid/>
        <w:spacing w:line="360" w:lineRule="auto"/>
        <w:ind w:left="0" w:leftChars="0"/>
        <w:jc w:val="center"/>
        <w:outlineLvl w:val="2"/>
        <w:rPr>
          <w:rFonts w:hint="eastAsia" w:ascii="宋体" w:hAnsi="宋体" w:eastAsia="宋体" w:cs="宋体"/>
          <w:b/>
          <w:bCs/>
          <w:color w:val="auto"/>
          <w:sz w:val="22"/>
          <w:szCs w:val="22"/>
          <w:highlight w:val="none"/>
        </w:rPr>
      </w:pPr>
      <w:bookmarkStart w:id="138" w:name="_Toc510442613"/>
      <w:bookmarkStart w:id="139" w:name="_Toc296001996"/>
      <w:bookmarkStart w:id="140" w:name="_Toc62140755"/>
      <w:bookmarkStart w:id="141" w:name="_Toc510442614"/>
      <w:bookmarkStart w:id="142" w:name="_Toc393638340"/>
      <w:bookmarkStart w:id="143" w:name="_Toc324860499"/>
      <w:r>
        <w:rPr>
          <w:rFonts w:hint="eastAsia" w:ascii="宋体" w:hAnsi="宋体" w:eastAsia="宋体" w:cs="宋体"/>
          <w:b/>
          <w:bCs/>
          <w:color w:val="auto"/>
          <w:sz w:val="22"/>
          <w:szCs w:val="22"/>
          <w:highlight w:val="none"/>
        </w:rPr>
        <w:t>B、</w:t>
      </w:r>
      <w:bookmarkEnd w:id="135"/>
      <w:bookmarkEnd w:id="138"/>
      <w:bookmarkEnd w:id="139"/>
      <w:bookmarkEnd w:id="140"/>
      <w:bookmarkEnd w:id="141"/>
      <w:bookmarkEnd w:id="142"/>
      <w:bookmarkEnd w:id="143"/>
      <w:r>
        <w:rPr>
          <w:rFonts w:hint="eastAsia" w:ascii="宋体" w:hAnsi="宋体" w:eastAsia="宋体" w:cs="宋体"/>
          <w:b/>
          <w:bCs/>
          <w:color w:val="auto"/>
          <w:sz w:val="22"/>
          <w:szCs w:val="22"/>
          <w:highlight w:val="none"/>
        </w:rPr>
        <w:t>廉政合同</w:t>
      </w:r>
      <w:bookmarkEnd w:id="136"/>
      <w:bookmarkEnd w:id="137"/>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根据交通部《关于在交通基础设施建设中加强廉政建设的若干意见》以及有关工程建设、廉政建设的规定，为做好工程建设中的党风廉政建设，保证工程建设高效优质，保证建设资金的安全和有效使用以及投资效益，</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（以下称委托人）与服务单位</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（以下称受托人），特订立如下合同。</w:t>
      </w:r>
    </w:p>
    <w:p>
      <w:pPr>
        <w:keepNext w:val="0"/>
        <w:keepLines w:val="0"/>
        <w:pageBreakBefore w:val="0"/>
        <w:kinsoku/>
        <w:wordWrap/>
        <w:overflowPunct/>
        <w:topLinePunct w:val="0"/>
        <w:bidi w:val="0"/>
        <w:adjustRightInd/>
        <w:snapToGrid/>
        <w:spacing w:line="360" w:lineRule="auto"/>
        <w:ind w:left="0" w:leftChars="0" w:firstLine="442" w:firstLineChars="200"/>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第一条  委托人、受托人双方的权利和义务</w:t>
      </w:r>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（一）严格遵守党和国家有关法律法规及交通部的有关规定。</w:t>
      </w:r>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（二）严格遵守</w:t>
      </w:r>
      <w:r>
        <w:rPr>
          <w:rFonts w:hint="eastAsia" w:ascii="宋体" w:hAnsi="宋体" w:eastAsia="宋体" w:cs="宋体"/>
          <w:color w:val="auto"/>
          <w:sz w:val="22"/>
          <w:szCs w:val="22"/>
          <w:highlight w:val="none"/>
          <w:u w:val="single"/>
        </w:rPr>
        <w:t xml:space="preserve"> （项目名称） </w:t>
      </w:r>
      <w:r>
        <w:rPr>
          <w:rFonts w:hint="eastAsia" w:ascii="宋体" w:hAnsi="宋体" w:eastAsia="宋体" w:cs="宋体"/>
          <w:color w:val="auto"/>
          <w:sz w:val="22"/>
          <w:szCs w:val="22"/>
          <w:highlight w:val="none"/>
        </w:rPr>
        <w:t>的合同文件，自觉按合同办事。</w:t>
      </w:r>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（三）双方的业务活动坚持公开、公正、诚信、透明的原则（除法律认定的商业秘密和合同文件另有规定之外），不得损害国家和集体利益，违反工程建设管理规章制度。</w:t>
      </w:r>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（四）建立健全廉政制度，开展廉政教育，设立廉政告示牌，公布举报电话，监督并认真查处违法违纪行为。</w:t>
      </w:r>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（五）发现对方在业务活动中有违反廉政规定的行为，有及时提醒对方纠正的权利和义务。</w:t>
      </w:r>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（六）发现对方严重违反本合同义务条款的行为，有向其上级有关部门举报、建议给予处理并要求告</w:t>
      </w:r>
      <w:r>
        <w:rPr>
          <w:rFonts w:hint="eastAsia" w:ascii="宋体" w:hAnsi="宋体" w:cs="宋体"/>
          <w:color w:val="auto"/>
          <w:sz w:val="22"/>
          <w:szCs w:val="22"/>
          <w:highlight w:val="none"/>
          <w:lang w:val="en-US" w:eastAsia="zh-CN"/>
        </w:rPr>
        <w:t>知</w:t>
      </w:r>
      <w:r>
        <w:rPr>
          <w:rFonts w:hint="eastAsia" w:ascii="宋体" w:hAnsi="宋体" w:eastAsia="宋体" w:cs="宋体"/>
          <w:color w:val="auto"/>
          <w:sz w:val="22"/>
          <w:szCs w:val="22"/>
          <w:highlight w:val="none"/>
        </w:rPr>
        <w:t>处理结果的权利。</w:t>
      </w:r>
    </w:p>
    <w:p>
      <w:pPr>
        <w:keepNext w:val="0"/>
        <w:keepLines w:val="0"/>
        <w:pageBreakBefore w:val="0"/>
        <w:kinsoku/>
        <w:wordWrap/>
        <w:overflowPunct/>
        <w:topLinePunct w:val="0"/>
        <w:bidi w:val="0"/>
        <w:adjustRightInd/>
        <w:snapToGrid/>
        <w:spacing w:line="360" w:lineRule="auto"/>
        <w:ind w:left="0" w:leftChars="0" w:firstLine="442" w:firstLineChars="200"/>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第二条  委托人的义务</w:t>
      </w:r>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（一）委托人及其工作人员不得索要或接受受托人的礼金、有价证券和贵重物品，不得在受托人报销任何应由委托人或个人支付的费用等。</w:t>
      </w:r>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（二）委托人工作人员不得参加受托人安排的超标准宴请和娱乐活动；不得接受受托人提供的通讯工具、交通工具和高档办公用品等。</w:t>
      </w:r>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（三）委托人及其工作人员不得要求或者接受受托人为其住房装修、婚丧嫁娶活动、配偶子女的工作安排以及出国出境、旅游等提供方便等。</w:t>
      </w:r>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（四）委托人及其工作人员不得以任何理由向受托人推荐分包单位，不得要求受托人购买合同规定外的材料和设备。</w:t>
      </w:r>
    </w:p>
    <w:p>
      <w:pPr>
        <w:keepNext w:val="0"/>
        <w:keepLines w:val="0"/>
        <w:pageBreakBefore w:val="0"/>
        <w:kinsoku/>
        <w:wordWrap/>
        <w:overflowPunct/>
        <w:topLinePunct w:val="0"/>
        <w:bidi w:val="0"/>
        <w:adjustRightInd/>
        <w:snapToGrid/>
        <w:spacing w:line="360" w:lineRule="auto"/>
        <w:ind w:left="0" w:leftChars="0" w:firstLine="442" w:firstLineChars="200"/>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第三条  受托人义务</w:t>
      </w:r>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（一）受托人不得以任何理由向委托人及其工作人员行贿或馈赠礼金、有价证券、贵重礼品。</w:t>
      </w:r>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（二）受托人不得以任何名义为委托人及其工作人员报销应由委托人单位或个人支付的任何费用。</w:t>
      </w:r>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（三）受托人不得以任何理由安排委托人工作人员参加超标准宴请及娱乐活动。</w:t>
      </w:r>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（四）受托人不得为委托人单位和个人购置或提供通讯工具、交通工具和高档办公用品等。</w:t>
      </w:r>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（五）受托人不应接受委托评估合同约定以外的与本合同评估工作有关的任何报酬。</w:t>
      </w:r>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（六）受托人不得参与合同规定的与委托人利益相冲突的任何活动。</w:t>
      </w:r>
    </w:p>
    <w:p>
      <w:pPr>
        <w:keepNext w:val="0"/>
        <w:keepLines w:val="0"/>
        <w:pageBreakBefore w:val="0"/>
        <w:kinsoku/>
        <w:wordWrap/>
        <w:overflowPunct/>
        <w:topLinePunct w:val="0"/>
        <w:bidi w:val="0"/>
        <w:adjustRightInd/>
        <w:snapToGrid/>
        <w:spacing w:line="360" w:lineRule="auto"/>
        <w:ind w:left="0" w:leftChars="0" w:firstLine="442" w:firstLineChars="200"/>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第四条  违约责任</w:t>
      </w:r>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（一）委托人及其工作人员违反本合同第一、二条，按管理权限，依据有关规定给予党纪、政纪或组织处理；涉嫌犯罪的，移交司法机关追究刑事责任；给受托人单位造成经济损失的，应予以赔偿。</w:t>
      </w:r>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二）受托人及其工作人员违反本合同第一、三条，按管理权限，依据有关规定，给予党纪、政纪或组织处理；给委托人单位造成经济损失的，应予以赔偿；情节严重的，委托人建议交通工程建设主管部门给予受托人一至三年内不得进入其主管的交通工程建设市场的处罚。</w:t>
      </w:r>
    </w:p>
    <w:p>
      <w:pPr>
        <w:keepNext w:val="0"/>
        <w:keepLines w:val="0"/>
        <w:pageBreakBefore w:val="0"/>
        <w:kinsoku/>
        <w:wordWrap/>
        <w:overflowPunct/>
        <w:topLinePunct w:val="0"/>
        <w:bidi w:val="0"/>
        <w:adjustRightInd/>
        <w:snapToGrid/>
        <w:spacing w:line="360" w:lineRule="auto"/>
        <w:ind w:left="0" w:leftChars="0" w:firstLine="442" w:firstLineChars="200"/>
        <w:rPr>
          <w:rFonts w:hint="eastAsia" w:ascii="宋体" w:hAnsi="宋体" w:eastAsia="宋体" w:cs="宋体"/>
          <w:bCs/>
          <w:color w:val="auto"/>
          <w:sz w:val="22"/>
          <w:szCs w:val="22"/>
          <w:highlight w:val="none"/>
        </w:rPr>
      </w:pPr>
      <w:r>
        <w:rPr>
          <w:rFonts w:hint="eastAsia" w:ascii="宋体" w:hAnsi="宋体" w:eastAsia="宋体" w:cs="宋体"/>
          <w:b/>
          <w:color w:val="auto"/>
          <w:sz w:val="22"/>
          <w:szCs w:val="22"/>
          <w:highlight w:val="none"/>
        </w:rPr>
        <w:t>第五条</w:t>
      </w:r>
      <w:r>
        <w:rPr>
          <w:rFonts w:hint="eastAsia" w:ascii="宋体" w:hAnsi="宋体" w:eastAsia="宋体" w:cs="宋体"/>
          <w:bCs/>
          <w:color w:val="auto"/>
          <w:sz w:val="22"/>
          <w:szCs w:val="22"/>
          <w:highlight w:val="none"/>
        </w:rPr>
        <w:t xml:space="preserve">  本合同有效期为委托人、受托人双方签署之日起至</w:t>
      </w:r>
      <w:r>
        <w:rPr>
          <w:rFonts w:hint="eastAsia" w:ascii="宋体" w:hAnsi="宋体" w:cs="宋体"/>
          <w:bCs/>
          <w:color w:val="auto"/>
          <w:sz w:val="22"/>
          <w:szCs w:val="22"/>
          <w:highlight w:val="none"/>
          <w:lang w:val="en-US" w:eastAsia="zh-CN"/>
        </w:rPr>
        <w:t>合同结束为</w:t>
      </w:r>
      <w:r>
        <w:rPr>
          <w:rFonts w:hint="eastAsia" w:ascii="宋体" w:hAnsi="宋体" w:eastAsia="宋体" w:cs="宋体"/>
          <w:bCs/>
          <w:color w:val="auto"/>
          <w:sz w:val="22"/>
          <w:szCs w:val="22"/>
          <w:highlight w:val="none"/>
        </w:rPr>
        <w:t>止。</w:t>
      </w:r>
    </w:p>
    <w:p>
      <w:pPr>
        <w:keepNext w:val="0"/>
        <w:keepLines w:val="0"/>
        <w:pageBreakBefore w:val="0"/>
        <w:kinsoku/>
        <w:wordWrap/>
        <w:overflowPunct/>
        <w:topLinePunct w:val="0"/>
        <w:bidi w:val="0"/>
        <w:adjustRightInd/>
        <w:snapToGrid/>
        <w:spacing w:line="360" w:lineRule="auto"/>
        <w:ind w:left="0" w:leftChars="0" w:firstLine="442" w:firstLineChars="200"/>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第六条</w:t>
      </w:r>
      <w:r>
        <w:rPr>
          <w:rFonts w:hint="eastAsia" w:ascii="宋体" w:hAnsi="宋体" w:eastAsia="宋体" w:cs="宋体"/>
          <w:bCs/>
          <w:color w:val="auto"/>
          <w:sz w:val="22"/>
          <w:szCs w:val="22"/>
          <w:highlight w:val="none"/>
        </w:rPr>
        <w:t xml:space="preserve">  本合同作为</w:t>
      </w:r>
      <w:r>
        <w:rPr>
          <w:rFonts w:hint="eastAsia" w:ascii="宋体" w:hAnsi="宋体" w:eastAsia="宋体" w:cs="宋体"/>
          <w:bCs/>
          <w:color w:val="auto"/>
          <w:sz w:val="22"/>
          <w:szCs w:val="22"/>
          <w:highlight w:val="none"/>
          <w:u w:val="single"/>
        </w:rPr>
        <w:t>（项目名称）</w:t>
      </w:r>
      <w:r>
        <w:rPr>
          <w:rFonts w:hint="eastAsia" w:ascii="宋体" w:hAnsi="宋体" w:eastAsia="宋体" w:cs="宋体"/>
          <w:bCs/>
          <w:color w:val="auto"/>
          <w:sz w:val="22"/>
          <w:szCs w:val="22"/>
          <w:highlight w:val="none"/>
        </w:rPr>
        <w:t>合同的附件，与合同具有</w:t>
      </w:r>
      <w:r>
        <w:rPr>
          <w:rFonts w:hint="eastAsia" w:ascii="宋体" w:hAnsi="宋体" w:eastAsia="宋体" w:cs="宋体"/>
          <w:color w:val="auto"/>
          <w:sz w:val="22"/>
          <w:szCs w:val="22"/>
          <w:highlight w:val="none"/>
        </w:rPr>
        <w:t>同等的法律效力，经合同双方签署立即生效。</w:t>
      </w:r>
    </w:p>
    <w:p>
      <w:pPr>
        <w:keepNext w:val="0"/>
        <w:keepLines w:val="0"/>
        <w:pageBreakBefore w:val="0"/>
        <w:kinsoku/>
        <w:wordWrap/>
        <w:overflowPunct/>
        <w:topLinePunct w:val="0"/>
        <w:bidi w:val="0"/>
        <w:adjustRightInd/>
        <w:snapToGrid/>
        <w:spacing w:line="360" w:lineRule="auto"/>
        <w:ind w:left="0" w:leftChars="0" w:firstLine="442" w:firstLineChars="200"/>
        <w:rPr>
          <w:rFonts w:hint="eastAsia" w:ascii="宋体" w:hAnsi="宋体" w:eastAsia="宋体" w:cs="宋体"/>
          <w:bCs/>
          <w:color w:val="auto"/>
          <w:sz w:val="22"/>
          <w:szCs w:val="22"/>
          <w:highlight w:val="none"/>
        </w:rPr>
      </w:pPr>
      <w:r>
        <w:rPr>
          <w:rFonts w:hint="eastAsia" w:ascii="宋体" w:hAnsi="宋体" w:eastAsia="宋体" w:cs="宋体"/>
          <w:b/>
          <w:bCs/>
          <w:color w:val="auto"/>
          <w:sz w:val="22"/>
          <w:szCs w:val="22"/>
          <w:highlight w:val="none"/>
        </w:rPr>
        <w:t>第七条</w:t>
      </w:r>
      <w:r>
        <w:rPr>
          <w:rFonts w:hint="eastAsia" w:ascii="宋体" w:hAnsi="宋体" w:eastAsia="宋体" w:cs="宋体"/>
          <w:color w:val="auto"/>
          <w:sz w:val="22"/>
          <w:szCs w:val="22"/>
          <w:highlight w:val="none"/>
        </w:rPr>
        <w:t xml:space="preserve">  本合同共</w:t>
      </w:r>
      <w:r>
        <w:rPr>
          <w:rFonts w:hint="eastAsia" w:ascii="宋体" w:hAnsi="宋体" w:cs="宋体"/>
          <w:color w:val="auto"/>
          <w:sz w:val="22"/>
          <w:szCs w:val="22"/>
          <w:highlight w:val="none"/>
          <w:u w:val="single"/>
          <w:lang w:val="en-US" w:eastAsia="zh-CN"/>
        </w:rPr>
        <w:t>伍</w:t>
      </w:r>
      <w:r>
        <w:rPr>
          <w:rFonts w:hint="eastAsia" w:ascii="宋体" w:hAnsi="宋体" w:eastAsia="宋体" w:cs="宋体"/>
          <w:bCs/>
          <w:color w:val="auto"/>
          <w:sz w:val="22"/>
          <w:szCs w:val="22"/>
          <w:highlight w:val="none"/>
        </w:rPr>
        <w:t>份，双方各执二份</w:t>
      </w:r>
      <w:r>
        <w:rPr>
          <w:rFonts w:hint="eastAsia" w:ascii="宋体" w:hAnsi="宋体" w:cs="宋体"/>
          <w:bCs/>
          <w:color w:val="auto"/>
          <w:sz w:val="22"/>
          <w:szCs w:val="22"/>
          <w:highlight w:val="none"/>
          <w:lang w:eastAsia="zh-CN"/>
        </w:rPr>
        <w:t>，送交委托人监督部门一份备案</w:t>
      </w:r>
      <w:r>
        <w:rPr>
          <w:rFonts w:hint="eastAsia" w:ascii="宋体" w:hAnsi="宋体" w:eastAsia="宋体" w:cs="宋体"/>
          <w:bCs/>
          <w:color w:val="auto"/>
          <w:sz w:val="22"/>
          <w:szCs w:val="22"/>
          <w:highlight w:val="none"/>
        </w:rPr>
        <w:t>。</w:t>
      </w:r>
    </w:p>
    <w:p>
      <w:pPr>
        <w:keepNext w:val="0"/>
        <w:keepLines w:val="0"/>
        <w:pageBreakBefore w:val="0"/>
        <w:tabs>
          <w:tab w:val="left" w:pos="1425"/>
          <w:tab w:val="left" w:pos="6360"/>
        </w:tabs>
        <w:kinsoku/>
        <w:wordWrap/>
        <w:overflowPunct/>
        <w:topLinePunct w:val="0"/>
        <w:bidi w:val="0"/>
        <w:adjustRightInd/>
        <w:snapToGrid/>
        <w:spacing w:line="360" w:lineRule="auto"/>
        <w:ind w:left="0" w:leftChars="0"/>
        <w:rPr>
          <w:rFonts w:hint="eastAsia" w:ascii="宋体" w:hAnsi="宋体" w:eastAsia="宋体" w:cs="宋体"/>
          <w:color w:val="auto"/>
          <w:sz w:val="22"/>
          <w:szCs w:val="22"/>
          <w:highlight w:val="none"/>
        </w:rPr>
      </w:pPr>
    </w:p>
    <w:p>
      <w:pPr>
        <w:keepNext w:val="0"/>
        <w:keepLines w:val="0"/>
        <w:pageBreakBefore w:val="0"/>
        <w:tabs>
          <w:tab w:val="left" w:pos="4500"/>
        </w:tabs>
        <w:kinsoku/>
        <w:wordWrap/>
        <w:overflowPunct/>
        <w:topLinePunct w:val="0"/>
        <w:bidi w:val="0"/>
        <w:adjustRightInd/>
        <w:snapToGrid/>
        <w:spacing w:line="360" w:lineRule="auto"/>
        <w:ind w:left="0" w:leftChars="0"/>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委托人：</w:t>
      </w:r>
      <w:r>
        <w:rPr>
          <w:rFonts w:hint="eastAsia" w:ascii="宋体" w:hAnsi="宋体" w:eastAsia="宋体" w:cs="宋体"/>
          <w:color w:val="auto"/>
          <w:sz w:val="22"/>
          <w:szCs w:val="22"/>
          <w:highlight w:val="none"/>
          <w:u w:val="single"/>
        </w:rPr>
        <w:t xml:space="preserve">  （单位全称）（盖章）     </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t>受托人：</w:t>
      </w:r>
      <w:r>
        <w:rPr>
          <w:rFonts w:hint="eastAsia" w:ascii="宋体" w:hAnsi="宋体" w:eastAsia="宋体" w:cs="宋体"/>
          <w:color w:val="auto"/>
          <w:sz w:val="22"/>
          <w:szCs w:val="22"/>
          <w:highlight w:val="none"/>
          <w:u w:val="single"/>
        </w:rPr>
        <w:t xml:space="preserve">  （单位全称）（盖章）    </w:t>
      </w:r>
    </w:p>
    <w:p>
      <w:pPr>
        <w:keepNext w:val="0"/>
        <w:keepLines w:val="0"/>
        <w:pageBreakBefore w:val="0"/>
        <w:tabs>
          <w:tab w:val="left" w:pos="4500"/>
        </w:tabs>
        <w:kinsoku/>
        <w:wordWrap/>
        <w:overflowPunct/>
        <w:topLinePunct w:val="0"/>
        <w:bidi w:val="0"/>
        <w:adjustRightInd/>
        <w:snapToGrid/>
        <w:spacing w:line="360" w:lineRule="auto"/>
        <w:ind w:left="0" w:left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法定代表人或</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t>法定代表人或</w:t>
      </w:r>
    </w:p>
    <w:p>
      <w:pPr>
        <w:keepNext w:val="0"/>
        <w:keepLines w:val="0"/>
        <w:pageBreakBefore w:val="0"/>
        <w:tabs>
          <w:tab w:val="left" w:pos="4500"/>
        </w:tabs>
        <w:kinsoku/>
        <w:wordWrap/>
        <w:overflowPunct/>
        <w:topLinePunct w:val="0"/>
        <w:bidi w:val="0"/>
        <w:adjustRightInd/>
        <w:snapToGrid/>
        <w:spacing w:line="360" w:lineRule="auto"/>
        <w:ind w:left="0" w:leftChars="0"/>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其授权的代理人：</w:t>
      </w:r>
      <w:r>
        <w:rPr>
          <w:rFonts w:hint="eastAsia" w:ascii="宋体" w:hAnsi="宋体" w:eastAsia="宋体" w:cs="宋体"/>
          <w:color w:val="auto"/>
          <w:sz w:val="22"/>
          <w:szCs w:val="22"/>
          <w:highlight w:val="none"/>
          <w:u w:val="single"/>
        </w:rPr>
        <w:t xml:space="preserve">   （职务）        </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t>其授权的代理人：</w:t>
      </w:r>
      <w:r>
        <w:rPr>
          <w:rFonts w:hint="eastAsia" w:ascii="宋体" w:hAnsi="宋体" w:eastAsia="宋体" w:cs="宋体"/>
          <w:color w:val="auto"/>
          <w:sz w:val="22"/>
          <w:szCs w:val="22"/>
          <w:highlight w:val="none"/>
          <w:u w:val="single"/>
        </w:rPr>
        <w:t xml:space="preserve">   （职务）      </w:t>
      </w:r>
    </w:p>
    <w:p>
      <w:pPr>
        <w:keepNext w:val="0"/>
        <w:keepLines w:val="0"/>
        <w:pageBreakBefore w:val="0"/>
        <w:tabs>
          <w:tab w:val="left" w:pos="1380"/>
          <w:tab w:val="left" w:pos="6270"/>
        </w:tabs>
        <w:kinsoku/>
        <w:wordWrap/>
        <w:overflowPunct/>
        <w:topLinePunct w:val="0"/>
        <w:bidi w:val="0"/>
        <w:adjustRightInd/>
        <w:snapToGrid/>
        <w:spacing w:line="360" w:lineRule="auto"/>
        <w:ind w:left="0" w:leftChars="0"/>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u w:val="single"/>
        </w:rPr>
        <w:t xml:space="preserve">    （姓名）  （签字）</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u w:val="single"/>
        </w:rPr>
        <w:t xml:space="preserve">（姓名）（签字） </w:t>
      </w:r>
    </w:p>
    <w:p>
      <w:pPr>
        <w:keepNext w:val="0"/>
        <w:keepLines w:val="0"/>
        <w:pageBreakBefore w:val="0"/>
        <w:kinsoku/>
        <w:wordWrap/>
        <w:overflowPunct/>
        <w:topLinePunct w:val="0"/>
        <w:autoSpaceDN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年    月    日</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t xml:space="preserve">                                        年    月    日</w:t>
      </w:r>
    </w:p>
    <w:p>
      <w:pPr>
        <w:keepNext w:val="0"/>
        <w:keepLines w:val="0"/>
        <w:pageBreakBefore w:val="0"/>
        <w:kinsoku/>
        <w:wordWrap/>
        <w:overflowPunct/>
        <w:topLinePunct w:val="0"/>
        <w:bidi w:val="0"/>
        <w:adjustRightInd/>
        <w:snapToGrid/>
        <w:spacing w:line="360" w:lineRule="auto"/>
        <w:ind w:left="0" w:leftChars="0"/>
        <w:jc w:val="center"/>
        <w:outlineLvl w:val="3"/>
        <w:rPr>
          <w:rFonts w:hint="eastAsia" w:ascii="宋体" w:hAnsi="宋体" w:eastAsia="宋体" w:cs="宋体"/>
          <w:color w:val="auto"/>
          <w:sz w:val="22"/>
          <w:szCs w:val="22"/>
          <w:highlight w:val="none"/>
        </w:rPr>
      </w:pPr>
    </w:p>
    <w:p>
      <w:pPr>
        <w:keepNext w:val="0"/>
        <w:keepLines w:val="0"/>
        <w:pageBreakBefore w:val="0"/>
        <w:kinsoku/>
        <w:wordWrap/>
        <w:overflowPunct/>
        <w:topLinePunct w:val="0"/>
        <w:bidi w:val="0"/>
        <w:adjustRightInd/>
        <w:snapToGrid/>
        <w:spacing w:line="360" w:lineRule="auto"/>
        <w:ind w:left="0" w:leftChars="0"/>
        <w:jc w:val="both"/>
        <w:outlineLvl w:val="3"/>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rPr>
        <w:t>委托人监督部门：</w:t>
      </w:r>
      <w:r>
        <w:rPr>
          <w:rFonts w:hint="eastAsia" w:ascii="宋体" w:hAnsi="宋体" w:eastAsia="宋体" w:cs="宋体"/>
          <w:color w:val="auto"/>
          <w:sz w:val="22"/>
          <w:szCs w:val="22"/>
          <w:highlight w:val="none"/>
          <w:u w:val="single"/>
        </w:rPr>
        <w:t xml:space="preserve">  （单位全称）（盖章）</w:t>
      </w:r>
      <w:r>
        <w:rPr>
          <w:rFonts w:hint="eastAsia" w:ascii="宋体" w:hAnsi="宋体" w:eastAsia="宋体" w:cs="宋体"/>
          <w:color w:val="auto"/>
          <w:sz w:val="22"/>
          <w:szCs w:val="22"/>
          <w:highlight w:val="none"/>
          <w:u w:val="none"/>
        </w:rPr>
        <w:t xml:space="preserve"> </w:t>
      </w:r>
    </w:p>
    <w:p>
      <w:pPr>
        <w:keepNext w:val="0"/>
        <w:keepLines w:val="0"/>
        <w:pageBreakBefore w:val="0"/>
        <w:kinsoku/>
        <w:wordWrap/>
        <w:overflowPunct/>
        <w:topLinePunct w:val="0"/>
        <w:bidi w:val="0"/>
        <w:adjustRightInd/>
        <w:snapToGrid/>
        <w:spacing w:line="360" w:lineRule="auto"/>
        <w:ind w:left="0" w:leftChars="0"/>
        <w:jc w:val="center"/>
        <w:outlineLvl w:val="2"/>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br w:type="page"/>
      </w:r>
      <w:r>
        <w:rPr>
          <w:rFonts w:hint="eastAsia" w:ascii="宋体" w:hAnsi="宋体" w:eastAsia="宋体" w:cs="宋体"/>
          <w:b/>
          <w:bCs/>
          <w:color w:val="auto"/>
          <w:sz w:val="22"/>
          <w:szCs w:val="22"/>
          <w:highlight w:val="none"/>
          <w:lang w:val="en-US" w:eastAsia="zh-CN"/>
        </w:rPr>
        <w:t>C、</w:t>
      </w:r>
      <w:r>
        <w:rPr>
          <w:rFonts w:hint="eastAsia" w:ascii="宋体" w:hAnsi="宋体" w:eastAsia="宋体" w:cs="宋体"/>
          <w:b/>
          <w:bCs/>
          <w:color w:val="auto"/>
          <w:sz w:val="22"/>
          <w:szCs w:val="22"/>
          <w:highlight w:val="none"/>
        </w:rPr>
        <w:t>安全责任合同（格式）</w:t>
      </w:r>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为贯彻遵守《建设工程安全生产管理条例》、《中华人民共和国安全生产法》等相关法律法规规定以及国家、地方关于安全生产的方针、政策，落实安全责任,加强对咨询服务的安全管理，保障咨询服务人员安全和健康,减少经济损失，经</w:t>
      </w:r>
      <w:r>
        <w:rPr>
          <w:rFonts w:hint="eastAsia" w:ascii="宋体" w:hAnsi="宋体" w:eastAsia="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（以下简称甲方）与</w:t>
      </w:r>
      <w:r>
        <w:rPr>
          <w:rFonts w:hint="eastAsia" w:ascii="宋体" w:hAnsi="宋体" w:eastAsia="宋体" w:cs="宋体"/>
          <w:color w:val="auto"/>
          <w:sz w:val="22"/>
          <w:szCs w:val="22"/>
          <w:highlight w:val="none"/>
          <w:u w:val="single"/>
          <w:lang w:val="en-US" w:eastAsia="zh-CN"/>
        </w:rPr>
        <w:t xml:space="preserve">   </w:t>
      </w:r>
      <w:r>
        <w:rPr>
          <w:rFonts w:hint="eastAsia" w:ascii="宋体" w:hAnsi="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（以下简称乙方）平等协商, 特签订安全责任合同。</w:t>
      </w:r>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一、甲方职责</w:t>
      </w:r>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1、严格遵守国家相关法律法规规定以及国家、地方关于安全生产的方针、政策，要求乙方执行上述方针、政策开展咨询服务。</w:t>
      </w:r>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2、按照“安全第一、预防为主、综合治理”和坚持“管生产必须管安全”的原则进行安全生产管理，做到生产与安全工作同时计划、布置、检查、总结和评比。</w:t>
      </w:r>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3、项目开展过程甲方有权随时对乙方的安全管理工作进行检查，制止各类违规行为，并对违反安全规定的行为责令整顿。</w:t>
      </w:r>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4、定期召开安全服务工作调度会，及时传达中央及地方有关安全生产的精神。</w:t>
      </w:r>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二、乙方职责</w:t>
      </w:r>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乙方应为其完成本合同的人员和设备进行保险，费用由乙方承担。若乙方在合同履行期间发生人员伤亡或财产的损失，或者造成第三方的人员伤亡或财产损失，乙方应承担全部责任，并保障甲方免于承担由此造成的一切损害和损失。乙方应确保安全服务，应承担由此造成的一切损害和损失。</w:t>
      </w:r>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2、乙方应建立、健全安全服务规章制度，应急预案及处理流程应满足甲方应急预案要求。乙方项目负责人为本次服务项目的第一安全责任人，负责乙方人员的安全教育，负责项目咨询</w:t>
      </w:r>
      <w:r>
        <w:rPr>
          <w:rFonts w:hint="eastAsia" w:ascii="宋体" w:hAnsi="宋体" w:cs="宋体"/>
          <w:color w:val="auto"/>
          <w:sz w:val="22"/>
          <w:szCs w:val="22"/>
          <w:highlight w:val="none"/>
          <w:lang w:eastAsia="zh-CN"/>
        </w:rPr>
        <w:t>服务周期</w:t>
      </w:r>
      <w:r>
        <w:rPr>
          <w:rFonts w:hint="eastAsia" w:ascii="宋体" w:hAnsi="宋体" w:eastAsia="宋体" w:cs="宋体"/>
          <w:color w:val="auto"/>
          <w:sz w:val="22"/>
          <w:szCs w:val="22"/>
          <w:highlight w:val="none"/>
        </w:rPr>
        <w:t>间的安全保障工作。</w:t>
      </w:r>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在派遣服务人员进入施工区域之前，乙方必须对上述人员进行安全服务教育培训，如实告知施工区域和工作岗位存在的危险因素、防范措施以及事故应急措施等，保证所有咨询服务人员具备必要的安全生产知识，熟悉施工区域有关安全生产规章制度和安全操作规程。乙方未对上述人员进行上岗前安全服务教育培训的，甲方有权拒绝该人员上岗，由此造成的项目责任或损失由乙方承担。</w:t>
      </w:r>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4、乙方应严格遵守甲方对项目施工过程（进场、现场、退场）安全规范，根据咨询服务的需求分配相应工作场所，并严格遵守该场所安全规则。</w:t>
      </w:r>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5、对甲方未顾及的安全隐患，乙方有责任及时提醒甲方。</w:t>
      </w:r>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三、违约责任</w:t>
      </w:r>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如因甲方或乙方违约造成安全事故，将依法追究各自的责任。</w:t>
      </w:r>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本合同协议书正本一式陆份，合同双方各执叁份，具有同等法律效力。由双方法定代表人或其授权的代理人签署并加盖公章后立即生效。</w:t>
      </w:r>
    </w:p>
    <w:p>
      <w:pPr>
        <w:keepNext w:val="0"/>
        <w:keepLines w:val="0"/>
        <w:pageBreakBefore w:val="0"/>
        <w:kinsoku/>
        <w:wordWrap/>
        <w:overflowPunct/>
        <w:topLinePunct w:val="0"/>
        <w:bidi w:val="0"/>
        <w:adjustRightInd/>
        <w:snapToGrid/>
        <w:spacing w:line="360" w:lineRule="auto"/>
        <w:ind w:left="0" w:leftChars="0" w:firstLine="440" w:firstLineChars="200"/>
        <w:rPr>
          <w:rFonts w:hint="eastAsia" w:ascii="宋体" w:hAnsi="宋体" w:eastAsia="宋体" w:cs="宋体"/>
          <w:color w:val="auto"/>
          <w:sz w:val="22"/>
          <w:szCs w:val="22"/>
          <w:highlight w:val="none"/>
        </w:rPr>
      </w:pPr>
    </w:p>
    <w:p>
      <w:pPr>
        <w:keepNext w:val="0"/>
        <w:keepLines w:val="0"/>
        <w:pageBreakBefore w:val="0"/>
        <w:kinsoku/>
        <w:wordWrap/>
        <w:overflowPunct/>
        <w:topLinePunct w:val="0"/>
        <w:bidi w:val="0"/>
        <w:adjustRightInd/>
        <w:snapToGrid/>
        <w:spacing w:line="360" w:lineRule="auto"/>
        <w:ind w:left="0" w:leftChars="0"/>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甲方：</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 xml:space="preserve">（盖章）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乙方：</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（盖章）</w:t>
      </w:r>
    </w:p>
    <w:p>
      <w:pPr>
        <w:keepNext w:val="0"/>
        <w:keepLines w:val="0"/>
        <w:pageBreakBefore w:val="0"/>
        <w:tabs>
          <w:tab w:val="left" w:pos="5640"/>
        </w:tabs>
        <w:kinsoku/>
        <w:wordWrap/>
        <w:overflowPunct/>
        <w:topLinePunct w:val="0"/>
        <w:bidi w:val="0"/>
        <w:adjustRightInd/>
        <w:snapToGrid/>
        <w:spacing w:line="360" w:lineRule="auto"/>
        <w:ind w:left="0" w:left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法定代表人或</w:t>
      </w: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rPr>
        <w:t>法定代表人或</w:t>
      </w:r>
    </w:p>
    <w:p>
      <w:pPr>
        <w:keepNext w:val="0"/>
        <w:keepLines w:val="0"/>
        <w:pageBreakBefore w:val="0"/>
        <w:tabs>
          <w:tab w:val="left" w:pos="4500"/>
        </w:tabs>
        <w:kinsoku/>
        <w:wordWrap/>
        <w:overflowPunct/>
        <w:topLinePunct w:val="0"/>
        <w:bidi w:val="0"/>
        <w:adjustRightInd/>
        <w:snapToGrid/>
        <w:spacing w:line="360" w:lineRule="auto"/>
        <w:ind w:left="0" w:leftChars="0"/>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其授权的委托代理人：</w:t>
      </w:r>
      <w:r>
        <w:rPr>
          <w:rFonts w:hint="eastAsia" w:ascii="宋体" w:hAnsi="宋体" w:eastAsia="宋体" w:cs="宋体"/>
          <w:color w:val="auto"/>
          <w:sz w:val="22"/>
          <w:szCs w:val="22"/>
          <w:highlight w:val="none"/>
          <w:u w:val="single"/>
        </w:rPr>
        <w:t xml:space="preserve">     （签字）    </w:t>
      </w:r>
      <w:r>
        <w:rPr>
          <w:rFonts w:hint="eastAsia" w:ascii="宋体" w:hAnsi="宋体" w:eastAsia="宋体" w:cs="宋体"/>
          <w:color w:val="auto"/>
          <w:sz w:val="22"/>
          <w:szCs w:val="22"/>
          <w:highlight w:val="none"/>
        </w:rPr>
        <w:t xml:space="preserve">         其授权的委托代理人：</w:t>
      </w:r>
      <w:r>
        <w:rPr>
          <w:rFonts w:hint="eastAsia" w:ascii="宋体" w:hAnsi="宋体" w:eastAsia="宋体" w:cs="宋体"/>
          <w:color w:val="auto"/>
          <w:sz w:val="22"/>
          <w:szCs w:val="22"/>
          <w:highlight w:val="none"/>
          <w:u w:val="single"/>
        </w:rPr>
        <w:t xml:space="preserve">    （签字） </w:t>
      </w:r>
    </w:p>
    <w:p>
      <w:pPr>
        <w:jc w:val="right"/>
        <w:rPr>
          <w:color w:val="auto"/>
          <w:highlight w:val="none"/>
        </w:rPr>
      </w:pPr>
      <w:r>
        <w:rPr>
          <w:rFonts w:hint="eastAsia" w:ascii="宋体" w:hAnsi="宋体" w:eastAsia="宋体" w:cs="宋体"/>
          <w:color w:val="auto"/>
          <w:sz w:val="22"/>
          <w:szCs w:val="22"/>
          <w:highlight w:val="none"/>
        </w:rPr>
        <w:tab/>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年</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月</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日</w:t>
      </w:r>
    </w:p>
    <w:bookmarkEnd w:id="71"/>
    <w:bookmarkEnd w:id="72"/>
    <w:bookmarkEnd w:id="73"/>
    <w:bookmarkEnd w:id="74"/>
    <w:bookmarkEnd w:id="75"/>
    <w:p>
      <w:pPr>
        <w:pStyle w:val="2"/>
        <w:pageBreakBefore w:val="0"/>
        <w:widowControl w:val="0"/>
        <w:kinsoku/>
        <w:wordWrap/>
        <w:overflowPunct/>
        <w:topLinePunct w:val="0"/>
        <w:autoSpaceDE/>
        <w:autoSpaceDN/>
        <w:bidi w:val="0"/>
        <w:adjustRightInd/>
        <w:snapToGrid/>
        <w:spacing w:line="420" w:lineRule="exact"/>
        <w:jc w:val="right"/>
        <w:textAlignment w:val="auto"/>
        <w:rPr>
          <w:rFonts w:hint="eastAsia" w:ascii="宋体" w:hAnsi="宋体" w:eastAsia="宋体" w:cs="宋体"/>
          <w:color w:val="auto"/>
          <w:sz w:val="22"/>
          <w:szCs w:val="22"/>
          <w:highlight w:val="none"/>
        </w:rPr>
      </w:pPr>
      <w:bookmarkStart w:id="144" w:name="_Toc51042476"/>
      <w:bookmarkStart w:id="145" w:name="_Toc25042"/>
      <w:bookmarkStart w:id="146" w:name="_Toc326739087"/>
      <w:bookmarkStart w:id="147" w:name="_Toc76356748"/>
      <w:bookmarkStart w:id="148" w:name="_Toc282677869"/>
      <w:bookmarkStart w:id="149" w:name="_Toc55239799"/>
      <w:bookmarkStart w:id="150" w:name="_Toc305846554"/>
      <w:bookmarkStart w:id="151" w:name="_Toc55112876"/>
    </w:p>
    <w:p>
      <w:pPr>
        <w:spacing w:line="440" w:lineRule="exact"/>
        <w:rPr>
          <w:rFonts w:hint="eastAsia" w:ascii="宋体" w:hAnsi="宋体" w:cs="宋体"/>
          <w:color w:val="auto"/>
          <w:sz w:val="21"/>
          <w:szCs w:val="21"/>
          <w:highlight w:val="none"/>
        </w:rPr>
      </w:pPr>
    </w:p>
    <w:p>
      <w:pPr>
        <w:autoSpaceDE w:val="0"/>
        <w:autoSpaceDN w:val="0"/>
        <w:spacing w:line="360" w:lineRule="auto"/>
        <w:textAlignment w:val="bottom"/>
        <w:rPr>
          <w:rFonts w:hint="eastAsia" w:ascii="宋体" w:hAnsi="宋体" w:cs="宋体"/>
          <w:color w:val="auto"/>
          <w:sz w:val="21"/>
          <w:szCs w:val="21"/>
          <w:highlight w:val="none"/>
        </w:rPr>
      </w:pPr>
    </w:p>
    <w:p>
      <w:pPr>
        <w:pStyle w:val="28"/>
        <w:wordWrap w:val="0"/>
        <w:spacing w:before="120" w:beforeLines="50" w:after="0" w:line="360" w:lineRule="auto"/>
        <w:rPr>
          <w:rFonts w:hint="eastAsia" w:ascii="宋体" w:hAnsi="宋体" w:eastAsia="宋体"/>
          <w:color w:val="auto"/>
          <w:sz w:val="21"/>
          <w:szCs w:val="21"/>
          <w:highlight w:val="none"/>
          <w:lang w:eastAsia="zh-CN"/>
        </w:rPr>
      </w:pPr>
      <w:r>
        <w:rPr>
          <w:rFonts w:hint="eastAsia" w:ascii="宋体" w:hAnsi="宋体" w:cs="宋体"/>
          <w:color w:val="auto"/>
          <w:sz w:val="21"/>
          <w:szCs w:val="21"/>
          <w:highlight w:val="none"/>
        </w:rPr>
        <w:br w:type="page"/>
      </w:r>
      <w:bookmarkEnd w:id="144"/>
      <w:bookmarkEnd w:id="145"/>
      <w:bookmarkEnd w:id="146"/>
      <w:bookmarkEnd w:id="147"/>
      <w:bookmarkEnd w:id="148"/>
      <w:bookmarkEnd w:id="149"/>
      <w:bookmarkEnd w:id="150"/>
      <w:bookmarkEnd w:id="151"/>
      <w:bookmarkStart w:id="152" w:name="_Toc33625862"/>
      <w:bookmarkStart w:id="153" w:name="_Toc300760822"/>
      <w:bookmarkStart w:id="154" w:name="_Toc258313649"/>
      <w:r>
        <w:rPr>
          <w:rFonts w:hint="eastAsia" w:cs="Arial"/>
          <w:color w:val="auto"/>
          <w:sz w:val="32"/>
          <w:szCs w:val="22"/>
          <w:highlight w:val="none"/>
        </w:rPr>
        <w:t xml:space="preserve">第五章 </w:t>
      </w:r>
      <w:bookmarkEnd w:id="152"/>
      <w:bookmarkEnd w:id="153"/>
      <w:bookmarkEnd w:id="154"/>
      <w:r>
        <w:rPr>
          <w:rFonts w:hint="eastAsia" w:cs="Arial"/>
          <w:color w:val="auto"/>
          <w:sz w:val="32"/>
          <w:szCs w:val="22"/>
          <w:highlight w:val="none"/>
          <w:lang w:eastAsia="zh-CN"/>
        </w:rPr>
        <w:t>发包人要求</w:t>
      </w:r>
    </w:p>
    <w:p>
      <w:pPr>
        <w:adjustRightInd w:val="0"/>
        <w:snapToGrid w:val="0"/>
        <w:spacing w:line="360" w:lineRule="auto"/>
        <w:ind w:firstLine="422" w:firstLineChars="200"/>
        <w:rPr>
          <w:rFonts w:hint="eastAsia" w:ascii="宋体" w:hAnsi="宋体" w:eastAsia="宋体" w:cs="宋体"/>
          <w:b/>
          <w:snapToGrid w:val="0"/>
          <w:color w:val="auto"/>
          <w:kern w:val="0"/>
          <w:sz w:val="21"/>
          <w:szCs w:val="21"/>
          <w:highlight w:val="none"/>
          <w:lang w:val="en-US" w:eastAsia="zh-CN" w:bidi="ar-SA"/>
        </w:rPr>
      </w:pPr>
      <w:bookmarkStart w:id="155" w:name="_Toc300760824"/>
      <w:bookmarkStart w:id="156" w:name="_Toc258313653"/>
      <w:bookmarkStart w:id="157" w:name="_Toc33625863"/>
      <w:r>
        <w:rPr>
          <w:rFonts w:hint="eastAsia" w:ascii="宋体" w:hAnsi="宋体" w:eastAsia="宋体" w:cs="宋体"/>
          <w:b/>
          <w:snapToGrid w:val="0"/>
          <w:color w:val="auto"/>
          <w:kern w:val="0"/>
          <w:sz w:val="21"/>
          <w:szCs w:val="21"/>
          <w:highlight w:val="none"/>
          <w:lang w:val="en-US" w:eastAsia="zh-CN" w:bidi="ar-SA"/>
        </w:rPr>
        <w:t>一、服务要求</w:t>
      </w:r>
    </w:p>
    <w:p>
      <w:pPr>
        <w:adjustRightInd w:val="0"/>
        <w:snapToGrid w:val="0"/>
        <w:spacing w:line="360" w:lineRule="auto"/>
        <w:ind w:firstLine="420" w:firstLineChars="200"/>
        <w:rPr>
          <w:rFonts w:hint="eastAsia" w:ascii="宋体" w:hAnsi="宋体" w:eastAsia="宋体" w:cs="宋体"/>
          <w:b w:val="0"/>
          <w:bCs/>
          <w:snapToGrid w:val="0"/>
          <w:color w:val="auto"/>
          <w:kern w:val="0"/>
          <w:sz w:val="21"/>
          <w:szCs w:val="21"/>
          <w:highlight w:val="none"/>
          <w:lang w:val="en-US" w:eastAsia="zh-CN" w:bidi="ar-SA"/>
        </w:rPr>
      </w:pPr>
      <w:r>
        <w:rPr>
          <w:rFonts w:hint="eastAsia" w:ascii="宋体" w:hAnsi="宋体" w:eastAsia="宋体" w:cs="宋体"/>
          <w:b w:val="0"/>
          <w:bCs/>
          <w:snapToGrid w:val="0"/>
          <w:color w:val="auto"/>
          <w:kern w:val="0"/>
          <w:sz w:val="21"/>
          <w:szCs w:val="21"/>
          <w:highlight w:val="none"/>
          <w:lang w:val="en-US" w:eastAsia="zh-CN" w:bidi="ar-SA"/>
        </w:rPr>
        <w:t>（一）承包人须根据发包人的要求及安排，接受发包人监督管理，承担文物资源区域评估服务工作。</w:t>
      </w:r>
    </w:p>
    <w:p>
      <w:pPr>
        <w:adjustRightInd w:val="0"/>
        <w:snapToGrid w:val="0"/>
        <w:spacing w:line="360" w:lineRule="auto"/>
        <w:ind w:firstLine="420" w:firstLineChars="200"/>
        <w:rPr>
          <w:rFonts w:hint="eastAsia" w:ascii="宋体" w:hAnsi="宋体" w:eastAsia="宋体" w:cs="宋体"/>
          <w:b w:val="0"/>
          <w:bCs/>
          <w:snapToGrid w:val="0"/>
          <w:color w:val="auto"/>
          <w:kern w:val="0"/>
          <w:sz w:val="21"/>
          <w:szCs w:val="21"/>
          <w:highlight w:val="none"/>
          <w:lang w:val="en-US" w:eastAsia="zh-CN" w:bidi="ar-SA"/>
        </w:rPr>
      </w:pPr>
      <w:r>
        <w:rPr>
          <w:rFonts w:hint="eastAsia" w:ascii="宋体" w:hAnsi="宋体" w:eastAsia="宋体" w:cs="宋体"/>
          <w:b w:val="0"/>
          <w:bCs/>
          <w:snapToGrid w:val="0"/>
          <w:color w:val="auto"/>
          <w:kern w:val="0"/>
          <w:sz w:val="21"/>
          <w:szCs w:val="21"/>
          <w:highlight w:val="none"/>
          <w:lang w:val="en-US" w:eastAsia="zh-CN" w:bidi="ar-SA"/>
        </w:rPr>
        <w:t>（二）文物资源评估工作实施项目负责人制。根据发包人的项目要求，自主安排符合条件和数量的劳务人员。承包人服务人员的安全、食宿等日常和后勤工作由各承包人自行安排，发包人不负责组织。</w:t>
      </w:r>
    </w:p>
    <w:p>
      <w:pPr>
        <w:adjustRightInd w:val="0"/>
        <w:snapToGrid w:val="0"/>
        <w:spacing w:line="360" w:lineRule="auto"/>
        <w:ind w:firstLine="420" w:firstLineChars="200"/>
        <w:rPr>
          <w:rFonts w:hint="eastAsia" w:ascii="宋体" w:hAnsi="宋体" w:eastAsia="宋体" w:cs="宋体"/>
          <w:b w:val="0"/>
          <w:bCs/>
          <w:snapToGrid w:val="0"/>
          <w:color w:val="auto"/>
          <w:kern w:val="0"/>
          <w:sz w:val="21"/>
          <w:szCs w:val="21"/>
          <w:highlight w:val="none"/>
          <w:lang w:val="en-US" w:eastAsia="zh-CN" w:bidi="ar-SA"/>
        </w:rPr>
      </w:pPr>
      <w:r>
        <w:rPr>
          <w:rFonts w:hint="eastAsia" w:ascii="宋体" w:hAnsi="宋体" w:eastAsia="宋体" w:cs="宋体"/>
          <w:b w:val="0"/>
          <w:bCs/>
          <w:snapToGrid w:val="0"/>
          <w:color w:val="auto"/>
          <w:kern w:val="0"/>
          <w:sz w:val="21"/>
          <w:szCs w:val="21"/>
          <w:highlight w:val="none"/>
          <w:lang w:val="en-US" w:eastAsia="zh-CN" w:bidi="ar-SA"/>
        </w:rPr>
        <w:t>（三）承包人须安排专业的负责人负责现场调查勘探人员工作协调，对违反工作规程、不服从管理、怠工、私自脱岗的人员，发包人有权随时提出更换。</w:t>
      </w:r>
    </w:p>
    <w:p>
      <w:pPr>
        <w:adjustRightInd w:val="0"/>
        <w:snapToGrid w:val="0"/>
        <w:spacing w:line="360" w:lineRule="auto"/>
        <w:ind w:firstLine="420" w:firstLineChars="200"/>
        <w:rPr>
          <w:rFonts w:hint="eastAsia" w:ascii="宋体" w:hAnsi="宋体" w:eastAsia="宋体" w:cs="宋体"/>
          <w:b w:val="0"/>
          <w:bCs/>
          <w:snapToGrid w:val="0"/>
          <w:color w:val="auto"/>
          <w:kern w:val="0"/>
          <w:sz w:val="21"/>
          <w:szCs w:val="21"/>
          <w:highlight w:val="none"/>
          <w:lang w:val="en-US" w:eastAsia="zh-CN" w:bidi="ar-SA"/>
        </w:rPr>
      </w:pPr>
      <w:r>
        <w:rPr>
          <w:rFonts w:hint="eastAsia" w:ascii="宋体" w:hAnsi="宋体" w:eastAsia="宋体" w:cs="宋体"/>
          <w:b w:val="0"/>
          <w:bCs/>
          <w:snapToGrid w:val="0"/>
          <w:color w:val="auto"/>
          <w:kern w:val="0"/>
          <w:sz w:val="21"/>
          <w:szCs w:val="21"/>
          <w:highlight w:val="none"/>
          <w:lang w:val="en-US" w:eastAsia="zh-CN" w:bidi="ar-SA"/>
        </w:rPr>
        <w:t>（四）承包人的文物资源评估工作应严格遵守国家文物局颁发的相关操作规程，配备必要的信息化软硬件设备，做好文字、绘图、照片、影像及资料信息化等相关资料收集工作，如期完成调查勘探和资料整理任务。</w:t>
      </w:r>
    </w:p>
    <w:p>
      <w:pPr>
        <w:adjustRightInd w:val="0"/>
        <w:snapToGrid w:val="0"/>
        <w:spacing w:line="360" w:lineRule="auto"/>
        <w:ind w:firstLine="420" w:firstLineChars="200"/>
        <w:rPr>
          <w:rFonts w:hint="eastAsia" w:ascii="宋体" w:hAnsi="宋体" w:eastAsia="宋体" w:cs="宋体"/>
          <w:b w:val="0"/>
          <w:bCs/>
          <w:snapToGrid w:val="0"/>
          <w:color w:val="auto"/>
          <w:kern w:val="0"/>
          <w:sz w:val="21"/>
          <w:szCs w:val="21"/>
          <w:highlight w:val="none"/>
          <w:lang w:val="en-US" w:eastAsia="zh-CN" w:bidi="ar-SA"/>
        </w:rPr>
      </w:pPr>
      <w:r>
        <w:rPr>
          <w:rFonts w:hint="eastAsia" w:ascii="宋体" w:hAnsi="宋体" w:eastAsia="宋体" w:cs="宋体"/>
          <w:b w:val="0"/>
          <w:bCs/>
          <w:snapToGrid w:val="0"/>
          <w:color w:val="auto"/>
          <w:kern w:val="0"/>
          <w:sz w:val="21"/>
          <w:szCs w:val="21"/>
          <w:highlight w:val="none"/>
          <w:lang w:val="en-US" w:eastAsia="zh-CN" w:bidi="ar-SA"/>
        </w:rPr>
        <w:t>（五）承包人必须接受服从发包人及相关专家的检查及意见，在调查勘探中如遇重要的遗迹、遗物等特殊情况以及发掘工作需调整的，须及时向发包人进行书面材料的汇报。</w:t>
      </w:r>
    </w:p>
    <w:p>
      <w:pPr>
        <w:adjustRightInd w:val="0"/>
        <w:snapToGrid w:val="0"/>
        <w:spacing w:line="360" w:lineRule="auto"/>
        <w:ind w:firstLine="420" w:firstLineChars="200"/>
        <w:rPr>
          <w:rFonts w:hint="eastAsia" w:ascii="宋体" w:hAnsi="宋体" w:eastAsia="宋体" w:cs="宋体"/>
          <w:b w:val="0"/>
          <w:bCs/>
          <w:snapToGrid w:val="0"/>
          <w:color w:val="auto"/>
          <w:kern w:val="0"/>
          <w:sz w:val="21"/>
          <w:szCs w:val="21"/>
          <w:highlight w:val="none"/>
          <w:lang w:val="en-US" w:eastAsia="zh-CN" w:bidi="ar-SA"/>
        </w:rPr>
      </w:pPr>
      <w:r>
        <w:rPr>
          <w:rFonts w:hint="eastAsia" w:ascii="宋体" w:hAnsi="宋体" w:eastAsia="宋体" w:cs="宋体"/>
          <w:b w:val="0"/>
          <w:bCs/>
          <w:snapToGrid w:val="0"/>
          <w:color w:val="auto"/>
          <w:kern w:val="0"/>
          <w:sz w:val="21"/>
          <w:szCs w:val="21"/>
          <w:highlight w:val="none"/>
          <w:lang w:val="en-US" w:eastAsia="zh-CN" w:bidi="ar-SA"/>
        </w:rPr>
        <w:t>（六）承包人在文物资源评估过程中，如有重大发现，须及时上报给发包人确认，并配合发包人处理相关事宜。</w:t>
      </w:r>
    </w:p>
    <w:p>
      <w:pPr>
        <w:adjustRightInd w:val="0"/>
        <w:snapToGrid w:val="0"/>
        <w:spacing w:line="360" w:lineRule="auto"/>
        <w:ind w:firstLine="420" w:firstLineChars="200"/>
        <w:rPr>
          <w:rFonts w:hint="eastAsia" w:ascii="宋体" w:hAnsi="宋体" w:eastAsia="宋体" w:cs="宋体"/>
          <w:b w:val="0"/>
          <w:bCs/>
          <w:snapToGrid w:val="0"/>
          <w:color w:val="auto"/>
          <w:kern w:val="0"/>
          <w:sz w:val="21"/>
          <w:szCs w:val="21"/>
          <w:highlight w:val="none"/>
          <w:lang w:val="en-US" w:eastAsia="zh-CN" w:bidi="ar-SA"/>
        </w:rPr>
      </w:pPr>
      <w:r>
        <w:rPr>
          <w:rFonts w:hint="eastAsia" w:ascii="宋体" w:hAnsi="宋体" w:eastAsia="宋体" w:cs="宋体"/>
          <w:b w:val="0"/>
          <w:bCs/>
          <w:snapToGrid w:val="0"/>
          <w:color w:val="auto"/>
          <w:kern w:val="0"/>
          <w:sz w:val="21"/>
          <w:szCs w:val="21"/>
          <w:highlight w:val="none"/>
          <w:lang w:val="en-US" w:eastAsia="zh-CN" w:bidi="ar-SA"/>
        </w:rPr>
        <w:t>（七）承包人必须加强文物安全管理，落实保证出土文物和资料的绝对安全。出土的各类文物标本，不得私自携离、截留和倒卖。工地发掘出土的遗物及标本待报告整理完毕后，由发包人委派专人进行接收。</w:t>
      </w:r>
    </w:p>
    <w:p>
      <w:pPr>
        <w:adjustRightInd w:val="0"/>
        <w:snapToGrid w:val="0"/>
        <w:spacing w:line="360" w:lineRule="auto"/>
        <w:ind w:firstLine="420" w:firstLineChars="200"/>
        <w:rPr>
          <w:rFonts w:hint="eastAsia" w:ascii="宋体" w:hAnsi="宋体" w:eastAsia="宋体" w:cs="宋体"/>
          <w:b w:val="0"/>
          <w:bCs/>
          <w:snapToGrid w:val="0"/>
          <w:color w:val="auto"/>
          <w:kern w:val="0"/>
          <w:sz w:val="21"/>
          <w:szCs w:val="21"/>
          <w:highlight w:val="none"/>
          <w:lang w:val="en-US" w:eastAsia="zh-CN" w:bidi="ar-SA"/>
        </w:rPr>
      </w:pPr>
      <w:r>
        <w:rPr>
          <w:rFonts w:hint="eastAsia" w:ascii="宋体" w:hAnsi="宋体" w:eastAsia="宋体" w:cs="宋体"/>
          <w:b w:val="0"/>
          <w:bCs/>
          <w:snapToGrid w:val="0"/>
          <w:color w:val="auto"/>
          <w:kern w:val="0"/>
          <w:sz w:val="21"/>
          <w:szCs w:val="21"/>
          <w:highlight w:val="none"/>
          <w:lang w:val="en-US" w:eastAsia="zh-CN" w:bidi="ar-SA"/>
        </w:rPr>
        <w:t>（八）调查勘探过程中，如有需要特殊保护的遗迹或遗物，须及时上报给发包人，并配合发包人完成保护工作。特别重要的文物标本需放置发包人指定专门地点进行暂存。须作科技检测的各类文物标本，需经发包人批准办理相关备案手续后方可携离，并负责标本的安全，且在规定期限内归还。所有检测费用由承包人自行承担。</w:t>
      </w:r>
    </w:p>
    <w:p>
      <w:pPr>
        <w:adjustRightInd w:val="0"/>
        <w:snapToGrid w:val="0"/>
        <w:spacing w:line="360" w:lineRule="auto"/>
        <w:ind w:firstLine="420" w:firstLineChars="200"/>
        <w:rPr>
          <w:rFonts w:hint="eastAsia" w:ascii="宋体" w:hAnsi="宋体" w:eastAsia="宋体" w:cs="宋体"/>
          <w:b w:val="0"/>
          <w:bCs/>
          <w:snapToGrid w:val="0"/>
          <w:color w:val="auto"/>
          <w:kern w:val="0"/>
          <w:sz w:val="21"/>
          <w:szCs w:val="21"/>
          <w:highlight w:val="none"/>
          <w:lang w:val="en-US" w:eastAsia="zh-CN" w:bidi="ar-SA"/>
        </w:rPr>
      </w:pPr>
      <w:r>
        <w:rPr>
          <w:rFonts w:hint="eastAsia" w:ascii="宋体" w:hAnsi="宋体" w:eastAsia="宋体" w:cs="宋体"/>
          <w:b w:val="0"/>
          <w:bCs/>
          <w:snapToGrid w:val="0"/>
          <w:color w:val="auto"/>
          <w:kern w:val="0"/>
          <w:sz w:val="21"/>
          <w:szCs w:val="21"/>
          <w:highlight w:val="none"/>
          <w:lang w:val="en-US" w:eastAsia="zh-CN" w:bidi="ar-SA"/>
        </w:rPr>
        <w:t>（九）文物资源评估和资料整理工作完成后，承包人在发包人规定的时间内完成文物资源区域评估报告的编写工作。报告编写结束后，将电子文稿、数码照片、影像资料以及各类遗迹、探方资料、出土遗物、标本等全部交予发包人。非经发包人同意，承包人不得公开发表与本次文物资源评估项目有关的考古资料和研究成果。本次文物资源评估项目最终成果发表时，参与单位拥有署名权。</w:t>
      </w:r>
    </w:p>
    <w:p>
      <w:pPr>
        <w:adjustRightInd w:val="0"/>
        <w:snapToGrid w:val="0"/>
        <w:spacing w:line="360" w:lineRule="auto"/>
        <w:ind w:firstLine="422" w:firstLineChars="200"/>
        <w:rPr>
          <w:rFonts w:hint="eastAsia" w:ascii="宋体" w:hAnsi="宋体" w:eastAsia="宋体" w:cs="宋体"/>
          <w:b/>
          <w:bCs w:val="0"/>
          <w:snapToGrid w:val="0"/>
          <w:color w:val="auto"/>
          <w:kern w:val="0"/>
          <w:sz w:val="21"/>
          <w:szCs w:val="21"/>
          <w:highlight w:val="none"/>
          <w:lang w:val="en-US" w:eastAsia="zh-CN" w:bidi="ar-SA"/>
        </w:rPr>
      </w:pPr>
      <w:r>
        <w:rPr>
          <w:rFonts w:hint="eastAsia" w:ascii="宋体" w:hAnsi="宋体" w:eastAsia="宋体" w:cs="宋体"/>
          <w:b/>
          <w:bCs w:val="0"/>
          <w:snapToGrid w:val="0"/>
          <w:color w:val="auto"/>
          <w:kern w:val="0"/>
          <w:sz w:val="21"/>
          <w:szCs w:val="21"/>
          <w:highlight w:val="none"/>
          <w:lang w:val="en-US" w:eastAsia="zh-CN" w:bidi="ar-SA"/>
        </w:rPr>
        <w:t>二、服务人员要求</w:t>
      </w:r>
    </w:p>
    <w:p>
      <w:pPr>
        <w:adjustRightInd w:val="0"/>
        <w:snapToGrid w:val="0"/>
        <w:spacing w:line="360" w:lineRule="auto"/>
        <w:ind w:firstLine="420" w:firstLineChars="200"/>
        <w:rPr>
          <w:rFonts w:hint="eastAsia" w:ascii="宋体" w:hAnsi="宋体" w:eastAsia="宋体" w:cs="宋体"/>
          <w:b w:val="0"/>
          <w:bCs/>
          <w:snapToGrid w:val="0"/>
          <w:color w:val="auto"/>
          <w:kern w:val="0"/>
          <w:sz w:val="21"/>
          <w:szCs w:val="21"/>
          <w:highlight w:val="none"/>
          <w:lang w:val="en-US" w:eastAsia="zh-CN" w:bidi="ar-SA"/>
        </w:rPr>
      </w:pPr>
      <w:r>
        <w:rPr>
          <w:rFonts w:hint="eastAsia" w:ascii="宋体" w:hAnsi="宋体" w:eastAsia="宋体" w:cs="宋体"/>
          <w:b w:val="0"/>
          <w:bCs/>
          <w:snapToGrid w:val="0"/>
          <w:color w:val="auto"/>
          <w:kern w:val="0"/>
          <w:sz w:val="21"/>
          <w:szCs w:val="21"/>
          <w:highlight w:val="none"/>
          <w:lang w:val="en-US" w:eastAsia="zh-CN" w:bidi="ar-SA"/>
        </w:rPr>
        <w:t>（一）为了满足文物资源评估项目的要求及强度，调查勘探人员必须经过专业培训、经验丰富。</w:t>
      </w:r>
    </w:p>
    <w:p>
      <w:pPr>
        <w:adjustRightInd w:val="0"/>
        <w:snapToGrid w:val="0"/>
        <w:spacing w:line="360" w:lineRule="auto"/>
        <w:ind w:firstLine="420" w:firstLineChars="200"/>
        <w:rPr>
          <w:rFonts w:hint="eastAsia" w:ascii="宋体" w:hAnsi="宋体" w:eastAsia="宋体" w:cs="宋体"/>
          <w:b w:val="0"/>
          <w:bCs/>
          <w:snapToGrid w:val="0"/>
          <w:color w:val="auto"/>
          <w:kern w:val="0"/>
          <w:sz w:val="21"/>
          <w:szCs w:val="21"/>
          <w:highlight w:val="none"/>
          <w:lang w:val="en-US" w:eastAsia="zh-CN" w:bidi="ar-SA"/>
        </w:rPr>
      </w:pPr>
      <w:r>
        <w:rPr>
          <w:rFonts w:hint="eastAsia" w:ascii="宋体" w:hAnsi="宋体" w:eastAsia="宋体" w:cs="宋体"/>
          <w:b w:val="0"/>
          <w:bCs/>
          <w:snapToGrid w:val="0"/>
          <w:color w:val="auto"/>
          <w:kern w:val="0"/>
          <w:sz w:val="21"/>
          <w:szCs w:val="21"/>
          <w:highlight w:val="none"/>
          <w:lang w:val="en-US" w:eastAsia="zh-CN" w:bidi="ar-SA"/>
        </w:rPr>
        <w:t>（二）承包人须组织及协调现场人员，维持现场秩序，保证文物资源评估工作有条不紊的进行，同时应对现场人员人身安全负责。</w:t>
      </w:r>
    </w:p>
    <w:p>
      <w:pPr>
        <w:adjustRightInd w:val="0"/>
        <w:snapToGrid w:val="0"/>
        <w:spacing w:line="360" w:lineRule="auto"/>
        <w:ind w:firstLine="422" w:firstLineChars="200"/>
        <w:rPr>
          <w:rFonts w:hint="eastAsia" w:ascii="宋体" w:hAnsi="宋体" w:eastAsia="宋体" w:cs="宋体"/>
          <w:b/>
          <w:bCs w:val="0"/>
          <w:snapToGrid w:val="0"/>
          <w:color w:val="auto"/>
          <w:kern w:val="0"/>
          <w:sz w:val="21"/>
          <w:szCs w:val="21"/>
          <w:highlight w:val="none"/>
          <w:lang w:val="en-US" w:eastAsia="zh-CN" w:bidi="ar-SA"/>
        </w:rPr>
      </w:pPr>
      <w:r>
        <w:rPr>
          <w:rFonts w:hint="eastAsia" w:ascii="宋体" w:hAnsi="宋体" w:eastAsia="宋体" w:cs="宋体"/>
          <w:b/>
          <w:bCs w:val="0"/>
          <w:snapToGrid w:val="0"/>
          <w:color w:val="auto"/>
          <w:kern w:val="0"/>
          <w:sz w:val="21"/>
          <w:szCs w:val="21"/>
          <w:highlight w:val="none"/>
          <w:lang w:val="en-US" w:eastAsia="zh-CN" w:bidi="ar-SA"/>
        </w:rPr>
        <w:t>三、其他要求</w:t>
      </w:r>
    </w:p>
    <w:p>
      <w:pPr>
        <w:adjustRightInd w:val="0"/>
        <w:snapToGrid w:val="0"/>
        <w:spacing w:line="360" w:lineRule="auto"/>
        <w:ind w:firstLine="420" w:firstLineChars="200"/>
        <w:rPr>
          <w:rFonts w:hint="eastAsia" w:ascii="宋体" w:hAnsi="宋体" w:eastAsia="宋体" w:cs="宋体"/>
          <w:b w:val="0"/>
          <w:bCs/>
          <w:snapToGrid w:val="0"/>
          <w:color w:val="auto"/>
          <w:kern w:val="0"/>
          <w:sz w:val="21"/>
          <w:szCs w:val="21"/>
          <w:highlight w:val="none"/>
          <w:lang w:val="en-US" w:eastAsia="zh-CN" w:bidi="ar-SA"/>
        </w:rPr>
      </w:pPr>
      <w:r>
        <w:rPr>
          <w:rFonts w:hint="eastAsia" w:ascii="宋体" w:hAnsi="宋体" w:eastAsia="宋体" w:cs="宋体"/>
          <w:b w:val="0"/>
          <w:bCs/>
          <w:snapToGrid w:val="0"/>
          <w:color w:val="auto"/>
          <w:kern w:val="0"/>
          <w:sz w:val="21"/>
          <w:szCs w:val="21"/>
          <w:highlight w:val="none"/>
          <w:lang w:val="en-US" w:eastAsia="zh-CN" w:bidi="ar-SA"/>
        </w:rPr>
        <w:t>（一）承包人文物资源区域评估工作的阶段性成果署名为发包人第一、承包人第二；最终的文物资源区域评估报告署名为发包人第一、承包人第二。</w:t>
      </w:r>
    </w:p>
    <w:p>
      <w:pPr>
        <w:adjustRightInd w:val="0"/>
        <w:snapToGrid w:val="0"/>
        <w:spacing w:line="360" w:lineRule="auto"/>
        <w:ind w:firstLine="420" w:firstLineChars="200"/>
        <w:rPr>
          <w:rFonts w:hint="eastAsia" w:ascii="宋体" w:hAnsi="宋体" w:eastAsia="宋体" w:cs="宋体"/>
          <w:b w:val="0"/>
          <w:bCs/>
          <w:snapToGrid w:val="0"/>
          <w:color w:val="auto"/>
          <w:kern w:val="0"/>
          <w:sz w:val="21"/>
          <w:szCs w:val="21"/>
          <w:highlight w:val="none"/>
          <w:lang w:val="en-US" w:eastAsia="zh-CN" w:bidi="ar-SA"/>
        </w:rPr>
      </w:pPr>
      <w:r>
        <w:rPr>
          <w:rFonts w:hint="eastAsia" w:ascii="宋体" w:hAnsi="宋体" w:eastAsia="宋体" w:cs="宋体"/>
          <w:b w:val="0"/>
          <w:bCs/>
          <w:snapToGrid w:val="0"/>
          <w:color w:val="auto"/>
          <w:kern w:val="0"/>
          <w:sz w:val="21"/>
          <w:szCs w:val="21"/>
          <w:highlight w:val="none"/>
          <w:lang w:val="en-US" w:eastAsia="zh-CN" w:bidi="ar-SA"/>
        </w:rPr>
        <w:t>（二）严格按照相关法律、法规，恪守独立、客观、公正的原则，履行必要的执业规范和程序。</w:t>
      </w:r>
    </w:p>
    <w:p>
      <w:pPr>
        <w:adjustRightInd w:val="0"/>
        <w:snapToGrid w:val="0"/>
        <w:spacing w:line="360" w:lineRule="auto"/>
        <w:ind w:firstLine="420" w:firstLineChars="200"/>
        <w:rPr>
          <w:rFonts w:hint="eastAsia" w:ascii="宋体" w:hAnsi="宋体" w:eastAsia="宋体" w:cs="宋体"/>
          <w:b w:val="0"/>
          <w:bCs/>
          <w:snapToGrid w:val="0"/>
          <w:color w:val="auto"/>
          <w:kern w:val="0"/>
          <w:sz w:val="21"/>
          <w:szCs w:val="21"/>
          <w:highlight w:val="none"/>
          <w:lang w:val="en-US" w:eastAsia="zh-CN" w:bidi="ar-SA"/>
        </w:rPr>
      </w:pPr>
      <w:r>
        <w:rPr>
          <w:rFonts w:hint="eastAsia" w:ascii="宋体" w:hAnsi="宋体" w:eastAsia="宋体" w:cs="宋体"/>
          <w:b w:val="0"/>
          <w:bCs/>
          <w:snapToGrid w:val="0"/>
          <w:color w:val="auto"/>
          <w:kern w:val="0"/>
          <w:sz w:val="21"/>
          <w:szCs w:val="21"/>
          <w:highlight w:val="none"/>
          <w:lang w:val="en-US" w:eastAsia="zh-CN" w:bidi="ar-SA"/>
        </w:rPr>
        <w:t>（三）严格遵循诚实信用的原则，不得损害国家利益、社会公共利益和他人的合法权益。</w:t>
      </w:r>
    </w:p>
    <w:p>
      <w:pPr>
        <w:adjustRightInd w:val="0"/>
        <w:snapToGrid w:val="0"/>
        <w:spacing w:line="360" w:lineRule="auto"/>
        <w:ind w:firstLine="420" w:firstLineChars="200"/>
        <w:rPr>
          <w:rFonts w:hint="eastAsia" w:ascii="宋体" w:hAnsi="宋体" w:eastAsia="宋体" w:cs="宋体"/>
          <w:b w:val="0"/>
          <w:bCs/>
          <w:snapToGrid w:val="0"/>
          <w:color w:val="auto"/>
          <w:kern w:val="0"/>
          <w:sz w:val="21"/>
          <w:szCs w:val="21"/>
          <w:highlight w:val="none"/>
          <w:lang w:val="en-US" w:eastAsia="zh-CN" w:bidi="ar-SA"/>
        </w:rPr>
      </w:pPr>
      <w:r>
        <w:rPr>
          <w:rFonts w:hint="eastAsia" w:ascii="宋体" w:hAnsi="宋体" w:eastAsia="宋体" w:cs="宋体"/>
          <w:b w:val="0"/>
          <w:bCs/>
          <w:snapToGrid w:val="0"/>
          <w:color w:val="auto"/>
          <w:kern w:val="0"/>
          <w:sz w:val="21"/>
          <w:szCs w:val="21"/>
          <w:highlight w:val="none"/>
          <w:lang w:val="en-US" w:eastAsia="zh-CN" w:bidi="ar-SA"/>
        </w:rPr>
        <w:t>（四）承包人须对其所出具的成果保密，严格遵守国家有关保密规定和调查、审核等约定，不得泄露工作中知悉的国家秘密、商业秘密和内部情况，不得擅自将工作中取得的文物信息透露给任何第三方。</w:t>
      </w:r>
    </w:p>
    <w:p>
      <w:pPr>
        <w:adjustRightInd w:val="0"/>
        <w:snapToGrid w:val="0"/>
        <w:spacing w:line="360" w:lineRule="auto"/>
        <w:ind w:firstLine="420" w:firstLineChars="200"/>
        <w:rPr>
          <w:rFonts w:hint="eastAsia" w:ascii="宋体" w:hAnsi="宋体" w:eastAsia="宋体" w:cs="宋体"/>
          <w:b w:val="0"/>
          <w:bCs/>
          <w:snapToGrid w:val="0"/>
          <w:color w:val="auto"/>
          <w:kern w:val="0"/>
          <w:sz w:val="21"/>
          <w:szCs w:val="21"/>
          <w:highlight w:val="none"/>
          <w:lang w:val="en-US" w:eastAsia="zh-CN" w:bidi="ar-SA"/>
        </w:rPr>
      </w:pPr>
      <w:r>
        <w:rPr>
          <w:rFonts w:hint="eastAsia" w:ascii="宋体" w:hAnsi="宋体" w:eastAsia="宋体" w:cs="宋体"/>
          <w:b w:val="0"/>
          <w:bCs/>
          <w:snapToGrid w:val="0"/>
          <w:color w:val="auto"/>
          <w:kern w:val="0"/>
          <w:sz w:val="21"/>
          <w:szCs w:val="21"/>
          <w:highlight w:val="none"/>
          <w:lang w:val="en-US" w:eastAsia="zh-CN" w:bidi="ar-SA"/>
        </w:rPr>
        <w:t>（五）承包人应做好工作记录，作业过程中形成的其他资料应如实反映有关情况，做到事实准确、结论清楚；出具记录或报告，对报告承担责任。</w:t>
      </w:r>
    </w:p>
    <w:p>
      <w:pPr>
        <w:adjustRightInd w:val="0"/>
        <w:snapToGrid w:val="0"/>
        <w:spacing w:line="360" w:lineRule="auto"/>
        <w:ind w:firstLine="420" w:firstLineChars="200"/>
        <w:rPr>
          <w:rFonts w:hint="eastAsia" w:ascii="宋体" w:hAnsi="宋体" w:eastAsia="宋体" w:cs="宋体"/>
          <w:b w:val="0"/>
          <w:bCs/>
          <w:snapToGrid w:val="0"/>
          <w:color w:val="auto"/>
          <w:kern w:val="0"/>
          <w:sz w:val="21"/>
          <w:szCs w:val="21"/>
          <w:highlight w:val="none"/>
          <w:lang w:val="en-US" w:eastAsia="zh-CN" w:bidi="ar-SA"/>
        </w:rPr>
      </w:pPr>
      <w:r>
        <w:rPr>
          <w:rFonts w:hint="eastAsia" w:ascii="宋体" w:hAnsi="宋体" w:eastAsia="宋体" w:cs="宋体"/>
          <w:b w:val="0"/>
          <w:bCs/>
          <w:snapToGrid w:val="0"/>
          <w:color w:val="auto"/>
          <w:kern w:val="0"/>
          <w:sz w:val="21"/>
          <w:szCs w:val="21"/>
          <w:highlight w:val="none"/>
          <w:lang w:val="en-US" w:eastAsia="zh-CN" w:bidi="ar-SA"/>
        </w:rPr>
        <w:t>（六）现场环境的管理：文物资源区域评估服务工作当天工作结束后，现场不能留有人员垃圾，保证现场人走场清。</w:t>
      </w:r>
    </w:p>
    <w:p>
      <w:pPr>
        <w:adjustRightInd w:val="0"/>
        <w:snapToGrid w:val="0"/>
        <w:spacing w:line="360" w:lineRule="auto"/>
        <w:ind w:firstLine="420" w:firstLineChars="200"/>
        <w:rPr>
          <w:rFonts w:hint="eastAsia" w:ascii="宋体" w:hAnsi="宋体" w:eastAsia="宋体" w:cs="宋体"/>
          <w:b w:val="0"/>
          <w:bCs/>
          <w:snapToGrid w:val="0"/>
          <w:color w:val="auto"/>
          <w:kern w:val="0"/>
          <w:sz w:val="21"/>
          <w:szCs w:val="21"/>
          <w:highlight w:val="none"/>
          <w:lang w:val="en-US" w:eastAsia="zh-CN" w:bidi="ar-SA"/>
        </w:rPr>
      </w:pPr>
      <w:r>
        <w:rPr>
          <w:rFonts w:hint="eastAsia" w:ascii="宋体" w:hAnsi="宋体" w:eastAsia="宋体" w:cs="宋体"/>
          <w:b w:val="0"/>
          <w:bCs/>
          <w:snapToGrid w:val="0"/>
          <w:color w:val="auto"/>
          <w:kern w:val="0"/>
          <w:sz w:val="21"/>
          <w:szCs w:val="21"/>
          <w:highlight w:val="none"/>
          <w:lang w:val="en-US" w:eastAsia="zh-CN" w:bidi="ar-SA"/>
        </w:rPr>
        <w:t>（七）履约过程中，如由承包人人员所引起的事故，承包人应承担所有责任，同时发包人保留追究其相关责任的权利。</w:t>
      </w:r>
    </w:p>
    <w:p>
      <w:pPr>
        <w:adjustRightInd w:val="0"/>
        <w:snapToGrid w:val="0"/>
        <w:spacing w:line="360" w:lineRule="auto"/>
        <w:ind w:firstLine="420" w:firstLineChars="200"/>
        <w:rPr>
          <w:rFonts w:hint="eastAsia" w:ascii="宋体" w:hAnsi="宋体" w:eastAsia="宋体" w:cs="宋体"/>
          <w:b w:val="0"/>
          <w:bCs/>
          <w:snapToGrid w:val="0"/>
          <w:color w:val="auto"/>
          <w:kern w:val="0"/>
          <w:sz w:val="21"/>
          <w:szCs w:val="21"/>
          <w:highlight w:val="none"/>
          <w:lang w:val="en-US" w:eastAsia="zh-CN" w:bidi="ar-SA"/>
        </w:rPr>
      </w:pPr>
      <w:r>
        <w:rPr>
          <w:rFonts w:hint="eastAsia" w:ascii="宋体" w:hAnsi="宋体" w:eastAsia="宋体" w:cs="宋体"/>
          <w:b w:val="0"/>
          <w:bCs/>
          <w:snapToGrid w:val="0"/>
          <w:color w:val="auto"/>
          <w:kern w:val="0"/>
          <w:sz w:val="21"/>
          <w:szCs w:val="21"/>
          <w:highlight w:val="none"/>
          <w:lang w:val="en-US" w:eastAsia="zh-CN" w:bidi="ar-SA"/>
        </w:rPr>
        <w:t>（八）承包人在项目实施过程中应</w:t>
      </w:r>
      <w:r>
        <w:rPr>
          <w:rFonts w:hint="eastAsia" w:ascii="宋体" w:hAnsi="宋体" w:cs="宋体"/>
          <w:b w:val="0"/>
          <w:bCs/>
          <w:snapToGrid w:val="0"/>
          <w:color w:val="auto"/>
          <w:kern w:val="0"/>
          <w:sz w:val="21"/>
          <w:szCs w:val="21"/>
          <w:highlight w:val="none"/>
          <w:lang w:val="en-US" w:eastAsia="zh-CN" w:bidi="ar-SA"/>
        </w:rPr>
        <w:t>做好安全措施</w:t>
      </w:r>
      <w:r>
        <w:rPr>
          <w:rFonts w:hint="eastAsia" w:ascii="宋体" w:hAnsi="宋体" w:eastAsia="宋体" w:cs="宋体"/>
          <w:b w:val="0"/>
          <w:bCs/>
          <w:snapToGrid w:val="0"/>
          <w:color w:val="auto"/>
          <w:kern w:val="0"/>
          <w:sz w:val="21"/>
          <w:szCs w:val="21"/>
          <w:highlight w:val="none"/>
          <w:lang w:val="en-US" w:eastAsia="zh-CN" w:bidi="ar-SA"/>
        </w:rPr>
        <w:t>，人员工作时应配戴安全帽和必要的安全防护措施。如承包人人员因违规操作发生事故，或将地下管线损坏，由承包人自行处理并承担由此造成的所有损失和费用。对工作中出现的高危项目，承包人应向发包人说明，并要求采取合理的保护措施，确保人员安全。</w:t>
      </w:r>
    </w:p>
    <w:p>
      <w:pPr>
        <w:adjustRightInd w:val="0"/>
        <w:snapToGrid w:val="0"/>
        <w:spacing w:line="360" w:lineRule="auto"/>
        <w:ind w:firstLine="420" w:firstLineChars="200"/>
        <w:rPr>
          <w:rFonts w:hint="eastAsia" w:ascii="宋体" w:hAnsi="宋体" w:eastAsia="宋体" w:cs="宋体"/>
          <w:b w:val="0"/>
          <w:bCs/>
          <w:snapToGrid w:val="0"/>
          <w:color w:val="auto"/>
          <w:kern w:val="0"/>
          <w:sz w:val="21"/>
          <w:szCs w:val="21"/>
          <w:highlight w:val="none"/>
          <w:lang w:val="en-US" w:eastAsia="zh-CN" w:bidi="ar-SA"/>
        </w:rPr>
      </w:pPr>
      <w:r>
        <w:rPr>
          <w:rFonts w:hint="eastAsia" w:ascii="宋体" w:hAnsi="宋体" w:eastAsia="宋体" w:cs="宋体"/>
          <w:b w:val="0"/>
          <w:bCs/>
          <w:snapToGrid w:val="0"/>
          <w:color w:val="auto"/>
          <w:kern w:val="0"/>
          <w:sz w:val="21"/>
          <w:szCs w:val="21"/>
          <w:highlight w:val="none"/>
          <w:lang w:val="en-US" w:eastAsia="zh-CN" w:bidi="ar-SA"/>
        </w:rPr>
        <w:t>（九）承包人对其投入本项目的人员、物资、场地等安全负全部责任。</w:t>
      </w:r>
    </w:p>
    <w:p>
      <w:pPr>
        <w:adjustRightInd w:val="0"/>
        <w:snapToGrid w:val="0"/>
        <w:spacing w:line="360" w:lineRule="auto"/>
        <w:ind w:firstLine="420" w:firstLineChars="200"/>
        <w:rPr>
          <w:rFonts w:hint="eastAsia" w:ascii="宋体" w:hAnsi="宋体" w:eastAsia="宋体" w:cs="Times New Roman"/>
          <w:color w:val="auto"/>
          <w:sz w:val="22"/>
          <w:szCs w:val="22"/>
          <w:highlight w:val="none"/>
        </w:rPr>
      </w:pPr>
      <w:r>
        <w:rPr>
          <w:rFonts w:hint="eastAsia" w:ascii="宋体" w:hAnsi="宋体" w:eastAsia="宋体" w:cs="宋体"/>
          <w:b w:val="0"/>
          <w:bCs/>
          <w:snapToGrid w:val="0"/>
          <w:color w:val="auto"/>
          <w:kern w:val="0"/>
          <w:sz w:val="21"/>
          <w:szCs w:val="21"/>
          <w:highlight w:val="none"/>
          <w:lang w:val="en-US" w:eastAsia="zh-CN" w:bidi="ar-SA"/>
        </w:rPr>
        <w:t>（十）成交承包人须与发包人签订安全和廉政协议书，如成交承包人违反协议书上所述条款，发包人可依据承诺书依法追究成交承包人责任（安全协议书详见合同条款及格式；廉政协议书详见合同条款及格式）。</w:t>
      </w:r>
      <w:r>
        <w:rPr>
          <w:rFonts w:hint="eastAsia" w:ascii="宋体" w:hAnsi="宋体" w:eastAsia="宋体" w:cs="Times New Roman"/>
          <w:color w:val="auto"/>
          <w:sz w:val="22"/>
          <w:szCs w:val="22"/>
          <w:highlight w:val="none"/>
        </w:rPr>
        <w:br w:type="page"/>
      </w:r>
    </w:p>
    <w:p>
      <w:pPr>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42" w:firstLineChars="200"/>
        <w:jc w:val="left"/>
        <w:textAlignment w:val="baseline"/>
        <w:rPr>
          <w:rFonts w:hint="eastAsia" w:ascii="宋体" w:hAnsi="宋体" w:eastAsia="宋体" w:cs="宋体"/>
          <w:b/>
          <w:bCs/>
          <w:color w:val="auto"/>
          <w:kern w:val="0"/>
          <w:sz w:val="22"/>
          <w:szCs w:val="22"/>
          <w:highlight w:val="none"/>
          <w:lang w:val="en-US" w:eastAsia="zh-CN" w:bidi="ar-SA"/>
        </w:rPr>
      </w:pPr>
    </w:p>
    <w:p>
      <w:pPr>
        <w:keepNext w:val="0"/>
        <w:keepLines w:val="0"/>
        <w:pageBreakBefore w:val="0"/>
        <w:widowControl w:val="0"/>
        <w:kinsoku/>
        <w:overflowPunct/>
        <w:topLinePunct w:val="0"/>
        <w:autoSpaceDE/>
        <w:autoSpaceDN/>
        <w:bidi w:val="0"/>
        <w:adjustRightInd/>
        <w:snapToGrid/>
        <w:spacing w:line="360" w:lineRule="auto"/>
        <w:ind w:left="0" w:leftChars="0" w:firstLine="440" w:firstLineChars="200"/>
        <w:textAlignment w:val="auto"/>
        <w:rPr>
          <w:rFonts w:hint="eastAsia" w:ascii="宋体" w:hAnsi="宋体" w:eastAsia="宋体" w:cs="宋体"/>
          <w:color w:val="auto"/>
          <w:sz w:val="22"/>
          <w:szCs w:val="22"/>
          <w:highlight w:val="none"/>
        </w:rPr>
      </w:pPr>
    </w:p>
    <w:p>
      <w:pPr>
        <w:pStyle w:val="28"/>
        <w:spacing w:before="120" w:beforeLines="50" w:after="0" w:line="360" w:lineRule="auto"/>
        <w:outlineLvl w:val="9"/>
        <w:rPr>
          <w:rFonts w:hint="eastAsia" w:cs="Arial"/>
          <w:color w:val="auto"/>
          <w:sz w:val="32"/>
          <w:szCs w:val="22"/>
          <w:highlight w:val="none"/>
        </w:rPr>
      </w:pPr>
    </w:p>
    <w:p>
      <w:pPr>
        <w:pStyle w:val="28"/>
        <w:spacing w:before="120" w:beforeLines="50" w:after="0" w:line="360" w:lineRule="auto"/>
        <w:outlineLvl w:val="9"/>
        <w:rPr>
          <w:rFonts w:hint="eastAsia" w:cs="Arial"/>
          <w:color w:val="auto"/>
          <w:sz w:val="32"/>
          <w:szCs w:val="22"/>
          <w:highlight w:val="none"/>
        </w:rPr>
      </w:pPr>
    </w:p>
    <w:p>
      <w:pPr>
        <w:pStyle w:val="28"/>
        <w:spacing w:before="120" w:beforeLines="50" w:after="0" w:line="360" w:lineRule="auto"/>
        <w:outlineLvl w:val="9"/>
        <w:rPr>
          <w:rFonts w:hint="eastAsia" w:cs="Arial"/>
          <w:color w:val="auto"/>
          <w:sz w:val="32"/>
          <w:szCs w:val="22"/>
          <w:highlight w:val="none"/>
        </w:rPr>
      </w:pPr>
    </w:p>
    <w:p>
      <w:pPr>
        <w:pStyle w:val="28"/>
        <w:spacing w:before="120" w:beforeLines="50" w:after="0" w:line="360" w:lineRule="auto"/>
        <w:outlineLvl w:val="9"/>
        <w:rPr>
          <w:rFonts w:hint="eastAsia" w:cs="Arial"/>
          <w:color w:val="auto"/>
          <w:sz w:val="32"/>
          <w:szCs w:val="22"/>
          <w:highlight w:val="none"/>
        </w:rPr>
      </w:pPr>
    </w:p>
    <w:p>
      <w:pPr>
        <w:pStyle w:val="28"/>
        <w:spacing w:before="120" w:beforeLines="50" w:after="0" w:line="360" w:lineRule="auto"/>
        <w:outlineLvl w:val="9"/>
        <w:rPr>
          <w:rFonts w:hint="eastAsia" w:cs="Arial"/>
          <w:color w:val="auto"/>
          <w:sz w:val="32"/>
          <w:szCs w:val="22"/>
          <w:highlight w:val="none"/>
        </w:rPr>
      </w:pPr>
    </w:p>
    <w:p>
      <w:pPr>
        <w:pStyle w:val="28"/>
        <w:spacing w:before="120" w:beforeLines="50" w:after="0" w:line="360" w:lineRule="auto"/>
        <w:outlineLvl w:val="9"/>
        <w:rPr>
          <w:rFonts w:hint="eastAsia" w:cs="Arial"/>
          <w:color w:val="auto"/>
          <w:sz w:val="32"/>
          <w:szCs w:val="22"/>
          <w:highlight w:val="none"/>
        </w:rPr>
      </w:pPr>
    </w:p>
    <w:p>
      <w:pPr>
        <w:pStyle w:val="28"/>
        <w:spacing w:before="120" w:beforeLines="50" w:after="0" w:line="360" w:lineRule="auto"/>
        <w:jc w:val="center"/>
        <w:rPr>
          <w:rFonts w:hint="eastAsia" w:cs="Arial"/>
          <w:color w:val="auto"/>
          <w:sz w:val="32"/>
          <w:szCs w:val="22"/>
          <w:highlight w:val="none"/>
        </w:rPr>
      </w:pPr>
      <w:r>
        <w:rPr>
          <w:rFonts w:hint="eastAsia" w:cs="Arial"/>
          <w:color w:val="auto"/>
          <w:sz w:val="32"/>
          <w:szCs w:val="22"/>
          <w:highlight w:val="none"/>
        </w:rPr>
        <w:t>第六章 投标文件格式</w:t>
      </w:r>
      <w:bookmarkEnd w:id="155"/>
      <w:bookmarkEnd w:id="156"/>
      <w:bookmarkEnd w:id="157"/>
    </w:p>
    <w:p>
      <w:pPr>
        <w:pStyle w:val="28"/>
        <w:spacing w:line="400" w:lineRule="exact"/>
        <w:jc w:val="right"/>
        <w:rPr>
          <w:rFonts w:ascii="宋体" w:hAnsi="宋体"/>
          <w:color w:val="auto"/>
          <w:highlight w:val="none"/>
        </w:rPr>
      </w:pPr>
      <w:r>
        <w:rPr>
          <w:rFonts w:ascii="宋体" w:hAnsi="宋体"/>
          <w:color w:val="auto"/>
          <w:highlight w:val="none"/>
        </w:rPr>
        <w:br w:type="page"/>
      </w:r>
      <w:bookmarkStart w:id="158" w:name="_Toc33625864"/>
      <w:r>
        <w:rPr>
          <w:rFonts w:hint="eastAsia" w:ascii="宋体" w:hAnsi="宋体"/>
          <w:b w:val="0"/>
          <w:color w:val="auto"/>
          <w:spacing w:val="30"/>
          <w:sz w:val="36"/>
          <w:highlight w:val="none"/>
        </w:rPr>
        <w:t>封面（格式）</w:t>
      </w:r>
      <w:bookmarkEnd w:id="158"/>
    </w:p>
    <w:tbl>
      <w:tblPr>
        <w:tblStyle w:val="30"/>
        <w:tblW w:w="0" w:type="auto"/>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766"/>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169" w:hRule="atLeast"/>
          <w:jc w:val="center"/>
        </w:trPr>
        <w:tc>
          <w:tcPr>
            <w:tcW w:w="8766" w:type="dxa"/>
            <w:noWrap w:val="0"/>
            <w:vAlign w:val="top"/>
          </w:tcPr>
          <w:p>
            <w:pPr>
              <w:jc w:val="right"/>
              <w:rPr>
                <w:rFonts w:ascii="宋体" w:hAnsi="宋体"/>
                <w:b/>
                <w:color w:val="auto"/>
                <w:spacing w:val="30"/>
                <w:sz w:val="32"/>
                <w:highlight w:val="none"/>
              </w:rPr>
            </w:pPr>
            <w:r>
              <w:rPr>
                <w:rFonts w:hint="eastAsia" w:ascii="宋体" w:hAnsi="宋体"/>
                <w:b/>
                <w:color w:val="auto"/>
                <w:spacing w:val="30"/>
                <w:sz w:val="32"/>
                <w:highlight w:val="none"/>
              </w:rPr>
              <w:t xml:space="preserve">　　　　　　　　　　　　　　 </w:t>
            </w:r>
          </w:p>
          <w:p>
            <w:pPr>
              <w:jc w:val="center"/>
              <w:rPr>
                <w:rFonts w:hint="eastAsia" w:ascii="宋体" w:hAnsi="宋体" w:eastAsia="宋体" w:cs="宋体"/>
                <w:b/>
                <w:color w:val="auto"/>
                <w:spacing w:val="30"/>
                <w:sz w:val="36"/>
                <w:szCs w:val="36"/>
                <w:highlight w:val="none"/>
                <w:lang w:eastAsia="zh-CN"/>
              </w:rPr>
            </w:pPr>
            <w:r>
              <w:rPr>
                <w:rFonts w:hint="eastAsia" w:ascii="宋体" w:hAnsi="宋体" w:cs="宋体"/>
                <w:b/>
                <w:color w:val="auto"/>
                <w:sz w:val="36"/>
                <w:szCs w:val="36"/>
                <w:highlight w:val="none"/>
                <w:lang w:eastAsia="zh-CN"/>
              </w:rPr>
              <w:t>南通市内河干线航道文物资源区域评估项目NTGX-WWPG1标段</w:t>
            </w:r>
          </w:p>
          <w:p>
            <w:pPr>
              <w:jc w:val="center"/>
              <w:rPr>
                <w:rFonts w:ascii="宋体" w:hAnsi="宋体"/>
                <w:b/>
                <w:color w:val="auto"/>
                <w:spacing w:val="30"/>
                <w:sz w:val="36"/>
                <w:highlight w:val="none"/>
              </w:rPr>
            </w:pPr>
          </w:p>
          <w:p>
            <w:pPr>
              <w:jc w:val="center"/>
              <w:rPr>
                <w:rFonts w:ascii="宋体" w:hAnsi="宋体"/>
                <w:b/>
                <w:color w:val="auto"/>
                <w:spacing w:val="30"/>
                <w:sz w:val="36"/>
                <w:highlight w:val="none"/>
              </w:rPr>
            </w:pPr>
          </w:p>
          <w:p>
            <w:pPr>
              <w:jc w:val="center"/>
              <w:rPr>
                <w:rFonts w:ascii="宋体" w:hAnsi="宋体"/>
                <w:b/>
                <w:color w:val="auto"/>
                <w:spacing w:val="30"/>
                <w:sz w:val="36"/>
                <w:highlight w:val="none"/>
              </w:rPr>
            </w:pPr>
          </w:p>
          <w:p>
            <w:pPr>
              <w:jc w:val="center"/>
              <w:rPr>
                <w:rFonts w:ascii="宋体" w:hAnsi="宋体"/>
                <w:b/>
                <w:color w:val="auto"/>
                <w:spacing w:val="30"/>
                <w:sz w:val="36"/>
                <w:highlight w:val="none"/>
              </w:rPr>
            </w:pPr>
          </w:p>
          <w:p>
            <w:pPr>
              <w:jc w:val="center"/>
              <w:rPr>
                <w:rFonts w:ascii="宋体" w:hAnsi="宋体"/>
                <w:b/>
                <w:color w:val="auto"/>
                <w:spacing w:val="30"/>
                <w:sz w:val="36"/>
                <w:highlight w:val="none"/>
              </w:rPr>
            </w:pPr>
          </w:p>
          <w:p>
            <w:pPr>
              <w:jc w:val="center"/>
              <w:rPr>
                <w:rFonts w:ascii="宋体" w:hAnsi="宋体"/>
                <w:b/>
                <w:color w:val="auto"/>
                <w:spacing w:val="30"/>
                <w:sz w:val="36"/>
                <w:highlight w:val="none"/>
              </w:rPr>
            </w:pPr>
          </w:p>
          <w:p>
            <w:pPr>
              <w:spacing w:line="240" w:lineRule="auto"/>
              <w:jc w:val="center"/>
              <w:rPr>
                <w:rFonts w:hint="eastAsia" w:ascii="宋体" w:hAnsi="宋体" w:cs="宋体"/>
                <w:b/>
                <w:color w:val="auto"/>
                <w:sz w:val="72"/>
                <w:highlight w:val="none"/>
              </w:rPr>
            </w:pPr>
            <w:r>
              <w:rPr>
                <w:rFonts w:hint="eastAsia" w:ascii="宋体" w:hAnsi="宋体" w:cs="宋体"/>
                <w:b/>
                <w:color w:val="auto"/>
                <w:sz w:val="72"/>
                <w:highlight w:val="none"/>
              </w:rPr>
              <w:t>投  标  文  件</w:t>
            </w:r>
          </w:p>
          <w:p>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第一个信封  商务及技术文件</w:t>
            </w: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sz w:val="36"/>
                <w:highlight w:val="none"/>
              </w:rPr>
            </w:pPr>
          </w:p>
          <w:p>
            <w:pPr>
              <w:spacing w:line="360" w:lineRule="auto"/>
              <w:ind w:firstLine="2160" w:firstLineChars="600"/>
              <w:rPr>
                <w:rFonts w:hint="eastAsia" w:ascii="宋体" w:hAnsi="宋体" w:cs="宋体"/>
                <w:color w:val="auto"/>
                <w:sz w:val="36"/>
                <w:highlight w:val="none"/>
                <w:u w:val="single"/>
              </w:rPr>
            </w:pPr>
            <w:r>
              <w:rPr>
                <w:rFonts w:hint="eastAsia" w:ascii="宋体" w:hAnsi="宋体" w:cs="宋体"/>
                <w:color w:val="auto"/>
                <w:sz w:val="36"/>
                <w:highlight w:val="none"/>
              </w:rPr>
              <w:t>投 标 人：</w:t>
            </w:r>
            <w:r>
              <w:rPr>
                <w:rFonts w:hint="eastAsia" w:ascii="宋体" w:hAnsi="宋体" w:cs="宋体"/>
                <w:color w:val="auto"/>
                <w:sz w:val="36"/>
                <w:highlight w:val="none"/>
                <w:u w:val="single"/>
              </w:rPr>
              <w:t xml:space="preserve">   （盖单位章）   </w:t>
            </w:r>
          </w:p>
          <w:p>
            <w:pPr>
              <w:spacing w:line="360" w:lineRule="auto"/>
              <w:jc w:val="center"/>
              <w:rPr>
                <w:rFonts w:hint="default" w:ascii="宋体" w:hAnsi="宋体" w:eastAsia="宋体" w:cs="宋体"/>
                <w:b/>
                <w:color w:val="auto"/>
                <w:sz w:val="30"/>
                <w:highlight w:val="none"/>
                <w:u w:val="single"/>
                <w:lang w:val="en-US" w:eastAsia="zh-CN"/>
              </w:rPr>
            </w:pPr>
            <w:r>
              <w:rPr>
                <w:rFonts w:hint="eastAsia" w:ascii="宋体" w:hAnsi="宋体" w:cs="宋体"/>
                <w:color w:val="auto"/>
                <w:sz w:val="36"/>
                <w:highlight w:val="none"/>
              </w:rPr>
              <w:t xml:space="preserve">  </w:t>
            </w:r>
            <w:r>
              <w:rPr>
                <w:rFonts w:hint="eastAsia" w:ascii="宋体" w:hAnsi="宋体" w:cs="宋体"/>
                <w:color w:val="auto"/>
                <w:sz w:val="36"/>
                <w:highlight w:val="none"/>
                <w:u w:val="single"/>
              </w:rPr>
              <w:t xml:space="preserve">     </w:t>
            </w:r>
            <w:r>
              <w:rPr>
                <w:rFonts w:hint="eastAsia" w:ascii="宋体" w:hAnsi="宋体" w:cs="宋体"/>
                <w:color w:val="auto"/>
                <w:sz w:val="36"/>
                <w:highlight w:val="none"/>
              </w:rPr>
              <w:t>年</w:t>
            </w:r>
            <w:r>
              <w:rPr>
                <w:rFonts w:hint="eastAsia" w:ascii="宋体" w:hAnsi="宋体" w:cs="宋体"/>
                <w:color w:val="auto"/>
                <w:sz w:val="36"/>
                <w:highlight w:val="none"/>
                <w:u w:val="single"/>
              </w:rPr>
              <w:t xml:space="preserve">     </w:t>
            </w:r>
            <w:r>
              <w:rPr>
                <w:rFonts w:hint="eastAsia" w:ascii="宋体" w:hAnsi="宋体" w:cs="宋体"/>
                <w:color w:val="auto"/>
                <w:sz w:val="36"/>
                <w:highlight w:val="none"/>
              </w:rPr>
              <w:t>月</w:t>
            </w:r>
            <w:r>
              <w:rPr>
                <w:rFonts w:hint="eastAsia" w:ascii="宋体" w:hAnsi="宋体" w:cs="宋体"/>
                <w:color w:val="auto"/>
                <w:sz w:val="36"/>
                <w:highlight w:val="none"/>
                <w:u w:val="single"/>
                <w:lang w:val="en-US" w:eastAsia="zh-CN"/>
              </w:rPr>
              <w:t xml:space="preserve">     </w:t>
            </w:r>
            <w:r>
              <w:rPr>
                <w:rFonts w:hint="eastAsia" w:ascii="宋体" w:hAnsi="宋体" w:cs="宋体"/>
                <w:color w:val="auto"/>
                <w:sz w:val="36"/>
                <w:highlight w:val="none"/>
                <w:u w:val="none"/>
                <w:lang w:val="en-US" w:eastAsia="zh-CN"/>
              </w:rPr>
              <w:t>日</w:t>
            </w:r>
          </w:p>
          <w:p>
            <w:pPr>
              <w:ind w:firstLine="1686" w:firstLineChars="400"/>
              <w:rPr>
                <w:rFonts w:ascii="宋体" w:hAnsi="宋体"/>
                <w:b/>
                <w:color w:val="auto"/>
                <w:spacing w:val="30"/>
                <w:sz w:val="36"/>
                <w:highlight w:val="none"/>
              </w:rPr>
            </w:pPr>
          </w:p>
        </w:tc>
      </w:tr>
    </w:tbl>
    <w:p>
      <w:pPr>
        <w:spacing w:before="120" w:beforeLines="50" w:line="360" w:lineRule="auto"/>
        <w:jc w:val="center"/>
        <w:rPr>
          <w:rFonts w:ascii="宋体" w:hAnsi="宋体"/>
          <w:color w:val="auto"/>
          <w:highlight w:val="none"/>
        </w:rPr>
      </w:pPr>
    </w:p>
    <w:p>
      <w:pPr>
        <w:spacing w:before="120" w:beforeLines="50" w:line="240" w:lineRule="auto"/>
        <w:jc w:val="center"/>
        <w:rPr>
          <w:rFonts w:ascii="宋体" w:hAnsi="宋体"/>
          <w:b/>
          <w:color w:val="auto"/>
          <w:sz w:val="32"/>
          <w:szCs w:val="32"/>
          <w:highlight w:val="none"/>
        </w:rPr>
      </w:pPr>
      <w:r>
        <w:rPr>
          <w:rFonts w:ascii="宋体" w:hAnsi="宋体"/>
          <w:b/>
          <w:color w:val="auto"/>
          <w:sz w:val="32"/>
          <w:szCs w:val="32"/>
          <w:highlight w:val="none"/>
        </w:rPr>
        <w:br w:type="page"/>
      </w:r>
      <w:r>
        <w:rPr>
          <w:rFonts w:hint="eastAsia" w:ascii="宋体" w:hAnsi="宋体"/>
          <w:b/>
          <w:color w:val="auto"/>
          <w:sz w:val="32"/>
          <w:szCs w:val="32"/>
          <w:highlight w:val="none"/>
        </w:rPr>
        <w:t>目</w:t>
      </w:r>
      <w:r>
        <w:rPr>
          <w:rFonts w:hint="eastAsia" w:ascii="宋体" w:hAnsi="宋体"/>
          <w:b/>
          <w:color w:val="auto"/>
          <w:sz w:val="32"/>
          <w:szCs w:val="32"/>
          <w:highlight w:val="none"/>
          <w:lang w:val="en-US" w:eastAsia="zh-CN"/>
        </w:rPr>
        <w:t xml:space="preserve"> </w:t>
      </w:r>
      <w:r>
        <w:rPr>
          <w:rFonts w:hint="eastAsia" w:ascii="宋体" w:hAnsi="宋体"/>
          <w:b/>
          <w:color w:val="auto"/>
          <w:sz w:val="32"/>
          <w:szCs w:val="32"/>
          <w:highlight w:val="none"/>
        </w:rPr>
        <w:t>录</w:t>
      </w:r>
    </w:p>
    <w:p>
      <w:pPr>
        <w:spacing w:before="120" w:beforeLines="50" w:line="240" w:lineRule="auto"/>
        <w:jc w:val="center"/>
        <w:rPr>
          <w:rFonts w:ascii="宋体" w:hAnsi="宋体"/>
          <w:color w:val="auto"/>
          <w:sz w:val="32"/>
          <w:szCs w:val="32"/>
          <w:highlight w:val="none"/>
        </w:rPr>
      </w:pPr>
    </w:p>
    <w:p>
      <w:pPr>
        <w:pStyle w:val="88"/>
        <w:spacing w:before="120" w:beforeLines="50" w:after="120" w:afterLines="50" w:line="360" w:lineRule="auto"/>
        <w:ind w:left="562" w:hanging="562"/>
        <w:jc w:val="left"/>
        <w:outlineLvl w:val="9"/>
        <w:rPr>
          <w:rFonts w:hint="eastAsia" w:ascii="宋体" w:hAnsi="宋体"/>
          <w:b w:val="0"/>
          <w:bCs w:val="0"/>
          <w:color w:val="auto"/>
          <w:sz w:val="24"/>
          <w:highlight w:val="none"/>
        </w:rPr>
      </w:pPr>
      <w:r>
        <w:rPr>
          <w:rFonts w:hint="eastAsia" w:ascii="宋体" w:hAnsi="宋体"/>
          <w:b w:val="0"/>
          <w:bCs w:val="0"/>
          <w:color w:val="auto"/>
          <w:sz w:val="24"/>
          <w:highlight w:val="none"/>
        </w:rPr>
        <w:t>一  投标函</w:t>
      </w:r>
    </w:p>
    <w:p>
      <w:pPr>
        <w:pStyle w:val="88"/>
        <w:spacing w:before="120" w:beforeLines="50" w:after="120" w:afterLines="50" w:line="360" w:lineRule="auto"/>
        <w:ind w:left="562" w:hanging="562"/>
        <w:jc w:val="left"/>
        <w:outlineLvl w:val="9"/>
        <w:rPr>
          <w:rFonts w:hint="eastAsia" w:ascii="宋体" w:hAnsi="宋体"/>
          <w:b w:val="0"/>
          <w:bCs w:val="0"/>
          <w:color w:val="auto"/>
          <w:sz w:val="24"/>
          <w:highlight w:val="none"/>
        </w:rPr>
      </w:pPr>
      <w:r>
        <w:rPr>
          <w:rFonts w:hint="eastAsia" w:ascii="宋体" w:hAnsi="宋体"/>
          <w:b w:val="0"/>
          <w:bCs w:val="0"/>
          <w:color w:val="auto"/>
          <w:sz w:val="24"/>
          <w:highlight w:val="none"/>
        </w:rPr>
        <w:t>二  法定代表人身份证明</w:t>
      </w:r>
      <w:r>
        <w:rPr>
          <w:rFonts w:hint="eastAsia" w:ascii="宋体" w:hAnsi="宋体"/>
          <w:b w:val="0"/>
          <w:bCs w:val="0"/>
          <w:color w:val="auto"/>
          <w:sz w:val="24"/>
          <w:highlight w:val="none"/>
          <w:lang w:val="en-US" w:eastAsia="zh-CN"/>
        </w:rPr>
        <w:t>及</w:t>
      </w:r>
      <w:r>
        <w:rPr>
          <w:rFonts w:hint="eastAsia" w:ascii="宋体" w:hAnsi="宋体"/>
          <w:b w:val="0"/>
          <w:bCs w:val="0"/>
          <w:color w:val="auto"/>
          <w:sz w:val="24"/>
          <w:highlight w:val="none"/>
        </w:rPr>
        <w:t>授权委托书</w:t>
      </w:r>
    </w:p>
    <w:p>
      <w:pPr>
        <w:pStyle w:val="88"/>
        <w:spacing w:before="120" w:beforeLines="50" w:after="120" w:afterLines="50" w:line="360" w:lineRule="auto"/>
        <w:ind w:left="562" w:hanging="562"/>
        <w:jc w:val="left"/>
        <w:outlineLvl w:val="9"/>
        <w:rPr>
          <w:rFonts w:ascii="宋体" w:hAnsi="宋体"/>
          <w:b w:val="0"/>
          <w:bCs w:val="0"/>
          <w:color w:val="auto"/>
          <w:sz w:val="24"/>
          <w:highlight w:val="none"/>
        </w:rPr>
      </w:pPr>
      <w:r>
        <w:rPr>
          <w:rFonts w:hint="eastAsia" w:ascii="宋体" w:hAnsi="宋体"/>
          <w:b w:val="0"/>
          <w:bCs w:val="0"/>
          <w:color w:val="auto"/>
          <w:sz w:val="24"/>
          <w:highlight w:val="none"/>
          <w:lang w:val="en-US" w:eastAsia="zh-CN"/>
        </w:rPr>
        <w:t>三</w:t>
      </w:r>
      <w:r>
        <w:rPr>
          <w:rFonts w:hint="eastAsia" w:ascii="宋体" w:hAnsi="宋体"/>
          <w:b w:val="0"/>
          <w:bCs w:val="0"/>
          <w:color w:val="auto"/>
          <w:sz w:val="24"/>
          <w:highlight w:val="none"/>
        </w:rPr>
        <w:t xml:space="preserve">  资格审查资料</w:t>
      </w:r>
    </w:p>
    <w:p>
      <w:pPr>
        <w:pStyle w:val="88"/>
        <w:spacing w:before="120" w:beforeLines="50" w:after="120" w:afterLines="50" w:line="360" w:lineRule="auto"/>
        <w:ind w:left="562" w:hanging="562"/>
        <w:jc w:val="left"/>
        <w:outlineLvl w:val="9"/>
        <w:rPr>
          <w:rFonts w:hint="eastAsia" w:ascii="宋体" w:hAnsi="宋体"/>
          <w:b w:val="0"/>
          <w:bCs w:val="0"/>
          <w:color w:val="auto"/>
          <w:sz w:val="24"/>
          <w:highlight w:val="none"/>
        </w:rPr>
      </w:pPr>
      <w:r>
        <w:rPr>
          <w:rFonts w:hint="eastAsia" w:ascii="宋体" w:hAnsi="宋体"/>
          <w:b w:val="0"/>
          <w:bCs w:val="0"/>
          <w:color w:val="auto"/>
          <w:sz w:val="24"/>
          <w:highlight w:val="none"/>
          <w:lang w:val="en-US" w:eastAsia="zh-CN"/>
        </w:rPr>
        <w:t>四</w:t>
      </w:r>
      <w:r>
        <w:rPr>
          <w:rFonts w:hint="eastAsia" w:ascii="宋体" w:hAnsi="宋体"/>
          <w:b w:val="0"/>
          <w:bCs w:val="0"/>
          <w:color w:val="auto"/>
          <w:sz w:val="24"/>
          <w:highlight w:val="none"/>
        </w:rPr>
        <w:t xml:space="preserve">  承诺书</w:t>
      </w:r>
    </w:p>
    <w:p>
      <w:pPr>
        <w:pStyle w:val="88"/>
        <w:spacing w:before="120" w:beforeLines="50" w:after="120" w:afterLines="50" w:line="360" w:lineRule="auto"/>
        <w:ind w:left="562" w:hanging="562"/>
        <w:jc w:val="left"/>
        <w:outlineLvl w:val="9"/>
        <w:rPr>
          <w:rFonts w:hint="eastAsia" w:ascii="宋体" w:hAnsi="宋体"/>
          <w:b w:val="0"/>
          <w:bCs w:val="0"/>
          <w:color w:val="auto"/>
          <w:sz w:val="24"/>
          <w:highlight w:val="none"/>
        </w:rPr>
      </w:pPr>
      <w:r>
        <w:rPr>
          <w:rFonts w:hint="eastAsia" w:ascii="宋体" w:hAnsi="宋体"/>
          <w:b w:val="0"/>
          <w:bCs w:val="0"/>
          <w:color w:val="auto"/>
          <w:sz w:val="24"/>
          <w:highlight w:val="none"/>
          <w:lang w:val="en-US" w:eastAsia="zh-CN"/>
        </w:rPr>
        <w:t>五</w:t>
      </w:r>
      <w:r>
        <w:rPr>
          <w:rFonts w:hint="eastAsia" w:ascii="宋体" w:hAnsi="宋体"/>
          <w:b w:val="0"/>
          <w:bCs w:val="0"/>
          <w:color w:val="auto"/>
          <w:sz w:val="24"/>
          <w:highlight w:val="none"/>
        </w:rPr>
        <w:t xml:space="preserve">  工作大纲</w:t>
      </w:r>
    </w:p>
    <w:p>
      <w:pPr>
        <w:pStyle w:val="88"/>
        <w:spacing w:before="120" w:beforeLines="50" w:after="120" w:afterLines="50" w:line="360" w:lineRule="auto"/>
        <w:ind w:left="562" w:hanging="562"/>
        <w:jc w:val="left"/>
        <w:outlineLvl w:val="9"/>
        <w:rPr>
          <w:rFonts w:hint="eastAsia" w:ascii="宋体" w:hAnsi="宋体"/>
          <w:b w:val="0"/>
          <w:bCs w:val="0"/>
          <w:color w:val="auto"/>
          <w:sz w:val="24"/>
          <w:highlight w:val="none"/>
        </w:rPr>
      </w:pPr>
      <w:r>
        <w:rPr>
          <w:rFonts w:hint="eastAsia" w:ascii="宋体" w:hAnsi="宋体"/>
          <w:b w:val="0"/>
          <w:bCs w:val="0"/>
          <w:color w:val="auto"/>
          <w:sz w:val="24"/>
          <w:highlight w:val="none"/>
          <w:lang w:val="en-US" w:eastAsia="zh-CN"/>
        </w:rPr>
        <w:t>六</w:t>
      </w:r>
      <w:r>
        <w:rPr>
          <w:rFonts w:hint="eastAsia" w:ascii="宋体" w:hAnsi="宋体"/>
          <w:b w:val="0"/>
          <w:bCs w:val="0"/>
          <w:color w:val="auto"/>
          <w:sz w:val="24"/>
          <w:highlight w:val="none"/>
        </w:rPr>
        <w:t xml:space="preserve">  其他材料</w:t>
      </w:r>
    </w:p>
    <w:p>
      <w:pPr>
        <w:pStyle w:val="88"/>
        <w:spacing w:before="120" w:beforeLines="50" w:after="120" w:afterLines="50" w:line="360" w:lineRule="auto"/>
        <w:ind w:left="562" w:hanging="562"/>
        <w:jc w:val="left"/>
        <w:outlineLvl w:val="9"/>
        <w:rPr>
          <w:rFonts w:hint="eastAsia" w:ascii="宋体" w:hAnsi="宋体"/>
          <w:b w:val="0"/>
          <w:bCs w:val="0"/>
          <w:color w:val="auto"/>
          <w:sz w:val="24"/>
          <w:highlight w:val="none"/>
        </w:rPr>
      </w:pPr>
    </w:p>
    <w:p>
      <w:pPr>
        <w:pStyle w:val="88"/>
        <w:spacing w:before="120" w:beforeLines="50" w:after="120" w:afterLines="50" w:line="360" w:lineRule="auto"/>
        <w:ind w:left="562" w:hanging="562"/>
        <w:jc w:val="left"/>
        <w:outlineLvl w:val="9"/>
        <w:rPr>
          <w:rFonts w:hint="eastAsia" w:ascii="宋体" w:hAnsi="宋体"/>
          <w:b w:val="0"/>
          <w:bCs w:val="0"/>
          <w:color w:val="auto"/>
          <w:sz w:val="24"/>
          <w:highlight w:val="none"/>
        </w:rPr>
      </w:pPr>
    </w:p>
    <w:p>
      <w:pPr>
        <w:pStyle w:val="88"/>
        <w:keepNext/>
        <w:keepLines/>
        <w:pageBreakBefore w:val="0"/>
        <w:widowControl w:val="0"/>
        <w:kinsoku/>
        <w:wordWrap/>
        <w:overflowPunct/>
        <w:topLinePunct w:val="0"/>
        <w:autoSpaceDE/>
        <w:autoSpaceDN/>
        <w:bidi w:val="0"/>
        <w:adjustRightInd/>
        <w:snapToGrid/>
        <w:spacing w:before="120" w:beforeLines="50" w:after="120" w:afterLines="50" w:line="360" w:lineRule="auto"/>
        <w:ind w:left="0" w:firstLine="0"/>
        <w:jc w:val="center"/>
        <w:textAlignment w:val="auto"/>
        <w:rPr>
          <w:color w:val="auto"/>
          <w:highlight w:val="none"/>
        </w:rPr>
      </w:pPr>
      <w:r>
        <w:rPr>
          <w:rFonts w:ascii="宋体" w:hAnsi="宋体"/>
          <w:color w:val="auto"/>
          <w:highlight w:val="none"/>
        </w:rPr>
        <w:br w:type="page"/>
      </w:r>
      <w:bookmarkStart w:id="159" w:name="_Toc372633022"/>
      <w:bookmarkStart w:id="160" w:name="_Toc33625865"/>
      <w:bookmarkStart w:id="161" w:name="_Toc436730370"/>
      <w:r>
        <w:rPr>
          <w:rFonts w:hint="eastAsia"/>
          <w:color w:val="auto"/>
          <w:highlight w:val="none"/>
        </w:rPr>
        <w:t>一、投标函</w:t>
      </w:r>
      <w:bookmarkEnd w:id="159"/>
      <w:bookmarkEnd w:id="160"/>
      <w:bookmarkEnd w:id="161"/>
    </w:p>
    <w:p>
      <w:pPr>
        <w:spacing w:line="360" w:lineRule="auto"/>
        <w:rPr>
          <w:rFonts w:hint="eastAsia" w:ascii="宋体" w:hAnsi="宋体" w:eastAsia="宋体" w:cs="宋体"/>
          <w:snapToGrid w:val="0"/>
          <w:color w:val="auto"/>
          <w:kern w:val="0"/>
          <w:sz w:val="21"/>
          <w:szCs w:val="21"/>
          <w:highlight w:val="none"/>
          <w:u w:val="single"/>
          <w:lang w:eastAsia="zh-CN"/>
        </w:rPr>
      </w:pPr>
      <w:r>
        <w:rPr>
          <w:rFonts w:hint="eastAsia" w:ascii="宋体" w:hAnsi="宋体" w:cs="宋体"/>
          <w:snapToGrid w:val="0"/>
          <w:color w:val="auto"/>
          <w:kern w:val="0"/>
          <w:sz w:val="21"/>
          <w:szCs w:val="21"/>
          <w:highlight w:val="none"/>
        </w:rPr>
        <w:t>致：</w:t>
      </w:r>
      <w:r>
        <w:rPr>
          <w:rFonts w:hint="eastAsia" w:ascii="宋体" w:hAnsi="宋体" w:cs="宋体"/>
          <w:snapToGrid w:val="0"/>
          <w:color w:val="auto"/>
          <w:kern w:val="0"/>
          <w:sz w:val="21"/>
          <w:szCs w:val="21"/>
          <w:highlight w:val="none"/>
          <w:u w:val="single"/>
          <w:lang w:eastAsia="zh-CN"/>
        </w:rPr>
        <w:t>南通市江海河联运项目建设指挥部</w:t>
      </w:r>
    </w:p>
    <w:p>
      <w:pPr>
        <w:wordWrap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1、我方在仔细研究了</w:t>
      </w:r>
      <w:r>
        <w:rPr>
          <w:rFonts w:hint="eastAsia" w:ascii="宋体" w:hAnsi="宋体" w:cs="宋体"/>
          <w:bCs/>
          <w:color w:val="auto"/>
          <w:sz w:val="21"/>
          <w:szCs w:val="21"/>
          <w:highlight w:val="none"/>
          <w:u w:val="single"/>
          <w:lang w:eastAsia="zh-CN"/>
        </w:rPr>
        <w:t>南通市内河干线航道文物资源区域评估项目NTGX-WWPG1标段</w:t>
      </w:r>
      <w:r>
        <w:rPr>
          <w:rFonts w:hint="eastAsia" w:ascii="宋体" w:hAnsi="宋体" w:cs="宋体"/>
          <w:color w:val="auto"/>
          <w:sz w:val="21"/>
          <w:szCs w:val="21"/>
          <w:highlight w:val="none"/>
        </w:rPr>
        <w:t>的招标文件并了解该项目基本情况后，决定参加该项目投标。在此郑重表示，我们愿意按照招标文件确定的投入力量和工作方案、遵照招标文件规定的责任和义务、并以投标文件第二个信封报价函上的投标总价，承担本项目的服务工作。</w:t>
      </w:r>
    </w:p>
    <w:p>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2、我单位一旦中标，将保证按本投标文件配备的人员提供服务，即</w:t>
      </w:r>
    </w:p>
    <w:p>
      <w:pPr>
        <w:spacing w:line="360" w:lineRule="auto"/>
        <w:ind w:firstLine="422" w:firstLineChars="200"/>
        <w:rPr>
          <w:rFonts w:hint="eastAsia" w:ascii="宋体" w:hAnsi="宋体" w:cs="宋体"/>
          <w:color w:val="auto"/>
          <w:sz w:val="21"/>
          <w:szCs w:val="21"/>
          <w:highlight w:val="none"/>
        </w:rPr>
      </w:pPr>
      <w:r>
        <w:rPr>
          <w:rFonts w:hint="eastAsia" w:ascii="宋体" w:hAnsi="宋体" w:cs="宋体"/>
          <w:b/>
          <w:bCs/>
          <w:color w:val="auto"/>
          <w:sz w:val="21"/>
          <w:szCs w:val="21"/>
          <w:highlight w:val="none"/>
        </w:rPr>
        <w:t>（1）项目负责人：_____________ ，身份证号为（</w:t>
      </w:r>
      <w:r>
        <w:rPr>
          <w:rFonts w:hint="eastAsia" w:ascii="宋体" w:hAnsi="宋体" w:cs="宋体"/>
          <w:b/>
          <w:bCs/>
          <w:color w:val="auto"/>
          <w:sz w:val="21"/>
          <w:szCs w:val="21"/>
          <w:highlight w:val="none"/>
          <w:u w:val="single"/>
        </w:rPr>
        <w:t xml:space="preserve">             </w:t>
      </w:r>
      <w:r>
        <w:rPr>
          <w:rFonts w:hint="eastAsia" w:ascii="宋体" w:hAnsi="宋体" w:cs="宋体"/>
          <w:b/>
          <w:bCs/>
          <w:color w:val="auto"/>
          <w:sz w:val="21"/>
          <w:szCs w:val="21"/>
          <w:highlight w:val="none"/>
        </w:rPr>
        <w:t>）；</w:t>
      </w:r>
    </w:p>
    <w:p>
      <w:pPr>
        <w:adjustRightInd w:val="0"/>
        <w:snapToGrid w:val="0"/>
        <w:spacing w:line="360" w:lineRule="auto"/>
        <w:ind w:firstLine="420" w:firstLineChars="200"/>
        <w:rPr>
          <w:rFonts w:hint="eastAsia" w:ascii="宋体" w:hAnsi="宋体" w:cs="宋体"/>
          <w:b/>
          <w:color w:val="auto"/>
          <w:sz w:val="21"/>
          <w:szCs w:val="21"/>
          <w:highlight w:val="none"/>
        </w:rPr>
      </w:pPr>
      <w:r>
        <w:rPr>
          <w:rFonts w:hint="eastAsia" w:ascii="宋体" w:hAnsi="宋体" w:cs="宋体"/>
          <w:color w:val="auto"/>
          <w:sz w:val="21"/>
          <w:szCs w:val="21"/>
          <w:highlight w:val="none"/>
        </w:rPr>
        <w:t>3、</w:t>
      </w:r>
      <w:r>
        <w:rPr>
          <w:rFonts w:hint="eastAsia" w:ascii="宋体" w:hAnsi="宋体" w:cs="宋体"/>
          <w:b w:val="0"/>
          <w:bCs w:val="0"/>
          <w:color w:val="auto"/>
          <w:sz w:val="21"/>
          <w:szCs w:val="21"/>
          <w:highlight w:val="none"/>
          <w:lang w:eastAsia="zh-CN"/>
        </w:rPr>
        <w:t>服务周期</w:t>
      </w:r>
      <w:r>
        <w:rPr>
          <w:rFonts w:hint="eastAsia" w:ascii="宋体" w:hAnsi="宋体" w:cs="宋体"/>
          <w:b w:val="0"/>
          <w:bCs w:val="0"/>
          <w:color w:val="auto"/>
          <w:sz w:val="21"/>
          <w:szCs w:val="21"/>
          <w:highlight w:val="none"/>
        </w:rPr>
        <w:t>：</w:t>
      </w:r>
      <w:r>
        <w:rPr>
          <w:rFonts w:hint="eastAsia" w:ascii="宋体" w:hAnsi="宋体" w:cs="宋体"/>
          <w:b w:val="0"/>
          <w:bCs w:val="0"/>
          <w:color w:val="auto"/>
          <w:sz w:val="21"/>
          <w:szCs w:val="21"/>
          <w:highlight w:val="none"/>
          <w:u w:val="single"/>
          <w:lang w:val="en-US" w:eastAsia="zh-CN"/>
        </w:rPr>
        <w:t>满足招标文件规定</w:t>
      </w:r>
      <w:r>
        <w:rPr>
          <w:rFonts w:hint="eastAsia" w:ascii="宋体" w:hAnsi="宋体" w:cs="宋体"/>
          <w:b w:val="0"/>
          <w:bCs w:val="0"/>
          <w:color w:val="auto"/>
          <w:sz w:val="21"/>
          <w:szCs w:val="21"/>
          <w:highlight w:val="none"/>
          <w:u w:val="single"/>
        </w:rPr>
        <w:t>。</w:t>
      </w:r>
    </w:p>
    <w:p>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4、我方同意所递交的投标文件在“投标人须知”规定的投标有效期内有效，在此期限届满之前，本投标函将始终对我方具有约束力，并随时接受中标。</w:t>
      </w:r>
    </w:p>
    <w:p>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5、如果你单位接受我们的投标文件，我们保证按照投标文件的约定及时与你方按招标文件中服务合同的格式及内容签署服务合同。</w:t>
      </w:r>
    </w:p>
    <w:p>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6、除非另外达成协议并生效，你方的招标文件、中标通知书和本投标文件将构成约束我们双方的合同。</w:t>
      </w:r>
    </w:p>
    <w:p>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（其他补充说明）。</w:t>
      </w:r>
    </w:p>
    <w:p>
      <w:pPr>
        <w:spacing w:line="360" w:lineRule="auto"/>
        <w:ind w:firstLine="420" w:firstLineChars="200"/>
        <w:rPr>
          <w:rFonts w:hint="eastAsia" w:ascii="宋体" w:hAnsi="宋体" w:cs="宋体"/>
          <w:snapToGrid w:val="0"/>
          <w:color w:val="auto"/>
          <w:kern w:val="0"/>
          <w:sz w:val="21"/>
          <w:szCs w:val="21"/>
          <w:highlight w:val="none"/>
        </w:rPr>
      </w:pPr>
    </w:p>
    <w:p>
      <w:pPr>
        <w:spacing w:line="360" w:lineRule="auto"/>
        <w:ind w:firstLine="420" w:firstLineChars="200"/>
        <w:jc w:val="right"/>
        <w:rPr>
          <w:rFonts w:hint="eastAsia" w:ascii="宋体" w:hAnsi="宋体" w:cs="宋体"/>
          <w:color w:val="auto"/>
          <w:sz w:val="21"/>
          <w:szCs w:val="21"/>
          <w:highlight w:val="none"/>
          <w:u w:val="single"/>
        </w:rPr>
      </w:pPr>
      <w:r>
        <w:rPr>
          <w:rFonts w:hint="eastAsia" w:ascii="宋体" w:hAnsi="宋体" w:cs="宋体"/>
          <w:color w:val="auto"/>
          <w:sz w:val="21"/>
          <w:szCs w:val="21"/>
          <w:highlight w:val="none"/>
        </w:rPr>
        <w:t>投标人名称：</w:t>
      </w:r>
      <w:r>
        <w:rPr>
          <w:rFonts w:hint="eastAsia" w:ascii="宋体" w:hAnsi="宋体" w:cs="宋体"/>
          <w:color w:val="auto"/>
          <w:sz w:val="21"/>
          <w:szCs w:val="21"/>
          <w:highlight w:val="none"/>
          <w:u w:val="single"/>
        </w:rPr>
        <w:t xml:space="preserve">    （全称）（盖章）    </w:t>
      </w:r>
    </w:p>
    <w:p>
      <w:pPr>
        <w:spacing w:line="360" w:lineRule="auto"/>
        <w:ind w:firstLine="420" w:firstLineChars="200"/>
        <w:jc w:val="right"/>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              法定代表人或其授权代理人：</w:t>
      </w:r>
      <w:r>
        <w:rPr>
          <w:rFonts w:hint="eastAsia" w:ascii="宋体" w:hAnsi="宋体" w:cs="宋体"/>
          <w:color w:val="auto"/>
          <w:sz w:val="21"/>
          <w:szCs w:val="21"/>
          <w:highlight w:val="none"/>
          <w:u w:val="single"/>
        </w:rPr>
        <w:t xml:space="preserve">   （签字</w:t>
      </w:r>
      <w:r>
        <w:rPr>
          <w:rFonts w:hint="eastAsia" w:ascii="宋体" w:hAnsi="宋体" w:cs="宋体"/>
          <w:color w:val="auto"/>
          <w:sz w:val="21"/>
          <w:szCs w:val="21"/>
          <w:highlight w:val="none"/>
          <w:u w:val="single"/>
          <w:lang w:val="en-US" w:eastAsia="zh-CN"/>
        </w:rPr>
        <w:t>或签章</w:t>
      </w:r>
      <w:r>
        <w:rPr>
          <w:rFonts w:hint="eastAsia" w:ascii="宋体" w:hAnsi="宋体" w:cs="宋体"/>
          <w:color w:val="auto"/>
          <w:sz w:val="21"/>
          <w:szCs w:val="21"/>
          <w:highlight w:val="none"/>
          <w:u w:val="single"/>
        </w:rPr>
        <w:t xml:space="preserve">） </w:t>
      </w:r>
    </w:p>
    <w:p>
      <w:pPr>
        <w:spacing w:line="360" w:lineRule="auto"/>
        <w:ind w:firstLine="420" w:firstLineChars="200"/>
        <w:jc w:val="right"/>
        <w:rPr>
          <w:rFonts w:hint="eastAsia" w:ascii="宋体" w:hAnsi="宋体" w:cs="宋体"/>
          <w:color w:val="auto"/>
          <w:sz w:val="21"/>
          <w:szCs w:val="21"/>
          <w:highlight w:val="none"/>
        </w:rPr>
        <w:sectPr>
          <w:headerReference r:id="rId8" w:type="default"/>
          <w:footerReference r:id="rId9" w:type="default"/>
          <w:pgSz w:w="11906" w:h="16838"/>
          <w:pgMar w:top="1361" w:right="1361" w:bottom="1361" w:left="1361" w:header="850" w:footer="964" w:gutter="170"/>
          <w:pgNumType w:fmt="decimal"/>
          <w:cols w:space="720" w:num="1"/>
          <w:docGrid w:linePitch="381" w:charSpace="0"/>
        </w:sectPr>
      </w:pPr>
      <w:r>
        <w:rPr>
          <w:rFonts w:hint="eastAsia" w:ascii="宋体" w:hAnsi="宋体" w:cs="宋体"/>
          <w:color w:val="auto"/>
          <w:sz w:val="21"/>
          <w:szCs w:val="21"/>
          <w:highlight w:val="none"/>
        </w:rPr>
        <w:t>日期：_____年___月___日</w:t>
      </w:r>
      <w:bookmarkStart w:id="162" w:name="_Toc258313656"/>
      <w:bookmarkStart w:id="163" w:name="_Toc255930403"/>
    </w:p>
    <w:p>
      <w:pPr>
        <w:pStyle w:val="88"/>
        <w:keepNext/>
        <w:keepLines/>
        <w:pageBreakBefore w:val="0"/>
        <w:widowControl w:val="0"/>
        <w:kinsoku/>
        <w:wordWrap/>
        <w:overflowPunct/>
        <w:topLinePunct w:val="0"/>
        <w:autoSpaceDE/>
        <w:autoSpaceDN/>
        <w:bidi w:val="0"/>
        <w:adjustRightInd/>
        <w:snapToGrid/>
        <w:spacing w:before="0" w:line="360" w:lineRule="auto"/>
        <w:ind w:left="0" w:firstLine="0"/>
        <w:textAlignment w:val="auto"/>
        <w:rPr>
          <w:color w:val="auto"/>
          <w:highlight w:val="none"/>
        </w:rPr>
      </w:pPr>
      <w:r>
        <w:rPr>
          <w:color w:val="auto"/>
          <w:highlight w:val="none"/>
        </w:rPr>
        <w:t>二、法定代表人身份证明及授权委托书</w:t>
      </w:r>
    </w:p>
    <w:p>
      <w:pPr>
        <w:spacing w:line="360" w:lineRule="auto"/>
        <w:jc w:val="center"/>
        <w:rPr>
          <w:b/>
          <w:color w:val="auto"/>
          <w:sz w:val="32"/>
          <w:szCs w:val="32"/>
          <w:highlight w:val="none"/>
        </w:rPr>
      </w:pPr>
      <w:r>
        <w:rPr>
          <w:color w:val="auto"/>
          <w:sz w:val="32"/>
          <w:szCs w:val="32"/>
          <w:highlight w:val="none"/>
        </w:rPr>
        <w:t xml:space="preserve"> </w:t>
      </w:r>
      <w:r>
        <w:rPr>
          <w:b/>
          <w:color w:val="auto"/>
          <w:sz w:val="32"/>
          <w:szCs w:val="32"/>
          <w:highlight w:val="none"/>
        </w:rPr>
        <w:t xml:space="preserve"> </w:t>
      </w:r>
    </w:p>
    <w:p>
      <w:pPr>
        <w:spacing w:line="360" w:lineRule="auto"/>
        <w:jc w:val="center"/>
        <w:rPr>
          <w:b/>
          <w:color w:val="auto"/>
          <w:sz w:val="24"/>
          <w:highlight w:val="none"/>
        </w:rPr>
      </w:pPr>
      <w:r>
        <w:rPr>
          <w:b/>
          <w:color w:val="auto"/>
          <w:sz w:val="24"/>
          <w:highlight w:val="none"/>
        </w:rPr>
        <w:t>（一）法定代表人身份证明</w:t>
      </w:r>
    </w:p>
    <w:p>
      <w:pPr>
        <w:spacing w:line="340" w:lineRule="exact"/>
        <w:jc w:val="right"/>
        <w:rPr>
          <w:color w:val="auto"/>
          <w:sz w:val="24"/>
          <w:highlight w:val="none"/>
        </w:rPr>
      </w:pPr>
    </w:p>
    <w:p>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投标人名称：_____________________</w:t>
      </w:r>
    </w:p>
    <w:p>
      <w:pPr>
        <w:spacing w:line="360" w:lineRule="auto"/>
        <w:ind w:firstLine="420" w:firstLineChars="200"/>
        <w:rPr>
          <w:rFonts w:hint="eastAsia" w:ascii="宋体" w:hAnsi="宋体" w:cs="宋体"/>
          <w:b/>
          <w:bCs/>
          <w:color w:val="auto"/>
          <w:sz w:val="32"/>
          <w:szCs w:val="32"/>
          <w:highlight w:val="none"/>
          <w:u w:val="single"/>
        </w:rPr>
      </w:pPr>
      <w:r>
        <w:rPr>
          <w:rFonts w:hint="eastAsia" w:ascii="宋体" w:hAnsi="宋体" w:cs="宋体"/>
          <w:color w:val="auto"/>
          <w:sz w:val="21"/>
          <w:szCs w:val="21"/>
          <w:highlight w:val="none"/>
        </w:rPr>
        <w:t>姓名：</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cs="宋体"/>
          <w:b/>
          <w:bCs/>
          <w:color w:val="auto"/>
          <w:sz w:val="32"/>
          <w:szCs w:val="32"/>
          <w:highlight w:val="none"/>
          <w:u w:val="single"/>
        </w:rPr>
        <w:t>（签字</w:t>
      </w:r>
      <w:r>
        <w:rPr>
          <w:rFonts w:hint="eastAsia" w:ascii="宋体" w:hAnsi="宋体" w:cs="宋体"/>
          <w:b/>
          <w:bCs/>
          <w:color w:val="auto"/>
          <w:sz w:val="32"/>
          <w:szCs w:val="32"/>
          <w:highlight w:val="none"/>
          <w:u w:val="single"/>
          <w:lang w:val="en-US" w:eastAsia="zh-CN"/>
        </w:rPr>
        <w:t>或签章</w:t>
      </w:r>
      <w:r>
        <w:rPr>
          <w:rFonts w:hint="eastAsia" w:ascii="宋体" w:hAnsi="宋体" w:cs="宋体"/>
          <w:b/>
          <w:bCs/>
          <w:color w:val="auto"/>
          <w:sz w:val="32"/>
          <w:szCs w:val="32"/>
          <w:highlight w:val="none"/>
          <w:u w:val="single"/>
        </w:rPr>
        <w:t>）</w:t>
      </w:r>
    </w:p>
    <w:p>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性别：____年龄：_____职务：_____</w:t>
      </w:r>
    </w:p>
    <w:p>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系_________（投标人名称）的法定代表人。</w:t>
      </w:r>
    </w:p>
    <w:p>
      <w:pPr>
        <w:spacing w:line="360" w:lineRule="auto"/>
        <w:rPr>
          <w:rFonts w:hint="eastAsia" w:ascii="宋体" w:hAnsi="宋体" w:cs="宋体"/>
          <w:color w:val="auto"/>
          <w:sz w:val="21"/>
          <w:szCs w:val="21"/>
          <w:highlight w:val="none"/>
        </w:rPr>
      </w:pPr>
    </w:p>
    <w:p>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特此证明。</w:t>
      </w:r>
    </w:p>
    <w:p>
      <w:pPr>
        <w:spacing w:line="360" w:lineRule="auto"/>
        <w:rPr>
          <w:rFonts w:hint="eastAsia" w:ascii="宋体" w:hAnsi="宋体" w:cs="宋体"/>
          <w:bCs/>
          <w:color w:val="auto"/>
          <w:sz w:val="21"/>
          <w:szCs w:val="21"/>
          <w:highlight w:val="none"/>
        </w:rPr>
      </w:pPr>
      <w:r>
        <w:rPr>
          <w:rFonts w:hint="eastAsia" w:ascii="宋体" w:hAnsi="宋体" w:cs="宋体"/>
          <w:bCs/>
          <w:color w:val="auto"/>
          <w:sz w:val="21"/>
          <w:szCs w:val="21"/>
          <w:highlight w:val="none"/>
        </w:rPr>
        <w:t>附：法定代表人身份证复印件（双面）。</w:t>
      </w:r>
    </w:p>
    <w:p>
      <w:pPr>
        <w:spacing w:line="360" w:lineRule="auto"/>
        <w:rPr>
          <w:rFonts w:hint="eastAsia" w:ascii="宋体" w:hAnsi="宋体" w:cs="宋体"/>
          <w:color w:val="auto"/>
          <w:sz w:val="21"/>
          <w:szCs w:val="21"/>
          <w:highlight w:val="none"/>
        </w:rPr>
      </w:pPr>
    </w:p>
    <w:p>
      <w:pPr>
        <w:spacing w:line="360" w:lineRule="auto"/>
        <w:rPr>
          <w:rFonts w:hint="eastAsia" w:ascii="宋体" w:hAnsi="宋体" w:cs="宋体"/>
          <w:color w:val="auto"/>
          <w:sz w:val="21"/>
          <w:szCs w:val="21"/>
          <w:highlight w:val="none"/>
        </w:rPr>
      </w:pPr>
    </w:p>
    <w:p>
      <w:pPr>
        <w:spacing w:line="360" w:lineRule="auto"/>
        <w:jc w:val="right"/>
        <w:rPr>
          <w:rFonts w:hint="eastAsia" w:ascii="宋体" w:hAnsi="宋体" w:cs="宋体"/>
          <w:color w:val="auto"/>
          <w:sz w:val="21"/>
          <w:szCs w:val="21"/>
          <w:highlight w:val="none"/>
        </w:rPr>
      </w:pPr>
    </w:p>
    <w:p>
      <w:pPr>
        <w:spacing w:line="360" w:lineRule="auto"/>
        <w:jc w:val="right"/>
        <w:rPr>
          <w:rFonts w:hint="eastAsia" w:ascii="宋体" w:hAnsi="宋体" w:cs="宋体"/>
          <w:color w:val="auto"/>
          <w:sz w:val="21"/>
          <w:szCs w:val="21"/>
          <w:highlight w:val="none"/>
        </w:rPr>
      </w:pPr>
    </w:p>
    <w:p>
      <w:pPr>
        <w:spacing w:line="360" w:lineRule="auto"/>
        <w:jc w:val="right"/>
        <w:rPr>
          <w:rFonts w:hint="eastAsia" w:ascii="宋体" w:hAnsi="宋体" w:cs="宋体"/>
          <w:color w:val="auto"/>
          <w:sz w:val="21"/>
          <w:szCs w:val="21"/>
          <w:highlight w:val="none"/>
        </w:rPr>
      </w:pPr>
    </w:p>
    <w:p>
      <w:pPr>
        <w:spacing w:line="360" w:lineRule="auto"/>
        <w:jc w:val="right"/>
        <w:rPr>
          <w:rFonts w:hint="eastAsia" w:ascii="宋体" w:hAnsi="宋体" w:cs="宋体"/>
          <w:color w:val="auto"/>
          <w:sz w:val="21"/>
          <w:szCs w:val="21"/>
          <w:highlight w:val="none"/>
        </w:rPr>
      </w:pPr>
      <w:r>
        <w:rPr>
          <w:rFonts w:hint="eastAsia" w:ascii="宋体" w:hAnsi="宋体" w:cs="宋体"/>
          <w:color w:val="auto"/>
          <w:sz w:val="21"/>
          <w:szCs w:val="21"/>
          <w:highlight w:val="none"/>
        </w:rPr>
        <w:t>投标人：___________________（盖单位章）</w:t>
      </w:r>
    </w:p>
    <w:p>
      <w:pPr>
        <w:spacing w:line="360" w:lineRule="auto"/>
        <w:jc w:val="right"/>
        <w:rPr>
          <w:rFonts w:hint="eastAsia" w:ascii="宋体" w:hAnsi="宋体" w:cs="宋体"/>
          <w:color w:val="auto"/>
          <w:sz w:val="21"/>
          <w:szCs w:val="21"/>
          <w:highlight w:val="none"/>
        </w:rPr>
      </w:pPr>
      <w:r>
        <w:rPr>
          <w:rFonts w:hint="eastAsia" w:ascii="宋体" w:hAnsi="宋体" w:cs="宋体"/>
          <w:color w:val="auto"/>
          <w:sz w:val="21"/>
          <w:szCs w:val="21"/>
          <w:highlight w:val="none"/>
        </w:rPr>
        <w:t>______年_____月_______日</w:t>
      </w:r>
    </w:p>
    <w:p>
      <w:pPr>
        <w:spacing w:line="360" w:lineRule="auto"/>
        <w:jc w:val="right"/>
        <w:rPr>
          <w:color w:val="auto"/>
          <w:sz w:val="21"/>
          <w:szCs w:val="21"/>
          <w:highlight w:val="none"/>
        </w:rPr>
      </w:pPr>
    </w:p>
    <w:p>
      <w:pPr>
        <w:spacing w:line="360" w:lineRule="auto"/>
        <w:jc w:val="left"/>
        <w:rPr>
          <w:rFonts w:hint="eastAsia" w:ascii="宋体" w:hAnsi="宋体" w:cs="宋体"/>
          <w:color w:val="auto"/>
          <w:sz w:val="21"/>
          <w:szCs w:val="21"/>
          <w:highlight w:val="none"/>
        </w:rPr>
      </w:pPr>
      <w:r>
        <w:rPr>
          <w:rFonts w:hint="eastAsia" w:ascii="宋体" w:hAnsi="宋体" w:cs="宋体"/>
          <w:b/>
          <w:color w:val="auto"/>
          <w:sz w:val="21"/>
          <w:szCs w:val="21"/>
          <w:highlight w:val="none"/>
          <w:lang w:val="en-US" w:eastAsia="zh-CN"/>
        </w:rPr>
        <w:t>注：</w:t>
      </w:r>
      <w:r>
        <w:rPr>
          <w:rFonts w:hint="eastAsia" w:ascii="宋体" w:hAnsi="宋体" w:cs="宋体"/>
          <w:b/>
          <w:color w:val="auto"/>
          <w:sz w:val="21"/>
          <w:szCs w:val="21"/>
          <w:highlight w:val="none"/>
        </w:rPr>
        <w:t>无论由投标人的法定代表人或委托代理人签署投标文件，法定代表人身份证明</w:t>
      </w:r>
      <w:r>
        <w:rPr>
          <w:rFonts w:hint="eastAsia" w:ascii="宋体" w:hAnsi="宋体" w:cs="宋体"/>
          <w:b/>
          <w:color w:val="auto"/>
          <w:sz w:val="21"/>
          <w:szCs w:val="21"/>
          <w:highlight w:val="none"/>
          <w:lang w:val="en-US" w:eastAsia="zh-CN"/>
        </w:rPr>
        <w:t>都</w:t>
      </w:r>
      <w:r>
        <w:rPr>
          <w:rFonts w:hint="eastAsia" w:ascii="宋体" w:hAnsi="宋体" w:cs="宋体"/>
          <w:b/>
          <w:color w:val="auto"/>
          <w:sz w:val="21"/>
          <w:szCs w:val="21"/>
          <w:highlight w:val="none"/>
        </w:rPr>
        <w:t>必须提供。如果由投标人的法定代表人签署投标文件，则无须提交授权委托书</w:t>
      </w:r>
      <w:r>
        <w:rPr>
          <w:rFonts w:hint="eastAsia" w:ascii="黑体" w:eastAsia="黑体"/>
          <w:b/>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cs="宋体"/>
          <w:b/>
          <w:color w:val="auto"/>
          <w:sz w:val="21"/>
          <w:szCs w:val="21"/>
          <w:highlight w:val="none"/>
        </w:rPr>
      </w:pPr>
    </w:p>
    <w:p>
      <w:pPr>
        <w:pStyle w:val="6"/>
        <w:rPr>
          <w:color w:val="auto"/>
          <w:highlight w:val="none"/>
        </w:rPr>
      </w:pPr>
    </w:p>
    <w:p>
      <w:pPr>
        <w:spacing w:line="360" w:lineRule="auto"/>
        <w:jc w:val="right"/>
        <w:rPr>
          <w:color w:val="auto"/>
          <w:sz w:val="21"/>
          <w:szCs w:val="21"/>
          <w:highlight w:val="none"/>
        </w:rPr>
      </w:pPr>
    </w:p>
    <w:p>
      <w:pPr>
        <w:spacing w:line="360" w:lineRule="auto"/>
        <w:jc w:val="right"/>
        <w:rPr>
          <w:color w:val="auto"/>
          <w:sz w:val="21"/>
          <w:szCs w:val="21"/>
          <w:highlight w:val="none"/>
        </w:rPr>
      </w:pPr>
    </w:p>
    <w:p>
      <w:pPr>
        <w:spacing w:line="360" w:lineRule="auto"/>
        <w:jc w:val="right"/>
        <w:rPr>
          <w:color w:val="auto"/>
          <w:sz w:val="21"/>
          <w:szCs w:val="21"/>
          <w:highlight w:val="none"/>
        </w:rPr>
      </w:pPr>
    </w:p>
    <w:p>
      <w:pPr>
        <w:spacing w:line="360" w:lineRule="auto"/>
        <w:jc w:val="right"/>
        <w:rPr>
          <w:color w:val="auto"/>
          <w:sz w:val="21"/>
          <w:szCs w:val="21"/>
          <w:highlight w:val="none"/>
        </w:rPr>
      </w:pPr>
    </w:p>
    <w:p>
      <w:pPr>
        <w:spacing w:line="360" w:lineRule="auto"/>
        <w:jc w:val="right"/>
        <w:rPr>
          <w:color w:val="auto"/>
          <w:sz w:val="21"/>
          <w:szCs w:val="21"/>
          <w:highlight w:val="none"/>
        </w:rPr>
      </w:pPr>
    </w:p>
    <w:p>
      <w:pPr>
        <w:spacing w:line="360" w:lineRule="auto"/>
        <w:jc w:val="right"/>
        <w:rPr>
          <w:color w:val="auto"/>
          <w:sz w:val="21"/>
          <w:szCs w:val="21"/>
          <w:highlight w:val="none"/>
        </w:rPr>
      </w:pPr>
    </w:p>
    <w:p>
      <w:pPr>
        <w:widowControl/>
        <w:spacing w:line="240" w:lineRule="auto"/>
        <w:jc w:val="center"/>
        <w:rPr>
          <w:b/>
          <w:color w:val="auto"/>
          <w:sz w:val="24"/>
          <w:highlight w:val="none"/>
        </w:rPr>
      </w:pPr>
      <w:r>
        <w:rPr>
          <w:b/>
          <w:color w:val="auto"/>
          <w:sz w:val="24"/>
          <w:highlight w:val="none"/>
        </w:rPr>
        <w:t>（二）授权委托书</w:t>
      </w:r>
    </w:p>
    <w:p>
      <w:pPr>
        <w:spacing w:line="340" w:lineRule="exact"/>
        <w:jc w:val="center"/>
        <w:rPr>
          <w:b/>
          <w:color w:val="auto"/>
          <w:sz w:val="24"/>
          <w:highlight w:val="none"/>
        </w:rPr>
      </w:pPr>
    </w:p>
    <w:p>
      <w:pPr>
        <w:spacing w:line="365" w:lineRule="auto"/>
        <w:ind w:firstLine="479"/>
        <w:rPr>
          <w:rFonts w:hint="eastAsia" w:ascii="宋体" w:hAnsi="宋体" w:cs="宋体"/>
          <w:color w:val="auto"/>
          <w:sz w:val="21"/>
          <w:szCs w:val="21"/>
          <w:highlight w:val="none"/>
        </w:rPr>
      </w:pPr>
      <w:r>
        <w:rPr>
          <w:rFonts w:hint="eastAsia" w:ascii="宋体" w:hAnsi="宋体" w:cs="宋体"/>
          <w:color w:val="auto"/>
          <w:sz w:val="21"/>
          <w:szCs w:val="21"/>
          <w:highlight w:val="none"/>
        </w:rPr>
        <w:t>本人</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（姓名）系</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（投标人名称）的法定代表人，现委托</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（姓名） 为我方代理人。代理人根据授权，以我方名义签署、澄清确认、递交、撤回、修改</w:t>
      </w:r>
      <w:r>
        <w:rPr>
          <w:rFonts w:hint="eastAsia" w:ascii="宋体" w:hAnsi="宋体" w:cs="宋体"/>
          <w:color w:val="auto"/>
          <w:sz w:val="21"/>
          <w:szCs w:val="21"/>
          <w:highlight w:val="none"/>
          <w:u w:val="single"/>
          <w:lang w:eastAsia="zh-CN"/>
        </w:rPr>
        <w:t>南通市内河干线航道文物资源区域评估项目NTGX-WWPG1标段</w:t>
      </w:r>
      <w:r>
        <w:rPr>
          <w:rFonts w:hint="eastAsia" w:ascii="宋体" w:hAnsi="宋体" w:cs="宋体"/>
          <w:color w:val="auto"/>
          <w:sz w:val="21"/>
          <w:szCs w:val="21"/>
          <w:highlight w:val="none"/>
        </w:rPr>
        <w:t>投标文件、签订合同和处理有关事宜，其法律后果由我方承担。</w:t>
      </w:r>
    </w:p>
    <w:p>
      <w:pPr>
        <w:spacing w:before="3" w:line="365" w:lineRule="auto"/>
        <w:rPr>
          <w:rFonts w:hint="eastAsia" w:ascii="宋体" w:hAnsi="宋体" w:cs="宋体"/>
          <w:color w:val="auto"/>
          <w:sz w:val="21"/>
          <w:szCs w:val="21"/>
          <w:highlight w:val="none"/>
          <w:u w:val="single"/>
        </w:rPr>
      </w:pPr>
      <w:r>
        <w:rPr>
          <w:rFonts w:hint="eastAsia" w:ascii="宋体" w:hAnsi="宋体" w:cs="宋体"/>
          <w:color w:val="auto"/>
          <w:sz w:val="21"/>
          <w:szCs w:val="21"/>
          <w:highlight w:val="none"/>
        </w:rPr>
        <w:t>委托期限：</w:t>
      </w:r>
      <w:r>
        <w:rPr>
          <w:rFonts w:hint="eastAsia" w:ascii="宋体" w:hAnsi="宋体" w:cs="宋体"/>
          <w:color w:val="auto"/>
          <w:sz w:val="21"/>
          <w:szCs w:val="21"/>
          <w:highlight w:val="none"/>
          <w:u w:val="single"/>
        </w:rPr>
        <w:t>自本委托书签署之日起至投标有效期满</w:t>
      </w:r>
    </w:p>
    <w:p>
      <w:pPr>
        <w:spacing w:before="3" w:line="364"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代理人无转委托权。</w:t>
      </w:r>
    </w:p>
    <w:p>
      <w:pPr>
        <w:spacing w:before="2"/>
        <w:rPr>
          <w:rFonts w:hint="eastAsia" w:ascii="宋体" w:hAnsi="宋体" w:cs="宋体"/>
          <w:color w:val="auto"/>
          <w:sz w:val="21"/>
          <w:szCs w:val="21"/>
          <w:highlight w:val="none"/>
        </w:rPr>
      </w:pPr>
      <w:r>
        <w:rPr>
          <w:rFonts w:hint="eastAsia" w:ascii="宋体" w:hAnsi="宋体" w:cs="宋体"/>
          <w:color w:val="auto"/>
          <w:sz w:val="21"/>
          <w:szCs w:val="21"/>
          <w:highlight w:val="none"/>
        </w:rPr>
        <w:t>附：法定代表人身份证复印件（双面）及委托代理人身份证复印件（双面）</w:t>
      </w:r>
    </w:p>
    <w:p>
      <w:pPr>
        <w:pStyle w:val="12"/>
        <w:rPr>
          <w:rFonts w:hint="eastAsia" w:ascii="宋体" w:hAnsi="宋体" w:eastAsia="宋体" w:cs="宋体"/>
          <w:color w:val="auto"/>
          <w:sz w:val="24"/>
          <w:highlight w:val="none"/>
        </w:rPr>
      </w:pPr>
    </w:p>
    <w:p>
      <w:pPr>
        <w:pStyle w:val="12"/>
        <w:spacing w:before="10"/>
        <w:rPr>
          <w:rFonts w:hint="eastAsia" w:ascii="宋体" w:hAnsi="宋体" w:eastAsia="宋体" w:cs="宋体"/>
          <w:color w:val="auto"/>
          <w:sz w:val="24"/>
          <w:highlight w:val="none"/>
        </w:rPr>
      </w:pPr>
    </w:p>
    <w:p>
      <w:pPr>
        <w:tabs>
          <w:tab w:val="left" w:pos="7631"/>
          <w:tab w:val="left" w:pos="7752"/>
          <w:tab w:val="left" w:pos="9007"/>
        </w:tabs>
        <w:spacing w:line="393" w:lineRule="auto"/>
        <w:ind w:firstLine="3780" w:firstLineChars="18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投标人：</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 xml:space="preserve">（盖单位章） </w:t>
      </w:r>
    </w:p>
    <w:p>
      <w:pPr>
        <w:tabs>
          <w:tab w:val="left" w:pos="7631"/>
          <w:tab w:val="left" w:pos="7752"/>
          <w:tab w:val="left" w:pos="9007"/>
        </w:tabs>
        <w:spacing w:line="393" w:lineRule="auto"/>
        <w:ind w:firstLine="3780" w:firstLineChars="18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法定代表人：</w:t>
      </w:r>
      <w:r>
        <w:rPr>
          <w:rFonts w:hint="eastAsia" w:ascii="宋体" w:hAnsi="宋体" w:cs="宋体"/>
          <w:color w:val="auto"/>
          <w:sz w:val="21"/>
          <w:szCs w:val="21"/>
          <w:highlight w:val="none"/>
          <w:u w:val="single"/>
        </w:rPr>
        <w:t xml:space="preserve">                </w:t>
      </w:r>
      <w:r>
        <w:rPr>
          <w:rFonts w:hint="eastAsia" w:ascii="宋体" w:hAnsi="宋体" w:cs="宋体"/>
          <w:bCs/>
          <w:color w:val="auto"/>
          <w:sz w:val="21"/>
          <w:szCs w:val="21"/>
          <w:highlight w:val="none"/>
        </w:rPr>
        <w:t>（签字或签章）</w:t>
      </w:r>
      <w:r>
        <w:rPr>
          <w:rFonts w:hint="eastAsia" w:ascii="宋体" w:hAnsi="宋体" w:cs="宋体"/>
          <w:color w:val="auto"/>
          <w:sz w:val="21"/>
          <w:szCs w:val="21"/>
          <w:highlight w:val="none"/>
        </w:rPr>
        <w:t xml:space="preserve"> </w:t>
      </w:r>
    </w:p>
    <w:p>
      <w:pPr>
        <w:tabs>
          <w:tab w:val="left" w:pos="7631"/>
          <w:tab w:val="left" w:pos="7752"/>
          <w:tab w:val="left" w:pos="9007"/>
        </w:tabs>
        <w:spacing w:line="393" w:lineRule="auto"/>
        <w:ind w:firstLine="3780" w:firstLineChars="18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身份证号码：</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 xml:space="preserve">  </w:t>
      </w:r>
    </w:p>
    <w:p>
      <w:pPr>
        <w:tabs>
          <w:tab w:val="left" w:pos="7631"/>
          <w:tab w:val="left" w:pos="8407"/>
        </w:tabs>
        <w:spacing w:line="381" w:lineRule="auto"/>
        <w:ind w:firstLine="3780" w:firstLineChars="18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委托代理人：</w:t>
      </w:r>
      <w:r>
        <w:rPr>
          <w:rFonts w:hint="eastAsia" w:ascii="宋体" w:hAnsi="宋体" w:cs="宋体"/>
          <w:color w:val="auto"/>
          <w:sz w:val="21"/>
          <w:szCs w:val="21"/>
          <w:highlight w:val="none"/>
          <w:u w:val="single"/>
        </w:rPr>
        <w:t xml:space="preserve">                </w:t>
      </w:r>
      <w:r>
        <w:rPr>
          <w:rFonts w:hint="eastAsia" w:ascii="宋体" w:hAnsi="宋体" w:cs="宋体"/>
          <w:bCs/>
          <w:color w:val="auto"/>
          <w:sz w:val="21"/>
          <w:szCs w:val="21"/>
          <w:highlight w:val="none"/>
        </w:rPr>
        <w:t>（签字</w:t>
      </w:r>
      <w:r>
        <w:rPr>
          <w:rFonts w:hint="eastAsia" w:ascii="宋体" w:hAnsi="宋体" w:cs="宋体"/>
          <w:bCs/>
          <w:color w:val="auto"/>
          <w:sz w:val="21"/>
          <w:szCs w:val="21"/>
          <w:highlight w:val="none"/>
          <w:lang w:val="en-US" w:eastAsia="zh-CN"/>
        </w:rPr>
        <w:t>或签章</w:t>
      </w:r>
      <w:r>
        <w:rPr>
          <w:rFonts w:hint="eastAsia" w:ascii="宋体" w:hAnsi="宋体" w:cs="宋体"/>
          <w:bCs/>
          <w:color w:val="auto"/>
          <w:sz w:val="21"/>
          <w:szCs w:val="21"/>
          <w:highlight w:val="none"/>
        </w:rPr>
        <w:t>）</w:t>
      </w:r>
      <w:r>
        <w:rPr>
          <w:rFonts w:hint="eastAsia" w:ascii="宋体" w:hAnsi="宋体" w:cs="宋体"/>
          <w:color w:val="auto"/>
          <w:sz w:val="21"/>
          <w:szCs w:val="21"/>
          <w:highlight w:val="none"/>
        </w:rPr>
        <w:t xml:space="preserve"> </w:t>
      </w:r>
    </w:p>
    <w:p>
      <w:pPr>
        <w:tabs>
          <w:tab w:val="left" w:pos="7631"/>
          <w:tab w:val="left" w:pos="8407"/>
        </w:tabs>
        <w:spacing w:line="381" w:lineRule="auto"/>
        <w:ind w:firstLine="3780" w:firstLineChars="1800"/>
        <w:jc w:val="left"/>
        <w:rPr>
          <w:rFonts w:ascii="宋体" w:hAnsi="宋体" w:cs="宋体"/>
          <w:color w:val="auto"/>
          <w:sz w:val="21"/>
          <w:szCs w:val="21"/>
          <w:highlight w:val="none"/>
        </w:rPr>
      </w:pPr>
      <w:r>
        <w:rPr>
          <w:rFonts w:hint="eastAsia" w:ascii="宋体" w:hAnsi="宋体" w:cs="宋体"/>
          <w:color w:val="auto"/>
          <w:sz w:val="21"/>
          <w:szCs w:val="21"/>
          <w:highlight w:val="none"/>
        </w:rPr>
        <w:t>身份证号码：</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 xml:space="preserve">       </w:t>
      </w:r>
    </w:p>
    <w:p>
      <w:pPr>
        <w:tabs>
          <w:tab w:val="left" w:pos="6318"/>
          <w:tab w:val="left" w:pos="7278"/>
          <w:tab w:val="left" w:pos="8239"/>
        </w:tabs>
        <w:spacing w:before="74"/>
        <w:jc w:val="right"/>
        <w:rPr>
          <w:rFonts w:hint="eastAsia" w:ascii="宋体" w:hAnsi="宋体" w:cs="宋体"/>
          <w:color w:val="auto"/>
          <w:sz w:val="21"/>
          <w:szCs w:val="21"/>
          <w:highlight w:val="none"/>
        </w:rPr>
      </w:pP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年</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月</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日</w:t>
      </w:r>
    </w:p>
    <w:p>
      <w:pPr>
        <w:tabs>
          <w:tab w:val="left" w:pos="6318"/>
          <w:tab w:val="left" w:pos="7278"/>
          <w:tab w:val="left" w:pos="8239"/>
        </w:tabs>
        <w:spacing w:before="74"/>
        <w:ind w:left="7000" w:leftChars="2500"/>
        <w:jc w:val="right"/>
        <w:rPr>
          <w:rFonts w:hint="eastAsia" w:ascii="宋体" w:hAnsi="宋体" w:cs="宋体"/>
          <w:color w:val="auto"/>
          <w:sz w:val="24"/>
          <w:highlight w:val="none"/>
        </w:rPr>
      </w:pPr>
    </w:p>
    <w:p>
      <w:pPr>
        <w:spacing w:line="360" w:lineRule="auto"/>
        <w:jc w:val="left"/>
        <w:rPr>
          <w:rFonts w:hint="eastAsia" w:ascii="宋体" w:hAnsi="宋体" w:cs="宋体"/>
          <w:color w:val="auto"/>
          <w:sz w:val="21"/>
          <w:szCs w:val="21"/>
          <w:highlight w:val="none"/>
        </w:rPr>
      </w:pPr>
    </w:p>
    <w:p>
      <w:pPr>
        <w:spacing w:line="360" w:lineRule="auto"/>
        <w:jc w:val="right"/>
        <w:rPr>
          <w:color w:val="auto"/>
          <w:sz w:val="24"/>
          <w:highlight w:val="none"/>
        </w:rPr>
      </w:pPr>
    </w:p>
    <w:p>
      <w:pPr>
        <w:spacing w:line="360" w:lineRule="auto"/>
        <w:jc w:val="center"/>
        <w:rPr>
          <w:color w:val="auto"/>
          <w:sz w:val="21"/>
          <w:szCs w:val="21"/>
          <w:highlight w:val="none"/>
        </w:rPr>
      </w:pPr>
    </w:p>
    <w:p>
      <w:pPr>
        <w:spacing w:line="360" w:lineRule="auto"/>
        <w:jc w:val="center"/>
        <w:rPr>
          <w:color w:val="auto"/>
          <w:sz w:val="21"/>
          <w:szCs w:val="21"/>
          <w:highlight w:val="none"/>
        </w:rPr>
      </w:pPr>
    </w:p>
    <w:p>
      <w:pPr>
        <w:spacing w:line="360" w:lineRule="auto"/>
        <w:jc w:val="center"/>
        <w:rPr>
          <w:color w:val="auto"/>
          <w:sz w:val="21"/>
          <w:szCs w:val="21"/>
          <w:highlight w:val="none"/>
        </w:rPr>
      </w:pPr>
    </w:p>
    <w:p>
      <w:pPr>
        <w:spacing w:line="360" w:lineRule="auto"/>
        <w:jc w:val="center"/>
        <w:rPr>
          <w:color w:val="auto"/>
          <w:sz w:val="21"/>
          <w:szCs w:val="21"/>
          <w:highlight w:val="none"/>
        </w:rPr>
      </w:pPr>
    </w:p>
    <w:p>
      <w:pPr>
        <w:spacing w:line="360" w:lineRule="auto"/>
        <w:jc w:val="center"/>
        <w:rPr>
          <w:color w:val="auto"/>
          <w:sz w:val="21"/>
          <w:szCs w:val="21"/>
          <w:highlight w:val="none"/>
        </w:rPr>
      </w:pPr>
    </w:p>
    <w:p>
      <w:pPr>
        <w:spacing w:line="360" w:lineRule="auto"/>
        <w:jc w:val="center"/>
        <w:rPr>
          <w:color w:val="auto"/>
          <w:sz w:val="21"/>
          <w:szCs w:val="21"/>
          <w:highlight w:val="none"/>
        </w:rPr>
      </w:pPr>
    </w:p>
    <w:p>
      <w:pPr>
        <w:spacing w:line="360" w:lineRule="auto"/>
        <w:jc w:val="center"/>
        <w:rPr>
          <w:color w:val="auto"/>
          <w:sz w:val="21"/>
          <w:szCs w:val="21"/>
          <w:highlight w:val="none"/>
        </w:rPr>
      </w:pPr>
    </w:p>
    <w:p>
      <w:pPr>
        <w:spacing w:line="360" w:lineRule="auto"/>
        <w:jc w:val="center"/>
        <w:rPr>
          <w:color w:val="auto"/>
          <w:sz w:val="21"/>
          <w:szCs w:val="21"/>
          <w:highlight w:val="none"/>
        </w:rPr>
      </w:pPr>
    </w:p>
    <w:p>
      <w:pPr>
        <w:jc w:val="both"/>
        <w:rPr>
          <w:rFonts w:hint="eastAsia" w:ascii="宋体" w:hAnsi="宋体" w:cs="宋体"/>
          <w:color w:val="auto"/>
          <w:sz w:val="21"/>
          <w:szCs w:val="21"/>
          <w:highlight w:val="none"/>
        </w:rPr>
      </w:pPr>
      <w:r>
        <w:rPr>
          <w:rFonts w:ascii="宋体" w:hAnsi="宋体"/>
          <w:b w:val="0"/>
          <w:color w:val="auto"/>
          <w:highlight w:val="none"/>
        </w:rPr>
        <w:br w:type="page"/>
      </w:r>
      <w:bookmarkStart w:id="164" w:name="_Toc372633024"/>
      <w:bookmarkStart w:id="165" w:name="_Toc33625866"/>
      <w:bookmarkStart w:id="166" w:name="_Toc436730372"/>
    </w:p>
    <w:p>
      <w:pPr>
        <w:spacing w:line="380" w:lineRule="exact"/>
        <w:jc w:val="center"/>
        <w:rPr>
          <w:rFonts w:ascii="宋体" w:hAnsi="宋体" w:cs="宋体"/>
          <w:b/>
          <w:color w:val="auto"/>
          <w:sz w:val="30"/>
          <w:szCs w:val="30"/>
          <w:highlight w:val="none"/>
        </w:rPr>
        <w:sectPr>
          <w:pgSz w:w="11906" w:h="16838"/>
          <w:pgMar w:top="1361" w:right="1361" w:bottom="1361" w:left="1361" w:header="851" w:footer="964" w:gutter="0"/>
          <w:cols w:space="720" w:num="1"/>
          <w:titlePg/>
          <w:docGrid w:type="lines" w:linePitch="312" w:charSpace="0"/>
        </w:sectPr>
      </w:pPr>
    </w:p>
    <w:bookmarkEnd w:id="162"/>
    <w:bookmarkEnd w:id="163"/>
    <w:bookmarkEnd w:id="164"/>
    <w:bookmarkEnd w:id="165"/>
    <w:bookmarkEnd w:id="166"/>
    <w:p>
      <w:pPr>
        <w:pStyle w:val="88"/>
        <w:numPr>
          <w:ilvl w:val="0"/>
          <w:numId w:val="0"/>
        </w:numPr>
        <w:spacing w:before="120" w:beforeLines="50" w:after="120" w:afterLines="50" w:line="360" w:lineRule="auto"/>
        <w:ind w:leftChars="0"/>
        <w:jc w:val="center"/>
        <w:rPr>
          <w:color w:val="auto"/>
          <w:highlight w:val="none"/>
        </w:rPr>
      </w:pPr>
      <w:bookmarkStart w:id="167" w:name="_Toc33625867"/>
      <w:r>
        <w:rPr>
          <w:rFonts w:hint="eastAsia" w:ascii="宋体" w:hAnsi="宋体"/>
          <w:b/>
          <w:bCs w:val="0"/>
          <w:color w:val="auto"/>
          <w:highlight w:val="none"/>
          <w:lang w:val="en-US" w:eastAsia="zh-CN"/>
        </w:rPr>
        <w:t>三、</w:t>
      </w:r>
      <w:r>
        <w:rPr>
          <w:rFonts w:hint="eastAsia"/>
          <w:b/>
          <w:bCs w:val="0"/>
          <w:color w:val="auto"/>
          <w:highlight w:val="none"/>
        </w:rPr>
        <w:t>资格审查资料</w:t>
      </w:r>
      <w:bookmarkEnd w:id="167"/>
    </w:p>
    <w:p>
      <w:pPr>
        <w:spacing w:line="360" w:lineRule="auto"/>
        <w:ind w:firstLine="539" w:firstLineChars="257"/>
        <w:rPr>
          <w:rFonts w:hint="eastAsia" w:ascii="宋体" w:hAnsi="宋体" w:cs="宋体"/>
          <w:color w:val="auto"/>
          <w:sz w:val="21"/>
          <w:szCs w:val="21"/>
          <w:highlight w:val="none"/>
        </w:rPr>
      </w:pPr>
      <w:bookmarkStart w:id="168" w:name="_Toc33625868"/>
    </w:p>
    <w:p>
      <w:pPr>
        <w:spacing w:line="360" w:lineRule="auto"/>
        <w:ind w:firstLine="539" w:firstLineChars="257"/>
        <w:rPr>
          <w:rFonts w:hint="eastAsia" w:ascii="宋体" w:hAnsi="宋体" w:cs="宋体"/>
          <w:color w:val="auto"/>
          <w:sz w:val="21"/>
          <w:szCs w:val="21"/>
          <w:highlight w:val="none"/>
        </w:rPr>
      </w:pPr>
      <w:r>
        <w:rPr>
          <w:rFonts w:hint="eastAsia" w:ascii="宋体" w:hAnsi="宋体" w:cs="宋体"/>
          <w:color w:val="auto"/>
          <w:sz w:val="21"/>
          <w:szCs w:val="21"/>
          <w:highlight w:val="none"/>
        </w:rPr>
        <w:t>表1 企业信息基本表</w:t>
      </w:r>
    </w:p>
    <w:p>
      <w:pPr>
        <w:spacing w:line="360" w:lineRule="auto"/>
        <w:ind w:firstLine="539" w:firstLineChars="257"/>
        <w:rPr>
          <w:rFonts w:hint="eastAsia" w:ascii="宋体" w:hAnsi="宋体" w:cs="宋体"/>
          <w:color w:val="auto"/>
          <w:sz w:val="21"/>
          <w:szCs w:val="21"/>
          <w:highlight w:val="none"/>
        </w:rPr>
      </w:pPr>
      <w:r>
        <w:rPr>
          <w:rFonts w:hint="eastAsia" w:ascii="宋体" w:hAnsi="宋体" w:cs="宋体"/>
          <w:color w:val="auto"/>
          <w:sz w:val="21"/>
          <w:szCs w:val="21"/>
          <w:highlight w:val="none"/>
        </w:rPr>
        <w:t>表2 拟投入本标段主要人员情况表</w:t>
      </w:r>
    </w:p>
    <w:p>
      <w:pPr>
        <w:spacing w:line="360" w:lineRule="auto"/>
        <w:ind w:firstLine="539" w:firstLineChars="257"/>
        <w:rPr>
          <w:rFonts w:hint="eastAsia" w:ascii="宋体" w:hAnsi="宋体" w:cs="宋体"/>
          <w:color w:val="auto"/>
          <w:sz w:val="21"/>
          <w:szCs w:val="21"/>
          <w:highlight w:val="none"/>
        </w:rPr>
      </w:pPr>
      <w:r>
        <w:rPr>
          <w:rFonts w:hint="eastAsia" w:ascii="宋体" w:hAnsi="宋体" w:cs="宋体"/>
          <w:color w:val="auto"/>
          <w:sz w:val="21"/>
          <w:szCs w:val="21"/>
          <w:highlight w:val="none"/>
        </w:rPr>
        <w:t>表3 拟投入本标段主要人员经历表</w:t>
      </w:r>
    </w:p>
    <w:p>
      <w:pPr>
        <w:spacing w:line="360" w:lineRule="auto"/>
        <w:ind w:firstLine="539" w:firstLineChars="257"/>
        <w:rPr>
          <w:rFonts w:hint="eastAsia" w:ascii="宋体" w:hAnsi="宋体" w:cs="宋体"/>
          <w:color w:val="auto"/>
          <w:sz w:val="21"/>
          <w:szCs w:val="21"/>
          <w:highlight w:val="none"/>
        </w:rPr>
      </w:pPr>
      <w:r>
        <w:rPr>
          <w:rFonts w:hint="eastAsia" w:ascii="宋体" w:hAnsi="宋体" w:cs="宋体"/>
          <w:color w:val="auto"/>
          <w:sz w:val="21"/>
          <w:szCs w:val="21"/>
          <w:highlight w:val="none"/>
        </w:rPr>
        <w:t>表4 已完成类似项目表</w:t>
      </w:r>
    </w:p>
    <w:p>
      <w:pPr>
        <w:spacing w:line="360" w:lineRule="auto"/>
        <w:ind w:firstLine="539" w:firstLineChars="257"/>
        <w:rPr>
          <w:rFonts w:hint="eastAsia" w:ascii="宋体" w:hAnsi="宋体" w:cs="宋体"/>
          <w:color w:val="auto"/>
          <w:sz w:val="21"/>
          <w:szCs w:val="21"/>
          <w:highlight w:val="none"/>
        </w:rPr>
      </w:pPr>
      <w:r>
        <w:rPr>
          <w:rFonts w:hint="eastAsia" w:ascii="宋体" w:hAnsi="宋体" w:cs="宋体"/>
          <w:color w:val="auto"/>
          <w:sz w:val="21"/>
          <w:szCs w:val="21"/>
          <w:highlight w:val="none"/>
        </w:rPr>
        <w:t>表5 申请人(投标人)与其他单位存在控股、管理关系</w:t>
      </w:r>
    </w:p>
    <w:p>
      <w:pPr>
        <w:spacing w:line="360" w:lineRule="auto"/>
        <w:ind w:firstLine="491" w:firstLineChars="233"/>
        <w:rPr>
          <w:rFonts w:hint="eastAsia" w:ascii="宋体" w:hAnsi="宋体" w:cs="宋体"/>
          <w:b/>
          <w:bCs/>
          <w:color w:val="auto"/>
          <w:kern w:val="0"/>
          <w:sz w:val="21"/>
          <w:szCs w:val="21"/>
          <w:highlight w:val="none"/>
        </w:rPr>
      </w:pPr>
    </w:p>
    <w:p>
      <w:pPr>
        <w:wordWrap w:val="0"/>
        <w:snapToGrid w:val="0"/>
        <w:spacing w:before="120" w:beforeLines="50" w:after="120" w:afterLines="50"/>
        <w:jc w:val="center"/>
        <w:rPr>
          <w:rFonts w:hint="eastAsia" w:ascii="宋体" w:hAnsi="宋体" w:cs="宋体"/>
          <w:b/>
          <w:color w:val="auto"/>
          <w:kern w:val="0"/>
          <w:sz w:val="21"/>
          <w:szCs w:val="21"/>
          <w:highlight w:val="none"/>
          <w:u w:val="single"/>
        </w:rPr>
        <w:sectPr>
          <w:pgSz w:w="11907" w:h="16840"/>
          <w:pgMar w:top="1418" w:right="1474" w:bottom="1247" w:left="1588" w:header="851" w:footer="711" w:gutter="0"/>
          <w:paperSrc w:first="7" w:other="7"/>
          <w:pgNumType w:fmt="decimal"/>
          <w:cols w:space="720" w:num="1"/>
          <w:docGrid w:linePitch="312" w:charSpace="0"/>
        </w:sectPr>
      </w:pPr>
    </w:p>
    <w:p>
      <w:pPr>
        <w:wordWrap w:val="0"/>
        <w:snapToGrid w:val="0"/>
        <w:spacing w:before="120" w:beforeLines="50" w:after="120" w:afterLines="50"/>
        <w:jc w:val="center"/>
        <w:outlineLvl w:val="2"/>
        <w:rPr>
          <w:rFonts w:hint="eastAsia" w:ascii="宋体" w:hAnsi="宋体" w:cs="宋体"/>
          <w:b/>
          <w:color w:val="auto"/>
          <w:kern w:val="0"/>
          <w:sz w:val="24"/>
          <w:highlight w:val="none"/>
        </w:rPr>
      </w:pPr>
      <w:r>
        <w:rPr>
          <w:rFonts w:hint="eastAsia" w:ascii="宋体" w:hAnsi="宋体" w:cs="宋体"/>
          <w:b/>
          <w:color w:val="auto"/>
          <w:kern w:val="0"/>
          <w:sz w:val="24"/>
          <w:highlight w:val="none"/>
        </w:rPr>
        <w:t>表1 企业信息基本表</w:t>
      </w:r>
    </w:p>
    <w:tbl>
      <w:tblPr>
        <w:tblStyle w:val="30"/>
        <w:tblW w:w="9366" w:type="dxa"/>
        <w:jc w:val="center"/>
        <w:tblLayout w:type="fixed"/>
        <w:tblCellMar>
          <w:top w:w="0" w:type="dxa"/>
          <w:left w:w="108" w:type="dxa"/>
          <w:bottom w:w="0" w:type="dxa"/>
          <w:right w:w="108" w:type="dxa"/>
        </w:tblCellMar>
      </w:tblPr>
      <w:tblGrid>
        <w:gridCol w:w="2266"/>
        <w:gridCol w:w="987"/>
        <w:gridCol w:w="2328"/>
        <w:gridCol w:w="854"/>
        <w:gridCol w:w="1951"/>
        <w:gridCol w:w="980"/>
      </w:tblGrid>
      <w:tr>
        <w:tblPrEx>
          <w:tblCellMar>
            <w:top w:w="0" w:type="dxa"/>
            <w:left w:w="108" w:type="dxa"/>
            <w:bottom w:w="0" w:type="dxa"/>
            <w:right w:w="108" w:type="dxa"/>
          </w:tblCellMar>
        </w:tblPrEx>
        <w:trPr>
          <w:trHeight w:val="20" w:hRule="atLeast"/>
          <w:jc w:val="center"/>
        </w:trPr>
        <w:tc>
          <w:tcPr>
            <w:tcW w:w="226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申请人全称：</w:t>
            </w:r>
          </w:p>
        </w:tc>
        <w:tc>
          <w:tcPr>
            <w:tcW w:w="7100" w:type="dxa"/>
            <w:gridSpan w:val="5"/>
            <w:tcBorders>
              <w:top w:val="single" w:color="000000" w:sz="4" w:space="0"/>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p>
        </w:tc>
      </w:tr>
      <w:tr>
        <w:tblPrEx>
          <w:tblCellMar>
            <w:top w:w="0" w:type="dxa"/>
            <w:left w:w="108" w:type="dxa"/>
            <w:bottom w:w="0" w:type="dxa"/>
            <w:right w:w="108" w:type="dxa"/>
          </w:tblCellMar>
        </w:tblPrEx>
        <w:trPr>
          <w:trHeight w:val="20" w:hRule="atLeast"/>
          <w:jc w:val="center"/>
        </w:trPr>
        <w:tc>
          <w:tcPr>
            <w:tcW w:w="2266" w:type="dxa"/>
            <w:tcBorders>
              <w:top w:val="nil"/>
              <w:left w:val="single" w:color="000000" w:sz="4" w:space="0"/>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主要业务：</w:t>
            </w:r>
          </w:p>
        </w:tc>
        <w:tc>
          <w:tcPr>
            <w:tcW w:w="7100" w:type="dxa"/>
            <w:gridSpan w:val="5"/>
            <w:tcBorders>
              <w:top w:val="single" w:color="000000" w:sz="4" w:space="0"/>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p>
        </w:tc>
      </w:tr>
      <w:tr>
        <w:tblPrEx>
          <w:tblCellMar>
            <w:top w:w="0" w:type="dxa"/>
            <w:left w:w="108" w:type="dxa"/>
            <w:bottom w:w="0" w:type="dxa"/>
            <w:right w:w="108" w:type="dxa"/>
          </w:tblCellMar>
        </w:tblPrEx>
        <w:trPr>
          <w:trHeight w:val="20" w:hRule="atLeast"/>
          <w:jc w:val="center"/>
        </w:trPr>
        <w:tc>
          <w:tcPr>
            <w:tcW w:w="2266" w:type="dxa"/>
            <w:tcBorders>
              <w:top w:val="nil"/>
              <w:left w:val="single" w:color="000000" w:sz="4" w:space="0"/>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营业范围：</w:t>
            </w:r>
          </w:p>
        </w:tc>
        <w:tc>
          <w:tcPr>
            <w:tcW w:w="7100" w:type="dxa"/>
            <w:gridSpan w:val="5"/>
            <w:tcBorders>
              <w:top w:val="single" w:color="000000" w:sz="4" w:space="0"/>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p>
        </w:tc>
      </w:tr>
      <w:tr>
        <w:tblPrEx>
          <w:tblCellMar>
            <w:top w:w="0" w:type="dxa"/>
            <w:left w:w="108" w:type="dxa"/>
            <w:bottom w:w="0" w:type="dxa"/>
            <w:right w:w="108" w:type="dxa"/>
          </w:tblCellMar>
        </w:tblPrEx>
        <w:trPr>
          <w:trHeight w:val="20" w:hRule="atLeast"/>
          <w:jc w:val="center"/>
        </w:trPr>
        <w:tc>
          <w:tcPr>
            <w:tcW w:w="2266" w:type="dxa"/>
            <w:tcBorders>
              <w:top w:val="nil"/>
              <w:left w:val="single" w:color="000000" w:sz="4" w:space="0"/>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统一社会信用代码：</w:t>
            </w:r>
          </w:p>
        </w:tc>
        <w:tc>
          <w:tcPr>
            <w:tcW w:w="987"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p>
        </w:tc>
        <w:tc>
          <w:tcPr>
            <w:tcW w:w="2328"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注册资本(元)：</w:t>
            </w:r>
          </w:p>
        </w:tc>
        <w:tc>
          <w:tcPr>
            <w:tcW w:w="3785" w:type="dxa"/>
            <w:gridSpan w:val="3"/>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p>
        </w:tc>
      </w:tr>
      <w:tr>
        <w:tblPrEx>
          <w:tblCellMar>
            <w:top w:w="0" w:type="dxa"/>
            <w:left w:w="108" w:type="dxa"/>
            <w:bottom w:w="0" w:type="dxa"/>
            <w:right w:w="108" w:type="dxa"/>
          </w:tblCellMar>
        </w:tblPrEx>
        <w:trPr>
          <w:trHeight w:val="20" w:hRule="atLeast"/>
          <w:jc w:val="center"/>
        </w:trPr>
        <w:tc>
          <w:tcPr>
            <w:tcW w:w="2266" w:type="dxa"/>
            <w:tcBorders>
              <w:top w:val="nil"/>
              <w:left w:val="single" w:color="000000" w:sz="4" w:space="0"/>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建立日期：</w:t>
            </w:r>
          </w:p>
        </w:tc>
        <w:tc>
          <w:tcPr>
            <w:tcW w:w="987"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p>
        </w:tc>
        <w:tc>
          <w:tcPr>
            <w:tcW w:w="2328"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现有职工总人数(人)：</w:t>
            </w:r>
          </w:p>
        </w:tc>
        <w:tc>
          <w:tcPr>
            <w:tcW w:w="3785" w:type="dxa"/>
            <w:gridSpan w:val="3"/>
            <w:tcBorders>
              <w:top w:val="single" w:color="000000" w:sz="4" w:space="0"/>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p>
        </w:tc>
      </w:tr>
      <w:tr>
        <w:tblPrEx>
          <w:tblCellMar>
            <w:top w:w="0" w:type="dxa"/>
            <w:left w:w="108" w:type="dxa"/>
            <w:bottom w:w="0" w:type="dxa"/>
            <w:right w:w="108" w:type="dxa"/>
          </w:tblCellMar>
        </w:tblPrEx>
        <w:trPr>
          <w:trHeight w:val="20" w:hRule="atLeast"/>
          <w:jc w:val="center"/>
        </w:trPr>
        <w:tc>
          <w:tcPr>
            <w:tcW w:w="2266" w:type="dxa"/>
            <w:tcBorders>
              <w:top w:val="nil"/>
              <w:left w:val="single" w:color="000000" w:sz="4" w:space="0"/>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办公地址：</w:t>
            </w:r>
          </w:p>
        </w:tc>
        <w:tc>
          <w:tcPr>
            <w:tcW w:w="4169" w:type="dxa"/>
            <w:gridSpan w:val="3"/>
            <w:tcBorders>
              <w:top w:val="single" w:color="000000" w:sz="4" w:space="0"/>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p>
        </w:tc>
        <w:tc>
          <w:tcPr>
            <w:tcW w:w="1951"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邮编：</w:t>
            </w:r>
          </w:p>
        </w:tc>
        <w:tc>
          <w:tcPr>
            <w:tcW w:w="980"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p>
        </w:tc>
      </w:tr>
      <w:tr>
        <w:tblPrEx>
          <w:tblCellMar>
            <w:top w:w="0" w:type="dxa"/>
            <w:left w:w="108" w:type="dxa"/>
            <w:bottom w:w="0" w:type="dxa"/>
            <w:right w:w="108" w:type="dxa"/>
          </w:tblCellMar>
        </w:tblPrEx>
        <w:trPr>
          <w:trHeight w:val="20" w:hRule="atLeast"/>
          <w:jc w:val="center"/>
        </w:trPr>
        <w:tc>
          <w:tcPr>
            <w:tcW w:w="2266" w:type="dxa"/>
            <w:tcBorders>
              <w:top w:val="nil"/>
              <w:left w:val="single" w:color="000000" w:sz="4" w:space="0"/>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联系电话：</w:t>
            </w:r>
          </w:p>
        </w:tc>
        <w:tc>
          <w:tcPr>
            <w:tcW w:w="987"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p>
        </w:tc>
        <w:tc>
          <w:tcPr>
            <w:tcW w:w="2328"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传真：</w:t>
            </w:r>
          </w:p>
        </w:tc>
        <w:tc>
          <w:tcPr>
            <w:tcW w:w="3785" w:type="dxa"/>
            <w:gridSpan w:val="3"/>
            <w:tcBorders>
              <w:top w:val="single" w:color="000000" w:sz="4" w:space="0"/>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p>
        </w:tc>
      </w:tr>
      <w:tr>
        <w:tblPrEx>
          <w:tblCellMar>
            <w:top w:w="0" w:type="dxa"/>
            <w:left w:w="108" w:type="dxa"/>
            <w:bottom w:w="0" w:type="dxa"/>
            <w:right w:w="108" w:type="dxa"/>
          </w:tblCellMar>
        </w:tblPrEx>
        <w:trPr>
          <w:trHeight w:val="20" w:hRule="atLeast"/>
          <w:jc w:val="center"/>
        </w:trPr>
        <w:tc>
          <w:tcPr>
            <w:tcW w:w="2266" w:type="dxa"/>
            <w:tcBorders>
              <w:top w:val="nil"/>
              <w:left w:val="single" w:color="000000" w:sz="4" w:space="0"/>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法人代表姓名：</w:t>
            </w:r>
          </w:p>
        </w:tc>
        <w:tc>
          <w:tcPr>
            <w:tcW w:w="987"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p>
        </w:tc>
        <w:tc>
          <w:tcPr>
            <w:tcW w:w="2328"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职务：</w:t>
            </w:r>
          </w:p>
        </w:tc>
        <w:tc>
          <w:tcPr>
            <w:tcW w:w="854"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p>
        </w:tc>
        <w:tc>
          <w:tcPr>
            <w:tcW w:w="1951"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联系电话：</w:t>
            </w:r>
          </w:p>
        </w:tc>
        <w:tc>
          <w:tcPr>
            <w:tcW w:w="980"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p>
        </w:tc>
      </w:tr>
      <w:tr>
        <w:tblPrEx>
          <w:tblCellMar>
            <w:top w:w="0" w:type="dxa"/>
            <w:left w:w="108" w:type="dxa"/>
            <w:bottom w:w="0" w:type="dxa"/>
            <w:right w:w="108" w:type="dxa"/>
          </w:tblCellMar>
        </w:tblPrEx>
        <w:trPr>
          <w:trHeight w:val="20" w:hRule="atLeast"/>
          <w:jc w:val="center"/>
        </w:trPr>
        <w:tc>
          <w:tcPr>
            <w:tcW w:w="2266" w:type="dxa"/>
            <w:tcBorders>
              <w:top w:val="nil"/>
              <w:left w:val="single" w:color="000000" w:sz="4" w:space="0"/>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技术负责人姓名：</w:t>
            </w:r>
          </w:p>
        </w:tc>
        <w:tc>
          <w:tcPr>
            <w:tcW w:w="987"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p>
        </w:tc>
        <w:tc>
          <w:tcPr>
            <w:tcW w:w="2328"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技术负责人职务：</w:t>
            </w:r>
          </w:p>
        </w:tc>
        <w:tc>
          <w:tcPr>
            <w:tcW w:w="854"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p>
        </w:tc>
        <w:tc>
          <w:tcPr>
            <w:tcW w:w="1951"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技术负责人电话：</w:t>
            </w:r>
          </w:p>
        </w:tc>
        <w:tc>
          <w:tcPr>
            <w:tcW w:w="980"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p>
        </w:tc>
      </w:tr>
      <w:tr>
        <w:trPr>
          <w:trHeight w:val="20" w:hRule="atLeast"/>
          <w:jc w:val="center"/>
        </w:trPr>
        <w:tc>
          <w:tcPr>
            <w:tcW w:w="2266" w:type="dxa"/>
            <w:tcBorders>
              <w:top w:val="nil"/>
              <w:left w:val="single" w:color="000000" w:sz="4" w:space="0"/>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联系人姓名：</w:t>
            </w:r>
          </w:p>
        </w:tc>
        <w:tc>
          <w:tcPr>
            <w:tcW w:w="987"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p>
        </w:tc>
        <w:tc>
          <w:tcPr>
            <w:tcW w:w="2328"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联系人职务：</w:t>
            </w:r>
          </w:p>
        </w:tc>
        <w:tc>
          <w:tcPr>
            <w:tcW w:w="854"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p>
        </w:tc>
        <w:tc>
          <w:tcPr>
            <w:tcW w:w="1951"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联系人电话：</w:t>
            </w:r>
          </w:p>
        </w:tc>
        <w:tc>
          <w:tcPr>
            <w:tcW w:w="980"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p>
        </w:tc>
      </w:tr>
      <w:tr>
        <w:tblPrEx>
          <w:tblCellMar>
            <w:top w:w="0" w:type="dxa"/>
            <w:left w:w="108" w:type="dxa"/>
            <w:bottom w:w="0" w:type="dxa"/>
            <w:right w:w="108" w:type="dxa"/>
          </w:tblCellMar>
        </w:tblPrEx>
        <w:trPr>
          <w:trHeight w:val="20" w:hRule="atLeast"/>
          <w:jc w:val="center"/>
        </w:trPr>
        <w:tc>
          <w:tcPr>
            <w:tcW w:w="2266" w:type="dxa"/>
            <w:tcBorders>
              <w:top w:val="nil"/>
              <w:left w:val="single" w:color="000000" w:sz="4" w:space="0"/>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联系人邮箱：</w:t>
            </w:r>
          </w:p>
        </w:tc>
        <w:tc>
          <w:tcPr>
            <w:tcW w:w="7100" w:type="dxa"/>
            <w:gridSpan w:val="5"/>
            <w:tcBorders>
              <w:top w:val="single" w:color="000000" w:sz="4" w:space="0"/>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p>
        </w:tc>
      </w:tr>
      <w:tr>
        <w:tblPrEx>
          <w:tblCellMar>
            <w:top w:w="0" w:type="dxa"/>
            <w:left w:w="108" w:type="dxa"/>
            <w:bottom w:w="0" w:type="dxa"/>
            <w:right w:w="108" w:type="dxa"/>
          </w:tblCellMar>
        </w:tblPrEx>
        <w:trPr>
          <w:trHeight w:val="571" w:hRule="atLeast"/>
          <w:jc w:val="center"/>
        </w:trPr>
        <w:tc>
          <w:tcPr>
            <w:tcW w:w="2266" w:type="dxa"/>
            <w:tcBorders>
              <w:top w:val="nil"/>
              <w:left w:val="single" w:color="000000" w:sz="4" w:space="0"/>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企业资质名称及等级：</w:t>
            </w:r>
          </w:p>
        </w:tc>
        <w:tc>
          <w:tcPr>
            <w:tcW w:w="987"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p>
        </w:tc>
        <w:tc>
          <w:tcPr>
            <w:tcW w:w="2328"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企业资质证书号：</w:t>
            </w:r>
          </w:p>
        </w:tc>
        <w:tc>
          <w:tcPr>
            <w:tcW w:w="854"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p>
        </w:tc>
        <w:tc>
          <w:tcPr>
            <w:tcW w:w="1951"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企业资质有效期：</w:t>
            </w:r>
          </w:p>
        </w:tc>
        <w:tc>
          <w:tcPr>
            <w:tcW w:w="980"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p>
        </w:tc>
      </w:tr>
      <w:tr>
        <w:tblPrEx>
          <w:tblCellMar>
            <w:top w:w="0" w:type="dxa"/>
            <w:left w:w="108" w:type="dxa"/>
            <w:bottom w:w="0" w:type="dxa"/>
            <w:right w:w="108" w:type="dxa"/>
          </w:tblCellMar>
        </w:tblPrEx>
        <w:trPr>
          <w:trHeight w:val="571" w:hRule="atLeast"/>
          <w:jc w:val="center"/>
        </w:trPr>
        <w:tc>
          <w:tcPr>
            <w:tcW w:w="2266" w:type="dxa"/>
            <w:tcBorders>
              <w:top w:val="nil"/>
              <w:left w:val="single" w:color="000000" w:sz="4" w:space="0"/>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w:t>
            </w:r>
          </w:p>
        </w:tc>
        <w:tc>
          <w:tcPr>
            <w:tcW w:w="987"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p>
        </w:tc>
        <w:tc>
          <w:tcPr>
            <w:tcW w:w="2328"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w:t>
            </w:r>
          </w:p>
        </w:tc>
        <w:tc>
          <w:tcPr>
            <w:tcW w:w="854"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p>
        </w:tc>
        <w:tc>
          <w:tcPr>
            <w:tcW w:w="1951"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w:t>
            </w:r>
          </w:p>
        </w:tc>
        <w:tc>
          <w:tcPr>
            <w:tcW w:w="980"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p>
        </w:tc>
      </w:tr>
      <w:tr>
        <w:tblPrEx>
          <w:tblCellMar>
            <w:top w:w="0" w:type="dxa"/>
            <w:left w:w="108" w:type="dxa"/>
            <w:bottom w:w="0" w:type="dxa"/>
            <w:right w:w="108" w:type="dxa"/>
          </w:tblCellMar>
        </w:tblPrEx>
        <w:trPr>
          <w:trHeight w:val="20" w:hRule="atLeast"/>
          <w:jc w:val="center"/>
        </w:trPr>
        <w:tc>
          <w:tcPr>
            <w:tcW w:w="2266" w:type="dxa"/>
            <w:tcBorders>
              <w:top w:val="nil"/>
              <w:left w:val="single" w:color="000000" w:sz="4" w:space="0"/>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信用等级</w:t>
            </w:r>
          </w:p>
        </w:tc>
        <w:tc>
          <w:tcPr>
            <w:tcW w:w="7100" w:type="dxa"/>
            <w:gridSpan w:val="5"/>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p>
        </w:tc>
      </w:tr>
      <w:tr>
        <w:tblPrEx>
          <w:tblCellMar>
            <w:top w:w="0" w:type="dxa"/>
            <w:left w:w="108" w:type="dxa"/>
            <w:bottom w:w="0" w:type="dxa"/>
            <w:right w:w="108" w:type="dxa"/>
          </w:tblCellMar>
        </w:tblPrEx>
        <w:trPr>
          <w:trHeight w:val="20" w:hRule="atLeast"/>
          <w:jc w:val="center"/>
        </w:trPr>
        <w:tc>
          <w:tcPr>
            <w:tcW w:w="2266" w:type="dxa"/>
            <w:tcBorders>
              <w:top w:val="nil"/>
              <w:left w:val="single" w:color="000000" w:sz="4" w:space="0"/>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基本户开户行：</w:t>
            </w:r>
          </w:p>
        </w:tc>
        <w:tc>
          <w:tcPr>
            <w:tcW w:w="4169" w:type="dxa"/>
            <w:gridSpan w:val="3"/>
            <w:tcBorders>
              <w:top w:val="single" w:color="000000" w:sz="4" w:space="0"/>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p>
        </w:tc>
        <w:tc>
          <w:tcPr>
            <w:tcW w:w="1951"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基本户户名：</w:t>
            </w:r>
          </w:p>
        </w:tc>
        <w:tc>
          <w:tcPr>
            <w:tcW w:w="980"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p>
        </w:tc>
      </w:tr>
      <w:tr>
        <w:tblPrEx>
          <w:tblCellMar>
            <w:top w:w="0" w:type="dxa"/>
            <w:left w:w="108" w:type="dxa"/>
            <w:bottom w:w="0" w:type="dxa"/>
            <w:right w:w="108" w:type="dxa"/>
          </w:tblCellMar>
        </w:tblPrEx>
        <w:trPr>
          <w:trHeight w:val="20" w:hRule="atLeast"/>
          <w:jc w:val="center"/>
        </w:trPr>
        <w:tc>
          <w:tcPr>
            <w:tcW w:w="2266" w:type="dxa"/>
            <w:tcBorders>
              <w:top w:val="nil"/>
              <w:left w:val="single" w:color="000000" w:sz="4" w:space="0"/>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基本户账号：</w:t>
            </w:r>
          </w:p>
        </w:tc>
        <w:tc>
          <w:tcPr>
            <w:tcW w:w="7100" w:type="dxa"/>
            <w:gridSpan w:val="5"/>
            <w:tcBorders>
              <w:top w:val="single" w:color="000000" w:sz="4" w:space="0"/>
              <w:left w:val="nil"/>
              <w:bottom w:val="single" w:color="000000" w:sz="4" w:space="0"/>
              <w:right w:val="single" w:color="000000" w:sz="4" w:space="0"/>
            </w:tcBorders>
            <w:shd w:val="clear" w:color="000000" w:fill="FFFFFF"/>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 w:val="21"/>
                <w:szCs w:val="21"/>
                <w:highlight w:val="none"/>
              </w:rPr>
            </w:pPr>
          </w:p>
        </w:tc>
      </w:tr>
    </w:tbl>
    <w:p>
      <w:pPr>
        <w:keepNext w:val="0"/>
        <w:keepLines w:val="0"/>
        <w:pageBreakBefore w:val="0"/>
        <w:widowControl w:val="0"/>
        <w:kinsoku/>
        <w:wordWrap w:val="0"/>
        <w:overflowPunct/>
        <w:topLinePunct w:val="0"/>
        <w:autoSpaceDE/>
        <w:autoSpaceDN/>
        <w:bidi w:val="0"/>
        <w:adjustRightInd/>
        <w:snapToGrid/>
        <w:spacing w:line="360" w:lineRule="auto"/>
        <w:ind w:firstLine="422" w:firstLineChars="200"/>
        <w:jc w:val="left"/>
        <w:textAlignment w:val="auto"/>
        <w:rPr>
          <w:rFonts w:hint="eastAsia" w:ascii="宋体" w:hAnsi="宋体" w:cs="宋体"/>
          <w:b/>
          <w:color w:val="auto"/>
          <w:kern w:val="0"/>
          <w:sz w:val="21"/>
          <w:szCs w:val="21"/>
          <w:highlight w:val="none"/>
        </w:rPr>
      </w:pPr>
    </w:p>
    <w:p>
      <w:pPr>
        <w:keepNext w:val="0"/>
        <w:keepLines w:val="0"/>
        <w:pageBreakBefore w:val="0"/>
        <w:widowControl w:val="0"/>
        <w:kinsoku/>
        <w:wordWrap w:val="0"/>
        <w:overflowPunct/>
        <w:topLinePunct w:val="0"/>
        <w:autoSpaceDE/>
        <w:autoSpaceDN/>
        <w:bidi w:val="0"/>
        <w:adjustRightInd/>
        <w:snapToGrid/>
        <w:spacing w:line="360" w:lineRule="auto"/>
        <w:ind w:firstLine="422" w:firstLineChars="200"/>
        <w:jc w:val="left"/>
        <w:textAlignment w:val="auto"/>
        <w:rPr>
          <w:rFonts w:hint="eastAsia" w:ascii="宋体" w:hAnsi="宋体" w:cs="宋体"/>
          <w:b/>
          <w:color w:val="auto"/>
          <w:kern w:val="0"/>
          <w:sz w:val="21"/>
          <w:szCs w:val="21"/>
          <w:highlight w:val="none"/>
        </w:rPr>
      </w:pPr>
      <w:r>
        <w:rPr>
          <w:rFonts w:hint="eastAsia" w:ascii="宋体" w:hAnsi="宋体" w:cs="宋体"/>
          <w:b/>
          <w:color w:val="auto"/>
          <w:kern w:val="0"/>
          <w:sz w:val="21"/>
          <w:szCs w:val="21"/>
          <w:highlight w:val="none"/>
        </w:rPr>
        <w:t>注：</w:t>
      </w:r>
    </w:p>
    <w:p>
      <w:pPr>
        <w:keepNext w:val="0"/>
        <w:keepLines w:val="0"/>
        <w:pageBreakBefore w:val="0"/>
        <w:widowControl w:val="0"/>
        <w:kinsoku/>
        <w:wordWrap w:val="0"/>
        <w:overflowPunct/>
        <w:topLinePunct w:val="0"/>
        <w:autoSpaceDE/>
        <w:autoSpaceDN/>
        <w:bidi w:val="0"/>
        <w:adjustRightInd/>
        <w:snapToGrid/>
        <w:spacing w:line="360" w:lineRule="auto"/>
        <w:ind w:firstLine="422" w:firstLineChars="200"/>
        <w:jc w:val="left"/>
        <w:textAlignment w:val="auto"/>
        <w:rPr>
          <w:rFonts w:hint="eastAsia" w:ascii="宋体" w:hAnsi="宋体" w:cs="宋体"/>
          <w:b/>
          <w:color w:val="auto"/>
          <w:kern w:val="0"/>
          <w:sz w:val="21"/>
          <w:szCs w:val="21"/>
          <w:highlight w:val="none"/>
        </w:rPr>
      </w:pPr>
      <w:r>
        <w:rPr>
          <w:rFonts w:hint="eastAsia" w:ascii="宋体" w:hAnsi="宋体" w:cs="宋体"/>
          <w:b/>
          <w:color w:val="auto"/>
          <w:kern w:val="0"/>
          <w:sz w:val="21"/>
          <w:szCs w:val="21"/>
          <w:highlight w:val="none"/>
        </w:rPr>
        <w:t>1、格式可扩展，本表后附资格</w:t>
      </w:r>
      <w:r>
        <w:rPr>
          <w:rFonts w:hint="eastAsia" w:ascii="宋体" w:hAnsi="宋体" w:cs="宋体"/>
          <w:b/>
          <w:color w:val="auto"/>
          <w:kern w:val="0"/>
          <w:sz w:val="21"/>
          <w:szCs w:val="21"/>
          <w:highlight w:val="none"/>
          <w:lang w:val="en-US" w:eastAsia="zh-CN"/>
        </w:rPr>
        <w:t>要求</w:t>
      </w:r>
      <w:r>
        <w:rPr>
          <w:rFonts w:hint="eastAsia" w:ascii="宋体" w:hAnsi="宋体" w:cs="宋体"/>
          <w:b/>
          <w:color w:val="auto"/>
          <w:kern w:val="0"/>
          <w:sz w:val="21"/>
          <w:szCs w:val="21"/>
          <w:highlight w:val="none"/>
        </w:rPr>
        <w:t>所涉内容的证明材料</w:t>
      </w:r>
      <w:r>
        <w:rPr>
          <w:rFonts w:hint="eastAsia" w:ascii="宋体" w:hAnsi="宋体" w:cs="宋体"/>
          <w:b/>
          <w:color w:val="auto"/>
          <w:kern w:val="0"/>
          <w:sz w:val="21"/>
          <w:szCs w:val="21"/>
          <w:highlight w:val="none"/>
          <w:lang w:val="en-US" w:eastAsia="zh-CN"/>
        </w:rPr>
        <w:t>复印件或</w:t>
      </w:r>
      <w:r>
        <w:rPr>
          <w:rFonts w:hint="eastAsia" w:ascii="宋体" w:hAnsi="宋体" w:cs="宋体"/>
          <w:b/>
          <w:color w:val="auto"/>
          <w:kern w:val="0"/>
          <w:sz w:val="21"/>
          <w:szCs w:val="21"/>
          <w:highlight w:val="none"/>
        </w:rPr>
        <w:t>扫描件，并</w:t>
      </w:r>
      <w:r>
        <w:rPr>
          <w:rFonts w:hint="eastAsia" w:ascii="宋体" w:hAnsi="宋体" w:cs="宋体"/>
          <w:b/>
          <w:color w:val="auto"/>
          <w:kern w:val="0"/>
          <w:sz w:val="21"/>
          <w:szCs w:val="21"/>
          <w:highlight w:val="none"/>
          <w:u w:val="single"/>
        </w:rPr>
        <w:t>加盖单位公章</w:t>
      </w:r>
      <w:r>
        <w:rPr>
          <w:rFonts w:hint="eastAsia" w:ascii="宋体" w:hAnsi="宋体" w:cs="宋体"/>
          <w:b/>
          <w:color w:val="auto"/>
          <w:kern w:val="0"/>
          <w:sz w:val="21"/>
          <w:szCs w:val="21"/>
          <w:highlight w:val="none"/>
        </w:rPr>
        <w:t>。</w:t>
      </w:r>
    </w:p>
    <w:p>
      <w:pPr>
        <w:keepNext w:val="0"/>
        <w:keepLines w:val="0"/>
        <w:pageBreakBefore w:val="0"/>
        <w:widowControl w:val="0"/>
        <w:kinsoku/>
        <w:wordWrap w:val="0"/>
        <w:overflowPunct/>
        <w:topLinePunct w:val="0"/>
        <w:autoSpaceDE/>
        <w:autoSpaceDN/>
        <w:bidi w:val="0"/>
        <w:adjustRightInd/>
        <w:snapToGrid/>
        <w:spacing w:line="360" w:lineRule="auto"/>
        <w:ind w:firstLine="422" w:firstLineChars="200"/>
        <w:jc w:val="left"/>
        <w:textAlignment w:val="auto"/>
        <w:rPr>
          <w:rFonts w:hint="eastAsia" w:ascii="宋体" w:hAnsi="宋体" w:cs="宋体"/>
          <w:b/>
          <w:color w:val="auto"/>
          <w:kern w:val="0"/>
          <w:sz w:val="21"/>
          <w:szCs w:val="21"/>
          <w:highlight w:val="none"/>
        </w:rPr>
      </w:pPr>
    </w:p>
    <w:p>
      <w:pPr>
        <w:wordWrap w:val="0"/>
        <w:snapToGrid w:val="0"/>
        <w:spacing w:before="120" w:beforeLines="50" w:after="120" w:afterLines="50"/>
        <w:jc w:val="center"/>
        <w:outlineLvl w:val="2"/>
        <w:rPr>
          <w:rFonts w:hint="eastAsia" w:ascii="宋体" w:hAnsi="宋体" w:cs="宋体"/>
          <w:b/>
          <w:color w:val="auto"/>
          <w:kern w:val="0"/>
          <w:sz w:val="24"/>
          <w:highlight w:val="none"/>
        </w:rPr>
      </w:pPr>
      <w:r>
        <w:rPr>
          <w:rFonts w:hint="eastAsia" w:ascii="宋体" w:hAnsi="宋体" w:cs="宋体"/>
          <w:b/>
          <w:color w:val="auto"/>
          <w:kern w:val="0"/>
          <w:sz w:val="21"/>
          <w:szCs w:val="21"/>
          <w:highlight w:val="none"/>
        </w:rPr>
        <w:br w:type="page"/>
      </w:r>
      <w:r>
        <w:rPr>
          <w:rFonts w:hint="eastAsia" w:ascii="宋体" w:hAnsi="宋体" w:cs="宋体"/>
          <w:b/>
          <w:color w:val="auto"/>
          <w:kern w:val="0"/>
          <w:sz w:val="24"/>
          <w:highlight w:val="none"/>
        </w:rPr>
        <w:t>表2 拟投入本标段主要人员情况表</w:t>
      </w:r>
    </w:p>
    <w:tbl>
      <w:tblPr>
        <w:tblStyle w:val="30"/>
        <w:tblW w:w="10003" w:type="dxa"/>
        <w:jc w:val="center"/>
        <w:tblLayout w:type="fixed"/>
        <w:tblCellMar>
          <w:top w:w="0" w:type="dxa"/>
          <w:left w:w="108" w:type="dxa"/>
          <w:bottom w:w="0" w:type="dxa"/>
          <w:right w:w="108" w:type="dxa"/>
        </w:tblCellMar>
      </w:tblPr>
      <w:tblGrid>
        <w:gridCol w:w="645"/>
        <w:gridCol w:w="1383"/>
        <w:gridCol w:w="803"/>
        <w:gridCol w:w="719"/>
        <w:gridCol w:w="725"/>
        <w:gridCol w:w="948"/>
        <w:gridCol w:w="717"/>
        <w:gridCol w:w="1014"/>
        <w:gridCol w:w="1062"/>
        <w:gridCol w:w="1222"/>
        <w:gridCol w:w="765"/>
      </w:tblGrid>
      <w:tr>
        <w:tblPrEx>
          <w:tblCellMar>
            <w:top w:w="0" w:type="dxa"/>
            <w:left w:w="108" w:type="dxa"/>
            <w:bottom w:w="0" w:type="dxa"/>
            <w:right w:w="108" w:type="dxa"/>
          </w:tblCellMar>
        </w:tblPrEx>
        <w:trPr>
          <w:trHeight w:val="20" w:hRule="atLeast"/>
          <w:jc w:val="center"/>
        </w:trPr>
        <w:tc>
          <w:tcPr>
            <w:tcW w:w="645"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spacing w:line="240" w:lineRule="auto"/>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序号</w:t>
            </w:r>
          </w:p>
        </w:tc>
        <w:tc>
          <w:tcPr>
            <w:tcW w:w="1383" w:type="dxa"/>
            <w:tcBorders>
              <w:top w:val="single" w:color="000000" w:sz="4" w:space="0"/>
              <w:left w:val="nil"/>
              <w:bottom w:val="single" w:color="auto" w:sz="4" w:space="0"/>
              <w:right w:val="single" w:color="000000" w:sz="4" w:space="0"/>
            </w:tcBorders>
            <w:shd w:val="clear" w:color="000000" w:fill="FFFFFF"/>
            <w:noWrap w:val="0"/>
            <w:vAlign w:val="center"/>
          </w:tcPr>
          <w:p>
            <w:pPr>
              <w:widowControl/>
              <w:spacing w:line="240" w:lineRule="auto"/>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在本项目中</w:t>
            </w:r>
          </w:p>
          <w:p>
            <w:pPr>
              <w:widowControl/>
              <w:spacing w:line="240" w:lineRule="auto"/>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担任职务</w:t>
            </w:r>
          </w:p>
        </w:tc>
        <w:tc>
          <w:tcPr>
            <w:tcW w:w="803" w:type="dxa"/>
            <w:tcBorders>
              <w:top w:val="single" w:color="000000" w:sz="4" w:space="0"/>
              <w:left w:val="nil"/>
              <w:bottom w:val="single" w:color="auto" w:sz="4" w:space="0"/>
              <w:right w:val="single" w:color="000000" w:sz="4" w:space="0"/>
            </w:tcBorders>
            <w:shd w:val="clear" w:color="000000" w:fill="FFFFFF"/>
            <w:noWrap w:val="0"/>
            <w:vAlign w:val="center"/>
          </w:tcPr>
          <w:p>
            <w:pPr>
              <w:widowControl/>
              <w:spacing w:line="240" w:lineRule="auto"/>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姓名</w:t>
            </w:r>
          </w:p>
        </w:tc>
        <w:tc>
          <w:tcPr>
            <w:tcW w:w="719" w:type="dxa"/>
            <w:tcBorders>
              <w:top w:val="single" w:color="000000" w:sz="4" w:space="0"/>
              <w:left w:val="nil"/>
              <w:bottom w:val="single" w:color="auto" w:sz="4" w:space="0"/>
              <w:right w:val="single" w:color="000000" w:sz="4" w:space="0"/>
            </w:tcBorders>
            <w:shd w:val="clear" w:color="000000" w:fill="FFFFFF"/>
            <w:noWrap w:val="0"/>
            <w:vAlign w:val="center"/>
          </w:tcPr>
          <w:p>
            <w:pPr>
              <w:widowControl/>
              <w:spacing w:line="240" w:lineRule="auto"/>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年龄</w:t>
            </w:r>
          </w:p>
        </w:tc>
        <w:tc>
          <w:tcPr>
            <w:tcW w:w="725" w:type="dxa"/>
            <w:tcBorders>
              <w:top w:val="single" w:color="000000" w:sz="4" w:space="0"/>
              <w:left w:val="nil"/>
              <w:bottom w:val="single" w:color="auto" w:sz="4" w:space="0"/>
              <w:right w:val="single" w:color="000000" w:sz="4" w:space="0"/>
            </w:tcBorders>
            <w:shd w:val="clear" w:color="000000" w:fill="FFFFFF"/>
            <w:noWrap w:val="0"/>
            <w:vAlign w:val="center"/>
          </w:tcPr>
          <w:p>
            <w:pPr>
              <w:widowControl/>
              <w:spacing w:line="240" w:lineRule="auto"/>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技术</w:t>
            </w:r>
          </w:p>
          <w:p>
            <w:pPr>
              <w:widowControl/>
              <w:spacing w:line="240" w:lineRule="auto"/>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职称</w:t>
            </w:r>
          </w:p>
        </w:tc>
        <w:tc>
          <w:tcPr>
            <w:tcW w:w="948" w:type="dxa"/>
            <w:tcBorders>
              <w:top w:val="single" w:color="000000" w:sz="4" w:space="0"/>
              <w:left w:val="nil"/>
              <w:bottom w:val="single" w:color="auto" w:sz="4" w:space="0"/>
              <w:right w:val="single" w:color="000000" w:sz="4" w:space="0"/>
            </w:tcBorders>
            <w:shd w:val="clear" w:color="000000" w:fill="FFFFFF"/>
            <w:noWrap w:val="0"/>
            <w:vAlign w:val="center"/>
          </w:tcPr>
          <w:p>
            <w:pPr>
              <w:widowControl/>
              <w:spacing w:line="240" w:lineRule="auto"/>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职称</w:t>
            </w:r>
          </w:p>
          <w:p>
            <w:pPr>
              <w:widowControl/>
              <w:spacing w:line="240" w:lineRule="auto"/>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专业</w:t>
            </w:r>
          </w:p>
        </w:tc>
        <w:tc>
          <w:tcPr>
            <w:tcW w:w="717" w:type="dxa"/>
            <w:tcBorders>
              <w:top w:val="single" w:color="000000" w:sz="4" w:space="0"/>
              <w:left w:val="nil"/>
              <w:bottom w:val="single" w:color="auto" w:sz="4" w:space="0"/>
              <w:right w:val="single" w:color="000000" w:sz="4" w:space="0"/>
            </w:tcBorders>
            <w:shd w:val="clear" w:color="000000" w:fill="FFFFFF"/>
            <w:noWrap w:val="0"/>
            <w:vAlign w:val="center"/>
          </w:tcPr>
          <w:p>
            <w:pPr>
              <w:widowControl/>
              <w:spacing w:line="240" w:lineRule="auto"/>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工作</w:t>
            </w:r>
          </w:p>
          <w:p>
            <w:pPr>
              <w:widowControl/>
              <w:spacing w:line="240" w:lineRule="auto"/>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年限</w:t>
            </w:r>
          </w:p>
        </w:tc>
        <w:tc>
          <w:tcPr>
            <w:tcW w:w="1014" w:type="dxa"/>
            <w:tcBorders>
              <w:top w:val="single" w:color="000000" w:sz="4" w:space="0"/>
              <w:left w:val="nil"/>
              <w:bottom w:val="single" w:color="auto" w:sz="4" w:space="0"/>
              <w:right w:val="single" w:color="000000" w:sz="4" w:space="0"/>
            </w:tcBorders>
            <w:shd w:val="clear" w:color="000000" w:fill="FFFFFF"/>
            <w:noWrap w:val="0"/>
            <w:vAlign w:val="center"/>
          </w:tcPr>
          <w:p>
            <w:pPr>
              <w:widowControl/>
              <w:spacing w:line="240" w:lineRule="auto"/>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执业资格名称</w:t>
            </w:r>
          </w:p>
        </w:tc>
        <w:tc>
          <w:tcPr>
            <w:tcW w:w="1062" w:type="dxa"/>
            <w:tcBorders>
              <w:top w:val="single" w:color="000000" w:sz="4" w:space="0"/>
              <w:left w:val="nil"/>
              <w:bottom w:val="single" w:color="auto" w:sz="4" w:space="0"/>
              <w:right w:val="single" w:color="000000" w:sz="4" w:space="0"/>
            </w:tcBorders>
            <w:shd w:val="clear" w:color="000000" w:fill="FFFFFF"/>
            <w:noWrap w:val="0"/>
            <w:vAlign w:val="center"/>
          </w:tcPr>
          <w:p>
            <w:pPr>
              <w:widowControl/>
              <w:spacing w:line="240" w:lineRule="auto"/>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执业资格编号</w:t>
            </w:r>
          </w:p>
        </w:tc>
        <w:tc>
          <w:tcPr>
            <w:tcW w:w="1222" w:type="dxa"/>
            <w:tcBorders>
              <w:top w:val="single" w:color="000000" w:sz="4" w:space="0"/>
              <w:left w:val="nil"/>
              <w:bottom w:val="single" w:color="auto" w:sz="4" w:space="0"/>
              <w:right w:val="single" w:color="000000" w:sz="4" w:space="0"/>
            </w:tcBorders>
            <w:shd w:val="clear" w:color="000000" w:fill="FFFFFF"/>
            <w:noWrap w:val="0"/>
            <w:vAlign w:val="center"/>
          </w:tcPr>
          <w:p>
            <w:pPr>
              <w:widowControl/>
              <w:spacing w:line="240" w:lineRule="auto"/>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执业资格有效期</w:t>
            </w:r>
          </w:p>
        </w:tc>
        <w:tc>
          <w:tcPr>
            <w:tcW w:w="765" w:type="dxa"/>
            <w:tcBorders>
              <w:top w:val="single" w:color="000000" w:sz="4" w:space="0"/>
              <w:left w:val="nil"/>
              <w:bottom w:val="single" w:color="auto" w:sz="4" w:space="0"/>
              <w:right w:val="single" w:color="000000" w:sz="4" w:space="0"/>
            </w:tcBorders>
            <w:shd w:val="clear" w:color="000000" w:fill="FFFFFF"/>
            <w:noWrap w:val="0"/>
            <w:vAlign w:val="center"/>
          </w:tcPr>
          <w:p>
            <w:pPr>
              <w:widowControl/>
              <w:spacing w:line="240" w:lineRule="auto"/>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备注</w:t>
            </w:r>
          </w:p>
        </w:tc>
      </w:tr>
      <w:tr>
        <w:tblPrEx>
          <w:tblCellMar>
            <w:top w:w="0" w:type="dxa"/>
            <w:left w:w="108" w:type="dxa"/>
            <w:bottom w:w="0" w:type="dxa"/>
            <w:right w:w="108" w:type="dxa"/>
          </w:tblCellMar>
        </w:tblPrEx>
        <w:trPr>
          <w:trHeight w:val="158" w:hRule="atLeast"/>
          <w:jc w:val="center"/>
        </w:trPr>
        <w:tc>
          <w:tcPr>
            <w:tcW w:w="64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138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项目负责人</w:t>
            </w:r>
          </w:p>
        </w:tc>
        <w:tc>
          <w:tcPr>
            <w:tcW w:w="80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71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72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948"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71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01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062"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222"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widowControl/>
              <w:jc w:val="center"/>
              <w:rPr>
                <w:rFonts w:hint="eastAsia" w:ascii="宋体" w:hAnsi="宋体" w:cs="宋体"/>
                <w:color w:val="auto"/>
                <w:kern w:val="0"/>
                <w:sz w:val="21"/>
                <w:szCs w:val="21"/>
                <w:highlight w:val="none"/>
              </w:rPr>
            </w:pPr>
          </w:p>
        </w:tc>
        <w:tc>
          <w:tcPr>
            <w:tcW w:w="765"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widowControl/>
              <w:jc w:val="center"/>
              <w:rPr>
                <w:rFonts w:hint="eastAsia" w:ascii="宋体" w:hAnsi="宋体" w:cs="宋体"/>
                <w:color w:val="auto"/>
                <w:kern w:val="0"/>
                <w:sz w:val="21"/>
                <w:szCs w:val="21"/>
                <w:highlight w:val="none"/>
              </w:rPr>
            </w:pPr>
          </w:p>
        </w:tc>
      </w:tr>
      <w:tr>
        <w:tblPrEx>
          <w:tblCellMar>
            <w:top w:w="0" w:type="dxa"/>
            <w:left w:w="108" w:type="dxa"/>
            <w:bottom w:w="0" w:type="dxa"/>
            <w:right w:w="108" w:type="dxa"/>
          </w:tblCellMar>
        </w:tblPrEx>
        <w:trPr>
          <w:trHeight w:val="158" w:hRule="atLeast"/>
          <w:jc w:val="center"/>
        </w:trPr>
        <w:tc>
          <w:tcPr>
            <w:tcW w:w="64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c>
          <w:tcPr>
            <w:tcW w:w="138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80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71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72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948"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71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01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062"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222"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widowControl/>
              <w:jc w:val="center"/>
              <w:rPr>
                <w:rFonts w:hint="eastAsia" w:ascii="宋体" w:hAnsi="宋体" w:cs="宋体"/>
                <w:color w:val="auto"/>
                <w:kern w:val="0"/>
                <w:sz w:val="21"/>
                <w:szCs w:val="21"/>
                <w:highlight w:val="none"/>
              </w:rPr>
            </w:pPr>
          </w:p>
        </w:tc>
        <w:tc>
          <w:tcPr>
            <w:tcW w:w="765"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widowControl/>
              <w:jc w:val="center"/>
              <w:rPr>
                <w:rFonts w:hint="eastAsia" w:ascii="宋体" w:hAnsi="宋体" w:cs="宋体"/>
                <w:color w:val="auto"/>
                <w:kern w:val="0"/>
                <w:sz w:val="21"/>
                <w:szCs w:val="21"/>
                <w:highlight w:val="none"/>
              </w:rPr>
            </w:pPr>
          </w:p>
        </w:tc>
      </w:tr>
      <w:tr>
        <w:tblPrEx>
          <w:tblCellMar>
            <w:top w:w="0" w:type="dxa"/>
            <w:left w:w="108" w:type="dxa"/>
            <w:bottom w:w="0" w:type="dxa"/>
            <w:right w:w="108" w:type="dxa"/>
          </w:tblCellMar>
        </w:tblPrEx>
        <w:trPr>
          <w:trHeight w:val="158" w:hRule="atLeast"/>
          <w:jc w:val="center"/>
        </w:trPr>
        <w:tc>
          <w:tcPr>
            <w:tcW w:w="64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c>
          <w:tcPr>
            <w:tcW w:w="138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80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71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72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948"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71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01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062"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222"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widowControl/>
              <w:jc w:val="center"/>
              <w:rPr>
                <w:rFonts w:hint="eastAsia" w:ascii="宋体" w:hAnsi="宋体" w:cs="宋体"/>
                <w:color w:val="auto"/>
                <w:kern w:val="0"/>
                <w:sz w:val="21"/>
                <w:szCs w:val="21"/>
                <w:highlight w:val="none"/>
              </w:rPr>
            </w:pPr>
          </w:p>
        </w:tc>
        <w:tc>
          <w:tcPr>
            <w:tcW w:w="765"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widowControl/>
              <w:jc w:val="center"/>
              <w:rPr>
                <w:rFonts w:hint="eastAsia" w:ascii="宋体" w:hAnsi="宋体" w:cs="宋体"/>
                <w:color w:val="auto"/>
                <w:kern w:val="0"/>
                <w:sz w:val="21"/>
                <w:szCs w:val="21"/>
                <w:highlight w:val="none"/>
              </w:rPr>
            </w:pPr>
          </w:p>
        </w:tc>
      </w:tr>
      <w:tr>
        <w:tblPrEx>
          <w:tblCellMar>
            <w:top w:w="0" w:type="dxa"/>
            <w:left w:w="108" w:type="dxa"/>
            <w:bottom w:w="0" w:type="dxa"/>
            <w:right w:w="108" w:type="dxa"/>
          </w:tblCellMar>
        </w:tblPrEx>
        <w:trPr>
          <w:trHeight w:val="158" w:hRule="atLeast"/>
          <w:jc w:val="center"/>
        </w:trPr>
        <w:tc>
          <w:tcPr>
            <w:tcW w:w="64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4</w:t>
            </w:r>
          </w:p>
        </w:tc>
        <w:tc>
          <w:tcPr>
            <w:tcW w:w="138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80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71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72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948"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71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01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062"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222"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widowControl/>
              <w:jc w:val="center"/>
              <w:rPr>
                <w:rFonts w:hint="eastAsia" w:ascii="宋体" w:hAnsi="宋体" w:cs="宋体"/>
                <w:color w:val="auto"/>
                <w:kern w:val="0"/>
                <w:sz w:val="21"/>
                <w:szCs w:val="21"/>
                <w:highlight w:val="none"/>
              </w:rPr>
            </w:pPr>
          </w:p>
        </w:tc>
        <w:tc>
          <w:tcPr>
            <w:tcW w:w="765"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widowControl/>
              <w:jc w:val="center"/>
              <w:rPr>
                <w:rFonts w:hint="eastAsia" w:ascii="宋体" w:hAnsi="宋体" w:cs="宋体"/>
                <w:color w:val="auto"/>
                <w:kern w:val="0"/>
                <w:sz w:val="21"/>
                <w:szCs w:val="21"/>
                <w:highlight w:val="none"/>
              </w:rPr>
            </w:pPr>
          </w:p>
        </w:tc>
      </w:tr>
      <w:tr>
        <w:tblPrEx>
          <w:tblCellMar>
            <w:top w:w="0" w:type="dxa"/>
            <w:left w:w="108" w:type="dxa"/>
            <w:bottom w:w="0" w:type="dxa"/>
            <w:right w:w="108" w:type="dxa"/>
          </w:tblCellMar>
        </w:tblPrEx>
        <w:trPr>
          <w:trHeight w:val="158" w:hRule="atLeast"/>
          <w:jc w:val="center"/>
        </w:trPr>
        <w:tc>
          <w:tcPr>
            <w:tcW w:w="64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5</w:t>
            </w:r>
          </w:p>
        </w:tc>
        <w:tc>
          <w:tcPr>
            <w:tcW w:w="138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80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71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72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948"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71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01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062"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222"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widowControl/>
              <w:jc w:val="center"/>
              <w:rPr>
                <w:rFonts w:hint="eastAsia" w:ascii="宋体" w:hAnsi="宋体" w:cs="宋体"/>
                <w:color w:val="auto"/>
                <w:kern w:val="0"/>
                <w:sz w:val="21"/>
                <w:szCs w:val="21"/>
                <w:highlight w:val="none"/>
              </w:rPr>
            </w:pPr>
          </w:p>
        </w:tc>
        <w:tc>
          <w:tcPr>
            <w:tcW w:w="765"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widowControl/>
              <w:jc w:val="center"/>
              <w:rPr>
                <w:rFonts w:hint="eastAsia" w:ascii="宋体" w:hAnsi="宋体" w:cs="宋体"/>
                <w:color w:val="auto"/>
                <w:kern w:val="0"/>
                <w:sz w:val="21"/>
                <w:szCs w:val="21"/>
                <w:highlight w:val="none"/>
              </w:rPr>
            </w:pPr>
          </w:p>
        </w:tc>
      </w:tr>
      <w:tr>
        <w:tblPrEx>
          <w:tblCellMar>
            <w:top w:w="0" w:type="dxa"/>
            <w:left w:w="108" w:type="dxa"/>
            <w:bottom w:w="0" w:type="dxa"/>
            <w:right w:w="108" w:type="dxa"/>
          </w:tblCellMar>
        </w:tblPrEx>
        <w:trPr>
          <w:trHeight w:val="378" w:hRule="atLeast"/>
          <w:jc w:val="center"/>
        </w:trPr>
        <w:tc>
          <w:tcPr>
            <w:tcW w:w="64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6</w:t>
            </w:r>
          </w:p>
        </w:tc>
        <w:tc>
          <w:tcPr>
            <w:tcW w:w="138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80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71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72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948"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71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01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062"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222"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widowControl/>
              <w:jc w:val="center"/>
              <w:rPr>
                <w:rFonts w:hint="eastAsia" w:ascii="宋体" w:hAnsi="宋体" w:cs="宋体"/>
                <w:color w:val="auto"/>
                <w:kern w:val="0"/>
                <w:sz w:val="21"/>
                <w:szCs w:val="21"/>
                <w:highlight w:val="none"/>
              </w:rPr>
            </w:pPr>
          </w:p>
        </w:tc>
        <w:tc>
          <w:tcPr>
            <w:tcW w:w="765"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widowControl/>
              <w:jc w:val="center"/>
              <w:rPr>
                <w:rFonts w:hint="eastAsia" w:ascii="宋体" w:hAnsi="宋体" w:cs="宋体"/>
                <w:color w:val="auto"/>
                <w:kern w:val="0"/>
                <w:sz w:val="21"/>
                <w:szCs w:val="21"/>
                <w:highlight w:val="none"/>
              </w:rPr>
            </w:pPr>
          </w:p>
        </w:tc>
      </w:tr>
      <w:tr>
        <w:tblPrEx>
          <w:tblCellMar>
            <w:top w:w="0" w:type="dxa"/>
            <w:left w:w="108" w:type="dxa"/>
            <w:bottom w:w="0" w:type="dxa"/>
            <w:right w:w="108" w:type="dxa"/>
          </w:tblCellMar>
        </w:tblPrEx>
        <w:trPr>
          <w:trHeight w:val="378" w:hRule="atLeast"/>
          <w:jc w:val="center"/>
        </w:trPr>
        <w:tc>
          <w:tcPr>
            <w:tcW w:w="64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w:t>
            </w:r>
          </w:p>
        </w:tc>
        <w:tc>
          <w:tcPr>
            <w:tcW w:w="138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w:t>
            </w:r>
          </w:p>
        </w:tc>
        <w:tc>
          <w:tcPr>
            <w:tcW w:w="80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71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72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948"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71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01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062"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222"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widowControl/>
              <w:jc w:val="center"/>
              <w:rPr>
                <w:rFonts w:hint="eastAsia" w:ascii="宋体" w:hAnsi="宋体" w:cs="宋体"/>
                <w:color w:val="auto"/>
                <w:kern w:val="0"/>
                <w:sz w:val="21"/>
                <w:szCs w:val="21"/>
                <w:highlight w:val="none"/>
              </w:rPr>
            </w:pPr>
          </w:p>
        </w:tc>
        <w:tc>
          <w:tcPr>
            <w:tcW w:w="765"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widowControl/>
              <w:jc w:val="center"/>
              <w:rPr>
                <w:rFonts w:hint="eastAsia" w:ascii="宋体" w:hAnsi="宋体" w:cs="宋体"/>
                <w:color w:val="auto"/>
                <w:kern w:val="0"/>
                <w:sz w:val="21"/>
                <w:szCs w:val="21"/>
                <w:highlight w:val="none"/>
              </w:rPr>
            </w:pPr>
          </w:p>
        </w:tc>
      </w:tr>
    </w:tbl>
    <w:p>
      <w:pPr>
        <w:keepNext w:val="0"/>
        <w:keepLines w:val="0"/>
        <w:pageBreakBefore w:val="0"/>
        <w:widowControl w:val="0"/>
        <w:kinsoku/>
        <w:wordWrap w:val="0"/>
        <w:overflowPunct/>
        <w:topLinePunct w:val="0"/>
        <w:autoSpaceDE/>
        <w:autoSpaceDN/>
        <w:bidi w:val="0"/>
        <w:adjustRightInd/>
        <w:snapToGrid/>
        <w:spacing w:line="360" w:lineRule="auto"/>
        <w:ind w:firstLine="422" w:firstLineChars="200"/>
        <w:jc w:val="left"/>
        <w:textAlignment w:val="auto"/>
        <w:rPr>
          <w:rFonts w:hint="eastAsia" w:ascii="宋体" w:hAnsi="宋体" w:cs="宋体"/>
          <w:b/>
          <w:color w:val="auto"/>
          <w:kern w:val="0"/>
          <w:sz w:val="21"/>
          <w:szCs w:val="21"/>
          <w:highlight w:val="none"/>
        </w:rPr>
      </w:pPr>
    </w:p>
    <w:p>
      <w:pPr>
        <w:keepNext w:val="0"/>
        <w:keepLines w:val="0"/>
        <w:pageBreakBefore w:val="0"/>
        <w:widowControl w:val="0"/>
        <w:kinsoku/>
        <w:wordWrap w:val="0"/>
        <w:overflowPunct/>
        <w:topLinePunct w:val="0"/>
        <w:autoSpaceDE/>
        <w:autoSpaceDN/>
        <w:bidi w:val="0"/>
        <w:adjustRightInd/>
        <w:snapToGrid/>
        <w:spacing w:line="360" w:lineRule="auto"/>
        <w:ind w:firstLine="422" w:firstLineChars="200"/>
        <w:jc w:val="left"/>
        <w:textAlignment w:val="auto"/>
        <w:rPr>
          <w:rFonts w:hint="eastAsia" w:ascii="宋体" w:hAnsi="宋体" w:cs="宋体"/>
          <w:b/>
          <w:color w:val="auto"/>
          <w:kern w:val="0"/>
          <w:sz w:val="21"/>
          <w:szCs w:val="21"/>
          <w:highlight w:val="none"/>
        </w:rPr>
      </w:pPr>
      <w:r>
        <w:rPr>
          <w:rFonts w:hint="eastAsia" w:ascii="宋体" w:hAnsi="宋体" w:cs="宋体"/>
          <w:b/>
          <w:color w:val="auto"/>
          <w:kern w:val="0"/>
          <w:sz w:val="21"/>
          <w:szCs w:val="21"/>
          <w:highlight w:val="none"/>
        </w:rPr>
        <w:t>注：</w:t>
      </w:r>
    </w:p>
    <w:p>
      <w:pPr>
        <w:keepNext w:val="0"/>
        <w:keepLines w:val="0"/>
        <w:pageBreakBefore w:val="0"/>
        <w:widowControl w:val="0"/>
        <w:kinsoku/>
        <w:wordWrap w:val="0"/>
        <w:overflowPunct/>
        <w:topLinePunct w:val="0"/>
        <w:autoSpaceDE/>
        <w:autoSpaceDN/>
        <w:bidi w:val="0"/>
        <w:adjustRightInd/>
        <w:snapToGrid/>
        <w:spacing w:line="360" w:lineRule="auto"/>
        <w:ind w:firstLine="422" w:firstLineChars="200"/>
        <w:jc w:val="left"/>
        <w:textAlignment w:val="auto"/>
        <w:rPr>
          <w:rFonts w:hint="eastAsia" w:ascii="宋体" w:hAnsi="宋体" w:cs="宋体"/>
          <w:b/>
          <w:color w:val="auto"/>
          <w:kern w:val="0"/>
          <w:sz w:val="21"/>
          <w:szCs w:val="21"/>
          <w:highlight w:val="none"/>
        </w:rPr>
      </w:pPr>
      <w:r>
        <w:rPr>
          <w:rFonts w:hint="eastAsia" w:ascii="宋体" w:hAnsi="宋体" w:cs="宋体"/>
          <w:b/>
          <w:color w:val="auto"/>
          <w:kern w:val="0"/>
          <w:sz w:val="21"/>
          <w:szCs w:val="21"/>
          <w:highlight w:val="none"/>
        </w:rPr>
        <w:t>1、格式可扩展，本表后附资格</w:t>
      </w:r>
      <w:r>
        <w:rPr>
          <w:rFonts w:hint="eastAsia" w:ascii="宋体" w:hAnsi="宋体" w:cs="宋体"/>
          <w:b/>
          <w:color w:val="auto"/>
          <w:kern w:val="0"/>
          <w:sz w:val="21"/>
          <w:szCs w:val="21"/>
          <w:highlight w:val="none"/>
          <w:lang w:val="en-US" w:eastAsia="zh-CN"/>
        </w:rPr>
        <w:t>要求</w:t>
      </w:r>
      <w:r>
        <w:rPr>
          <w:rFonts w:hint="eastAsia" w:ascii="宋体" w:hAnsi="宋体" w:cs="宋体"/>
          <w:b/>
          <w:color w:val="auto"/>
          <w:kern w:val="0"/>
          <w:sz w:val="21"/>
          <w:szCs w:val="21"/>
          <w:highlight w:val="none"/>
        </w:rPr>
        <w:t>及评标办法所涉内容的证明材料</w:t>
      </w:r>
      <w:r>
        <w:rPr>
          <w:rFonts w:hint="eastAsia" w:ascii="宋体" w:hAnsi="宋体" w:cs="宋体"/>
          <w:b/>
          <w:color w:val="auto"/>
          <w:kern w:val="0"/>
          <w:sz w:val="21"/>
          <w:szCs w:val="21"/>
          <w:highlight w:val="none"/>
          <w:lang w:val="en-US" w:eastAsia="zh-CN"/>
        </w:rPr>
        <w:t>复印件或</w:t>
      </w:r>
      <w:r>
        <w:rPr>
          <w:rFonts w:hint="eastAsia" w:ascii="宋体" w:hAnsi="宋体" w:cs="宋体"/>
          <w:b/>
          <w:color w:val="auto"/>
          <w:kern w:val="0"/>
          <w:sz w:val="21"/>
          <w:szCs w:val="21"/>
          <w:highlight w:val="none"/>
        </w:rPr>
        <w:t>扫描件（项目负责人及其他主要人员），并</w:t>
      </w:r>
      <w:r>
        <w:rPr>
          <w:rFonts w:hint="eastAsia" w:ascii="宋体" w:hAnsi="宋体" w:cs="宋体"/>
          <w:b/>
          <w:color w:val="auto"/>
          <w:kern w:val="0"/>
          <w:sz w:val="21"/>
          <w:szCs w:val="21"/>
          <w:highlight w:val="none"/>
          <w:u w:val="single"/>
        </w:rPr>
        <w:t>加盖单位公章</w:t>
      </w:r>
      <w:r>
        <w:rPr>
          <w:rFonts w:hint="eastAsia" w:ascii="宋体" w:hAnsi="宋体" w:cs="宋体"/>
          <w:b/>
          <w:color w:val="auto"/>
          <w:kern w:val="0"/>
          <w:sz w:val="21"/>
          <w:szCs w:val="21"/>
          <w:highlight w:val="none"/>
        </w:rPr>
        <w:t>。</w:t>
      </w:r>
    </w:p>
    <w:p>
      <w:pPr>
        <w:wordWrap w:val="0"/>
        <w:snapToGrid w:val="0"/>
        <w:spacing w:before="120" w:beforeLines="50" w:after="120" w:afterLines="50"/>
        <w:jc w:val="left"/>
        <w:rPr>
          <w:rFonts w:hint="eastAsia" w:ascii="宋体" w:hAnsi="宋体" w:cs="宋体"/>
          <w:b/>
          <w:color w:val="auto"/>
          <w:kern w:val="0"/>
          <w:sz w:val="21"/>
          <w:szCs w:val="21"/>
          <w:highlight w:val="none"/>
        </w:rPr>
      </w:pPr>
    </w:p>
    <w:p>
      <w:pPr>
        <w:wordWrap w:val="0"/>
        <w:snapToGrid w:val="0"/>
        <w:spacing w:before="120" w:beforeLines="50" w:after="120" w:afterLines="50"/>
        <w:jc w:val="center"/>
        <w:outlineLvl w:val="2"/>
        <w:rPr>
          <w:rFonts w:hint="eastAsia" w:ascii="宋体" w:hAnsi="宋体" w:cs="宋体"/>
          <w:b/>
          <w:color w:val="auto"/>
          <w:kern w:val="0"/>
          <w:sz w:val="24"/>
          <w:highlight w:val="none"/>
        </w:rPr>
      </w:pPr>
      <w:r>
        <w:rPr>
          <w:rFonts w:hint="eastAsia" w:ascii="宋体" w:hAnsi="宋体" w:cs="宋体"/>
          <w:b/>
          <w:color w:val="auto"/>
          <w:kern w:val="0"/>
          <w:sz w:val="21"/>
          <w:szCs w:val="21"/>
          <w:highlight w:val="none"/>
        </w:rPr>
        <w:br w:type="page"/>
      </w:r>
      <w:r>
        <w:rPr>
          <w:rFonts w:hint="eastAsia" w:ascii="宋体" w:hAnsi="宋体" w:cs="宋体"/>
          <w:b/>
          <w:color w:val="auto"/>
          <w:kern w:val="0"/>
          <w:sz w:val="24"/>
          <w:highlight w:val="none"/>
        </w:rPr>
        <w:t>表3 拟投入本标段主要人员经历表</w:t>
      </w:r>
    </w:p>
    <w:tbl>
      <w:tblPr>
        <w:tblStyle w:val="30"/>
        <w:tblW w:w="10396" w:type="dxa"/>
        <w:jc w:val="center"/>
        <w:tblLayout w:type="fixed"/>
        <w:tblCellMar>
          <w:top w:w="0" w:type="dxa"/>
          <w:left w:w="108" w:type="dxa"/>
          <w:bottom w:w="0" w:type="dxa"/>
          <w:right w:w="108" w:type="dxa"/>
        </w:tblCellMar>
      </w:tblPr>
      <w:tblGrid>
        <w:gridCol w:w="718"/>
        <w:gridCol w:w="1571"/>
        <w:gridCol w:w="709"/>
        <w:gridCol w:w="1378"/>
        <w:gridCol w:w="1350"/>
        <w:gridCol w:w="1125"/>
        <w:gridCol w:w="760"/>
        <w:gridCol w:w="1159"/>
        <w:gridCol w:w="1136"/>
        <w:gridCol w:w="490"/>
      </w:tblGrid>
      <w:tr>
        <w:tblPrEx>
          <w:tblCellMar>
            <w:top w:w="0" w:type="dxa"/>
            <w:left w:w="108" w:type="dxa"/>
            <w:bottom w:w="0" w:type="dxa"/>
            <w:right w:w="108" w:type="dxa"/>
          </w:tblCellMar>
        </w:tblPrEx>
        <w:trPr>
          <w:trHeight w:val="20" w:hRule="atLeast"/>
          <w:jc w:val="center"/>
        </w:trPr>
        <w:tc>
          <w:tcPr>
            <w:tcW w:w="718"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spacing w:line="240" w:lineRule="auto"/>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序号</w:t>
            </w:r>
          </w:p>
        </w:tc>
        <w:tc>
          <w:tcPr>
            <w:tcW w:w="1571" w:type="dxa"/>
            <w:tcBorders>
              <w:top w:val="single" w:color="000000" w:sz="4" w:space="0"/>
              <w:left w:val="nil"/>
              <w:bottom w:val="single" w:color="auto" w:sz="4" w:space="0"/>
              <w:right w:val="single" w:color="000000" w:sz="4" w:space="0"/>
            </w:tcBorders>
            <w:shd w:val="clear" w:color="000000" w:fill="FFFFFF"/>
            <w:noWrap w:val="0"/>
            <w:vAlign w:val="center"/>
          </w:tcPr>
          <w:p>
            <w:pPr>
              <w:widowControl/>
              <w:spacing w:line="240" w:lineRule="auto"/>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在本项目中</w:t>
            </w:r>
          </w:p>
          <w:p>
            <w:pPr>
              <w:widowControl/>
              <w:spacing w:line="240" w:lineRule="auto"/>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担任职务</w:t>
            </w:r>
          </w:p>
        </w:tc>
        <w:tc>
          <w:tcPr>
            <w:tcW w:w="709" w:type="dxa"/>
            <w:tcBorders>
              <w:top w:val="single" w:color="000000" w:sz="4" w:space="0"/>
              <w:left w:val="nil"/>
              <w:bottom w:val="single" w:color="auto" w:sz="4" w:space="0"/>
              <w:right w:val="single" w:color="000000" w:sz="4" w:space="0"/>
            </w:tcBorders>
            <w:shd w:val="clear" w:color="000000" w:fill="FFFFFF"/>
            <w:noWrap w:val="0"/>
            <w:vAlign w:val="center"/>
          </w:tcPr>
          <w:p>
            <w:pPr>
              <w:widowControl/>
              <w:spacing w:line="240" w:lineRule="auto"/>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姓名</w:t>
            </w:r>
          </w:p>
        </w:tc>
        <w:tc>
          <w:tcPr>
            <w:tcW w:w="1378" w:type="dxa"/>
            <w:tcBorders>
              <w:top w:val="single" w:color="000000" w:sz="4" w:space="0"/>
              <w:left w:val="nil"/>
              <w:bottom w:val="single" w:color="auto" w:sz="4" w:space="0"/>
              <w:right w:val="single" w:color="000000" w:sz="4" w:space="0"/>
            </w:tcBorders>
            <w:shd w:val="clear" w:color="000000" w:fill="FFFFFF"/>
            <w:noWrap w:val="0"/>
            <w:vAlign w:val="center"/>
          </w:tcPr>
          <w:p>
            <w:pPr>
              <w:widowControl/>
              <w:spacing w:line="240" w:lineRule="auto"/>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项目名称</w:t>
            </w:r>
          </w:p>
        </w:tc>
        <w:tc>
          <w:tcPr>
            <w:tcW w:w="1350" w:type="dxa"/>
            <w:tcBorders>
              <w:top w:val="single" w:color="000000" w:sz="4" w:space="0"/>
              <w:left w:val="nil"/>
              <w:bottom w:val="single" w:color="auto" w:sz="4" w:space="0"/>
              <w:right w:val="single" w:color="000000" w:sz="4" w:space="0"/>
            </w:tcBorders>
            <w:shd w:val="clear" w:color="000000" w:fill="FFFFFF"/>
            <w:noWrap w:val="0"/>
            <w:vAlign w:val="center"/>
          </w:tcPr>
          <w:p>
            <w:pPr>
              <w:widowControl/>
              <w:spacing w:line="240" w:lineRule="auto"/>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项目简介</w:t>
            </w:r>
          </w:p>
        </w:tc>
        <w:tc>
          <w:tcPr>
            <w:tcW w:w="1125" w:type="dxa"/>
            <w:tcBorders>
              <w:top w:val="single" w:color="000000" w:sz="4" w:space="0"/>
              <w:left w:val="nil"/>
              <w:bottom w:val="single" w:color="auto" w:sz="4" w:space="0"/>
              <w:right w:val="single" w:color="000000" w:sz="4" w:space="0"/>
            </w:tcBorders>
            <w:shd w:val="clear" w:color="000000" w:fill="FFFFFF"/>
            <w:noWrap w:val="0"/>
            <w:vAlign w:val="center"/>
          </w:tcPr>
          <w:p>
            <w:pPr>
              <w:widowControl/>
              <w:spacing w:line="240" w:lineRule="auto"/>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工作内容</w:t>
            </w:r>
          </w:p>
        </w:tc>
        <w:tc>
          <w:tcPr>
            <w:tcW w:w="760" w:type="dxa"/>
            <w:tcBorders>
              <w:top w:val="single" w:color="000000" w:sz="4" w:space="0"/>
              <w:left w:val="nil"/>
              <w:bottom w:val="single" w:color="auto" w:sz="4" w:space="0"/>
              <w:right w:val="single" w:color="000000" w:sz="4" w:space="0"/>
            </w:tcBorders>
            <w:shd w:val="clear" w:color="000000" w:fill="FFFFFF"/>
            <w:noWrap w:val="0"/>
            <w:vAlign w:val="center"/>
          </w:tcPr>
          <w:p>
            <w:pPr>
              <w:widowControl/>
              <w:spacing w:line="240" w:lineRule="auto"/>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项目职务</w:t>
            </w:r>
          </w:p>
        </w:tc>
        <w:tc>
          <w:tcPr>
            <w:tcW w:w="1159" w:type="dxa"/>
            <w:tcBorders>
              <w:top w:val="single" w:color="000000" w:sz="4" w:space="0"/>
              <w:left w:val="nil"/>
              <w:bottom w:val="single" w:color="auto" w:sz="4" w:space="0"/>
              <w:right w:val="single" w:color="000000" w:sz="4" w:space="0"/>
            </w:tcBorders>
            <w:shd w:val="clear" w:color="000000" w:fill="FFFFFF"/>
            <w:noWrap w:val="0"/>
            <w:vAlign w:val="center"/>
          </w:tcPr>
          <w:p>
            <w:pPr>
              <w:widowControl/>
              <w:spacing w:line="240" w:lineRule="auto"/>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合同签订</w:t>
            </w:r>
          </w:p>
          <w:p>
            <w:pPr>
              <w:widowControl/>
              <w:spacing w:line="240" w:lineRule="auto"/>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时间</w:t>
            </w:r>
          </w:p>
        </w:tc>
        <w:tc>
          <w:tcPr>
            <w:tcW w:w="1136" w:type="dxa"/>
            <w:tcBorders>
              <w:top w:val="single" w:color="000000" w:sz="4" w:space="0"/>
              <w:left w:val="nil"/>
              <w:bottom w:val="single" w:color="auto" w:sz="4" w:space="0"/>
              <w:right w:val="single" w:color="000000" w:sz="4" w:space="0"/>
            </w:tcBorders>
            <w:shd w:val="clear" w:color="000000" w:fill="FFFFFF"/>
            <w:noWrap w:val="0"/>
            <w:vAlign w:val="center"/>
          </w:tcPr>
          <w:p>
            <w:pPr>
              <w:widowControl/>
              <w:spacing w:line="240" w:lineRule="auto"/>
              <w:jc w:val="center"/>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rPr>
              <w:t>合同</w:t>
            </w:r>
            <w:r>
              <w:rPr>
                <w:rFonts w:hint="eastAsia" w:ascii="宋体" w:hAnsi="宋体" w:cs="宋体"/>
                <w:color w:val="auto"/>
                <w:kern w:val="0"/>
                <w:sz w:val="21"/>
                <w:szCs w:val="21"/>
                <w:highlight w:val="none"/>
                <w:lang w:val="en-US" w:eastAsia="zh-CN"/>
              </w:rPr>
              <w:t>完成</w:t>
            </w:r>
          </w:p>
          <w:p>
            <w:pPr>
              <w:widowControl/>
              <w:spacing w:line="240" w:lineRule="auto"/>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时间</w:t>
            </w:r>
          </w:p>
        </w:tc>
        <w:tc>
          <w:tcPr>
            <w:tcW w:w="490" w:type="dxa"/>
            <w:tcBorders>
              <w:top w:val="single" w:color="000000" w:sz="4" w:space="0"/>
              <w:left w:val="nil"/>
              <w:bottom w:val="single" w:color="auto" w:sz="4" w:space="0"/>
              <w:right w:val="single" w:color="000000" w:sz="4" w:space="0"/>
            </w:tcBorders>
            <w:shd w:val="clear" w:color="000000" w:fill="FFFFFF"/>
            <w:noWrap w:val="0"/>
            <w:vAlign w:val="center"/>
          </w:tcPr>
          <w:p>
            <w:pPr>
              <w:widowControl/>
              <w:spacing w:line="240" w:lineRule="auto"/>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备注</w:t>
            </w:r>
          </w:p>
        </w:tc>
      </w:tr>
      <w:tr>
        <w:tblPrEx>
          <w:tblCellMar>
            <w:top w:w="0" w:type="dxa"/>
            <w:left w:w="108" w:type="dxa"/>
            <w:bottom w:w="0" w:type="dxa"/>
            <w:right w:w="108" w:type="dxa"/>
          </w:tblCellMar>
        </w:tblPrEx>
        <w:trPr>
          <w:trHeight w:val="158" w:hRule="atLeast"/>
          <w:jc w:val="center"/>
        </w:trPr>
        <w:tc>
          <w:tcPr>
            <w:tcW w:w="718"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w:t>
            </w:r>
          </w:p>
        </w:tc>
        <w:tc>
          <w:tcPr>
            <w:tcW w:w="157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项目负责人</w:t>
            </w:r>
          </w:p>
        </w:tc>
        <w:tc>
          <w:tcPr>
            <w:tcW w:w="70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378"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35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12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76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15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13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49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r>
      <w:tr>
        <w:tblPrEx>
          <w:tblCellMar>
            <w:top w:w="0" w:type="dxa"/>
            <w:left w:w="108" w:type="dxa"/>
            <w:bottom w:w="0" w:type="dxa"/>
            <w:right w:w="108" w:type="dxa"/>
          </w:tblCellMar>
        </w:tblPrEx>
        <w:trPr>
          <w:trHeight w:val="158" w:hRule="atLeast"/>
          <w:jc w:val="center"/>
        </w:trPr>
        <w:tc>
          <w:tcPr>
            <w:tcW w:w="718"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2</w:t>
            </w:r>
          </w:p>
        </w:tc>
        <w:tc>
          <w:tcPr>
            <w:tcW w:w="157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70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378"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35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12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76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15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13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49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r>
      <w:tr>
        <w:tblPrEx>
          <w:tblCellMar>
            <w:top w:w="0" w:type="dxa"/>
            <w:left w:w="108" w:type="dxa"/>
            <w:bottom w:w="0" w:type="dxa"/>
            <w:right w:w="108" w:type="dxa"/>
          </w:tblCellMar>
        </w:tblPrEx>
        <w:trPr>
          <w:trHeight w:val="158" w:hRule="atLeast"/>
          <w:jc w:val="center"/>
        </w:trPr>
        <w:tc>
          <w:tcPr>
            <w:tcW w:w="718"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3</w:t>
            </w:r>
          </w:p>
        </w:tc>
        <w:tc>
          <w:tcPr>
            <w:tcW w:w="157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70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378"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35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12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76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15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13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49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r>
      <w:tr>
        <w:tblPrEx>
          <w:tblCellMar>
            <w:top w:w="0" w:type="dxa"/>
            <w:left w:w="108" w:type="dxa"/>
            <w:bottom w:w="0" w:type="dxa"/>
            <w:right w:w="108" w:type="dxa"/>
          </w:tblCellMar>
        </w:tblPrEx>
        <w:trPr>
          <w:trHeight w:val="158" w:hRule="atLeast"/>
          <w:jc w:val="center"/>
        </w:trPr>
        <w:tc>
          <w:tcPr>
            <w:tcW w:w="718"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4</w:t>
            </w:r>
          </w:p>
        </w:tc>
        <w:tc>
          <w:tcPr>
            <w:tcW w:w="157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70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378"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35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12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76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15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13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49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r>
      <w:tr>
        <w:tblPrEx>
          <w:tblCellMar>
            <w:top w:w="0" w:type="dxa"/>
            <w:left w:w="108" w:type="dxa"/>
            <w:bottom w:w="0" w:type="dxa"/>
            <w:right w:w="108" w:type="dxa"/>
          </w:tblCellMar>
        </w:tblPrEx>
        <w:trPr>
          <w:trHeight w:val="158" w:hRule="atLeast"/>
          <w:jc w:val="center"/>
        </w:trPr>
        <w:tc>
          <w:tcPr>
            <w:tcW w:w="718"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5</w:t>
            </w:r>
          </w:p>
        </w:tc>
        <w:tc>
          <w:tcPr>
            <w:tcW w:w="157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70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378"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35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12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76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15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13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49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r>
      <w:tr>
        <w:tblPrEx>
          <w:tblCellMar>
            <w:top w:w="0" w:type="dxa"/>
            <w:left w:w="108" w:type="dxa"/>
            <w:bottom w:w="0" w:type="dxa"/>
            <w:right w:w="108" w:type="dxa"/>
          </w:tblCellMar>
        </w:tblPrEx>
        <w:trPr>
          <w:trHeight w:val="158" w:hRule="atLeast"/>
          <w:jc w:val="center"/>
        </w:trPr>
        <w:tc>
          <w:tcPr>
            <w:tcW w:w="718"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6</w:t>
            </w:r>
          </w:p>
        </w:tc>
        <w:tc>
          <w:tcPr>
            <w:tcW w:w="157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70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378"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35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12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76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15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13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49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r>
      <w:tr>
        <w:tblPrEx>
          <w:tblCellMar>
            <w:top w:w="0" w:type="dxa"/>
            <w:left w:w="108" w:type="dxa"/>
            <w:bottom w:w="0" w:type="dxa"/>
            <w:right w:w="108" w:type="dxa"/>
          </w:tblCellMar>
        </w:tblPrEx>
        <w:trPr>
          <w:trHeight w:val="458" w:hRule="atLeast"/>
          <w:jc w:val="center"/>
        </w:trPr>
        <w:tc>
          <w:tcPr>
            <w:tcW w:w="718"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w:t>
            </w:r>
          </w:p>
        </w:tc>
        <w:tc>
          <w:tcPr>
            <w:tcW w:w="157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w:t>
            </w:r>
          </w:p>
        </w:tc>
        <w:tc>
          <w:tcPr>
            <w:tcW w:w="70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378"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35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12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76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159"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113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c>
          <w:tcPr>
            <w:tcW w:w="49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s="宋体"/>
                <w:color w:val="auto"/>
                <w:kern w:val="0"/>
                <w:sz w:val="21"/>
                <w:szCs w:val="21"/>
                <w:highlight w:val="none"/>
              </w:rPr>
            </w:pPr>
          </w:p>
        </w:tc>
      </w:tr>
    </w:tbl>
    <w:p>
      <w:pPr>
        <w:keepNext w:val="0"/>
        <w:keepLines w:val="0"/>
        <w:pageBreakBefore w:val="0"/>
        <w:widowControl w:val="0"/>
        <w:kinsoku/>
        <w:wordWrap w:val="0"/>
        <w:overflowPunct/>
        <w:topLinePunct w:val="0"/>
        <w:autoSpaceDE/>
        <w:autoSpaceDN/>
        <w:bidi w:val="0"/>
        <w:adjustRightInd/>
        <w:snapToGrid/>
        <w:spacing w:line="360" w:lineRule="auto"/>
        <w:ind w:firstLine="422" w:firstLineChars="200"/>
        <w:jc w:val="left"/>
        <w:textAlignment w:val="auto"/>
        <w:rPr>
          <w:rFonts w:hint="eastAsia" w:ascii="宋体" w:hAnsi="宋体" w:cs="宋体"/>
          <w:b/>
          <w:color w:val="auto"/>
          <w:kern w:val="0"/>
          <w:sz w:val="21"/>
          <w:szCs w:val="21"/>
          <w:highlight w:val="none"/>
        </w:rPr>
      </w:pPr>
    </w:p>
    <w:p>
      <w:pPr>
        <w:keepNext w:val="0"/>
        <w:keepLines w:val="0"/>
        <w:pageBreakBefore w:val="0"/>
        <w:widowControl w:val="0"/>
        <w:kinsoku/>
        <w:wordWrap w:val="0"/>
        <w:overflowPunct/>
        <w:topLinePunct w:val="0"/>
        <w:autoSpaceDE/>
        <w:autoSpaceDN/>
        <w:bidi w:val="0"/>
        <w:adjustRightInd/>
        <w:snapToGrid/>
        <w:spacing w:line="360" w:lineRule="auto"/>
        <w:ind w:firstLine="422" w:firstLineChars="200"/>
        <w:jc w:val="left"/>
        <w:textAlignment w:val="auto"/>
        <w:rPr>
          <w:rFonts w:hint="eastAsia" w:ascii="宋体" w:hAnsi="宋体" w:cs="宋体"/>
          <w:b/>
          <w:color w:val="auto"/>
          <w:kern w:val="0"/>
          <w:sz w:val="21"/>
          <w:szCs w:val="21"/>
          <w:highlight w:val="none"/>
        </w:rPr>
      </w:pPr>
      <w:r>
        <w:rPr>
          <w:rFonts w:hint="eastAsia" w:ascii="宋体" w:hAnsi="宋体" w:cs="宋体"/>
          <w:b/>
          <w:color w:val="auto"/>
          <w:kern w:val="0"/>
          <w:sz w:val="21"/>
          <w:szCs w:val="21"/>
          <w:highlight w:val="none"/>
        </w:rPr>
        <w:t>注：</w:t>
      </w:r>
    </w:p>
    <w:p>
      <w:pPr>
        <w:keepNext w:val="0"/>
        <w:keepLines w:val="0"/>
        <w:pageBreakBefore w:val="0"/>
        <w:widowControl w:val="0"/>
        <w:kinsoku/>
        <w:wordWrap w:val="0"/>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rPr>
        <w:t>1、格式可扩展，本表后附资格</w:t>
      </w:r>
      <w:r>
        <w:rPr>
          <w:rFonts w:hint="eastAsia" w:ascii="宋体" w:hAnsi="宋体" w:cs="宋体"/>
          <w:b/>
          <w:color w:val="auto"/>
          <w:kern w:val="0"/>
          <w:sz w:val="21"/>
          <w:szCs w:val="21"/>
          <w:highlight w:val="none"/>
          <w:lang w:val="en-US" w:eastAsia="zh-CN"/>
        </w:rPr>
        <w:t>要求</w:t>
      </w:r>
      <w:r>
        <w:rPr>
          <w:rFonts w:hint="eastAsia" w:ascii="宋体" w:hAnsi="宋体" w:cs="宋体"/>
          <w:b/>
          <w:color w:val="auto"/>
          <w:kern w:val="0"/>
          <w:sz w:val="21"/>
          <w:szCs w:val="21"/>
          <w:highlight w:val="none"/>
        </w:rPr>
        <w:t>及评标办法所涉内容的证明材料</w:t>
      </w:r>
      <w:r>
        <w:rPr>
          <w:rFonts w:hint="eastAsia" w:ascii="宋体" w:hAnsi="宋体" w:cs="宋体"/>
          <w:b/>
          <w:color w:val="auto"/>
          <w:kern w:val="0"/>
          <w:sz w:val="21"/>
          <w:szCs w:val="21"/>
          <w:highlight w:val="none"/>
          <w:lang w:val="en-US" w:eastAsia="zh-CN"/>
        </w:rPr>
        <w:t>复印件或</w:t>
      </w:r>
      <w:r>
        <w:rPr>
          <w:rFonts w:hint="eastAsia" w:ascii="宋体" w:hAnsi="宋体" w:cs="宋体"/>
          <w:b/>
          <w:color w:val="auto"/>
          <w:kern w:val="0"/>
          <w:sz w:val="21"/>
          <w:szCs w:val="21"/>
          <w:highlight w:val="none"/>
        </w:rPr>
        <w:t>扫描件（项目负责人及其他主要人员），并</w:t>
      </w:r>
      <w:r>
        <w:rPr>
          <w:rFonts w:hint="eastAsia" w:ascii="宋体" w:hAnsi="宋体" w:cs="宋体"/>
          <w:b/>
          <w:color w:val="auto"/>
          <w:kern w:val="0"/>
          <w:sz w:val="21"/>
          <w:szCs w:val="21"/>
          <w:highlight w:val="none"/>
          <w:u w:val="single"/>
        </w:rPr>
        <w:t>加盖单位公章</w:t>
      </w:r>
      <w:r>
        <w:rPr>
          <w:rFonts w:hint="eastAsia" w:ascii="宋体" w:hAnsi="宋体" w:cs="宋体"/>
          <w:b/>
          <w:color w:val="auto"/>
          <w:kern w:val="0"/>
          <w:sz w:val="21"/>
          <w:szCs w:val="21"/>
          <w:highlight w:val="none"/>
        </w:rPr>
        <w:t>。</w:t>
      </w:r>
      <w:r>
        <w:rPr>
          <w:rFonts w:hint="eastAsia" w:ascii="宋体" w:hAnsi="宋体" w:cs="宋体"/>
          <w:b/>
          <w:color w:val="auto"/>
          <w:kern w:val="0"/>
          <w:sz w:val="21"/>
          <w:szCs w:val="21"/>
          <w:highlight w:val="none"/>
          <w:lang w:eastAsia="zh-CN"/>
        </w:rPr>
        <w:t>（注：证明材料需体现项目负责人在某项目中所担任的职务）</w:t>
      </w:r>
    </w:p>
    <w:p>
      <w:pPr>
        <w:keepNext w:val="0"/>
        <w:keepLines w:val="0"/>
        <w:pageBreakBefore w:val="0"/>
        <w:widowControl w:val="0"/>
        <w:kinsoku/>
        <w:wordWrap w:val="0"/>
        <w:overflowPunct/>
        <w:topLinePunct w:val="0"/>
        <w:autoSpaceDE/>
        <w:autoSpaceDN/>
        <w:bidi w:val="0"/>
        <w:adjustRightInd/>
        <w:snapToGrid w:val="0"/>
        <w:spacing w:before="120" w:beforeLines="50" w:after="120" w:afterLines="50" w:line="360" w:lineRule="auto"/>
        <w:jc w:val="center"/>
        <w:textAlignment w:val="auto"/>
        <w:outlineLvl w:val="2"/>
        <w:rPr>
          <w:rFonts w:hint="eastAsia" w:ascii="宋体" w:hAnsi="宋体" w:cs="宋体"/>
          <w:b/>
          <w:color w:val="auto"/>
          <w:kern w:val="0"/>
          <w:sz w:val="24"/>
          <w:highlight w:val="none"/>
        </w:rPr>
      </w:pPr>
      <w:r>
        <w:rPr>
          <w:rFonts w:hint="eastAsia" w:ascii="宋体" w:hAnsi="宋体" w:cs="宋体"/>
          <w:b/>
          <w:color w:val="auto"/>
          <w:kern w:val="0"/>
          <w:sz w:val="21"/>
          <w:szCs w:val="21"/>
          <w:highlight w:val="none"/>
        </w:rPr>
        <w:br w:type="page"/>
      </w:r>
      <w:r>
        <w:rPr>
          <w:rFonts w:hint="eastAsia" w:ascii="宋体" w:hAnsi="宋体" w:cs="宋体"/>
          <w:b/>
          <w:color w:val="auto"/>
          <w:kern w:val="0"/>
          <w:sz w:val="24"/>
          <w:highlight w:val="none"/>
        </w:rPr>
        <w:t>表4 已完成类似项目表</w:t>
      </w:r>
    </w:p>
    <w:tbl>
      <w:tblPr>
        <w:tblStyle w:val="30"/>
        <w:tblW w:w="0" w:type="auto"/>
        <w:tblInd w:w="0" w:type="dxa"/>
        <w:tblLayout w:type="fixed"/>
        <w:tblCellMar>
          <w:top w:w="0" w:type="dxa"/>
          <w:left w:w="108" w:type="dxa"/>
          <w:bottom w:w="0" w:type="dxa"/>
          <w:right w:w="108" w:type="dxa"/>
        </w:tblCellMar>
      </w:tblPr>
      <w:tblGrid>
        <w:gridCol w:w="2350"/>
        <w:gridCol w:w="2350"/>
        <w:gridCol w:w="2350"/>
        <w:gridCol w:w="2100"/>
      </w:tblGrid>
      <w:tr>
        <w:tblPrEx>
          <w:tblCellMar>
            <w:top w:w="0" w:type="dxa"/>
            <w:left w:w="108" w:type="dxa"/>
            <w:bottom w:w="0" w:type="dxa"/>
            <w:right w:w="108" w:type="dxa"/>
          </w:tblCellMar>
        </w:tblPrEx>
        <w:trPr>
          <w:trHeight w:val="20" w:hRule="atLeast"/>
        </w:trPr>
        <w:tc>
          <w:tcPr>
            <w:tcW w:w="9150" w:type="dxa"/>
            <w:gridSpan w:val="4"/>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项目名称：</w:t>
            </w:r>
          </w:p>
        </w:tc>
      </w:tr>
      <w:tr>
        <w:tblPrEx>
          <w:tblCellMar>
            <w:top w:w="0" w:type="dxa"/>
            <w:left w:w="108" w:type="dxa"/>
            <w:bottom w:w="0" w:type="dxa"/>
            <w:right w:w="108" w:type="dxa"/>
          </w:tblCellMar>
        </w:tblPrEx>
        <w:trPr>
          <w:trHeight w:val="20" w:hRule="atLeast"/>
        </w:trPr>
        <w:tc>
          <w:tcPr>
            <w:tcW w:w="2350" w:type="dxa"/>
            <w:tcBorders>
              <w:top w:val="nil"/>
              <w:left w:val="single" w:color="000000" w:sz="4" w:space="0"/>
              <w:bottom w:val="single" w:color="000000" w:sz="4" w:space="0"/>
              <w:right w:val="single" w:color="000000" w:sz="4" w:space="0"/>
            </w:tcBorders>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工程地点：</w:t>
            </w:r>
          </w:p>
        </w:tc>
        <w:tc>
          <w:tcPr>
            <w:tcW w:w="6800" w:type="dxa"/>
            <w:gridSpan w:val="3"/>
            <w:tcBorders>
              <w:top w:val="single" w:color="000000" w:sz="4" w:space="0"/>
              <w:left w:val="nil"/>
              <w:bottom w:val="single" w:color="000000" w:sz="4" w:space="0"/>
              <w:right w:val="single" w:color="000000" w:sz="4" w:space="0"/>
            </w:tcBorders>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color w:val="auto"/>
                <w:kern w:val="0"/>
                <w:sz w:val="21"/>
                <w:szCs w:val="21"/>
                <w:highlight w:val="none"/>
              </w:rPr>
            </w:pPr>
          </w:p>
        </w:tc>
      </w:tr>
      <w:tr>
        <w:tblPrEx>
          <w:tblCellMar>
            <w:top w:w="0" w:type="dxa"/>
            <w:left w:w="108" w:type="dxa"/>
            <w:bottom w:w="0" w:type="dxa"/>
            <w:right w:w="108" w:type="dxa"/>
          </w:tblCellMar>
        </w:tblPrEx>
        <w:trPr>
          <w:trHeight w:val="20" w:hRule="atLeast"/>
        </w:trPr>
        <w:tc>
          <w:tcPr>
            <w:tcW w:w="2350" w:type="dxa"/>
            <w:tcBorders>
              <w:top w:val="nil"/>
              <w:left w:val="single" w:color="000000" w:sz="4" w:space="0"/>
              <w:bottom w:val="single" w:color="000000" w:sz="4" w:space="0"/>
              <w:right w:val="single" w:color="000000" w:sz="4" w:space="0"/>
            </w:tcBorders>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合同价(</w:t>
            </w:r>
            <w:r>
              <w:rPr>
                <w:rFonts w:hint="eastAsia" w:ascii="宋体" w:hAnsi="宋体" w:cs="宋体"/>
                <w:color w:val="auto"/>
                <w:kern w:val="0"/>
                <w:sz w:val="21"/>
                <w:szCs w:val="21"/>
                <w:highlight w:val="none"/>
                <w:lang w:val="en-US" w:eastAsia="zh-CN"/>
              </w:rPr>
              <w:t>万</w:t>
            </w:r>
            <w:r>
              <w:rPr>
                <w:rFonts w:hint="eastAsia" w:ascii="宋体" w:hAnsi="宋体" w:cs="宋体"/>
                <w:color w:val="auto"/>
                <w:kern w:val="0"/>
                <w:sz w:val="21"/>
                <w:szCs w:val="21"/>
                <w:highlight w:val="none"/>
              </w:rPr>
              <w:t>元)：</w:t>
            </w:r>
          </w:p>
        </w:tc>
        <w:tc>
          <w:tcPr>
            <w:tcW w:w="2350"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color w:val="auto"/>
                <w:kern w:val="0"/>
                <w:sz w:val="21"/>
                <w:szCs w:val="21"/>
                <w:highlight w:val="none"/>
              </w:rPr>
            </w:pPr>
          </w:p>
        </w:tc>
        <w:tc>
          <w:tcPr>
            <w:tcW w:w="2350"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合同签订时间：</w:t>
            </w:r>
          </w:p>
        </w:tc>
        <w:tc>
          <w:tcPr>
            <w:tcW w:w="2100"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color w:val="auto"/>
                <w:kern w:val="0"/>
                <w:sz w:val="21"/>
                <w:szCs w:val="21"/>
                <w:highlight w:val="none"/>
              </w:rPr>
            </w:pPr>
          </w:p>
        </w:tc>
      </w:tr>
      <w:tr>
        <w:tblPrEx>
          <w:tblCellMar>
            <w:top w:w="0" w:type="dxa"/>
            <w:left w:w="108" w:type="dxa"/>
            <w:bottom w:w="0" w:type="dxa"/>
            <w:right w:w="108" w:type="dxa"/>
          </w:tblCellMar>
        </w:tblPrEx>
        <w:trPr>
          <w:trHeight w:val="20" w:hRule="atLeast"/>
        </w:trPr>
        <w:tc>
          <w:tcPr>
            <w:tcW w:w="2350" w:type="dxa"/>
            <w:tcBorders>
              <w:top w:val="nil"/>
              <w:left w:val="single" w:color="000000" w:sz="4" w:space="0"/>
              <w:bottom w:val="single" w:color="000000" w:sz="4" w:space="0"/>
              <w:right w:val="single" w:color="000000" w:sz="4" w:space="0"/>
            </w:tcBorders>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项目负责人：</w:t>
            </w:r>
          </w:p>
        </w:tc>
        <w:tc>
          <w:tcPr>
            <w:tcW w:w="6800" w:type="dxa"/>
            <w:gridSpan w:val="3"/>
            <w:tcBorders>
              <w:top w:val="single" w:color="000000" w:sz="4" w:space="0"/>
              <w:left w:val="nil"/>
              <w:bottom w:val="single" w:color="000000" w:sz="4" w:space="0"/>
              <w:right w:val="single" w:color="000000" w:sz="4" w:space="0"/>
            </w:tcBorders>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color w:val="auto"/>
                <w:kern w:val="0"/>
                <w:sz w:val="21"/>
                <w:szCs w:val="21"/>
                <w:highlight w:val="none"/>
              </w:rPr>
            </w:pPr>
          </w:p>
        </w:tc>
      </w:tr>
      <w:tr>
        <w:tblPrEx>
          <w:tblCellMar>
            <w:top w:w="0" w:type="dxa"/>
            <w:left w:w="108" w:type="dxa"/>
            <w:bottom w:w="0" w:type="dxa"/>
            <w:right w:w="108" w:type="dxa"/>
          </w:tblCellMar>
        </w:tblPrEx>
        <w:trPr>
          <w:trHeight w:val="20" w:hRule="atLeast"/>
        </w:trPr>
        <w:tc>
          <w:tcPr>
            <w:tcW w:w="2350" w:type="dxa"/>
            <w:tcBorders>
              <w:top w:val="nil"/>
              <w:left w:val="single" w:color="000000" w:sz="4" w:space="0"/>
              <w:bottom w:val="single" w:color="000000" w:sz="4" w:space="0"/>
              <w:right w:val="single" w:color="000000" w:sz="4" w:space="0"/>
            </w:tcBorders>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合同开始</w:t>
            </w:r>
            <w:r>
              <w:rPr>
                <w:rFonts w:hint="eastAsia" w:ascii="宋体" w:hAnsi="宋体" w:cs="宋体"/>
                <w:color w:val="auto"/>
                <w:kern w:val="0"/>
                <w:sz w:val="21"/>
                <w:szCs w:val="21"/>
                <w:highlight w:val="none"/>
              </w:rPr>
              <w:t>时间：</w:t>
            </w:r>
          </w:p>
        </w:tc>
        <w:tc>
          <w:tcPr>
            <w:tcW w:w="2350"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color w:val="auto"/>
                <w:kern w:val="0"/>
                <w:sz w:val="21"/>
                <w:szCs w:val="21"/>
                <w:highlight w:val="none"/>
              </w:rPr>
            </w:pPr>
          </w:p>
        </w:tc>
        <w:tc>
          <w:tcPr>
            <w:tcW w:w="2350"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合同完成</w:t>
            </w:r>
            <w:r>
              <w:rPr>
                <w:rFonts w:hint="eastAsia" w:ascii="宋体" w:hAnsi="宋体" w:cs="宋体"/>
                <w:color w:val="auto"/>
                <w:kern w:val="0"/>
                <w:sz w:val="21"/>
                <w:szCs w:val="21"/>
                <w:highlight w:val="none"/>
              </w:rPr>
              <w:t>时间：</w:t>
            </w:r>
          </w:p>
        </w:tc>
        <w:tc>
          <w:tcPr>
            <w:tcW w:w="2100" w:type="dxa"/>
            <w:tcBorders>
              <w:top w:val="nil"/>
              <w:left w:val="nil"/>
              <w:bottom w:val="single" w:color="000000" w:sz="4" w:space="0"/>
              <w:right w:val="single" w:color="000000" w:sz="4" w:space="0"/>
            </w:tcBorders>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color w:val="auto"/>
                <w:kern w:val="0"/>
                <w:sz w:val="21"/>
                <w:szCs w:val="21"/>
                <w:highlight w:val="none"/>
              </w:rPr>
            </w:pPr>
          </w:p>
        </w:tc>
      </w:tr>
      <w:tr>
        <w:tblPrEx>
          <w:tblCellMar>
            <w:top w:w="0" w:type="dxa"/>
            <w:left w:w="108" w:type="dxa"/>
            <w:bottom w:w="0" w:type="dxa"/>
            <w:right w:w="108" w:type="dxa"/>
          </w:tblCellMar>
        </w:tblPrEx>
        <w:trPr>
          <w:trHeight w:val="900" w:hRule="atLeast"/>
        </w:trPr>
        <w:tc>
          <w:tcPr>
            <w:tcW w:w="235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工程简介：</w:t>
            </w:r>
          </w:p>
        </w:tc>
        <w:tc>
          <w:tcPr>
            <w:tcW w:w="6800" w:type="dxa"/>
            <w:gridSpan w:val="3"/>
            <w:tcBorders>
              <w:top w:val="single" w:color="auto" w:sz="4" w:space="0"/>
              <w:left w:val="single" w:color="auto" w:sz="4" w:space="0"/>
              <w:bottom w:val="single" w:color="auto" w:sz="4" w:space="0"/>
              <w:right w:val="single" w:color="auto" w:sz="4" w:space="0"/>
            </w:tcBorders>
            <w:shd w:val="clear" w:color="000000" w:fill="FFFFFF"/>
            <w:noWrap w:val="0"/>
            <w:vAlign w:val="center"/>
          </w:tcPr>
          <w:p>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color w:val="auto"/>
                <w:highlight w:val="none"/>
                <w:lang w:val="en-US" w:eastAsia="zh-CN"/>
              </w:rPr>
            </w:pPr>
          </w:p>
        </w:tc>
      </w:tr>
      <w:tr>
        <w:tblPrEx>
          <w:tblCellMar>
            <w:top w:w="0" w:type="dxa"/>
            <w:left w:w="108" w:type="dxa"/>
            <w:bottom w:w="0" w:type="dxa"/>
            <w:right w:w="108" w:type="dxa"/>
          </w:tblCellMar>
        </w:tblPrEx>
        <w:trPr>
          <w:trHeight w:val="1229" w:hRule="atLeast"/>
        </w:trPr>
        <w:tc>
          <w:tcPr>
            <w:tcW w:w="235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宋体" w:hAnsi="宋体" w:cs="宋体"/>
                <w:color w:val="auto"/>
                <w:kern w:val="0"/>
                <w:sz w:val="21"/>
                <w:szCs w:val="21"/>
                <w:highlight w:val="none"/>
              </w:rPr>
            </w:pPr>
            <w:r>
              <w:rPr>
                <w:rFonts w:hint="eastAsia" w:ascii="宋体" w:hAnsi="宋体" w:cs="宋体"/>
                <w:color w:val="auto"/>
                <w:kern w:val="0"/>
                <w:sz w:val="21"/>
                <w:szCs w:val="21"/>
                <w:highlight w:val="none"/>
              </w:rPr>
              <w:t>工作内容：</w:t>
            </w:r>
          </w:p>
        </w:tc>
        <w:tc>
          <w:tcPr>
            <w:tcW w:w="6800" w:type="dxa"/>
            <w:gridSpan w:val="3"/>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color w:val="auto"/>
                <w:kern w:val="0"/>
                <w:sz w:val="21"/>
                <w:szCs w:val="21"/>
                <w:highlight w:val="none"/>
              </w:rPr>
            </w:pPr>
          </w:p>
        </w:tc>
      </w:tr>
    </w:tbl>
    <w:p>
      <w:pPr>
        <w:keepNext w:val="0"/>
        <w:keepLines w:val="0"/>
        <w:pageBreakBefore w:val="0"/>
        <w:widowControl w:val="0"/>
        <w:kinsoku/>
        <w:wordWrap w:val="0"/>
        <w:overflowPunct/>
        <w:topLinePunct w:val="0"/>
        <w:autoSpaceDE/>
        <w:autoSpaceDN/>
        <w:bidi w:val="0"/>
        <w:adjustRightInd/>
        <w:snapToGrid/>
        <w:spacing w:line="360" w:lineRule="auto"/>
        <w:ind w:firstLine="422" w:firstLineChars="200"/>
        <w:jc w:val="left"/>
        <w:textAlignment w:val="auto"/>
        <w:rPr>
          <w:rFonts w:hint="eastAsia" w:ascii="宋体" w:hAnsi="宋体" w:cs="宋体"/>
          <w:b/>
          <w:color w:val="auto"/>
          <w:kern w:val="0"/>
          <w:sz w:val="21"/>
          <w:szCs w:val="21"/>
          <w:highlight w:val="none"/>
        </w:rPr>
      </w:pPr>
    </w:p>
    <w:p>
      <w:pPr>
        <w:keepNext w:val="0"/>
        <w:keepLines w:val="0"/>
        <w:pageBreakBefore w:val="0"/>
        <w:widowControl w:val="0"/>
        <w:kinsoku/>
        <w:wordWrap w:val="0"/>
        <w:overflowPunct/>
        <w:topLinePunct w:val="0"/>
        <w:autoSpaceDE/>
        <w:autoSpaceDN/>
        <w:bidi w:val="0"/>
        <w:adjustRightInd/>
        <w:snapToGrid/>
        <w:spacing w:line="360" w:lineRule="auto"/>
        <w:ind w:firstLine="422" w:firstLineChars="200"/>
        <w:jc w:val="left"/>
        <w:textAlignment w:val="auto"/>
        <w:rPr>
          <w:rFonts w:hint="eastAsia" w:ascii="宋体" w:hAnsi="宋体" w:cs="宋体"/>
          <w:b/>
          <w:color w:val="auto"/>
          <w:kern w:val="0"/>
          <w:sz w:val="21"/>
          <w:szCs w:val="21"/>
          <w:highlight w:val="none"/>
        </w:rPr>
      </w:pPr>
      <w:r>
        <w:rPr>
          <w:rFonts w:hint="eastAsia" w:ascii="宋体" w:hAnsi="宋体" w:cs="宋体"/>
          <w:b/>
          <w:color w:val="auto"/>
          <w:kern w:val="0"/>
          <w:sz w:val="21"/>
          <w:szCs w:val="21"/>
          <w:highlight w:val="none"/>
        </w:rPr>
        <w:t>注：</w:t>
      </w:r>
    </w:p>
    <w:p>
      <w:pPr>
        <w:keepNext w:val="0"/>
        <w:keepLines w:val="0"/>
        <w:pageBreakBefore w:val="0"/>
        <w:widowControl w:val="0"/>
        <w:kinsoku/>
        <w:wordWrap w:val="0"/>
        <w:overflowPunct/>
        <w:topLinePunct w:val="0"/>
        <w:autoSpaceDE/>
        <w:autoSpaceDN/>
        <w:bidi w:val="0"/>
        <w:adjustRightInd/>
        <w:snapToGrid/>
        <w:spacing w:line="360" w:lineRule="auto"/>
        <w:ind w:firstLine="422" w:firstLineChars="200"/>
        <w:jc w:val="left"/>
        <w:textAlignment w:val="auto"/>
        <w:rPr>
          <w:rFonts w:hint="eastAsia" w:ascii="宋体" w:hAnsi="宋体" w:cs="宋体"/>
          <w:b/>
          <w:color w:val="auto"/>
          <w:kern w:val="0"/>
          <w:sz w:val="21"/>
          <w:szCs w:val="21"/>
          <w:highlight w:val="none"/>
        </w:rPr>
      </w:pPr>
      <w:r>
        <w:rPr>
          <w:rFonts w:hint="eastAsia" w:ascii="宋体" w:hAnsi="宋体" w:cs="宋体"/>
          <w:b/>
          <w:color w:val="auto"/>
          <w:kern w:val="0"/>
          <w:sz w:val="21"/>
          <w:szCs w:val="21"/>
          <w:highlight w:val="none"/>
        </w:rPr>
        <w:t>1、格式可扩展，本表后附资格</w:t>
      </w:r>
      <w:r>
        <w:rPr>
          <w:rFonts w:hint="eastAsia" w:ascii="宋体" w:hAnsi="宋体" w:cs="宋体"/>
          <w:b/>
          <w:color w:val="auto"/>
          <w:kern w:val="0"/>
          <w:sz w:val="21"/>
          <w:szCs w:val="21"/>
          <w:highlight w:val="none"/>
          <w:lang w:val="en-US" w:eastAsia="zh-CN"/>
        </w:rPr>
        <w:t>要求</w:t>
      </w:r>
      <w:r>
        <w:rPr>
          <w:rFonts w:hint="eastAsia" w:ascii="宋体" w:hAnsi="宋体" w:cs="宋体"/>
          <w:b/>
          <w:color w:val="auto"/>
          <w:kern w:val="0"/>
          <w:sz w:val="21"/>
          <w:szCs w:val="21"/>
          <w:highlight w:val="none"/>
        </w:rPr>
        <w:t>及评标办法所涉内容的证明材料</w:t>
      </w:r>
      <w:r>
        <w:rPr>
          <w:rFonts w:hint="eastAsia" w:ascii="宋体" w:hAnsi="宋体" w:cs="宋体"/>
          <w:b/>
          <w:color w:val="auto"/>
          <w:kern w:val="0"/>
          <w:sz w:val="21"/>
          <w:szCs w:val="21"/>
          <w:highlight w:val="none"/>
          <w:lang w:val="en-US" w:eastAsia="zh-CN"/>
        </w:rPr>
        <w:t>复印件或</w:t>
      </w:r>
      <w:r>
        <w:rPr>
          <w:rFonts w:hint="eastAsia" w:ascii="宋体" w:hAnsi="宋体" w:cs="宋体"/>
          <w:b/>
          <w:color w:val="auto"/>
          <w:kern w:val="0"/>
          <w:sz w:val="21"/>
          <w:szCs w:val="21"/>
          <w:highlight w:val="none"/>
        </w:rPr>
        <w:t>扫描件，并</w:t>
      </w:r>
      <w:r>
        <w:rPr>
          <w:rFonts w:hint="eastAsia" w:ascii="宋体" w:hAnsi="宋体" w:cs="宋体"/>
          <w:b/>
          <w:color w:val="auto"/>
          <w:kern w:val="0"/>
          <w:sz w:val="21"/>
          <w:szCs w:val="21"/>
          <w:highlight w:val="none"/>
          <w:u w:val="single"/>
        </w:rPr>
        <w:t>加盖单位公章</w:t>
      </w:r>
      <w:r>
        <w:rPr>
          <w:rFonts w:hint="eastAsia" w:ascii="宋体" w:hAnsi="宋体" w:cs="宋体"/>
          <w:b/>
          <w:color w:val="auto"/>
          <w:kern w:val="0"/>
          <w:sz w:val="21"/>
          <w:szCs w:val="21"/>
          <w:highlight w:val="none"/>
        </w:rPr>
        <w:t>。</w:t>
      </w:r>
    </w:p>
    <w:p>
      <w:pPr>
        <w:keepNext w:val="0"/>
        <w:keepLines w:val="0"/>
        <w:pageBreakBefore w:val="0"/>
        <w:widowControl w:val="0"/>
        <w:kinsoku/>
        <w:wordWrap w:val="0"/>
        <w:overflowPunct/>
        <w:topLinePunct w:val="0"/>
        <w:autoSpaceDE/>
        <w:autoSpaceDN/>
        <w:bidi w:val="0"/>
        <w:adjustRightInd/>
        <w:snapToGrid/>
        <w:spacing w:line="360" w:lineRule="auto"/>
        <w:ind w:firstLine="422" w:firstLineChars="200"/>
        <w:jc w:val="left"/>
        <w:textAlignment w:val="auto"/>
        <w:rPr>
          <w:rFonts w:hint="eastAsia" w:ascii="宋体" w:hAnsi="宋体" w:cs="宋体"/>
          <w:b/>
          <w:color w:val="auto"/>
          <w:kern w:val="0"/>
          <w:sz w:val="21"/>
          <w:szCs w:val="21"/>
          <w:highlight w:val="none"/>
        </w:rPr>
      </w:pPr>
    </w:p>
    <w:p>
      <w:pPr>
        <w:wordWrap w:val="0"/>
        <w:snapToGrid w:val="0"/>
        <w:spacing w:before="120" w:beforeLines="50" w:after="120" w:afterLines="50"/>
        <w:jc w:val="center"/>
        <w:rPr>
          <w:rFonts w:hint="eastAsia" w:ascii="宋体" w:hAnsi="宋体" w:cs="宋体"/>
          <w:b/>
          <w:color w:val="auto"/>
          <w:kern w:val="0"/>
          <w:sz w:val="21"/>
          <w:szCs w:val="21"/>
          <w:highlight w:val="none"/>
        </w:rPr>
      </w:pPr>
    </w:p>
    <w:p>
      <w:pPr>
        <w:pStyle w:val="7"/>
        <w:keepNext w:val="0"/>
        <w:keepLines w:val="0"/>
        <w:pageBreakBefore w:val="0"/>
        <w:widowControl w:val="0"/>
        <w:kinsoku/>
        <w:wordWrap/>
        <w:overflowPunct/>
        <w:topLinePunct w:val="0"/>
        <w:autoSpaceDE/>
        <w:autoSpaceDN/>
        <w:bidi w:val="0"/>
        <w:adjustRightInd/>
        <w:snapToGrid/>
        <w:spacing w:after="192" w:afterLines="50"/>
        <w:ind w:firstLine="0"/>
        <w:jc w:val="center"/>
        <w:textAlignment w:val="auto"/>
        <w:outlineLvl w:val="2"/>
        <w:rPr>
          <w:rFonts w:hint="eastAsia" w:ascii="宋体" w:hAnsi="宋体" w:cs="宋体"/>
          <w:b/>
          <w:color w:val="auto"/>
          <w:sz w:val="24"/>
          <w:szCs w:val="24"/>
          <w:highlight w:val="none"/>
        </w:rPr>
      </w:pPr>
      <w:r>
        <w:rPr>
          <w:rFonts w:hint="eastAsia" w:ascii="宋体" w:hAnsi="宋体" w:cs="宋体"/>
          <w:b/>
          <w:color w:val="auto"/>
          <w:sz w:val="21"/>
          <w:szCs w:val="21"/>
          <w:highlight w:val="none"/>
        </w:rPr>
        <w:br w:type="page"/>
      </w:r>
      <w:r>
        <w:rPr>
          <w:rFonts w:hint="eastAsia" w:ascii="宋体" w:hAnsi="宋体" w:cs="宋体"/>
          <w:b/>
          <w:color w:val="auto"/>
          <w:sz w:val="24"/>
          <w:szCs w:val="24"/>
          <w:highlight w:val="none"/>
        </w:rPr>
        <w:t>表5 申请人(投标人)与其他单位存在控股、管理关系</w:t>
      </w:r>
    </w:p>
    <w:tbl>
      <w:tblPr>
        <w:tblStyle w:val="3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
        <w:gridCol w:w="5315"/>
        <w:gridCol w:w="2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10" w:type="pct"/>
            <w:shd w:val="clear" w:color="000000" w:fill="FFFFFF"/>
            <w:noWrap w:val="0"/>
            <w:vAlign w:val="bottom"/>
          </w:tcPr>
          <w:p>
            <w:pPr>
              <w:widowControl/>
              <w:spacing w:line="360" w:lineRule="auto"/>
              <w:jc w:val="center"/>
              <w:rPr>
                <w:rFonts w:ascii="宋体" w:hAnsi="宋体" w:cs="Arial"/>
                <w:color w:val="auto"/>
                <w:kern w:val="0"/>
                <w:sz w:val="21"/>
                <w:szCs w:val="21"/>
                <w:highlight w:val="none"/>
              </w:rPr>
            </w:pPr>
            <w:r>
              <w:rPr>
                <w:rFonts w:ascii="宋体" w:hAnsi="宋体" w:cs="Arial"/>
                <w:color w:val="auto"/>
                <w:kern w:val="0"/>
                <w:sz w:val="21"/>
                <w:szCs w:val="21"/>
                <w:highlight w:val="none"/>
              </w:rPr>
              <w:t>序号</w:t>
            </w:r>
          </w:p>
        </w:tc>
        <w:tc>
          <w:tcPr>
            <w:tcW w:w="2879" w:type="pct"/>
            <w:shd w:val="clear" w:color="000000" w:fill="FFFFFF"/>
            <w:noWrap w:val="0"/>
            <w:vAlign w:val="bottom"/>
          </w:tcPr>
          <w:p>
            <w:pPr>
              <w:widowControl/>
              <w:spacing w:line="360" w:lineRule="auto"/>
              <w:jc w:val="center"/>
              <w:rPr>
                <w:rFonts w:ascii="宋体" w:hAnsi="宋体" w:cs="Arial"/>
                <w:color w:val="auto"/>
                <w:kern w:val="0"/>
                <w:sz w:val="21"/>
                <w:szCs w:val="21"/>
                <w:highlight w:val="none"/>
              </w:rPr>
            </w:pPr>
            <w:r>
              <w:rPr>
                <w:rFonts w:ascii="宋体" w:hAnsi="宋体" w:cs="Arial"/>
                <w:color w:val="auto"/>
                <w:kern w:val="0"/>
                <w:sz w:val="21"/>
                <w:szCs w:val="21"/>
                <w:highlight w:val="none"/>
              </w:rPr>
              <w:t>控股、管理申请人/投标人的单位名称</w:t>
            </w:r>
          </w:p>
        </w:tc>
        <w:tc>
          <w:tcPr>
            <w:tcW w:w="1611" w:type="pct"/>
            <w:shd w:val="clear" w:color="000000" w:fill="FFFFFF"/>
            <w:noWrap w:val="0"/>
            <w:vAlign w:val="bottom"/>
          </w:tcPr>
          <w:p>
            <w:pPr>
              <w:widowControl/>
              <w:spacing w:line="360" w:lineRule="auto"/>
              <w:jc w:val="center"/>
              <w:rPr>
                <w:rFonts w:ascii="宋体" w:hAnsi="宋体" w:cs="Arial"/>
                <w:color w:val="auto"/>
                <w:kern w:val="0"/>
                <w:sz w:val="21"/>
                <w:szCs w:val="21"/>
                <w:highlight w:val="none"/>
              </w:rPr>
            </w:pPr>
            <w:r>
              <w:rPr>
                <w:rFonts w:ascii="宋体" w:hAnsi="宋体" w:cs="Arial"/>
                <w:color w:val="auto"/>
                <w:kern w:val="0"/>
                <w:sz w:val="21"/>
                <w:szCs w:val="21"/>
                <w:highlight w:val="none"/>
              </w:rPr>
              <w:t>控股、管理关系情况说明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10" w:type="pct"/>
            <w:shd w:val="clear" w:color="000000" w:fill="FFFFFF"/>
            <w:noWrap w:val="0"/>
            <w:vAlign w:val="bottom"/>
          </w:tcPr>
          <w:p>
            <w:pPr>
              <w:widowControl/>
              <w:spacing w:line="360" w:lineRule="auto"/>
              <w:jc w:val="center"/>
              <w:rPr>
                <w:rFonts w:ascii="宋体" w:hAnsi="宋体" w:cs="Arial"/>
                <w:color w:val="auto"/>
                <w:kern w:val="0"/>
                <w:sz w:val="21"/>
                <w:szCs w:val="21"/>
                <w:highlight w:val="none"/>
              </w:rPr>
            </w:pPr>
          </w:p>
        </w:tc>
        <w:tc>
          <w:tcPr>
            <w:tcW w:w="2879" w:type="pct"/>
            <w:shd w:val="clear" w:color="000000" w:fill="FFFFFF"/>
            <w:noWrap w:val="0"/>
            <w:vAlign w:val="bottom"/>
          </w:tcPr>
          <w:p>
            <w:pPr>
              <w:widowControl/>
              <w:spacing w:line="360" w:lineRule="auto"/>
              <w:jc w:val="center"/>
              <w:rPr>
                <w:rFonts w:ascii="宋体" w:hAnsi="宋体" w:cs="Arial"/>
                <w:color w:val="auto"/>
                <w:kern w:val="0"/>
                <w:sz w:val="21"/>
                <w:szCs w:val="21"/>
                <w:highlight w:val="none"/>
              </w:rPr>
            </w:pPr>
          </w:p>
        </w:tc>
        <w:tc>
          <w:tcPr>
            <w:tcW w:w="1611" w:type="pct"/>
            <w:shd w:val="clear" w:color="000000" w:fill="FFFFFF"/>
            <w:noWrap w:val="0"/>
            <w:vAlign w:val="bottom"/>
          </w:tcPr>
          <w:p>
            <w:pPr>
              <w:widowControl/>
              <w:spacing w:line="360" w:lineRule="auto"/>
              <w:jc w:val="center"/>
              <w:rPr>
                <w:rFonts w:ascii="宋体" w:hAnsi="宋体" w:cs="Arial"/>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10" w:type="pct"/>
            <w:shd w:val="clear" w:color="000000" w:fill="FFFFFF"/>
            <w:noWrap w:val="0"/>
            <w:vAlign w:val="bottom"/>
          </w:tcPr>
          <w:p>
            <w:pPr>
              <w:widowControl/>
              <w:spacing w:line="360" w:lineRule="auto"/>
              <w:jc w:val="center"/>
              <w:rPr>
                <w:rFonts w:ascii="宋体" w:hAnsi="宋体" w:cs="Arial"/>
                <w:color w:val="auto"/>
                <w:kern w:val="0"/>
                <w:sz w:val="21"/>
                <w:szCs w:val="21"/>
                <w:highlight w:val="none"/>
              </w:rPr>
            </w:pPr>
            <w:r>
              <w:rPr>
                <w:rFonts w:ascii="宋体" w:hAnsi="宋体" w:cs="宋体"/>
                <w:color w:val="auto"/>
                <w:kern w:val="0"/>
                <w:sz w:val="21"/>
                <w:szCs w:val="21"/>
                <w:highlight w:val="none"/>
              </w:rPr>
              <w:t>……</w:t>
            </w:r>
          </w:p>
        </w:tc>
        <w:tc>
          <w:tcPr>
            <w:tcW w:w="2879" w:type="pct"/>
            <w:shd w:val="clear" w:color="000000" w:fill="FFFFFF"/>
            <w:noWrap w:val="0"/>
            <w:vAlign w:val="bottom"/>
          </w:tcPr>
          <w:p>
            <w:pPr>
              <w:widowControl/>
              <w:spacing w:line="360" w:lineRule="auto"/>
              <w:jc w:val="center"/>
              <w:rPr>
                <w:rFonts w:ascii="宋体" w:hAnsi="宋体" w:cs="Arial"/>
                <w:color w:val="auto"/>
                <w:kern w:val="0"/>
                <w:sz w:val="21"/>
                <w:szCs w:val="21"/>
                <w:highlight w:val="none"/>
              </w:rPr>
            </w:pPr>
          </w:p>
        </w:tc>
        <w:tc>
          <w:tcPr>
            <w:tcW w:w="1611" w:type="pct"/>
            <w:shd w:val="clear" w:color="000000" w:fill="FFFFFF"/>
            <w:noWrap w:val="0"/>
            <w:vAlign w:val="bottom"/>
          </w:tcPr>
          <w:p>
            <w:pPr>
              <w:widowControl/>
              <w:spacing w:line="360" w:lineRule="auto"/>
              <w:jc w:val="center"/>
              <w:rPr>
                <w:rFonts w:ascii="宋体" w:hAnsi="宋体" w:cs="Arial"/>
                <w:color w:val="auto"/>
                <w:kern w:val="0"/>
                <w:sz w:val="21"/>
                <w:szCs w:val="21"/>
                <w:highlight w:val="none"/>
              </w:rPr>
            </w:pPr>
          </w:p>
        </w:tc>
      </w:tr>
    </w:tbl>
    <w:p>
      <w:pPr>
        <w:pStyle w:val="71"/>
        <w:spacing w:line="360" w:lineRule="auto"/>
        <w:ind w:left="213" w:leftChars="58" w:right="238" w:rightChars="85" w:hanging="51" w:hangingChars="24"/>
        <w:rPr>
          <w:rFonts w:hint="eastAsia" w:ascii="宋体" w:hAnsi="宋体" w:cs="宋体"/>
          <w:b/>
          <w:bCs/>
          <w:color w:val="auto"/>
          <w:sz w:val="21"/>
          <w:szCs w:val="21"/>
          <w:highlight w:val="none"/>
        </w:rPr>
      </w:pPr>
    </w:p>
    <w:p>
      <w:pPr>
        <w:pStyle w:val="71"/>
        <w:ind w:left="-28" w:leftChars="-28" w:hanging="50" w:hangingChars="24"/>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 </w:t>
      </w:r>
    </w:p>
    <w:p>
      <w:pPr>
        <w:pStyle w:val="7"/>
        <w:ind w:firstLine="980" w:firstLineChars="350"/>
        <w:rPr>
          <w:color w:val="auto"/>
          <w:highlight w:val="none"/>
        </w:rPr>
        <w:sectPr>
          <w:pgSz w:w="11906" w:h="16838"/>
          <w:pgMar w:top="1361" w:right="1361" w:bottom="1361" w:left="1361" w:header="850" w:footer="964" w:gutter="170"/>
          <w:pgNumType w:fmt="decimal"/>
          <w:cols w:space="720" w:num="1"/>
          <w:docGrid w:linePitch="381" w:charSpace="0"/>
        </w:sectPr>
      </w:pPr>
    </w:p>
    <w:bookmarkEnd w:id="168"/>
    <w:p>
      <w:pPr>
        <w:spacing w:line="360" w:lineRule="auto"/>
        <w:jc w:val="center"/>
        <w:outlineLvl w:val="1"/>
        <w:rPr>
          <w:rFonts w:ascii="宋体" w:hAnsi="宋体" w:cs="宋体"/>
          <w:b/>
          <w:bCs/>
          <w:color w:val="auto"/>
          <w:kern w:val="0"/>
          <w:szCs w:val="28"/>
          <w:highlight w:val="none"/>
        </w:rPr>
      </w:pPr>
      <w:bookmarkStart w:id="169" w:name="_Toc33625870"/>
      <w:r>
        <w:rPr>
          <w:rFonts w:hint="eastAsia" w:ascii="宋体" w:hAnsi="宋体" w:cs="宋体"/>
          <w:b/>
          <w:bCs/>
          <w:color w:val="auto"/>
          <w:kern w:val="0"/>
          <w:szCs w:val="28"/>
          <w:highlight w:val="none"/>
        </w:rPr>
        <w:t>四、承诺书</w:t>
      </w:r>
    </w:p>
    <w:p>
      <w:pPr>
        <w:spacing w:line="360" w:lineRule="auto"/>
        <w:jc w:val="center"/>
        <w:rPr>
          <w:rFonts w:hint="eastAsia" w:ascii="宋体" w:hAnsi="宋体" w:cs="宋体"/>
          <w:b/>
          <w:bCs/>
          <w:color w:val="auto"/>
          <w:kern w:val="0"/>
          <w:sz w:val="24"/>
          <w:highlight w:val="none"/>
        </w:rPr>
      </w:pPr>
    </w:p>
    <w:p>
      <w:pPr>
        <w:spacing w:line="360" w:lineRule="auto"/>
        <w:jc w:val="center"/>
        <w:outlineLvl w:val="2"/>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（一）投标人资料真实性承诺书</w:t>
      </w:r>
    </w:p>
    <w:p>
      <w:pPr>
        <w:autoSpaceDE w:val="0"/>
        <w:autoSpaceDN w:val="0"/>
        <w:spacing w:line="360" w:lineRule="auto"/>
        <w:rPr>
          <w:rFonts w:hint="eastAsia" w:ascii="宋体" w:hAnsi="宋体" w:cs="宋体"/>
          <w:color w:val="auto"/>
          <w:kern w:val="0"/>
          <w:sz w:val="24"/>
          <w:highlight w:val="none"/>
          <w:u w:val="single"/>
        </w:rPr>
      </w:pPr>
    </w:p>
    <w:p>
      <w:pPr>
        <w:autoSpaceDE w:val="0"/>
        <w:autoSpaceDN w:val="0"/>
        <w:spacing w:line="360" w:lineRule="auto"/>
        <w:rPr>
          <w:rFonts w:hint="eastAsia" w:ascii="宋体" w:hAnsi="宋体" w:eastAsia="宋体" w:cs="宋体"/>
          <w:color w:val="auto"/>
          <w:kern w:val="0"/>
          <w:sz w:val="21"/>
          <w:szCs w:val="21"/>
          <w:highlight w:val="none"/>
          <w:u w:val="single"/>
          <w:lang w:eastAsia="zh-CN"/>
        </w:rPr>
      </w:pPr>
      <w:r>
        <w:rPr>
          <w:rFonts w:hint="eastAsia" w:ascii="宋体" w:hAnsi="宋体" w:cs="宋体"/>
          <w:color w:val="auto"/>
          <w:kern w:val="0"/>
          <w:sz w:val="21"/>
          <w:szCs w:val="21"/>
          <w:highlight w:val="none"/>
          <w:u w:val="single"/>
        </w:rPr>
        <w:t>致：</w:t>
      </w:r>
      <w:r>
        <w:rPr>
          <w:rFonts w:hint="eastAsia" w:ascii="宋体" w:hAnsi="宋体" w:cs="宋体"/>
          <w:color w:val="auto"/>
          <w:kern w:val="0"/>
          <w:sz w:val="21"/>
          <w:szCs w:val="21"/>
          <w:highlight w:val="none"/>
          <w:u w:val="single"/>
          <w:lang w:eastAsia="zh-CN"/>
        </w:rPr>
        <w:t>南通市江海河联运项目建设指挥部</w:t>
      </w:r>
    </w:p>
    <w:p>
      <w:pPr>
        <w:autoSpaceDE w:val="0"/>
        <w:autoSpaceDN w:val="0"/>
        <w:spacing w:line="360" w:lineRule="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 xml:space="preserve">    本人</w:t>
      </w:r>
      <w:r>
        <w:rPr>
          <w:rFonts w:hint="eastAsia" w:ascii="宋体" w:hAnsi="宋体" w:cs="宋体"/>
          <w:color w:val="auto"/>
          <w:kern w:val="0"/>
          <w:sz w:val="21"/>
          <w:szCs w:val="21"/>
          <w:highlight w:val="none"/>
          <w:u w:val="single"/>
        </w:rPr>
        <w:t xml:space="preserve">      </w:t>
      </w:r>
      <w:r>
        <w:rPr>
          <w:rFonts w:hint="eastAsia" w:ascii="宋体" w:hAnsi="宋体" w:cs="宋体"/>
          <w:color w:val="auto"/>
          <w:kern w:val="0"/>
          <w:sz w:val="21"/>
          <w:szCs w:val="21"/>
          <w:highlight w:val="none"/>
        </w:rPr>
        <w:t>以</w:t>
      </w:r>
      <w:r>
        <w:rPr>
          <w:rFonts w:hint="eastAsia" w:ascii="宋体" w:hAnsi="宋体" w:cs="宋体"/>
          <w:color w:val="auto"/>
          <w:kern w:val="0"/>
          <w:sz w:val="21"/>
          <w:szCs w:val="21"/>
          <w:highlight w:val="none"/>
          <w:u w:val="single"/>
        </w:rPr>
        <w:t xml:space="preserve">       （投标人全称）    </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rPr>
        <w:t>法定代表人的资格，郑重承诺：</w:t>
      </w:r>
    </w:p>
    <w:p>
      <w:pPr>
        <w:autoSpaceDE w:val="0"/>
        <w:autoSpaceDN w:val="0"/>
        <w:spacing w:line="360" w:lineRule="auto"/>
        <w:ind w:firstLine="480"/>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本企业此次参加</w:t>
      </w:r>
      <w:r>
        <w:rPr>
          <w:rFonts w:hint="eastAsia" w:ascii="宋体" w:hAnsi="宋体" w:cs="宋体"/>
          <w:color w:val="auto"/>
          <w:kern w:val="0"/>
          <w:sz w:val="21"/>
          <w:szCs w:val="21"/>
          <w:highlight w:val="none"/>
          <w:u w:val="single"/>
          <w:lang w:eastAsia="zh-CN"/>
        </w:rPr>
        <w:t>南通市内河干线航道文物资源区域评估项目NTGX-WWPG1标段</w:t>
      </w:r>
      <w:r>
        <w:rPr>
          <w:rFonts w:hint="eastAsia" w:ascii="宋体" w:hAnsi="宋体" w:cs="宋体"/>
          <w:color w:val="auto"/>
          <w:kern w:val="0"/>
          <w:sz w:val="21"/>
          <w:szCs w:val="21"/>
          <w:highlight w:val="none"/>
        </w:rPr>
        <w:t>投标所提交的所有资料都是真实的。如有虚假，本企业愿意接受招标人做出的取消投标、中标资格的决定，同时愿意接受交通行政主管部门依法做出的其它处罚决定。</w:t>
      </w:r>
    </w:p>
    <w:p>
      <w:pPr>
        <w:autoSpaceDE w:val="0"/>
        <w:autoSpaceDN w:val="0"/>
        <w:spacing w:line="360" w:lineRule="auto"/>
        <w:rPr>
          <w:rFonts w:hint="eastAsia" w:ascii="宋体" w:hAnsi="宋体" w:cs="宋体"/>
          <w:color w:val="auto"/>
          <w:kern w:val="0"/>
          <w:sz w:val="21"/>
          <w:szCs w:val="21"/>
          <w:highlight w:val="none"/>
        </w:rPr>
      </w:pPr>
    </w:p>
    <w:p>
      <w:pPr>
        <w:autoSpaceDE w:val="0"/>
        <w:autoSpaceDN w:val="0"/>
        <w:spacing w:line="360" w:lineRule="auto"/>
        <w:rPr>
          <w:rFonts w:hint="eastAsia" w:ascii="宋体" w:hAnsi="宋体" w:cs="宋体"/>
          <w:color w:val="auto"/>
          <w:kern w:val="0"/>
          <w:sz w:val="21"/>
          <w:szCs w:val="21"/>
          <w:highlight w:val="none"/>
        </w:rPr>
      </w:pPr>
    </w:p>
    <w:p>
      <w:pPr>
        <w:autoSpaceDE w:val="0"/>
        <w:autoSpaceDN w:val="0"/>
        <w:spacing w:line="360" w:lineRule="auto"/>
        <w:rPr>
          <w:rFonts w:hint="eastAsia" w:ascii="宋体" w:hAnsi="宋体" w:cs="宋体"/>
          <w:color w:val="auto"/>
          <w:kern w:val="0"/>
          <w:sz w:val="21"/>
          <w:szCs w:val="21"/>
          <w:highlight w:val="none"/>
        </w:rPr>
      </w:pPr>
    </w:p>
    <w:p>
      <w:pPr>
        <w:autoSpaceDE w:val="0"/>
        <w:autoSpaceDN w:val="0"/>
        <w:spacing w:line="360" w:lineRule="auto"/>
        <w:rPr>
          <w:rFonts w:hint="eastAsia" w:ascii="宋体" w:hAnsi="宋体" w:cs="宋体"/>
          <w:color w:val="auto"/>
          <w:kern w:val="0"/>
          <w:sz w:val="21"/>
          <w:szCs w:val="21"/>
          <w:highlight w:val="none"/>
        </w:rPr>
      </w:pPr>
    </w:p>
    <w:p>
      <w:pPr>
        <w:autoSpaceDE w:val="0"/>
        <w:autoSpaceDN w:val="0"/>
        <w:spacing w:line="360" w:lineRule="auto"/>
        <w:ind w:firstLine="3255" w:firstLineChars="1550"/>
        <w:rPr>
          <w:rFonts w:hint="eastAsia" w:ascii="宋体" w:hAnsi="宋体" w:cs="宋体"/>
          <w:color w:val="auto"/>
          <w:kern w:val="0"/>
          <w:sz w:val="21"/>
          <w:szCs w:val="21"/>
          <w:highlight w:val="none"/>
          <w:u w:val="single"/>
        </w:rPr>
      </w:pPr>
      <w:r>
        <w:rPr>
          <w:rFonts w:hint="eastAsia" w:ascii="宋体" w:hAnsi="宋体" w:cs="宋体"/>
          <w:color w:val="auto"/>
          <w:kern w:val="0"/>
          <w:sz w:val="21"/>
          <w:szCs w:val="21"/>
          <w:highlight w:val="none"/>
        </w:rPr>
        <w:t>投标人（盖单位章）：</w:t>
      </w:r>
      <w:r>
        <w:rPr>
          <w:rFonts w:hint="eastAsia" w:ascii="宋体" w:hAnsi="宋体" w:cs="宋体"/>
          <w:color w:val="auto"/>
          <w:kern w:val="0"/>
          <w:sz w:val="21"/>
          <w:szCs w:val="21"/>
          <w:highlight w:val="none"/>
          <w:u w:val="single"/>
        </w:rPr>
        <w:tab/>
      </w:r>
      <w:r>
        <w:rPr>
          <w:rFonts w:hint="eastAsia" w:ascii="宋体" w:hAnsi="宋体" w:cs="宋体"/>
          <w:color w:val="auto"/>
          <w:kern w:val="0"/>
          <w:sz w:val="21"/>
          <w:szCs w:val="21"/>
          <w:highlight w:val="none"/>
          <w:u w:val="single"/>
        </w:rPr>
        <w:tab/>
      </w:r>
      <w:r>
        <w:rPr>
          <w:rFonts w:hint="eastAsia" w:ascii="宋体" w:hAnsi="宋体" w:cs="宋体"/>
          <w:color w:val="auto"/>
          <w:kern w:val="0"/>
          <w:sz w:val="21"/>
          <w:szCs w:val="21"/>
          <w:highlight w:val="none"/>
          <w:u w:val="single"/>
        </w:rPr>
        <w:tab/>
      </w:r>
      <w:r>
        <w:rPr>
          <w:rFonts w:hint="eastAsia" w:ascii="宋体" w:hAnsi="宋体" w:cs="宋体"/>
          <w:color w:val="auto"/>
          <w:kern w:val="0"/>
          <w:sz w:val="21"/>
          <w:szCs w:val="21"/>
          <w:highlight w:val="none"/>
          <w:u w:val="single"/>
        </w:rPr>
        <w:tab/>
      </w:r>
      <w:r>
        <w:rPr>
          <w:rFonts w:hint="eastAsia" w:ascii="宋体" w:hAnsi="宋体" w:cs="宋体"/>
          <w:color w:val="auto"/>
          <w:kern w:val="0"/>
          <w:sz w:val="21"/>
          <w:szCs w:val="21"/>
          <w:highlight w:val="none"/>
          <w:u w:val="single"/>
        </w:rPr>
        <w:tab/>
      </w:r>
      <w:r>
        <w:rPr>
          <w:rFonts w:hint="eastAsia" w:ascii="宋体" w:hAnsi="宋体" w:cs="宋体"/>
          <w:color w:val="auto"/>
          <w:kern w:val="0"/>
          <w:sz w:val="21"/>
          <w:szCs w:val="21"/>
          <w:highlight w:val="none"/>
        </w:rPr>
        <w:tab/>
      </w:r>
    </w:p>
    <w:p>
      <w:pPr>
        <w:autoSpaceDE w:val="0"/>
        <w:autoSpaceDN w:val="0"/>
        <w:spacing w:line="360" w:lineRule="auto"/>
        <w:ind w:firstLine="3255" w:firstLineChars="1550"/>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法定代表人</w:t>
      </w:r>
    </w:p>
    <w:p>
      <w:pPr>
        <w:autoSpaceDE w:val="0"/>
        <w:autoSpaceDN w:val="0"/>
        <w:spacing w:line="360" w:lineRule="auto"/>
        <w:ind w:firstLine="3255" w:firstLineChars="1550"/>
        <w:rPr>
          <w:rFonts w:hint="eastAsia" w:ascii="宋体" w:hAnsi="宋体" w:cs="宋体"/>
          <w:color w:val="auto"/>
          <w:kern w:val="0"/>
          <w:sz w:val="21"/>
          <w:szCs w:val="21"/>
          <w:highlight w:val="none"/>
          <w:u w:val="single"/>
        </w:rPr>
      </w:pPr>
      <w:r>
        <w:rPr>
          <w:rFonts w:hint="eastAsia" w:ascii="宋体" w:hAnsi="宋体" w:cs="宋体"/>
          <w:color w:val="auto"/>
          <w:kern w:val="0"/>
          <w:sz w:val="21"/>
          <w:szCs w:val="21"/>
          <w:highlight w:val="none"/>
        </w:rPr>
        <w:t>或其委托代理人（签字）：</w:t>
      </w:r>
      <w:r>
        <w:rPr>
          <w:rFonts w:hint="eastAsia" w:ascii="宋体" w:hAnsi="宋体" w:cs="宋体"/>
          <w:color w:val="auto"/>
          <w:kern w:val="0"/>
          <w:sz w:val="21"/>
          <w:szCs w:val="21"/>
          <w:highlight w:val="none"/>
          <w:u w:val="single"/>
        </w:rPr>
        <w:tab/>
      </w:r>
      <w:r>
        <w:rPr>
          <w:rFonts w:hint="eastAsia" w:ascii="宋体" w:hAnsi="宋体" w:cs="宋体"/>
          <w:color w:val="auto"/>
          <w:kern w:val="0"/>
          <w:sz w:val="21"/>
          <w:szCs w:val="21"/>
          <w:highlight w:val="none"/>
          <w:u w:val="single"/>
        </w:rPr>
        <w:tab/>
      </w:r>
      <w:r>
        <w:rPr>
          <w:rFonts w:hint="eastAsia" w:ascii="宋体" w:hAnsi="宋体" w:cs="宋体"/>
          <w:color w:val="auto"/>
          <w:kern w:val="0"/>
          <w:sz w:val="21"/>
          <w:szCs w:val="21"/>
          <w:highlight w:val="none"/>
          <w:u w:val="single"/>
        </w:rPr>
        <w:tab/>
      </w:r>
      <w:r>
        <w:rPr>
          <w:rFonts w:hint="eastAsia" w:ascii="宋体" w:hAnsi="宋体" w:cs="宋体"/>
          <w:color w:val="auto"/>
          <w:kern w:val="0"/>
          <w:sz w:val="21"/>
          <w:szCs w:val="21"/>
          <w:highlight w:val="none"/>
          <w:u w:val="single"/>
        </w:rPr>
        <w:tab/>
      </w:r>
    </w:p>
    <w:p>
      <w:pPr>
        <w:autoSpaceDE w:val="0"/>
        <w:autoSpaceDN w:val="0"/>
        <w:spacing w:line="360" w:lineRule="auto"/>
        <w:ind w:firstLine="4560"/>
        <w:rPr>
          <w:rFonts w:hint="eastAsia" w:ascii="宋体" w:hAnsi="宋体" w:cs="宋体"/>
          <w:color w:val="auto"/>
          <w:kern w:val="0"/>
          <w:sz w:val="21"/>
          <w:szCs w:val="21"/>
          <w:highlight w:val="none"/>
          <w:u w:val="single"/>
        </w:rPr>
      </w:pPr>
    </w:p>
    <w:p>
      <w:pPr>
        <w:autoSpaceDE w:val="0"/>
        <w:autoSpaceDN w:val="0"/>
        <w:spacing w:line="360" w:lineRule="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 xml:space="preserve">                                          </w:t>
      </w:r>
      <w:r>
        <w:rPr>
          <w:rFonts w:hint="eastAsia" w:ascii="宋体" w:hAnsi="宋体" w:cs="宋体"/>
          <w:color w:val="auto"/>
          <w:kern w:val="0"/>
          <w:sz w:val="21"/>
          <w:szCs w:val="21"/>
          <w:highlight w:val="none"/>
          <w:u w:val="single"/>
        </w:rPr>
        <w:t xml:space="preserve"> </w:t>
      </w:r>
      <w:r>
        <w:rPr>
          <w:rFonts w:hint="eastAsia" w:ascii="宋体" w:hAnsi="宋体" w:cs="宋体"/>
          <w:color w:val="auto"/>
          <w:kern w:val="0"/>
          <w:sz w:val="21"/>
          <w:szCs w:val="21"/>
          <w:highlight w:val="none"/>
          <w:u w:val="single"/>
        </w:rPr>
        <w:tab/>
      </w:r>
      <w:r>
        <w:rPr>
          <w:rFonts w:hint="eastAsia" w:ascii="宋体" w:hAnsi="宋体" w:cs="宋体"/>
          <w:color w:val="auto"/>
          <w:kern w:val="0"/>
          <w:sz w:val="21"/>
          <w:szCs w:val="21"/>
          <w:highlight w:val="none"/>
          <w:u w:val="single"/>
        </w:rPr>
        <w:t>　</w:t>
      </w:r>
      <w:r>
        <w:rPr>
          <w:rFonts w:hint="eastAsia" w:ascii="宋体" w:hAnsi="宋体" w:cs="宋体"/>
          <w:color w:val="auto"/>
          <w:kern w:val="0"/>
          <w:sz w:val="21"/>
          <w:szCs w:val="21"/>
          <w:highlight w:val="none"/>
        </w:rPr>
        <w:t>年</w:t>
      </w:r>
      <w:r>
        <w:rPr>
          <w:rFonts w:hint="eastAsia" w:ascii="宋体" w:hAnsi="宋体" w:cs="宋体"/>
          <w:color w:val="auto"/>
          <w:kern w:val="0"/>
          <w:sz w:val="21"/>
          <w:szCs w:val="21"/>
          <w:highlight w:val="none"/>
          <w:u w:val="single"/>
        </w:rPr>
        <w:t xml:space="preserve">     </w:t>
      </w:r>
      <w:r>
        <w:rPr>
          <w:rFonts w:hint="eastAsia" w:ascii="宋体" w:hAnsi="宋体" w:cs="宋体"/>
          <w:color w:val="auto"/>
          <w:kern w:val="0"/>
          <w:sz w:val="21"/>
          <w:szCs w:val="21"/>
          <w:highlight w:val="none"/>
        </w:rPr>
        <w:t>月</w:t>
      </w:r>
      <w:r>
        <w:rPr>
          <w:rFonts w:hint="eastAsia" w:ascii="宋体" w:hAnsi="宋体" w:cs="宋体"/>
          <w:color w:val="auto"/>
          <w:kern w:val="0"/>
          <w:sz w:val="21"/>
          <w:szCs w:val="21"/>
          <w:highlight w:val="none"/>
          <w:u w:val="single"/>
        </w:rPr>
        <w:t xml:space="preserve">     </w:t>
      </w:r>
      <w:r>
        <w:rPr>
          <w:rFonts w:hint="eastAsia" w:ascii="宋体" w:hAnsi="宋体" w:cs="宋体"/>
          <w:color w:val="auto"/>
          <w:kern w:val="0"/>
          <w:sz w:val="21"/>
          <w:szCs w:val="21"/>
          <w:highlight w:val="none"/>
        </w:rPr>
        <w:t>日</w:t>
      </w:r>
    </w:p>
    <w:p>
      <w:pPr>
        <w:pStyle w:val="4"/>
        <w:ind w:firstLine="477" w:firstLineChars="198"/>
        <w:jc w:val="center"/>
        <w:rPr>
          <w:rFonts w:hint="eastAsia" w:ascii="宋体" w:hAnsi="宋体"/>
          <w:color w:val="auto"/>
          <w:w w:val="99"/>
          <w:sz w:val="28"/>
          <w:szCs w:val="28"/>
          <w:highlight w:val="none"/>
        </w:rPr>
      </w:pPr>
      <w:r>
        <w:rPr>
          <w:rFonts w:ascii="宋体" w:hAnsi="宋体" w:cs="宋体"/>
          <w:color w:val="auto"/>
          <w:sz w:val="24"/>
          <w:highlight w:val="none"/>
        </w:rPr>
        <w:br w:type="page"/>
      </w:r>
      <w:bookmarkStart w:id="170" w:name="_Toc29915"/>
      <w:r>
        <w:rPr>
          <w:rFonts w:hint="eastAsia" w:ascii="宋体" w:hAnsi="宋体" w:cs="宋体"/>
          <w:color w:val="auto"/>
          <w:sz w:val="24"/>
          <w:szCs w:val="24"/>
          <w:highlight w:val="none"/>
        </w:rPr>
        <w:t>（二）江苏省公路水运建设项目投标人信用承诺书</w:t>
      </w:r>
      <w:bookmarkEnd w:id="170"/>
    </w:p>
    <w:p>
      <w:pPr>
        <w:spacing w:line="360" w:lineRule="auto"/>
        <w:rPr>
          <w:rFonts w:hint="eastAsia" w:ascii="宋体" w:hAnsi="宋体" w:eastAsia="宋体"/>
          <w:color w:val="auto"/>
          <w:kern w:val="0"/>
          <w:sz w:val="21"/>
          <w:szCs w:val="21"/>
          <w:highlight w:val="none"/>
          <w:u w:val="single"/>
          <w:lang w:eastAsia="zh-CN"/>
        </w:rPr>
      </w:pPr>
      <w:r>
        <w:rPr>
          <w:rFonts w:hint="eastAsia" w:ascii="宋体" w:hAnsi="宋体"/>
          <w:color w:val="auto"/>
          <w:kern w:val="0"/>
          <w:sz w:val="21"/>
          <w:szCs w:val="21"/>
          <w:highlight w:val="none"/>
        </w:rPr>
        <w:t>致：</w:t>
      </w:r>
      <w:r>
        <w:rPr>
          <w:rFonts w:hint="eastAsia" w:ascii="宋体" w:hAnsi="宋体"/>
          <w:color w:val="auto"/>
          <w:kern w:val="0"/>
          <w:sz w:val="21"/>
          <w:szCs w:val="21"/>
          <w:highlight w:val="none"/>
          <w:u w:val="single"/>
          <w:lang w:eastAsia="zh-CN"/>
        </w:rPr>
        <w:t>南通市江海河联运项目建设指挥部</w:t>
      </w:r>
    </w:p>
    <w:p>
      <w:pPr>
        <w:spacing w:line="360" w:lineRule="auto"/>
        <w:ind w:firstLine="420" w:firstLineChars="200"/>
        <w:rPr>
          <w:rFonts w:hint="eastAsia" w:ascii="宋体" w:hAnsi="宋体"/>
          <w:color w:val="auto"/>
          <w:kern w:val="0"/>
          <w:sz w:val="21"/>
          <w:szCs w:val="21"/>
          <w:highlight w:val="none"/>
        </w:rPr>
      </w:pPr>
      <w:r>
        <w:rPr>
          <w:rFonts w:hint="eastAsia" w:ascii="宋体" w:hAnsi="宋体"/>
          <w:color w:val="auto"/>
          <w:kern w:val="0"/>
          <w:sz w:val="21"/>
          <w:szCs w:val="21"/>
          <w:highlight w:val="none"/>
        </w:rPr>
        <w:t>我单位自愿参加</w:t>
      </w:r>
      <w:r>
        <w:rPr>
          <w:rFonts w:hint="eastAsia" w:ascii="宋体" w:hAnsi="宋体"/>
          <w:color w:val="auto"/>
          <w:kern w:val="0"/>
          <w:sz w:val="21"/>
          <w:szCs w:val="21"/>
          <w:highlight w:val="none"/>
          <w:u w:val="single"/>
          <w:lang w:eastAsia="zh-CN"/>
        </w:rPr>
        <w:t>南通市内河干线航道文物资源区域评估项目NTGX-WWPG1标段</w:t>
      </w:r>
      <w:r>
        <w:rPr>
          <w:rFonts w:hint="eastAsia" w:ascii="宋体" w:hAnsi="宋体"/>
          <w:color w:val="auto"/>
          <w:kern w:val="0"/>
          <w:sz w:val="21"/>
          <w:szCs w:val="21"/>
          <w:highlight w:val="none"/>
        </w:rPr>
        <w:t>的投标活动，并郑重承诺：</w:t>
      </w:r>
    </w:p>
    <w:p>
      <w:pPr>
        <w:numPr>
          <w:ilvl w:val="0"/>
          <w:numId w:val="2"/>
          <w:numberingChange w:id="0" w:author="苏州市航道管理处" w:date="2023-10-17T10:08:00Z" w:original="%1:1:0:."/>
        </w:numPr>
        <w:spacing w:line="360" w:lineRule="auto"/>
        <w:ind w:left="0" w:firstLine="420" w:firstLineChars="200"/>
        <w:rPr>
          <w:rFonts w:hint="eastAsia" w:ascii="宋体" w:hAnsi="宋体"/>
          <w:color w:val="auto"/>
          <w:kern w:val="0"/>
          <w:sz w:val="21"/>
          <w:szCs w:val="21"/>
          <w:highlight w:val="none"/>
        </w:rPr>
      </w:pPr>
      <w:r>
        <w:rPr>
          <w:rFonts w:hint="eastAsia" w:ascii="宋体" w:hAnsi="宋体"/>
          <w:color w:val="auto"/>
          <w:kern w:val="0"/>
          <w:sz w:val="21"/>
          <w:szCs w:val="21"/>
          <w:highlight w:val="none"/>
        </w:rPr>
        <w:t>在本项目的投标活动中遵守国家法律法规和交通运输行业有关规定，遵循公开、公平、公正和诚信原则。</w:t>
      </w:r>
    </w:p>
    <w:p>
      <w:pPr>
        <w:numPr>
          <w:ilvl w:val="0"/>
          <w:numId w:val="2"/>
          <w:numberingChange w:id="1" w:author="苏州市航道管理处" w:date="2023-10-17T10:08:00Z" w:original="%1:2:0:."/>
        </w:numPr>
        <w:spacing w:line="360" w:lineRule="auto"/>
        <w:ind w:left="0" w:firstLine="420" w:firstLineChars="200"/>
        <w:rPr>
          <w:rFonts w:hint="eastAsia" w:ascii="宋体" w:hAnsi="宋体"/>
          <w:color w:val="auto"/>
          <w:kern w:val="0"/>
          <w:sz w:val="21"/>
          <w:szCs w:val="21"/>
          <w:highlight w:val="none"/>
        </w:rPr>
      </w:pPr>
      <w:r>
        <w:rPr>
          <w:rFonts w:hint="eastAsia" w:ascii="宋体" w:hAnsi="宋体"/>
          <w:color w:val="auto"/>
          <w:kern w:val="0"/>
          <w:sz w:val="21"/>
          <w:szCs w:val="21"/>
          <w:highlight w:val="none"/>
        </w:rPr>
        <w:t>投标文件中所有内容均为我单位真实意愿表达，相关信息真实有效。</w:t>
      </w:r>
    </w:p>
    <w:p>
      <w:pPr>
        <w:numPr>
          <w:ilvl w:val="0"/>
          <w:numId w:val="2"/>
          <w:numberingChange w:id="2" w:author="苏州市航道管理处" w:date="2023-10-17T10:08:00Z" w:original="%1:3:0:."/>
        </w:numPr>
        <w:spacing w:line="360" w:lineRule="auto"/>
        <w:ind w:left="0" w:firstLine="420" w:firstLineChars="200"/>
        <w:rPr>
          <w:rFonts w:hint="eastAsia" w:ascii="宋体" w:hAnsi="宋体"/>
          <w:color w:val="auto"/>
          <w:kern w:val="0"/>
          <w:sz w:val="21"/>
          <w:szCs w:val="21"/>
          <w:highlight w:val="none"/>
        </w:rPr>
      </w:pPr>
      <w:r>
        <w:rPr>
          <w:rFonts w:hint="eastAsia" w:ascii="宋体" w:hAnsi="宋体"/>
          <w:color w:val="auto"/>
          <w:kern w:val="0"/>
          <w:sz w:val="21"/>
          <w:szCs w:val="21"/>
          <w:highlight w:val="none"/>
        </w:rPr>
        <w:t>无弄虚作假，无围标串标行为。</w:t>
      </w:r>
    </w:p>
    <w:p>
      <w:pPr>
        <w:numPr>
          <w:ilvl w:val="0"/>
          <w:numId w:val="2"/>
          <w:numberingChange w:id="3" w:author="苏州市航道管理处" w:date="2023-10-17T10:08:00Z" w:original="%1:4:0:."/>
        </w:numPr>
        <w:spacing w:line="360" w:lineRule="auto"/>
        <w:ind w:left="0" w:firstLine="420" w:firstLineChars="200"/>
        <w:rPr>
          <w:rFonts w:hint="eastAsia" w:ascii="宋体" w:hAnsi="宋体"/>
          <w:color w:val="auto"/>
          <w:kern w:val="0"/>
          <w:sz w:val="21"/>
          <w:szCs w:val="21"/>
          <w:highlight w:val="none"/>
        </w:rPr>
      </w:pPr>
      <w:r>
        <w:rPr>
          <w:rFonts w:hint="eastAsia" w:ascii="宋体" w:hAnsi="宋体"/>
          <w:color w:val="auto"/>
          <w:kern w:val="0"/>
          <w:sz w:val="21"/>
          <w:szCs w:val="21"/>
          <w:highlight w:val="none"/>
        </w:rPr>
        <w:t>若我方中标，在合同履行过程中严格执行有关法律、法规、规章和规范性文件的规定，不转包和违法分包。</w:t>
      </w:r>
    </w:p>
    <w:p>
      <w:pPr>
        <w:numPr>
          <w:ilvl w:val="0"/>
          <w:numId w:val="2"/>
          <w:numberingChange w:id="4" w:author="苏州市航道管理处" w:date="2023-10-17T10:08:00Z" w:original="%1:5:0:."/>
        </w:numPr>
        <w:spacing w:line="360" w:lineRule="auto"/>
        <w:ind w:left="0" w:firstLine="420" w:firstLineChars="200"/>
        <w:rPr>
          <w:rFonts w:hint="eastAsia" w:ascii="宋体" w:hAnsi="宋体"/>
          <w:color w:val="auto"/>
          <w:kern w:val="0"/>
          <w:sz w:val="21"/>
          <w:szCs w:val="21"/>
          <w:highlight w:val="none"/>
        </w:rPr>
      </w:pPr>
      <w:r>
        <w:rPr>
          <w:rFonts w:hint="eastAsia" w:ascii="宋体" w:hAnsi="宋体"/>
          <w:color w:val="auto"/>
          <w:kern w:val="0"/>
          <w:sz w:val="21"/>
          <w:szCs w:val="21"/>
          <w:highlight w:val="none"/>
        </w:rPr>
        <w:t>我方如有违背承诺，愿意接受国家和交通运输主管部门依法进行的处罚，以及按照信用管理规定记入相关责任主体和责任人信用档案，同时在交通运输行业和政府相关信用网站公开。</w:t>
      </w:r>
    </w:p>
    <w:p>
      <w:pPr>
        <w:spacing w:line="400" w:lineRule="exact"/>
        <w:ind w:firstLine="3800" w:firstLineChars="1900"/>
        <w:rPr>
          <w:rFonts w:hint="eastAsia" w:ascii="宋体" w:hAnsi="宋体"/>
          <w:color w:val="auto"/>
          <w:spacing w:val="-5"/>
          <w:sz w:val="21"/>
          <w:szCs w:val="21"/>
          <w:highlight w:val="none"/>
        </w:rPr>
      </w:pPr>
    </w:p>
    <w:p>
      <w:pPr>
        <w:spacing w:line="400" w:lineRule="exact"/>
        <w:ind w:firstLine="3800" w:firstLineChars="1900"/>
        <w:rPr>
          <w:rFonts w:hint="eastAsia" w:ascii="宋体" w:hAnsi="宋体"/>
          <w:color w:val="auto"/>
          <w:spacing w:val="-5"/>
          <w:sz w:val="21"/>
          <w:szCs w:val="21"/>
          <w:highlight w:val="none"/>
        </w:rPr>
      </w:pPr>
    </w:p>
    <w:p>
      <w:pPr>
        <w:autoSpaceDE w:val="0"/>
        <w:autoSpaceDN w:val="0"/>
        <w:adjustRightInd w:val="0"/>
        <w:spacing w:line="360" w:lineRule="auto"/>
        <w:ind w:firstLine="3255" w:firstLineChars="1550"/>
        <w:rPr>
          <w:rFonts w:hint="eastAsia" w:ascii="宋体" w:hAnsi="宋体" w:cs="宋体"/>
          <w:color w:val="auto"/>
          <w:kern w:val="0"/>
          <w:sz w:val="21"/>
          <w:szCs w:val="21"/>
          <w:highlight w:val="none"/>
          <w:u w:val="single"/>
        </w:rPr>
      </w:pPr>
      <w:r>
        <w:rPr>
          <w:rFonts w:hint="eastAsia" w:ascii="宋体" w:hAnsi="宋体" w:cs="宋体"/>
          <w:color w:val="auto"/>
          <w:kern w:val="0"/>
          <w:sz w:val="21"/>
          <w:szCs w:val="21"/>
          <w:highlight w:val="none"/>
        </w:rPr>
        <w:t>投标人（盖单位章）：</w:t>
      </w:r>
      <w:r>
        <w:rPr>
          <w:rFonts w:hint="eastAsia" w:ascii="宋体" w:hAnsi="宋体" w:cs="宋体"/>
          <w:color w:val="auto"/>
          <w:kern w:val="0"/>
          <w:sz w:val="21"/>
          <w:szCs w:val="21"/>
          <w:highlight w:val="none"/>
          <w:u w:val="single"/>
        </w:rPr>
        <w:tab/>
      </w:r>
      <w:r>
        <w:rPr>
          <w:rFonts w:hint="eastAsia" w:ascii="宋体" w:hAnsi="宋体" w:cs="宋体"/>
          <w:color w:val="auto"/>
          <w:kern w:val="0"/>
          <w:sz w:val="21"/>
          <w:szCs w:val="21"/>
          <w:highlight w:val="none"/>
          <w:u w:val="single"/>
        </w:rPr>
        <w:tab/>
      </w:r>
      <w:r>
        <w:rPr>
          <w:rFonts w:hint="eastAsia" w:ascii="宋体" w:hAnsi="宋体" w:cs="宋体"/>
          <w:color w:val="auto"/>
          <w:kern w:val="0"/>
          <w:sz w:val="21"/>
          <w:szCs w:val="21"/>
          <w:highlight w:val="none"/>
          <w:u w:val="single"/>
        </w:rPr>
        <w:tab/>
      </w:r>
      <w:r>
        <w:rPr>
          <w:rFonts w:hint="eastAsia" w:ascii="宋体" w:hAnsi="宋体" w:cs="宋体"/>
          <w:color w:val="auto"/>
          <w:kern w:val="0"/>
          <w:sz w:val="21"/>
          <w:szCs w:val="21"/>
          <w:highlight w:val="none"/>
          <w:u w:val="single"/>
        </w:rPr>
        <w:tab/>
      </w:r>
      <w:r>
        <w:rPr>
          <w:rFonts w:hint="eastAsia" w:ascii="宋体" w:hAnsi="宋体" w:cs="宋体"/>
          <w:color w:val="auto"/>
          <w:kern w:val="0"/>
          <w:sz w:val="21"/>
          <w:szCs w:val="21"/>
          <w:highlight w:val="none"/>
          <w:u w:val="single"/>
        </w:rPr>
        <w:tab/>
      </w:r>
      <w:r>
        <w:rPr>
          <w:rFonts w:hint="eastAsia" w:ascii="宋体" w:hAnsi="宋体" w:cs="宋体"/>
          <w:color w:val="auto"/>
          <w:kern w:val="0"/>
          <w:sz w:val="21"/>
          <w:szCs w:val="21"/>
          <w:highlight w:val="none"/>
        </w:rPr>
        <w:tab/>
      </w:r>
    </w:p>
    <w:p>
      <w:pPr>
        <w:autoSpaceDE w:val="0"/>
        <w:autoSpaceDN w:val="0"/>
        <w:adjustRightInd w:val="0"/>
        <w:spacing w:line="360" w:lineRule="auto"/>
        <w:ind w:firstLine="3268" w:firstLineChars="1550"/>
        <w:rPr>
          <w:rFonts w:hint="eastAsia" w:ascii="宋体" w:hAnsi="宋体" w:cs="宋体"/>
          <w:b/>
          <w:color w:val="auto"/>
          <w:kern w:val="0"/>
          <w:sz w:val="21"/>
          <w:szCs w:val="21"/>
          <w:highlight w:val="none"/>
          <w:u w:val="single"/>
        </w:rPr>
      </w:pPr>
      <w:r>
        <w:rPr>
          <w:rFonts w:hint="eastAsia" w:ascii="宋体" w:hAnsi="宋体" w:cs="宋体"/>
          <w:b/>
          <w:color w:val="auto"/>
          <w:kern w:val="0"/>
          <w:sz w:val="21"/>
          <w:szCs w:val="21"/>
          <w:highlight w:val="none"/>
        </w:rPr>
        <w:t>承诺人法定代表人（签字或签章）：</w:t>
      </w:r>
      <w:r>
        <w:rPr>
          <w:rFonts w:hint="eastAsia" w:ascii="宋体" w:hAnsi="宋体" w:cs="宋体"/>
          <w:b/>
          <w:color w:val="auto"/>
          <w:kern w:val="0"/>
          <w:sz w:val="21"/>
          <w:szCs w:val="21"/>
          <w:highlight w:val="none"/>
          <w:u w:val="single"/>
        </w:rPr>
        <w:tab/>
      </w:r>
      <w:r>
        <w:rPr>
          <w:rFonts w:hint="eastAsia" w:ascii="宋体" w:hAnsi="宋体" w:cs="宋体"/>
          <w:b/>
          <w:color w:val="auto"/>
          <w:kern w:val="0"/>
          <w:sz w:val="21"/>
          <w:szCs w:val="21"/>
          <w:highlight w:val="none"/>
          <w:u w:val="single"/>
        </w:rPr>
        <w:tab/>
      </w:r>
      <w:r>
        <w:rPr>
          <w:rFonts w:hint="eastAsia" w:ascii="宋体" w:hAnsi="宋体" w:cs="宋体"/>
          <w:b/>
          <w:color w:val="auto"/>
          <w:kern w:val="0"/>
          <w:sz w:val="21"/>
          <w:szCs w:val="21"/>
          <w:highlight w:val="none"/>
          <w:u w:val="single"/>
        </w:rPr>
        <w:tab/>
      </w:r>
    </w:p>
    <w:p>
      <w:pPr>
        <w:autoSpaceDE w:val="0"/>
        <w:autoSpaceDN w:val="0"/>
        <w:adjustRightInd w:val="0"/>
        <w:spacing w:line="360" w:lineRule="auto"/>
        <w:rPr>
          <w:rFonts w:ascii="宋体" w:hAnsi="宋体" w:cs="宋体"/>
          <w:color w:val="auto"/>
          <w:kern w:val="0"/>
          <w:sz w:val="21"/>
          <w:szCs w:val="21"/>
          <w:highlight w:val="none"/>
        </w:rPr>
      </w:pPr>
      <w:r>
        <w:rPr>
          <w:rFonts w:hint="eastAsia" w:ascii="宋体" w:hAnsi="宋体" w:cs="宋体"/>
          <w:color w:val="auto"/>
          <w:kern w:val="0"/>
          <w:sz w:val="21"/>
          <w:szCs w:val="21"/>
          <w:highlight w:val="none"/>
        </w:rPr>
        <w:t xml:space="preserve">                                          </w:t>
      </w:r>
      <w:r>
        <w:rPr>
          <w:rFonts w:hint="eastAsia" w:ascii="宋体" w:hAnsi="宋体" w:cs="宋体"/>
          <w:color w:val="auto"/>
          <w:kern w:val="0"/>
          <w:sz w:val="21"/>
          <w:szCs w:val="21"/>
          <w:highlight w:val="none"/>
          <w:u w:val="single"/>
        </w:rPr>
        <w:t xml:space="preserve"> </w:t>
      </w:r>
      <w:r>
        <w:rPr>
          <w:rFonts w:hint="eastAsia" w:ascii="宋体" w:hAnsi="宋体" w:cs="宋体"/>
          <w:color w:val="auto"/>
          <w:kern w:val="0"/>
          <w:sz w:val="21"/>
          <w:szCs w:val="21"/>
          <w:highlight w:val="none"/>
          <w:u w:val="single"/>
        </w:rPr>
        <w:tab/>
      </w:r>
      <w:r>
        <w:rPr>
          <w:rFonts w:hint="eastAsia" w:ascii="宋体" w:hAnsi="宋体" w:cs="宋体"/>
          <w:color w:val="auto"/>
          <w:kern w:val="0"/>
          <w:sz w:val="21"/>
          <w:szCs w:val="21"/>
          <w:highlight w:val="none"/>
          <w:u w:val="single"/>
        </w:rPr>
        <w:t>　</w:t>
      </w:r>
      <w:r>
        <w:rPr>
          <w:rFonts w:hint="eastAsia" w:ascii="宋体" w:hAnsi="宋体" w:cs="宋体"/>
          <w:color w:val="auto"/>
          <w:kern w:val="0"/>
          <w:sz w:val="21"/>
          <w:szCs w:val="21"/>
          <w:highlight w:val="none"/>
        </w:rPr>
        <w:t>年</w:t>
      </w:r>
      <w:r>
        <w:rPr>
          <w:rFonts w:hint="eastAsia" w:ascii="宋体" w:hAnsi="宋体" w:cs="宋体"/>
          <w:color w:val="auto"/>
          <w:kern w:val="0"/>
          <w:sz w:val="21"/>
          <w:szCs w:val="21"/>
          <w:highlight w:val="none"/>
          <w:u w:val="single"/>
        </w:rPr>
        <w:t xml:space="preserve">     </w:t>
      </w:r>
      <w:r>
        <w:rPr>
          <w:rFonts w:hint="eastAsia" w:ascii="宋体" w:hAnsi="宋体" w:cs="宋体"/>
          <w:color w:val="auto"/>
          <w:kern w:val="0"/>
          <w:sz w:val="21"/>
          <w:szCs w:val="21"/>
          <w:highlight w:val="none"/>
        </w:rPr>
        <w:t xml:space="preserve">月 </w:t>
      </w:r>
      <w:r>
        <w:rPr>
          <w:rFonts w:hint="eastAsia" w:ascii="宋体" w:hAnsi="宋体" w:cs="宋体"/>
          <w:color w:val="auto"/>
          <w:kern w:val="0"/>
          <w:sz w:val="21"/>
          <w:szCs w:val="21"/>
          <w:highlight w:val="none"/>
          <w:u w:val="single"/>
        </w:rPr>
        <w:t xml:space="preserve">     </w:t>
      </w:r>
      <w:r>
        <w:rPr>
          <w:rFonts w:hint="eastAsia" w:ascii="宋体" w:hAnsi="宋体" w:cs="宋体"/>
          <w:color w:val="auto"/>
          <w:kern w:val="0"/>
          <w:sz w:val="21"/>
          <w:szCs w:val="21"/>
          <w:highlight w:val="none"/>
        </w:rPr>
        <w:t>日</w:t>
      </w:r>
    </w:p>
    <w:p>
      <w:pPr>
        <w:spacing w:before="120" w:beforeLines="50" w:line="400" w:lineRule="exact"/>
        <w:jc w:val="center"/>
        <w:outlineLvl w:val="2"/>
        <w:rPr>
          <w:rFonts w:ascii="宋体" w:hAnsi="宋体"/>
          <w:b/>
          <w:bCs/>
          <w:color w:val="auto"/>
          <w:spacing w:val="-5"/>
          <w:sz w:val="24"/>
          <w:highlight w:val="none"/>
        </w:rPr>
      </w:pPr>
      <w:r>
        <w:rPr>
          <w:rFonts w:ascii="宋体" w:hAnsi="宋体" w:cs="宋体"/>
          <w:color w:val="auto"/>
          <w:kern w:val="0"/>
          <w:sz w:val="24"/>
          <w:highlight w:val="none"/>
        </w:rPr>
        <w:br w:type="page"/>
      </w:r>
      <w:r>
        <w:rPr>
          <w:rFonts w:hint="eastAsia" w:ascii="宋体" w:hAnsi="宋体" w:cs="宋体"/>
          <w:b/>
          <w:bCs/>
          <w:color w:val="auto"/>
          <w:kern w:val="0"/>
          <w:sz w:val="24"/>
          <w:highlight w:val="none"/>
        </w:rPr>
        <w:t>（三）</w:t>
      </w:r>
      <w:r>
        <w:rPr>
          <w:rFonts w:ascii="宋体" w:hAnsi="宋体" w:cs="宋体"/>
          <w:b/>
          <w:bCs/>
          <w:color w:val="auto"/>
          <w:sz w:val="24"/>
          <w:highlight w:val="none"/>
        </w:rPr>
        <w:t>江苏公路水运建设市场主要从业人员信用承诺书</w:t>
      </w:r>
    </w:p>
    <w:p>
      <w:pPr>
        <w:spacing w:before="120" w:beforeLines="50" w:line="360" w:lineRule="auto"/>
        <w:ind w:firstLine="540" w:firstLineChars="200"/>
        <w:rPr>
          <w:rFonts w:hint="eastAsia" w:ascii="宋体" w:hAnsi="宋体"/>
          <w:color w:val="auto"/>
          <w:spacing w:val="-5"/>
          <w:szCs w:val="21"/>
          <w:highlight w:val="none"/>
        </w:rPr>
      </w:pPr>
    </w:p>
    <w:p>
      <w:pPr>
        <w:spacing w:before="120" w:beforeLines="50" w:line="360" w:lineRule="auto"/>
        <w:ind w:firstLine="400" w:firstLineChars="200"/>
        <w:rPr>
          <w:rFonts w:ascii="宋体" w:hAnsi="宋体"/>
          <w:color w:val="auto"/>
          <w:spacing w:val="-5"/>
          <w:kern w:val="0"/>
          <w:sz w:val="21"/>
          <w:szCs w:val="21"/>
          <w:highlight w:val="none"/>
        </w:rPr>
      </w:pPr>
      <w:r>
        <w:rPr>
          <w:rFonts w:hint="eastAsia" w:ascii="宋体" w:hAnsi="宋体"/>
          <w:color w:val="auto"/>
          <w:spacing w:val="-5"/>
          <w:kern w:val="0"/>
          <w:sz w:val="21"/>
          <w:szCs w:val="21"/>
          <w:highlight w:val="none"/>
        </w:rPr>
        <w:t>本人自愿申请参加江苏省公路水运工程主要从业人员信用评价，</w:t>
      </w:r>
      <w:r>
        <w:rPr>
          <w:rFonts w:ascii="宋体" w:hAnsi="宋体"/>
          <w:color w:val="auto"/>
          <w:spacing w:val="-5"/>
          <w:kern w:val="0"/>
          <w:sz w:val="21"/>
          <w:szCs w:val="21"/>
          <w:highlight w:val="none"/>
        </w:rPr>
        <w:t>在此郑重承诺：</w:t>
      </w:r>
    </w:p>
    <w:p>
      <w:pPr>
        <w:numPr>
          <w:ilvl w:val="0"/>
          <w:numId w:val="3"/>
          <w:numberingChange w:id="5" w:author="苏州市航道管理处" w:date="2023-10-17T10:08:00Z" w:original="%1:1:0:."/>
        </w:numPr>
        <w:spacing w:line="360" w:lineRule="auto"/>
        <w:ind w:left="0" w:firstLine="400" w:firstLineChars="200"/>
        <w:rPr>
          <w:rFonts w:ascii="宋体" w:hAnsi="宋体"/>
          <w:color w:val="auto"/>
          <w:spacing w:val="-5"/>
          <w:kern w:val="0"/>
          <w:sz w:val="21"/>
          <w:szCs w:val="21"/>
          <w:highlight w:val="none"/>
        </w:rPr>
      </w:pPr>
      <w:r>
        <w:rPr>
          <w:rFonts w:hint="eastAsia" w:ascii="宋体" w:hAnsi="宋体"/>
          <w:color w:val="auto"/>
          <w:spacing w:val="-5"/>
          <w:kern w:val="0"/>
          <w:sz w:val="21"/>
          <w:szCs w:val="21"/>
          <w:highlight w:val="none"/>
        </w:rPr>
        <w:t>在厅</w:t>
      </w:r>
      <w:r>
        <w:rPr>
          <w:rFonts w:ascii="宋体" w:hAnsi="宋体"/>
          <w:color w:val="auto"/>
          <w:spacing w:val="-5"/>
          <w:kern w:val="0"/>
          <w:sz w:val="21"/>
          <w:szCs w:val="21"/>
          <w:highlight w:val="none"/>
        </w:rPr>
        <w:t>建设市场信用系统</w:t>
      </w:r>
      <w:r>
        <w:rPr>
          <w:rFonts w:hint="eastAsia" w:ascii="宋体" w:hAnsi="宋体"/>
          <w:color w:val="auto"/>
          <w:spacing w:val="-5"/>
          <w:kern w:val="0"/>
          <w:sz w:val="21"/>
          <w:szCs w:val="21"/>
          <w:highlight w:val="none"/>
        </w:rPr>
        <w:t>中录入的</w:t>
      </w:r>
      <w:r>
        <w:rPr>
          <w:rFonts w:ascii="宋体" w:hAnsi="宋体"/>
          <w:color w:val="auto"/>
          <w:spacing w:val="-5"/>
          <w:kern w:val="0"/>
          <w:sz w:val="21"/>
          <w:szCs w:val="21"/>
          <w:highlight w:val="none"/>
        </w:rPr>
        <w:t>有关</w:t>
      </w:r>
      <w:r>
        <w:rPr>
          <w:rFonts w:hint="eastAsia" w:ascii="宋体" w:hAnsi="宋体"/>
          <w:color w:val="auto"/>
          <w:spacing w:val="-5"/>
          <w:kern w:val="0"/>
          <w:sz w:val="21"/>
          <w:szCs w:val="21"/>
          <w:highlight w:val="none"/>
        </w:rPr>
        <w:t>本人信用</w:t>
      </w:r>
      <w:r>
        <w:rPr>
          <w:rFonts w:ascii="宋体" w:hAnsi="宋体"/>
          <w:color w:val="auto"/>
          <w:spacing w:val="-5"/>
          <w:kern w:val="0"/>
          <w:sz w:val="21"/>
          <w:szCs w:val="21"/>
          <w:highlight w:val="none"/>
        </w:rPr>
        <w:t>信息</w:t>
      </w:r>
      <w:r>
        <w:rPr>
          <w:rFonts w:hint="eastAsia" w:ascii="宋体" w:hAnsi="宋体"/>
          <w:color w:val="auto"/>
          <w:spacing w:val="-5"/>
          <w:kern w:val="0"/>
          <w:sz w:val="21"/>
          <w:szCs w:val="21"/>
          <w:highlight w:val="none"/>
        </w:rPr>
        <w:t>均由本人亲自确认，</w:t>
      </w:r>
      <w:r>
        <w:rPr>
          <w:rFonts w:ascii="宋体" w:hAnsi="宋体"/>
          <w:color w:val="auto"/>
          <w:spacing w:val="-5"/>
          <w:kern w:val="0"/>
          <w:sz w:val="21"/>
          <w:szCs w:val="21"/>
          <w:highlight w:val="none"/>
        </w:rPr>
        <w:t>所有信息都是真实、准确的。</w:t>
      </w:r>
    </w:p>
    <w:p>
      <w:pPr>
        <w:numPr>
          <w:ilvl w:val="0"/>
          <w:numId w:val="3"/>
          <w:numberingChange w:id="6" w:author="苏州市航道管理处" w:date="2023-10-17T10:08:00Z" w:original="%1:2:0:."/>
        </w:numPr>
        <w:spacing w:line="360" w:lineRule="auto"/>
        <w:ind w:left="0" w:firstLine="400" w:firstLineChars="200"/>
        <w:rPr>
          <w:rFonts w:ascii="宋体" w:hAnsi="宋体"/>
          <w:color w:val="auto"/>
          <w:spacing w:val="-5"/>
          <w:kern w:val="0"/>
          <w:sz w:val="21"/>
          <w:szCs w:val="21"/>
          <w:highlight w:val="none"/>
        </w:rPr>
      </w:pPr>
      <w:r>
        <w:rPr>
          <w:rFonts w:ascii="宋体" w:hAnsi="宋体"/>
          <w:color w:val="auto"/>
          <w:spacing w:val="-5"/>
          <w:kern w:val="0"/>
          <w:sz w:val="21"/>
          <w:szCs w:val="21"/>
          <w:highlight w:val="none"/>
        </w:rPr>
        <w:t>按照国家和省交通运输主管部门有关规定要求，及时更新和完善信用信息系统中相关信息。</w:t>
      </w:r>
    </w:p>
    <w:p>
      <w:pPr>
        <w:numPr>
          <w:ilvl w:val="0"/>
          <w:numId w:val="3"/>
          <w:numberingChange w:id="7" w:author="苏州市航道管理处" w:date="2023-10-17T10:08:00Z" w:original="%1:3:0:."/>
        </w:numPr>
        <w:spacing w:line="360" w:lineRule="auto"/>
        <w:ind w:left="0" w:firstLine="400" w:firstLineChars="200"/>
        <w:rPr>
          <w:rFonts w:ascii="宋体" w:hAnsi="宋体"/>
          <w:color w:val="auto"/>
          <w:spacing w:val="-5"/>
          <w:kern w:val="0"/>
          <w:sz w:val="21"/>
          <w:szCs w:val="21"/>
          <w:highlight w:val="none"/>
        </w:rPr>
      </w:pPr>
      <w:r>
        <w:rPr>
          <w:rFonts w:hint="eastAsia" w:ascii="宋体" w:hAnsi="宋体"/>
          <w:color w:val="auto"/>
          <w:spacing w:val="-5"/>
          <w:kern w:val="0"/>
          <w:sz w:val="21"/>
          <w:szCs w:val="21"/>
          <w:highlight w:val="none"/>
        </w:rPr>
        <w:t>同意依法在省交通运输主管部门网站和信用交通江苏网站公示、公布相关信用信息，接受社会监督。</w:t>
      </w:r>
    </w:p>
    <w:p>
      <w:pPr>
        <w:numPr>
          <w:ilvl w:val="0"/>
          <w:numId w:val="3"/>
          <w:numberingChange w:id="8" w:author="苏州市航道管理处" w:date="2023-10-17T10:08:00Z" w:original="%1:4:0:."/>
        </w:numPr>
        <w:spacing w:line="360" w:lineRule="auto"/>
        <w:ind w:left="0" w:firstLine="400" w:firstLineChars="200"/>
        <w:rPr>
          <w:rFonts w:ascii="宋体" w:hAnsi="宋体"/>
          <w:color w:val="auto"/>
          <w:spacing w:val="-5"/>
          <w:kern w:val="0"/>
          <w:sz w:val="21"/>
          <w:szCs w:val="21"/>
          <w:highlight w:val="none"/>
        </w:rPr>
      </w:pPr>
      <w:r>
        <w:rPr>
          <w:rFonts w:hint="eastAsia" w:ascii="宋体" w:hAnsi="宋体"/>
          <w:color w:val="auto"/>
          <w:spacing w:val="-5"/>
          <w:kern w:val="0"/>
          <w:sz w:val="21"/>
          <w:szCs w:val="21"/>
          <w:highlight w:val="none"/>
        </w:rPr>
        <w:t>同意政府相关行政主管部门、招标人及工程建设管理工作有关单位因工作需要，依法对本人信用信息进行查询。</w:t>
      </w:r>
    </w:p>
    <w:p>
      <w:pPr>
        <w:numPr>
          <w:ilvl w:val="0"/>
          <w:numId w:val="3"/>
          <w:numberingChange w:id="9" w:author="苏州市航道管理处" w:date="2023-10-17T10:08:00Z" w:original="%1:5:0:."/>
        </w:numPr>
        <w:spacing w:line="360" w:lineRule="auto"/>
        <w:ind w:left="0" w:firstLine="400" w:firstLineChars="200"/>
        <w:rPr>
          <w:rFonts w:ascii="宋体" w:hAnsi="宋体"/>
          <w:color w:val="auto"/>
          <w:spacing w:val="-5"/>
          <w:kern w:val="0"/>
          <w:sz w:val="21"/>
          <w:szCs w:val="21"/>
          <w:highlight w:val="none"/>
        </w:rPr>
      </w:pPr>
      <w:r>
        <w:rPr>
          <w:rFonts w:ascii="宋体" w:hAnsi="宋体"/>
          <w:color w:val="auto"/>
          <w:spacing w:val="-5"/>
          <w:kern w:val="0"/>
          <w:sz w:val="21"/>
          <w:szCs w:val="21"/>
          <w:highlight w:val="none"/>
        </w:rPr>
        <w:t>如有违背承诺，愿意接受国家和交通</w:t>
      </w:r>
      <w:r>
        <w:rPr>
          <w:rFonts w:hint="eastAsia" w:ascii="宋体" w:hAnsi="宋体"/>
          <w:color w:val="auto"/>
          <w:spacing w:val="-5"/>
          <w:kern w:val="0"/>
          <w:sz w:val="21"/>
          <w:szCs w:val="21"/>
          <w:highlight w:val="none"/>
        </w:rPr>
        <w:t>运输</w:t>
      </w:r>
      <w:r>
        <w:rPr>
          <w:rFonts w:ascii="宋体" w:hAnsi="宋体"/>
          <w:color w:val="auto"/>
          <w:spacing w:val="-5"/>
          <w:kern w:val="0"/>
          <w:sz w:val="21"/>
          <w:szCs w:val="21"/>
          <w:highlight w:val="none"/>
        </w:rPr>
        <w:t>主管部门依法进行的处罚，以及按照信用管理规定记入本人信用档案，同时在</w:t>
      </w:r>
      <w:r>
        <w:rPr>
          <w:rFonts w:hint="eastAsia" w:ascii="宋体" w:hAnsi="宋体"/>
          <w:color w:val="auto"/>
          <w:spacing w:val="-5"/>
          <w:kern w:val="0"/>
          <w:sz w:val="21"/>
          <w:szCs w:val="21"/>
          <w:highlight w:val="none"/>
        </w:rPr>
        <w:t>交通运输行业</w:t>
      </w:r>
      <w:r>
        <w:rPr>
          <w:rFonts w:ascii="宋体" w:hAnsi="宋体"/>
          <w:color w:val="auto"/>
          <w:spacing w:val="-5"/>
          <w:kern w:val="0"/>
          <w:sz w:val="21"/>
          <w:szCs w:val="21"/>
          <w:highlight w:val="none"/>
        </w:rPr>
        <w:t>和</w:t>
      </w:r>
      <w:r>
        <w:rPr>
          <w:rFonts w:hint="eastAsia" w:ascii="宋体" w:hAnsi="宋体"/>
          <w:color w:val="auto"/>
          <w:spacing w:val="-5"/>
          <w:kern w:val="0"/>
          <w:sz w:val="21"/>
          <w:szCs w:val="21"/>
          <w:highlight w:val="none"/>
        </w:rPr>
        <w:t>政府</w:t>
      </w:r>
      <w:r>
        <w:rPr>
          <w:rFonts w:ascii="宋体" w:hAnsi="宋体"/>
          <w:color w:val="auto"/>
          <w:spacing w:val="-5"/>
          <w:kern w:val="0"/>
          <w:sz w:val="21"/>
          <w:szCs w:val="21"/>
          <w:highlight w:val="none"/>
        </w:rPr>
        <w:t>相关</w:t>
      </w:r>
      <w:r>
        <w:rPr>
          <w:rFonts w:hint="eastAsia" w:ascii="宋体" w:hAnsi="宋体"/>
          <w:color w:val="auto"/>
          <w:spacing w:val="-5"/>
          <w:kern w:val="0"/>
          <w:sz w:val="21"/>
          <w:szCs w:val="21"/>
          <w:highlight w:val="none"/>
        </w:rPr>
        <w:t>信用</w:t>
      </w:r>
      <w:r>
        <w:rPr>
          <w:rFonts w:ascii="宋体" w:hAnsi="宋体"/>
          <w:color w:val="auto"/>
          <w:spacing w:val="-5"/>
          <w:kern w:val="0"/>
          <w:sz w:val="21"/>
          <w:szCs w:val="21"/>
          <w:highlight w:val="none"/>
        </w:rPr>
        <w:t>网站</w:t>
      </w:r>
      <w:r>
        <w:rPr>
          <w:rFonts w:hint="eastAsia" w:ascii="宋体" w:hAnsi="宋体"/>
          <w:color w:val="auto"/>
          <w:spacing w:val="-5"/>
          <w:kern w:val="0"/>
          <w:sz w:val="21"/>
          <w:szCs w:val="21"/>
          <w:highlight w:val="none"/>
        </w:rPr>
        <w:t>公开</w:t>
      </w:r>
      <w:r>
        <w:rPr>
          <w:rFonts w:ascii="宋体" w:hAnsi="宋体"/>
          <w:color w:val="auto"/>
          <w:spacing w:val="-5"/>
          <w:kern w:val="0"/>
          <w:sz w:val="21"/>
          <w:szCs w:val="21"/>
          <w:highlight w:val="none"/>
        </w:rPr>
        <w:t>。</w:t>
      </w:r>
    </w:p>
    <w:p>
      <w:pPr>
        <w:spacing w:line="400" w:lineRule="exact"/>
        <w:ind w:firstLine="400" w:firstLineChars="200"/>
        <w:rPr>
          <w:rFonts w:ascii="宋体" w:hAnsi="宋体"/>
          <w:color w:val="auto"/>
          <w:spacing w:val="-5"/>
          <w:sz w:val="21"/>
          <w:szCs w:val="21"/>
          <w:highlight w:val="none"/>
        </w:rPr>
      </w:pPr>
    </w:p>
    <w:p>
      <w:pPr>
        <w:spacing w:line="400" w:lineRule="exact"/>
        <w:ind w:firstLine="1900" w:firstLineChars="950"/>
        <w:jc w:val="center"/>
        <w:rPr>
          <w:rFonts w:ascii="宋体" w:hAnsi="宋体"/>
          <w:color w:val="auto"/>
          <w:spacing w:val="-5"/>
          <w:sz w:val="21"/>
          <w:szCs w:val="21"/>
          <w:highlight w:val="none"/>
        </w:rPr>
      </w:pPr>
      <w:r>
        <w:rPr>
          <w:rFonts w:hint="eastAsia" w:ascii="宋体" w:hAnsi="宋体"/>
          <w:color w:val="auto"/>
          <w:spacing w:val="-5"/>
          <w:sz w:val="21"/>
          <w:szCs w:val="21"/>
          <w:highlight w:val="none"/>
        </w:rPr>
        <w:t xml:space="preserve">                  </w:t>
      </w:r>
      <w:r>
        <w:rPr>
          <w:rFonts w:ascii="宋体" w:hAnsi="宋体"/>
          <w:color w:val="auto"/>
          <w:spacing w:val="-5"/>
          <w:sz w:val="21"/>
          <w:szCs w:val="21"/>
          <w:highlight w:val="none"/>
        </w:rPr>
        <w:t>承诺人</w:t>
      </w:r>
      <w:r>
        <w:rPr>
          <w:rFonts w:hint="eastAsia" w:ascii="宋体" w:hAnsi="宋体"/>
          <w:b/>
          <w:color w:val="auto"/>
          <w:spacing w:val="-5"/>
          <w:sz w:val="21"/>
          <w:szCs w:val="21"/>
          <w:highlight w:val="none"/>
        </w:rPr>
        <w:t>（项目负责人签字）</w:t>
      </w:r>
      <w:r>
        <w:rPr>
          <w:rFonts w:ascii="宋体" w:hAnsi="宋体"/>
          <w:color w:val="auto"/>
          <w:spacing w:val="-5"/>
          <w:sz w:val="21"/>
          <w:szCs w:val="21"/>
          <w:highlight w:val="none"/>
        </w:rPr>
        <w:t>：</w:t>
      </w:r>
      <w:r>
        <w:rPr>
          <w:rFonts w:hint="eastAsia" w:ascii="宋体" w:hAnsi="宋体"/>
          <w:color w:val="auto"/>
          <w:spacing w:val="-5"/>
          <w:sz w:val="21"/>
          <w:szCs w:val="21"/>
          <w:highlight w:val="none"/>
          <w:u w:val="single"/>
        </w:rPr>
        <w:t xml:space="preserve">    </w:t>
      </w:r>
      <w:r>
        <w:rPr>
          <w:rFonts w:hint="eastAsia" w:ascii="宋体" w:hAnsi="宋体"/>
          <w:color w:val="auto"/>
          <w:sz w:val="21"/>
          <w:szCs w:val="21"/>
          <w:highlight w:val="none"/>
          <w:u w:val="single"/>
        </w:rPr>
        <w:t xml:space="preserve">   </w:t>
      </w:r>
    </w:p>
    <w:p>
      <w:pPr>
        <w:pStyle w:val="88"/>
        <w:adjustRightInd w:val="0"/>
        <w:snapToGrid w:val="0"/>
        <w:spacing w:before="120" w:beforeLines="50" w:after="120" w:afterLines="50" w:line="360" w:lineRule="auto"/>
        <w:ind w:left="561" w:hanging="561"/>
        <w:jc w:val="right"/>
        <w:outlineLvl w:val="9"/>
        <w:rPr>
          <w:rFonts w:hint="eastAsia" w:ascii="宋体" w:hAnsi="宋体"/>
          <w:b w:val="0"/>
          <w:bCs w:val="0"/>
          <w:color w:val="auto"/>
          <w:sz w:val="21"/>
          <w:szCs w:val="21"/>
          <w:highlight w:val="none"/>
        </w:rPr>
      </w:pPr>
      <w:r>
        <w:rPr>
          <w:rFonts w:hint="eastAsia" w:ascii="宋体" w:hAnsi="宋体"/>
          <w:b w:val="0"/>
          <w:bCs w:val="0"/>
          <w:color w:val="auto"/>
          <w:sz w:val="21"/>
          <w:szCs w:val="21"/>
          <w:highlight w:val="none"/>
          <w:u w:val="single"/>
        </w:rPr>
        <w:t xml:space="preserve">     </w:t>
      </w:r>
      <w:r>
        <w:rPr>
          <w:rFonts w:hint="eastAsia" w:ascii="宋体" w:hAnsi="宋体"/>
          <w:b w:val="0"/>
          <w:bCs w:val="0"/>
          <w:color w:val="auto"/>
          <w:sz w:val="21"/>
          <w:szCs w:val="21"/>
          <w:highlight w:val="none"/>
        </w:rPr>
        <w:t>年</w:t>
      </w:r>
      <w:r>
        <w:rPr>
          <w:rFonts w:hint="eastAsia" w:ascii="宋体" w:hAnsi="宋体"/>
          <w:b w:val="0"/>
          <w:bCs w:val="0"/>
          <w:color w:val="auto"/>
          <w:sz w:val="21"/>
          <w:szCs w:val="21"/>
          <w:highlight w:val="none"/>
          <w:u w:val="single"/>
        </w:rPr>
        <w:t xml:space="preserve">    </w:t>
      </w:r>
      <w:r>
        <w:rPr>
          <w:rFonts w:hint="eastAsia" w:ascii="宋体" w:hAnsi="宋体"/>
          <w:b w:val="0"/>
          <w:bCs w:val="0"/>
          <w:color w:val="auto"/>
          <w:sz w:val="21"/>
          <w:szCs w:val="21"/>
          <w:highlight w:val="none"/>
        </w:rPr>
        <w:t>月</w:t>
      </w:r>
      <w:r>
        <w:rPr>
          <w:rFonts w:hint="eastAsia" w:ascii="宋体" w:hAnsi="宋体"/>
          <w:b w:val="0"/>
          <w:bCs w:val="0"/>
          <w:color w:val="auto"/>
          <w:sz w:val="21"/>
          <w:szCs w:val="21"/>
          <w:highlight w:val="none"/>
          <w:u w:val="single"/>
        </w:rPr>
        <w:t xml:space="preserve">    </w:t>
      </w:r>
      <w:r>
        <w:rPr>
          <w:rFonts w:hint="eastAsia" w:ascii="宋体" w:hAnsi="宋体"/>
          <w:b w:val="0"/>
          <w:bCs w:val="0"/>
          <w:color w:val="auto"/>
          <w:sz w:val="21"/>
          <w:szCs w:val="21"/>
          <w:highlight w:val="none"/>
        </w:rPr>
        <w:t>日</w:t>
      </w:r>
    </w:p>
    <w:p>
      <w:pPr>
        <w:pStyle w:val="88"/>
        <w:adjustRightInd w:val="0"/>
        <w:snapToGrid w:val="0"/>
        <w:spacing w:before="120" w:beforeLines="50" w:after="120" w:afterLines="50" w:line="360" w:lineRule="auto"/>
        <w:ind w:left="561" w:hanging="561"/>
        <w:rPr>
          <w:rFonts w:hint="eastAsia"/>
          <w:color w:val="auto"/>
          <w:highlight w:val="none"/>
        </w:rPr>
      </w:pPr>
      <w:r>
        <w:rPr>
          <w:rFonts w:hint="eastAsia"/>
          <w:color w:val="auto"/>
          <w:highlight w:val="none"/>
        </w:rPr>
        <w:br w:type="page"/>
      </w:r>
      <w:r>
        <w:rPr>
          <w:rFonts w:hint="eastAsia"/>
          <w:color w:val="auto"/>
          <w:highlight w:val="none"/>
          <w:lang w:val="en-US" w:eastAsia="zh-CN"/>
        </w:rPr>
        <w:t>四</w:t>
      </w:r>
      <w:r>
        <w:rPr>
          <w:rFonts w:hint="eastAsia"/>
          <w:color w:val="auto"/>
          <w:highlight w:val="none"/>
        </w:rPr>
        <w:t>、工作大纲</w:t>
      </w:r>
    </w:p>
    <w:p>
      <w:pPr>
        <w:pStyle w:val="88"/>
        <w:keepNext/>
        <w:keepLines/>
        <w:pageBreakBefore w:val="0"/>
        <w:widowControl w:val="0"/>
        <w:kinsoku/>
        <w:wordWrap/>
        <w:overflowPunct/>
        <w:topLinePunct w:val="0"/>
        <w:autoSpaceDE/>
        <w:autoSpaceDN/>
        <w:bidi w:val="0"/>
        <w:adjustRightInd w:val="0"/>
        <w:snapToGrid w:val="0"/>
        <w:spacing w:before="120" w:beforeLines="50" w:after="120" w:afterLines="50" w:line="360" w:lineRule="auto"/>
        <w:ind w:left="0" w:firstLine="561"/>
        <w:jc w:val="left"/>
        <w:textAlignment w:val="auto"/>
        <w:rPr>
          <w:rFonts w:hint="eastAsia"/>
          <w:b w:val="0"/>
          <w:bCs w:val="0"/>
          <w:color w:val="auto"/>
          <w:sz w:val="24"/>
          <w:szCs w:val="24"/>
          <w:highlight w:val="none"/>
          <w:lang w:val="en-US" w:eastAsia="zh-CN"/>
        </w:rPr>
      </w:pPr>
      <w:r>
        <w:rPr>
          <w:rFonts w:hint="eastAsia"/>
          <w:b w:val="0"/>
          <w:bCs w:val="0"/>
          <w:color w:val="auto"/>
          <w:sz w:val="24"/>
          <w:szCs w:val="24"/>
          <w:highlight w:val="none"/>
          <w:lang w:val="en-US" w:eastAsia="zh-CN"/>
        </w:rPr>
        <w:t>包括但不限于：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eastAsia" w:ascii="宋体" w:hAnsi="宋体" w:eastAsia="宋体" w:cs="宋体"/>
          <w:b w:val="0"/>
          <w:bCs w:val="0"/>
          <w:color w:val="auto"/>
          <w:sz w:val="24"/>
          <w:szCs w:val="20"/>
          <w:highlight w:val="none"/>
          <w:lang w:val="en-US" w:eastAsia="zh-CN"/>
        </w:rPr>
      </w:pPr>
      <w:r>
        <w:rPr>
          <w:rFonts w:hint="eastAsia" w:ascii="宋体" w:hAnsi="宋体" w:eastAsia="宋体" w:cs="宋体"/>
          <w:b w:val="0"/>
          <w:bCs w:val="0"/>
          <w:color w:val="auto"/>
          <w:sz w:val="24"/>
          <w:szCs w:val="20"/>
          <w:highlight w:val="none"/>
          <w:lang w:val="en-US" w:eastAsia="zh-CN"/>
        </w:rPr>
        <w:t>（一）、对本项目的理解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eastAsia" w:ascii="宋体" w:hAnsi="宋体" w:eastAsia="宋体" w:cs="宋体"/>
          <w:b w:val="0"/>
          <w:bCs w:val="0"/>
          <w:color w:val="auto"/>
          <w:sz w:val="24"/>
          <w:szCs w:val="20"/>
          <w:highlight w:val="none"/>
          <w:lang w:val="en-US" w:eastAsia="zh-CN"/>
        </w:rPr>
      </w:pPr>
      <w:r>
        <w:rPr>
          <w:rFonts w:hint="eastAsia" w:ascii="宋体" w:hAnsi="宋体" w:eastAsia="宋体" w:cs="宋体"/>
          <w:b w:val="0"/>
          <w:bCs w:val="0"/>
          <w:color w:val="auto"/>
          <w:sz w:val="24"/>
          <w:szCs w:val="20"/>
          <w:highlight w:val="none"/>
          <w:lang w:val="en-US" w:eastAsia="zh-CN"/>
        </w:rPr>
        <w:t>（二）、工作的程序与方法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eastAsia" w:ascii="宋体" w:hAnsi="宋体" w:eastAsia="宋体" w:cs="宋体"/>
          <w:b w:val="0"/>
          <w:bCs w:val="0"/>
          <w:color w:val="auto"/>
          <w:sz w:val="24"/>
          <w:szCs w:val="20"/>
          <w:highlight w:val="none"/>
          <w:lang w:val="en-US" w:eastAsia="zh-CN"/>
        </w:rPr>
      </w:pPr>
      <w:r>
        <w:rPr>
          <w:rFonts w:hint="eastAsia" w:ascii="宋体" w:hAnsi="宋体" w:eastAsia="宋体" w:cs="宋体"/>
          <w:b w:val="0"/>
          <w:bCs w:val="0"/>
          <w:color w:val="auto"/>
          <w:sz w:val="24"/>
          <w:szCs w:val="20"/>
          <w:highlight w:val="none"/>
          <w:lang w:val="en-US" w:eastAsia="zh-CN"/>
        </w:rPr>
        <w:t>（三）、工作服务的目标及保证措施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eastAsia" w:ascii="宋体" w:hAnsi="宋体" w:eastAsia="宋体" w:cs="宋体"/>
          <w:b w:val="0"/>
          <w:bCs w:val="0"/>
          <w:color w:val="auto"/>
          <w:sz w:val="24"/>
          <w:szCs w:val="20"/>
          <w:highlight w:val="none"/>
          <w:lang w:val="en-US" w:eastAsia="zh-CN"/>
        </w:rPr>
      </w:pPr>
      <w:r>
        <w:rPr>
          <w:rFonts w:hint="eastAsia" w:ascii="宋体" w:hAnsi="宋体" w:eastAsia="宋体" w:cs="宋体"/>
          <w:b w:val="0"/>
          <w:bCs w:val="0"/>
          <w:color w:val="auto"/>
          <w:sz w:val="24"/>
          <w:szCs w:val="20"/>
          <w:highlight w:val="none"/>
          <w:lang w:val="en-US" w:eastAsia="zh-CN"/>
        </w:rPr>
        <w:t>（四）、投标人自身优势</w:t>
      </w:r>
    </w:p>
    <w:p>
      <w:pPr>
        <w:rPr>
          <w:rFonts w:hint="eastAsia"/>
          <w:color w:val="auto"/>
          <w:highlight w:val="none"/>
        </w:rPr>
      </w:pPr>
      <w:r>
        <w:rPr>
          <w:rFonts w:hint="eastAsia"/>
          <w:color w:val="auto"/>
          <w:highlight w:val="none"/>
        </w:rPr>
        <w:br w:type="page"/>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b/>
          <w:bCs/>
          <w:color w:val="auto"/>
          <w:highlight w:val="none"/>
        </w:rPr>
      </w:pPr>
      <w:r>
        <w:rPr>
          <w:rFonts w:hint="eastAsia"/>
          <w:b/>
          <w:bCs/>
          <w:color w:val="auto"/>
          <w:highlight w:val="none"/>
          <w:lang w:val="en-US" w:eastAsia="zh-CN"/>
        </w:rPr>
        <w:t>五</w:t>
      </w:r>
      <w:r>
        <w:rPr>
          <w:rFonts w:hint="eastAsia"/>
          <w:b/>
          <w:bCs/>
          <w:color w:val="auto"/>
          <w:highlight w:val="none"/>
        </w:rPr>
        <w:t>、</w:t>
      </w:r>
      <w:bookmarkEnd w:id="169"/>
      <w:bookmarkStart w:id="171" w:name="_Toc372633037"/>
      <w:bookmarkStart w:id="172" w:name="_Toc436730376"/>
      <w:bookmarkStart w:id="173" w:name="_Toc33625871"/>
      <w:r>
        <w:rPr>
          <w:rFonts w:hint="eastAsia"/>
          <w:b/>
          <w:bCs/>
          <w:color w:val="auto"/>
          <w:highlight w:val="none"/>
        </w:rPr>
        <w:t>其他材料</w:t>
      </w:r>
      <w:bookmarkEnd w:id="171"/>
      <w:bookmarkEnd w:id="172"/>
      <w:bookmarkEnd w:id="173"/>
    </w:p>
    <w:p>
      <w:pPr>
        <w:spacing w:line="360" w:lineRule="auto"/>
        <w:jc w:val="center"/>
        <w:rPr>
          <w:rFonts w:ascii="宋体" w:hAnsi="宋体"/>
          <w:color w:val="auto"/>
          <w:sz w:val="24"/>
          <w:highlight w:val="none"/>
        </w:rPr>
      </w:pPr>
      <w:r>
        <w:rPr>
          <w:rFonts w:hint="eastAsia" w:ascii="宋体" w:hAnsi="宋体"/>
          <w:color w:val="auto"/>
          <w:sz w:val="24"/>
          <w:highlight w:val="none"/>
        </w:rPr>
        <w:t>（投标人认为有必要提供给评标委员会的）</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color w:val="auto"/>
          <w:sz w:val="21"/>
          <w:szCs w:val="21"/>
          <w:highlight w:val="none"/>
          <w:lang w:val="en-US" w:eastAsia="zh-CN"/>
        </w:rPr>
      </w:pPr>
      <w:bookmarkStart w:id="174" w:name="_Hlk49425672"/>
    </w:p>
    <w:p>
      <w:pPr>
        <w:keepNext w:val="0"/>
        <w:keepLines w:val="0"/>
        <w:pageBreakBefore w:val="0"/>
        <w:widowControl w:val="0"/>
        <w:kinsoku/>
        <w:wordWrap/>
        <w:overflowPunct/>
        <w:topLinePunct w:val="0"/>
        <w:autoSpaceDE/>
        <w:autoSpaceDN/>
        <w:bidi w:val="0"/>
        <w:adjustRightInd/>
        <w:snapToGrid/>
        <w:spacing w:line="360" w:lineRule="auto"/>
        <w:ind w:left="0" w:leftChars="0"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①截止递交</w:t>
      </w:r>
      <w:r>
        <w:rPr>
          <w:rFonts w:hint="eastAsia" w:ascii="宋体" w:hAnsi="宋体" w:eastAsia="宋体" w:cs="宋体"/>
          <w:bCs/>
          <w:color w:val="auto"/>
          <w:sz w:val="22"/>
          <w:szCs w:val="22"/>
          <w:highlight w:val="none"/>
        </w:rPr>
        <w:t>投标</w:t>
      </w:r>
      <w:r>
        <w:rPr>
          <w:rFonts w:hint="eastAsia" w:ascii="宋体" w:hAnsi="宋体" w:eastAsia="宋体" w:cs="宋体"/>
          <w:color w:val="auto"/>
          <w:sz w:val="22"/>
          <w:szCs w:val="22"/>
          <w:highlight w:val="none"/>
        </w:rPr>
        <w:t>文件当日，未在“信用中国”网站（http://www.creditchina.gov.cn/）中被列为失信被执行人；</w:t>
      </w:r>
    </w:p>
    <w:p>
      <w:pPr>
        <w:keepNext w:val="0"/>
        <w:keepLines w:val="0"/>
        <w:pageBreakBefore w:val="0"/>
        <w:widowControl w:val="0"/>
        <w:kinsoku/>
        <w:wordWrap w:val="0"/>
        <w:overflowPunct/>
        <w:topLinePunct w:val="0"/>
        <w:autoSpaceDE/>
        <w:autoSpaceDN/>
        <w:bidi w:val="0"/>
        <w:adjustRightInd/>
        <w:snapToGrid/>
        <w:spacing w:line="360" w:lineRule="auto"/>
        <w:ind w:firstLine="440" w:firstLineChars="200"/>
        <w:jc w:val="both"/>
        <w:textAlignment w:val="auto"/>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rPr>
        <w:t>②截止递交</w:t>
      </w:r>
      <w:r>
        <w:rPr>
          <w:rFonts w:hint="eastAsia" w:ascii="宋体" w:hAnsi="宋体" w:eastAsia="宋体" w:cs="宋体"/>
          <w:bCs/>
          <w:color w:val="auto"/>
          <w:sz w:val="22"/>
          <w:szCs w:val="22"/>
          <w:highlight w:val="none"/>
        </w:rPr>
        <w:t>投标</w:t>
      </w:r>
      <w:r>
        <w:rPr>
          <w:rFonts w:hint="eastAsia" w:ascii="宋体" w:hAnsi="宋体" w:eastAsia="宋体" w:cs="宋体"/>
          <w:color w:val="auto"/>
          <w:sz w:val="22"/>
          <w:szCs w:val="22"/>
          <w:highlight w:val="none"/>
        </w:rPr>
        <w:t>文件当日，未在国家企业信用信息公示系统（http://www.gsxt.gov.cn/）中被列入严重违法失信企业名单</w:t>
      </w:r>
      <w:r>
        <w:rPr>
          <w:rFonts w:hint="eastAsia" w:ascii="宋体" w:hAnsi="宋体" w:cs="宋体"/>
          <w:color w:val="auto"/>
          <w:sz w:val="22"/>
          <w:szCs w:val="22"/>
          <w:highlight w:val="none"/>
          <w:lang w:eastAsia="zh-CN"/>
        </w:rPr>
        <w:t>；</w:t>
      </w:r>
    </w:p>
    <w:p>
      <w:pPr>
        <w:keepNext w:val="0"/>
        <w:keepLines w:val="0"/>
        <w:pageBreakBefore w:val="0"/>
        <w:widowControl w:val="0"/>
        <w:kinsoku/>
        <w:overflowPunct/>
        <w:topLinePunct w:val="0"/>
        <w:autoSpaceDE/>
        <w:autoSpaceDN/>
        <w:bidi w:val="0"/>
        <w:adjustRightInd/>
        <w:snapToGrid/>
        <w:spacing w:line="360" w:lineRule="auto"/>
        <w:ind w:firstLine="442" w:firstLineChars="200"/>
        <w:textAlignment w:val="auto"/>
        <w:rPr>
          <w:rFonts w:hint="eastAsia" w:ascii="宋体" w:hAnsi="宋体" w:eastAsia="宋体" w:cs="宋体"/>
          <w:b/>
          <w:color w:val="auto"/>
          <w:sz w:val="22"/>
          <w:szCs w:val="22"/>
          <w:highlight w:val="none"/>
          <w:lang w:eastAsia="zh-CN"/>
        </w:rPr>
      </w:pPr>
      <w:r>
        <w:rPr>
          <w:rFonts w:hint="eastAsia" w:ascii="宋体" w:hAnsi="宋体" w:cs="宋体"/>
          <w:b/>
          <w:color w:val="auto"/>
          <w:sz w:val="22"/>
          <w:szCs w:val="22"/>
          <w:highlight w:val="none"/>
          <w:lang w:eastAsia="zh-CN"/>
        </w:rPr>
        <w:t>（</w:t>
      </w:r>
      <w:r>
        <w:rPr>
          <w:rFonts w:hint="eastAsia" w:ascii="宋体" w:hAnsi="宋体" w:cs="宋体"/>
          <w:b/>
          <w:color w:val="auto"/>
          <w:sz w:val="22"/>
          <w:szCs w:val="22"/>
          <w:highlight w:val="none"/>
          <w:lang w:val="en-US" w:eastAsia="zh-CN"/>
        </w:rPr>
        <w:t>提供网页截图</w:t>
      </w:r>
      <w:r>
        <w:rPr>
          <w:rFonts w:hint="eastAsia" w:ascii="宋体" w:hAnsi="宋体" w:cs="宋体"/>
          <w:b/>
          <w:color w:val="auto"/>
          <w:sz w:val="22"/>
          <w:szCs w:val="22"/>
          <w:highlight w:val="none"/>
          <w:lang w:eastAsia="zh-CN"/>
        </w:rPr>
        <w:t>）</w:t>
      </w:r>
    </w:p>
    <w:p>
      <w:pPr>
        <w:spacing w:line="560" w:lineRule="exact"/>
        <w:rPr>
          <w:rFonts w:ascii="宋体" w:hAnsi="宋体" w:cs="宋体"/>
          <w:color w:val="auto"/>
          <w:szCs w:val="21"/>
          <w:highlight w:val="none"/>
        </w:rPr>
        <w:sectPr>
          <w:pgSz w:w="11907" w:h="16840"/>
          <w:pgMar w:top="1395" w:right="1395" w:bottom="1395" w:left="1395" w:header="851" w:footer="964" w:gutter="0"/>
          <w:pgNumType w:fmt="decimal"/>
          <w:cols w:space="720" w:num="1"/>
          <w:docGrid w:linePitch="312" w:charSpace="0"/>
        </w:sectPr>
      </w:pPr>
    </w:p>
    <w:bookmarkEnd w:id="174"/>
    <w:tbl>
      <w:tblPr>
        <w:tblStyle w:val="30"/>
        <w:tblW w:w="0" w:type="auto"/>
        <w:jc w:val="center"/>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766"/>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169" w:hRule="atLeast"/>
          <w:jc w:val="center"/>
        </w:trPr>
        <w:tc>
          <w:tcPr>
            <w:tcW w:w="8766" w:type="dxa"/>
            <w:noWrap w:val="0"/>
            <w:vAlign w:val="top"/>
          </w:tcPr>
          <w:p>
            <w:pPr>
              <w:jc w:val="right"/>
              <w:rPr>
                <w:rFonts w:ascii="宋体" w:hAnsi="宋体"/>
                <w:b/>
                <w:color w:val="auto"/>
                <w:spacing w:val="30"/>
                <w:sz w:val="32"/>
                <w:highlight w:val="none"/>
              </w:rPr>
            </w:pPr>
            <w:r>
              <w:rPr>
                <w:rFonts w:hint="eastAsia" w:ascii="宋体" w:hAnsi="宋体"/>
                <w:b/>
                <w:color w:val="auto"/>
                <w:spacing w:val="30"/>
                <w:sz w:val="32"/>
                <w:highlight w:val="none"/>
              </w:rPr>
              <w:t xml:space="preserve">　　　　　　　　　　　　　　 </w:t>
            </w:r>
          </w:p>
          <w:p>
            <w:pPr>
              <w:jc w:val="center"/>
              <w:rPr>
                <w:rFonts w:hint="eastAsia" w:ascii="宋体" w:hAnsi="宋体" w:eastAsia="宋体" w:cs="宋体"/>
                <w:b/>
                <w:color w:val="auto"/>
                <w:spacing w:val="30"/>
                <w:sz w:val="36"/>
                <w:szCs w:val="36"/>
                <w:highlight w:val="none"/>
                <w:lang w:eastAsia="zh-CN"/>
              </w:rPr>
            </w:pPr>
            <w:r>
              <w:rPr>
                <w:rFonts w:hint="eastAsia" w:ascii="宋体" w:hAnsi="宋体" w:cs="宋体"/>
                <w:b/>
                <w:color w:val="auto"/>
                <w:sz w:val="36"/>
                <w:szCs w:val="36"/>
                <w:highlight w:val="none"/>
                <w:lang w:eastAsia="zh-CN"/>
              </w:rPr>
              <w:t>南通市内河干线航道文物资源区域评估项目NTGX-WWPG1标段</w:t>
            </w:r>
          </w:p>
          <w:p>
            <w:pPr>
              <w:jc w:val="center"/>
              <w:rPr>
                <w:rFonts w:ascii="宋体" w:hAnsi="宋体"/>
                <w:b/>
                <w:color w:val="auto"/>
                <w:spacing w:val="30"/>
                <w:sz w:val="36"/>
                <w:highlight w:val="none"/>
              </w:rPr>
            </w:pPr>
          </w:p>
          <w:p>
            <w:pPr>
              <w:jc w:val="center"/>
              <w:rPr>
                <w:rFonts w:ascii="宋体" w:hAnsi="宋体"/>
                <w:b/>
                <w:color w:val="auto"/>
                <w:spacing w:val="30"/>
                <w:sz w:val="36"/>
                <w:highlight w:val="none"/>
              </w:rPr>
            </w:pPr>
          </w:p>
          <w:p>
            <w:pPr>
              <w:jc w:val="center"/>
              <w:rPr>
                <w:rFonts w:ascii="宋体" w:hAnsi="宋体"/>
                <w:b/>
                <w:color w:val="auto"/>
                <w:spacing w:val="30"/>
                <w:sz w:val="36"/>
                <w:highlight w:val="none"/>
              </w:rPr>
            </w:pPr>
          </w:p>
          <w:p>
            <w:pPr>
              <w:jc w:val="center"/>
              <w:rPr>
                <w:rFonts w:ascii="宋体" w:hAnsi="宋体"/>
                <w:b/>
                <w:color w:val="auto"/>
                <w:spacing w:val="30"/>
                <w:sz w:val="36"/>
                <w:highlight w:val="none"/>
              </w:rPr>
            </w:pPr>
          </w:p>
          <w:p>
            <w:pPr>
              <w:jc w:val="center"/>
              <w:rPr>
                <w:rFonts w:ascii="宋体" w:hAnsi="宋体"/>
                <w:b/>
                <w:color w:val="auto"/>
                <w:spacing w:val="30"/>
                <w:sz w:val="36"/>
                <w:highlight w:val="none"/>
              </w:rPr>
            </w:pPr>
          </w:p>
          <w:p>
            <w:pPr>
              <w:jc w:val="center"/>
              <w:rPr>
                <w:rFonts w:ascii="宋体" w:hAnsi="宋体"/>
                <w:b/>
                <w:color w:val="auto"/>
                <w:spacing w:val="30"/>
                <w:sz w:val="36"/>
                <w:highlight w:val="none"/>
              </w:rPr>
            </w:pPr>
          </w:p>
          <w:p>
            <w:pPr>
              <w:spacing w:line="240" w:lineRule="auto"/>
              <w:jc w:val="center"/>
              <w:rPr>
                <w:rFonts w:hint="eastAsia" w:ascii="宋体" w:hAnsi="宋体" w:cs="宋体"/>
                <w:b/>
                <w:color w:val="auto"/>
                <w:sz w:val="72"/>
                <w:highlight w:val="none"/>
              </w:rPr>
            </w:pPr>
            <w:r>
              <w:rPr>
                <w:rFonts w:hint="eastAsia" w:ascii="宋体" w:hAnsi="宋体" w:cs="宋体"/>
                <w:b/>
                <w:color w:val="auto"/>
                <w:sz w:val="72"/>
                <w:highlight w:val="none"/>
              </w:rPr>
              <w:t>投  标  文  件</w:t>
            </w:r>
          </w:p>
          <w:p>
            <w:pP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第二个信封  报价文件</w:t>
            </w: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sz w:val="36"/>
                <w:highlight w:val="none"/>
              </w:rPr>
            </w:pPr>
          </w:p>
          <w:p>
            <w:pPr>
              <w:spacing w:line="360" w:lineRule="auto"/>
              <w:ind w:firstLine="2160" w:firstLineChars="600"/>
              <w:rPr>
                <w:rFonts w:hint="eastAsia" w:ascii="宋体" w:hAnsi="宋体" w:cs="宋体"/>
                <w:color w:val="auto"/>
                <w:sz w:val="36"/>
                <w:highlight w:val="none"/>
                <w:u w:val="single"/>
              </w:rPr>
            </w:pPr>
            <w:r>
              <w:rPr>
                <w:rFonts w:hint="eastAsia" w:ascii="宋体" w:hAnsi="宋体" w:cs="宋体"/>
                <w:color w:val="auto"/>
                <w:sz w:val="36"/>
                <w:highlight w:val="none"/>
              </w:rPr>
              <w:t>投 标 人：</w:t>
            </w:r>
            <w:r>
              <w:rPr>
                <w:rFonts w:hint="eastAsia" w:ascii="宋体" w:hAnsi="宋体" w:cs="宋体"/>
                <w:color w:val="auto"/>
                <w:sz w:val="36"/>
                <w:highlight w:val="none"/>
                <w:u w:val="single"/>
              </w:rPr>
              <w:t xml:space="preserve">   （盖单位章）   </w:t>
            </w:r>
          </w:p>
          <w:p>
            <w:pPr>
              <w:spacing w:line="360" w:lineRule="auto"/>
              <w:jc w:val="center"/>
              <w:rPr>
                <w:rFonts w:hint="eastAsia" w:ascii="宋体" w:hAnsi="宋体" w:cs="宋体"/>
                <w:b/>
                <w:color w:val="auto"/>
                <w:sz w:val="30"/>
                <w:highlight w:val="none"/>
              </w:rPr>
            </w:pPr>
            <w:r>
              <w:rPr>
                <w:rFonts w:hint="eastAsia" w:ascii="宋体" w:hAnsi="宋体" w:cs="宋体"/>
                <w:color w:val="auto"/>
                <w:sz w:val="36"/>
                <w:highlight w:val="none"/>
              </w:rPr>
              <w:t xml:space="preserve">  </w:t>
            </w:r>
            <w:r>
              <w:rPr>
                <w:rFonts w:hint="eastAsia" w:ascii="宋体" w:hAnsi="宋体" w:cs="宋体"/>
                <w:color w:val="auto"/>
                <w:sz w:val="36"/>
                <w:highlight w:val="none"/>
                <w:u w:val="single"/>
              </w:rPr>
              <w:t xml:space="preserve">     </w:t>
            </w:r>
            <w:r>
              <w:rPr>
                <w:rFonts w:hint="eastAsia" w:ascii="宋体" w:hAnsi="宋体" w:cs="宋体"/>
                <w:color w:val="auto"/>
                <w:sz w:val="36"/>
                <w:highlight w:val="none"/>
              </w:rPr>
              <w:t>年</w:t>
            </w:r>
            <w:r>
              <w:rPr>
                <w:rFonts w:hint="eastAsia" w:ascii="宋体" w:hAnsi="宋体" w:cs="宋体"/>
                <w:color w:val="auto"/>
                <w:sz w:val="36"/>
                <w:highlight w:val="none"/>
                <w:u w:val="single"/>
              </w:rPr>
              <w:t xml:space="preserve">     </w:t>
            </w:r>
            <w:r>
              <w:rPr>
                <w:rFonts w:hint="eastAsia" w:ascii="宋体" w:hAnsi="宋体" w:cs="宋体"/>
                <w:color w:val="auto"/>
                <w:sz w:val="36"/>
                <w:highlight w:val="none"/>
              </w:rPr>
              <w:t>月</w:t>
            </w:r>
          </w:p>
          <w:p>
            <w:pPr>
              <w:ind w:firstLine="1686" w:firstLineChars="400"/>
              <w:rPr>
                <w:rFonts w:ascii="宋体" w:hAnsi="宋体"/>
                <w:b/>
                <w:color w:val="auto"/>
                <w:spacing w:val="30"/>
                <w:sz w:val="36"/>
                <w:highlight w:val="none"/>
              </w:rPr>
            </w:pPr>
          </w:p>
        </w:tc>
      </w:tr>
    </w:tbl>
    <w:p>
      <w:pPr>
        <w:pStyle w:val="13"/>
        <w:spacing w:line="400" w:lineRule="exact"/>
        <w:ind w:firstLine="472" w:firstLineChars="196"/>
        <w:rPr>
          <w:rFonts w:ascii="宋体" w:hAnsi="宋体" w:eastAsia="宋体"/>
          <w:b/>
          <w:bCs/>
          <w:color w:val="auto"/>
          <w:sz w:val="24"/>
          <w:szCs w:val="24"/>
          <w:highlight w:val="none"/>
        </w:rPr>
      </w:pPr>
    </w:p>
    <w:p>
      <w:pPr>
        <w:spacing w:line="400" w:lineRule="exact"/>
        <w:jc w:val="center"/>
        <w:rPr>
          <w:rFonts w:hint="eastAsia" w:ascii="宋体" w:hAnsi="宋体" w:cs="宋体"/>
          <w:b/>
          <w:color w:val="auto"/>
          <w:szCs w:val="28"/>
          <w:highlight w:val="none"/>
        </w:rPr>
      </w:pPr>
      <w:r>
        <w:rPr>
          <w:color w:val="auto"/>
          <w:highlight w:val="none"/>
        </w:rPr>
        <w:br w:type="page"/>
      </w:r>
      <w:r>
        <w:rPr>
          <w:rFonts w:hint="eastAsia"/>
          <w:color w:val="auto"/>
          <w:highlight w:val="none"/>
        </w:rPr>
        <w:t>一、</w:t>
      </w:r>
      <w:r>
        <w:rPr>
          <w:rFonts w:hint="eastAsia" w:ascii="宋体" w:hAnsi="宋体" w:cs="宋体"/>
          <w:b/>
          <w:bCs/>
          <w:color w:val="auto"/>
          <w:szCs w:val="28"/>
          <w:highlight w:val="none"/>
        </w:rPr>
        <w:t>投标函</w:t>
      </w:r>
    </w:p>
    <w:p>
      <w:pPr>
        <w:spacing w:line="360" w:lineRule="auto"/>
        <w:rPr>
          <w:rFonts w:hint="eastAsia" w:ascii="宋体" w:hAnsi="宋体" w:cs="宋体"/>
          <w:bCs/>
          <w:color w:val="auto"/>
          <w:sz w:val="21"/>
          <w:szCs w:val="21"/>
          <w:highlight w:val="none"/>
        </w:rPr>
      </w:pPr>
    </w:p>
    <w:p>
      <w:pPr>
        <w:spacing w:line="360" w:lineRule="auto"/>
        <w:rPr>
          <w:rFonts w:hint="eastAsia" w:ascii="宋体" w:hAnsi="宋体" w:eastAsia="宋体" w:cs="宋体"/>
          <w:snapToGrid w:val="0"/>
          <w:color w:val="auto"/>
          <w:kern w:val="0"/>
          <w:sz w:val="21"/>
          <w:szCs w:val="21"/>
          <w:highlight w:val="none"/>
          <w:u w:val="single"/>
          <w:lang w:eastAsia="zh-CN"/>
        </w:rPr>
      </w:pPr>
      <w:r>
        <w:rPr>
          <w:rFonts w:hint="eastAsia" w:ascii="宋体" w:hAnsi="宋体" w:cs="宋体"/>
          <w:snapToGrid w:val="0"/>
          <w:color w:val="auto"/>
          <w:kern w:val="0"/>
          <w:sz w:val="21"/>
          <w:szCs w:val="21"/>
          <w:highlight w:val="none"/>
        </w:rPr>
        <w:t>致：</w:t>
      </w:r>
      <w:r>
        <w:rPr>
          <w:rFonts w:hint="eastAsia" w:ascii="宋体" w:hAnsi="宋体" w:cs="宋体"/>
          <w:snapToGrid w:val="0"/>
          <w:color w:val="auto"/>
          <w:kern w:val="0"/>
          <w:sz w:val="21"/>
          <w:szCs w:val="21"/>
          <w:highlight w:val="none"/>
          <w:u w:val="single"/>
          <w:lang w:eastAsia="zh-CN"/>
        </w:rPr>
        <w:t>南通市江海河联运项目建设指挥部</w:t>
      </w:r>
    </w:p>
    <w:p>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1.在研究了</w:t>
      </w:r>
      <w:r>
        <w:rPr>
          <w:rFonts w:hint="eastAsia" w:ascii="宋体" w:hAnsi="宋体" w:cs="宋体"/>
          <w:color w:val="auto"/>
          <w:sz w:val="21"/>
          <w:szCs w:val="21"/>
          <w:highlight w:val="none"/>
          <w:u w:val="single"/>
          <w:lang w:eastAsia="zh-CN"/>
        </w:rPr>
        <w:t>南通市内河干线航道文物资源区域评估项目NTGX-WWPG1标段</w:t>
      </w:r>
      <w:r>
        <w:rPr>
          <w:rFonts w:hint="eastAsia" w:ascii="宋体" w:hAnsi="宋体" w:cs="宋体"/>
          <w:color w:val="auto"/>
          <w:sz w:val="21"/>
          <w:szCs w:val="21"/>
          <w:highlight w:val="none"/>
        </w:rPr>
        <w:t>招标文件的全部内容，（含补遗书第</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号至第</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号），愿意以人民币</w:t>
      </w:r>
      <w:r>
        <w:rPr>
          <w:rFonts w:hint="eastAsia" w:ascii="宋体" w:hAnsi="宋体" w:cs="宋体"/>
          <w:b/>
          <w:bCs/>
          <w:color w:val="auto"/>
          <w:sz w:val="21"/>
          <w:szCs w:val="21"/>
          <w:highlight w:val="none"/>
        </w:rPr>
        <w:t>（大写）</w:t>
      </w:r>
      <w:r>
        <w:rPr>
          <w:rFonts w:hint="eastAsia" w:ascii="宋体" w:hAnsi="宋体" w:cs="宋体"/>
          <w:b/>
          <w:bCs/>
          <w:color w:val="auto"/>
          <w:sz w:val="21"/>
          <w:szCs w:val="21"/>
          <w:highlight w:val="none"/>
          <w:u w:val="single"/>
        </w:rPr>
        <w:t xml:space="preserve">        </w:t>
      </w:r>
      <w:r>
        <w:rPr>
          <w:rFonts w:hint="eastAsia" w:ascii="宋体" w:hAnsi="宋体" w:cs="宋体"/>
          <w:b/>
          <w:bCs/>
          <w:color w:val="auto"/>
          <w:sz w:val="21"/>
          <w:szCs w:val="21"/>
          <w:highlight w:val="none"/>
        </w:rPr>
        <w:t>元（￥</w:t>
      </w:r>
      <w:r>
        <w:rPr>
          <w:rFonts w:hint="eastAsia" w:ascii="宋体" w:hAnsi="宋体" w:cs="宋体"/>
          <w:b/>
          <w:bCs/>
          <w:color w:val="auto"/>
          <w:sz w:val="21"/>
          <w:szCs w:val="21"/>
          <w:highlight w:val="none"/>
          <w:u w:val="single"/>
        </w:rPr>
        <w:t xml:space="preserve">      </w:t>
      </w:r>
      <w:r>
        <w:rPr>
          <w:rFonts w:hint="eastAsia" w:ascii="宋体" w:hAnsi="宋体" w:cs="宋体"/>
          <w:b/>
          <w:bCs/>
          <w:color w:val="auto"/>
          <w:sz w:val="21"/>
          <w:szCs w:val="21"/>
          <w:highlight w:val="none"/>
        </w:rPr>
        <w:t>）</w:t>
      </w:r>
      <w:r>
        <w:rPr>
          <w:rFonts w:hint="eastAsia" w:ascii="宋体" w:hAnsi="宋体" w:cs="宋体"/>
          <w:color w:val="auto"/>
          <w:sz w:val="21"/>
          <w:szCs w:val="21"/>
          <w:highlight w:val="none"/>
        </w:rPr>
        <w:t>的投标总报价，</w:t>
      </w:r>
      <w:r>
        <w:rPr>
          <w:rFonts w:hint="eastAsia" w:ascii="宋体" w:hAnsi="宋体" w:cs="宋体"/>
          <w:color w:val="auto"/>
          <w:sz w:val="21"/>
          <w:szCs w:val="21"/>
          <w:highlight w:val="none"/>
          <w:lang w:eastAsia="zh-CN"/>
        </w:rPr>
        <w:t>服务周期</w:t>
      </w:r>
      <w:r>
        <w:rPr>
          <w:rFonts w:hint="eastAsia" w:ascii="宋体" w:hAnsi="宋体" w:cs="宋体"/>
          <w:color w:val="auto"/>
          <w:sz w:val="21"/>
          <w:szCs w:val="21"/>
          <w:highlight w:val="none"/>
        </w:rPr>
        <w:t>：</w:t>
      </w:r>
      <w:r>
        <w:rPr>
          <w:rFonts w:hint="eastAsia" w:ascii="宋体" w:hAnsi="宋体" w:cs="宋体"/>
          <w:color w:val="auto"/>
          <w:sz w:val="21"/>
          <w:szCs w:val="21"/>
          <w:highlight w:val="none"/>
          <w:u w:val="single"/>
        </w:rPr>
        <w:t>按招标文件要求</w:t>
      </w:r>
      <w:r>
        <w:rPr>
          <w:rFonts w:hint="eastAsia" w:ascii="宋体" w:hAnsi="宋体" w:cs="宋体"/>
          <w:color w:val="auto"/>
          <w:sz w:val="21"/>
          <w:szCs w:val="21"/>
          <w:highlight w:val="none"/>
        </w:rPr>
        <w:t>，按合同约定完成工作。</w:t>
      </w:r>
    </w:p>
    <w:p>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2.我方的投标文件包括下列内容。</w:t>
      </w:r>
    </w:p>
    <w:p>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（1）投标函及投标函附录；</w:t>
      </w:r>
    </w:p>
    <w:p>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（2）法定代表人身份证明或授权委托书；</w:t>
      </w:r>
    </w:p>
    <w:p>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rPr>
        <w:t>）投标保证金（如有）；</w:t>
      </w:r>
    </w:p>
    <w:p>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rPr>
        <w:t>）报价清单；</w:t>
      </w:r>
    </w:p>
    <w:p>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）资格审查资料；</w:t>
      </w:r>
    </w:p>
    <w:p>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6</w:t>
      </w:r>
      <w:r>
        <w:rPr>
          <w:rFonts w:hint="eastAsia" w:ascii="宋体" w:hAnsi="宋体" w:cs="宋体"/>
          <w:color w:val="auto"/>
          <w:sz w:val="21"/>
          <w:szCs w:val="21"/>
          <w:highlight w:val="none"/>
        </w:rPr>
        <w:t>）工作大纲；</w:t>
      </w:r>
    </w:p>
    <w:p>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w:t>
      </w:r>
    </w:p>
    <w:p>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投标文件的上述组成部分如存在内容不一致的，以投标函为准。</w:t>
      </w:r>
    </w:p>
    <w:p>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3．我方承诺在招标文件规定的投标有效期内不撤销投标文件。</w:t>
      </w:r>
    </w:p>
    <w:p>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4．如我方中标，我方承诺：</w:t>
      </w:r>
    </w:p>
    <w:p>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（1）在收到中标通知书后，在中标通知书规定的期限内与你方签订合同；</w:t>
      </w:r>
    </w:p>
    <w:p>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（2）在签订合同时不向你方提出附加条件；</w:t>
      </w:r>
    </w:p>
    <w:p>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（3）按照招标文件要求提交履约保证金；</w:t>
      </w:r>
    </w:p>
    <w:p>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（4）在合同约定的期限内完成合同规定的全部义务。</w:t>
      </w:r>
    </w:p>
    <w:p>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5. </w:t>
      </w:r>
      <w:r>
        <w:rPr>
          <w:rFonts w:hint="eastAsia" w:ascii="宋体" w:hAnsi="宋体" w:cs="宋体"/>
          <w:bCs/>
          <w:color w:val="auto"/>
          <w:sz w:val="21"/>
          <w:szCs w:val="21"/>
          <w:highlight w:val="none"/>
        </w:rPr>
        <w:t>____________</w:t>
      </w:r>
      <w:r>
        <w:rPr>
          <w:rFonts w:hint="eastAsia" w:ascii="宋体" w:hAnsi="宋体" w:cs="宋体"/>
          <w:color w:val="auto"/>
          <w:sz w:val="21"/>
          <w:szCs w:val="21"/>
          <w:highlight w:val="none"/>
        </w:rPr>
        <w:t>（其他补充说明）。</w:t>
      </w:r>
    </w:p>
    <w:p>
      <w:pPr>
        <w:wordWrap w:val="0"/>
        <w:spacing w:line="360" w:lineRule="auto"/>
        <w:jc w:val="right"/>
        <w:rPr>
          <w:rFonts w:hint="eastAsia" w:ascii="宋体" w:hAnsi="宋体" w:cs="宋体"/>
          <w:color w:val="auto"/>
          <w:sz w:val="21"/>
          <w:szCs w:val="21"/>
          <w:highlight w:val="none"/>
        </w:rPr>
      </w:pPr>
    </w:p>
    <w:p>
      <w:pPr>
        <w:spacing w:line="360" w:lineRule="auto"/>
        <w:ind w:firstLine="420" w:firstLineChars="200"/>
        <w:jc w:val="right"/>
        <w:rPr>
          <w:rFonts w:hint="eastAsia" w:ascii="宋体" w:hAnsi="宋体" w:cs="宋体"/>
          <w:color w:val="auto"/>
          <w:sz w:val="21"/>
          <w:szCs w:val="21"/>
          <w:highlight w:val="none"/>
          <w:u w:val="single"/>
        </w:rPr>
      </w:pPr>
      <w:r>
        <w:rPr>
          <w:rFonts w:hint="eastAsia" w:ascii="宋体" w:hAnsi="宋体" w:cs="宋体"/>
          <w:color w:val="auto"/>
          <w:sz w:val="21"/>
          <w:szCs w:val="21"/>
          <w:highlight w:val="none"/>
        </w:rPr>
        <w:t>投标人名称：</w:t>
      </w:r>
      <w:r>
        <w:rPr>
          <w:rFonts w:hint="eastAsia" w:ascii="宋体" w:hAnsi="宋体" w:cs="宋体"/>
          <w:color w:val="auto"/>
          <w:sz w:val="21"/>
          <w:szCs w:val="21"/>
          <w:highlight w:val="none"/>
          <w:u w:val="single"/>
        </w:rPr>
        <w:t xml:space="preserve">    （全称）（盖章）    </w:t>
      </w:r>
    </w:p>
    <w:p>
      <w:pPr>
        <w:spacing w:line="360" w:lineRule="auto"/>
        <w:ind w:firstLine="420" w:firstLineChars="200"/>
        <w:jc w:val="right"/>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              法定代表人或其授权代理人：</w:t>
      </w:r>
      <w:r>
        <w:rPr>
          <w:rFonts w:hint="eastAsia" w:ascii="宋体" w:hAnsi="宋体" w:cs="宋体"/>
          <w:color w:val="auto"/>
          <w:sz w:val="21"/>
          <w:szCs w:val="21"/>
          <w:highlight w:val="none"/>
          <w:u w:val="single"/>
        </w:rPr>
        <w:t xml:space="preserve">   （签字） </w:t>
      </w:r>
    </w:p>
    <w:p>
      <w:pPr>
        <w:spacing w:line="360" w:lineRule="auto"/>
        <w:ind w:firstLine="420" w:firstLineChars="200"/>
        <w:jc w:val="right"/>
        <w:rPr>
          <w:rFonts w:hint="eastAsia" w:ascii="宋体" w:hAnsi="宋体" w:cs="宋体"/>
          <w:color w:val="auto"/>
          <w:sz w:val="21"/>
          <w:szCs w:val="21"/>
          <w:highlight w:val="none"/>
        </w:rPr>
        <w:sectPr>
          <w:pgSz w:w="11906" w:h="16838"/>
          <w:pgMar w:top="1361" w:right="1361" w:bottom="1361" w:left="1361" w:header="850" w:footer="964" w:gutter="170"/>
          <w:pgNumType w:fmt="decimal"/>
          <w:cols w:space="720" w:num="1"/>
          <w:docGrid w:linePitch="381" w:charSpace="0"/>
        </w:sectPr>
      </w:pPr>
      <w:r>
        <w:rPr>
          <w:rFonts w:hint="eastAsia" w:ascii="宋体" w:hAnsi="宋体" w:cs="宋体"/>
          <w:color w:val="auto"/>
          <w:sz w:val="21"/>
          <w:szCs w:val="21"/>
          <w:highlight w:val="none"/>
        </w:rPr>
        <w:t>日期：_____年___月___日</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color w:val="auto"/>
          <w:highlight w:val="none"/>
        </w:rPr>
      </w:pPr>
      <w:bookmarkStart w:id="175" w:name="_Toc398650416"/>
      <w:bookmarkStart w:id="176" w:name="_Toc392687717"/>
      <w:bookmarkStart w:id="177" w:name="_Toc370327504"/>
      <w:r>
        <w:rPr>
          <w:rFonts w:hint="eastAsia"/>
          <w:b/>
          <w:bCs/>
          <w:color w:val="auto"/>
          <w:highlight w:val="none"/>
        </w:rPr>
        <w:t>二、报价清单</w:t>
      </w:r>
      <w:bookmarkEnd w:id="175"/>
      <w:bookmarkEnd w:id="176"/>
      <w:bookmarkEnd w:id="177"/>
    </w:p>
    <w:tbl>
      <w:tblPr>
        <w:tblStyle w:val="30"/>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660"/>
        <w:gridCol w:w="4488"/>
        <w:gridCol w:w="1928"/>
        <w:gridCol w:w="19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 w:hRule="atLeast"/>
          <w:jc w:val="center"/>
        </w:trPr>
        <w:tc>
          <w:tcPr>
            <w:tcW w:w="660" w:type="dxa"/>
            <w:noWrap w:val="0"/>
            <w:vAlign w:val="center"/>
          </w:tcPr>
          <w:p>
            <w:pPr>
              <w:pStyle w:val="93"/>
              <w:widowControl w:val="0"/>
              <w:spacing w:line="360" w:lineRule="auto"/>
              <w:jc w:val="center"/>
              <w:rPr>
                <w:color w:val="auto"/>
                <w:kern w:val="2"/>
                <w:sz w:val="21"/>
                <w:szCs w:val="21"/>
                <w:highlight w:val="none"/>
              </w:rPr>
            </w:pPr>
            <w:r>
              <w:rPr>
                <w:color w:val="auto"/>
                <w:spacing w:val="-3"/>
                <w:kern w:val="2"/>
                <w:sz w:val="21"/>
                <w:szCs w:val="21"/>
                <w:highlight w:val="none"/>
              </w:rPr>
              <w:t>序号</w:t>
            </w:r>
          </w:p>
        </w:tc>
        <w:tc>
          <w:tcPr>
            <w:tcW w:w="4488" w:type="dxa"/>
            <w:noWrap w:val="0"/>
            <w:vAlign w:val="center"/>
          </w:tcPr>
          <w:p>
            <w:pPr>
              <w:pStyle w:val="93"/>
              <w:widowControl w:val="0"/>
              <w:spacing w:line="360" w:lineRule="auto"/>
              <w:jc w:val="center"/>
              <w:rPr>
                <w:color w:val="auto"/>
                <w:kern w:val="2"/>
                <w:sz w:val="21"/>
                <w:szCs w:val="21"/>
                <w:highlight w:val="none"/>
              </w:rPr>
            </w:pPr>
            <w:r>
              <w:rPr>
                <w:rFonts w:hint="eastAsia"/>
                <w:color w:val="auto"/>
                <w:spacing w:val="-7"/>
                <w:kern w:val="2"/>
                <w:sz w:val="21"/>
                <w:szCs w:val="21"/>
                <w:highlight w:val="none"/>
                <w:lang w:eastAsia="zh-CN"/>
              </w:rPr>
              <w:t>费用名称</w:t>
            </w:r>
          </w:p>
        </w:tc>
        <w:tc>
          <w:tcPr>
            <w:tcW w:w="1928" w:type="dxa"/>
            <w:noWrap w:val="0"/>
            <w:vAlign w:val="center"/>
          </w:tcPr>
          <w:p>
            <w:pPr>
              <w:pStyle w:val="93"/>
              <w:widowControl w:val="0"/>
              <w:spacing w:line="360" w:lineRule="auto"/>
              <w:jc w:val="center"/>
              <w:rPr>
                <w:color w:val="auto"/>
                <w:kern w:val="2"/>
                <w:sz w:val="21"/>
                <w:szCs w:val="21"/>
                <w:highlight w:val="none"/>
              </w:rPr>
            </w:pPr>
            <w:r>
              <w:rPr>
                <w:color w:val="auto"/>
                <w:spacing w:val="-4"/>
                <w:kern w:val="2"/>
                <w:sz w:val="21"/>
                <w:szCs w:val="21"/>
                <w:highlight w:val="none"/>
              </w:rPr>
              <w:t>报价（元）</w:t>
            </w:r>
          </w:p>
        </w:tc>
        <w:tc>
          <w:tcPr>
            <w:tcW w:w="1918" w:type="dxa"/>
            <w:noWrap w:val="0"/>
            <w:vAlign w:val="center"/>
          </w:tcPr>
          <w:p>
            <w:pPr>
              <w:pStyle w:val="93"/>
              <w:widowControl w:val="0"/>
              <w:spacing w:line="360" w:lineRule="auto"/>
              <w:jc w:val="center"/>
              <w:rPr>
                <w:color w:val="auto"/>
                <w:kern w:val="2"/>
                <w:sz w:val="21"/>
                <w:szCs w:val="21"/>
                <w:highlight w:val="none"/>
              </w:rPr>
            </w:pPr>
            <w:r>
              <w:rPr>
                <w:color w:val="auto"/>
                <w:spacing w:val="-4"/>
                <w:kern w:val="2"/>
                <w:sz w:val="21"/>
                <w:szCs w:val="21"/>
                <w:highlight w:val="none"/>
              </w:rPr>
              <w:t>备注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2" w:hRule="atLeast"/>
          <w:jc w:val="center"/>
        </w:trPr>
        <w:tc>
          <w:tcPr>
            <w:tcW w:w="660" w:type="dxa"/>
            <w:noWrap w:val="0"/>
            <w:vAlign w:val="center"/>
          </w:tcPr>
          <w:p>
            <w:pPr>
              <w:pStyle w:val="93"/>
              <w:widowControl w:val="0"/>
              <w:spacing w:line="36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w:t>
            </w:r>
          </w:p>
        </w:tc>
        <w:tc>
          <w:tcPr>
            <w:tcW w:w="4488" w:type="dxa"/>
            <w:noWrap w:val="0"/>
            <w:vAlign w:val="center"/>
          </w:tcPr>
          <w:p>
            <w:pPr>
              <w:spacing w:line="36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通扬线南通市区段（通栟线-幸福竖河段）航道整治工程</w:t>
            </w:r>
          </w:p>
        </w:tc>
        <w:tc>
          <w:tcPr>
            <w:tcW w:w="1928" w:type="dxa"/>
            <w:noWrap w:val="0"/>
            <w:vAlign w:val="center"/>
          </w:tcPr>
          <w:p>
            <w:pPr>
              <w:spacing w:line="360" w:lineRule="auto"/>
              <w:jc w:val="center"/>
              <w:rPr>
                <w:rFonts w:hint="eastAsia" w:ascii="宋体" w:hAnsi="宋体" w:eastAsia="宋体" w:cs="宋体"/>
                <w:color w:val="auto"/>
                <w:kern w:val="0"/>
                <w:sz w:val="21"/>
                <w:szCs w:val="21"/>
                <w:highlight w:val="none"/>
                <w:lang w:val="en-US" w:eastAsia="zh-CN" w:bidi="ar-SA"/>
              </w:rPr>
            </w:pPr>
          </w:p>
        </w:tc>
        <w:tc>
          <w:tcPr>
            <w:tcW w:w="1918" w:type="dxa"/>
            <w:noWrap w:val="0"/>
            <w:vAlign w:val="center"/>
          </w:tcPr>
          <w:p>
            <w:pPr>
              <w:spacing w:line="360" w:lineRule="auto"/>
              <w:jc w:val="center"/>
              <w:rPr>
                <w:rFonts w:hint="eastAsia" w:ascii="宋体" w:hAnsi="宋体" w:eastAsia="宋体" w:cs="宋体"/>
                <w:color w:val="auto"/>
                <w:kern w:val="0"/>
                <w:sz w:val="21"/>
                <w:szCs w:val="21"/>
                <w:highlight w:val="none"/>
                <w:lang w:val="en-US" w:eastAsia="zh-CN" w:bidi="ar-SA"/>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 w:hRule="atLeast"/>
          <w:jc w:val="center"/>
        </w:trPr>
        <w:tc>
          <w:tcPr>
            <w:tcW w:w="660" w:type="dxa"/>
            <w:noWrap w:val="0"/>
            <w:vAlign w:val="center"/>
          </w:tcPr>
          <w:p>
            <w:pPr>
              <w:pStyle w:val="93"/>
              <w:widowControl w:val="0"/>
              <w:spacing w:line="36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w:t>
            </w:r>
          </w:p>
        </w:tc>
        <w:tc>
          <w:tcPr>
            <w:tcW w:w="4488" w:type="dxa"/>
            <w:noWrap w:val="0"/>
            <w:vAlign w:val="center"/>
          </w:tcPr>
          <w:p>
            <w:pPr>
              <w:spacing w:line="36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通扬线南通市区段（通扬运河—通栟线、幸福竖河—通吕运河）航道整治工程</w:t>
            </w:r>
          </w:p>
        </w:tc>
        <w:tc>
          <w:tcPr>
            <w:tcW w:w="1928" w:type="dxa"/>
            <w:noWrap w:val="0"/>
            <w:vAlign w:val="center"/>
          </w:tcPr>
          <w:p>
            <w:pPr>
              <w:spacing w:line="360" w:lineRule="auto"/>
              <w:jc w:val="center"/>
              <w:rPr>
                <w:rFonts w:hint="eastAsia" w:ascii="宋体" w:hAnsi="宋体" w:eastAsia="宋体" w:cs="宋体"/>
                <w:color w:val="auto"/>
                <w:kern w:val="0"/>
                <w:sz w:val="21"/>
                <w:szCs w:val="21"/>
                <w:highlight w:val="none"/>
                <w:lang w:val="en-US" w:eastAsia="zh-CN" w:bidi="ar-SA"/>
              </w:rPr>
            </w:pPr>
          </w:p>
        </w:tc>
        <w:tc>
          <w:tcPr>
            <w:tcW w:w="1918" w:type="dxa"/>
            <w:noWrap w:val="0"/>
            <w:vAlign w:val="center"/>
          </w:tcPr>
          <w:p>
            <w:pPr>
              <w:spacing w:line="360" w:lineRule="auto"/>
              <w:jc w:val="center"/>
              <w:rPr>
                <w:rFonts w:hint="eastAsia" w:ascii="宋体" w:hAnsi="宋体" w:eastAsia="宋体" w:cs="宋体"/>
                <w:color w:val="auto"/>
                <w:kern w:val="0"/>
                <w:sz w:val="21"/>
                <w:szCs w:val="21"/>
                <w:highlight w:val="none"/>
                <w:lang w:val="en-US" w:eastAsia="zh-CN" w:bidi="ar-SA"/>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 w:hRule="atLeast"/>
          <w:jc w:val="center"/>
        </w:trPr>
        <w:tc>
          <w:tcPr>
            <w:tcW w:w="660" w:type="dxa"/>
            <w:noWrap w:val="0"/>
            <w:vAlign w:val="center"/>
          </w:tcPr>
          <w:p>
            <w:pPr>
              <w:pStyle w:val="93"/>
              <w:widowControl w:val="0"/>
              <w:spacing w:line="36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3</w:t>
            </w:r>
          </w:p>
        </w:tc>
        <w:tc>
          <w:tcPr>
            <w:tcW w:w="4488" w:type="dxa"/>
            <w:noWrap w:val="0"/>
            <w:vAlign w:val="center"/>
          </w:tcPr>
          <w:p>
            <w:pPr>
              <w:spacing w:line="36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通扬线通吕运河段航道整治工程</w:t>
            </w:r>
          </w:p>
        </w:tc>
        <w:tc>
          <w:tcPr>
            <w:tcW w:w="1928" w:type="dxa"/>
            <w:noWrap w:val="0"/>
            <w:vAlign w:val="center"/>
          </w:tcPr>
          <w:p>
            <w:pPr>
              <w:spacing w:line="360" w:lineRule="auto"/>
              <w:jc w:val="center"/>
              <w:rPr>
                <w:rFonts w:hint="eastAsia" w:ascii="宋体" w:hAnsi="宋体" w:eastAsia="宋体" w:cs="宋体"/>
                <w:color w:val="auto"/>
                <w:kern w:val="0"/>
                <w:sz w:val="21"/>
                <w:szCs w:val="21"/>
                <w:highlight w:val="none"/>
                <w:lang w:val="en-US" w:eastAsia="zh-CN" w:bidi="ar-SA"/>
              </w:rPr>
            </w:pPr>
          </w:p>
        </w:tc>
        <w:tc>
          <w:tcPr>
            <w:tcW w:w="1918" w:type="dxa"/>
            <w:noWrap w:val="0"/>
            <w:vAlign w:val="center"/>
          </w:tcPr>
          <w:p>
            <w:pPr>
              <w:spacing w:line="360" w:lineRule="auto"/>
              <w:jc w:val="center"/>
              <w:rPr>
                <w:rFonts w:hint="eastAsia" w:ascii="宋体" w:hAnsi="宋体" w:eastAsia="宋体" w:cs="宋体"/>
                <w:color w:val="auto"/>
                <w:kern w:val="0"/>
                <w:sz w:val="21"/>
                <w:szCs w:val="21"/>
                <w:highlight w:val="none"/>
                <w:lang w:val="en-US" w:eastAsia="zh-CN" w:bidi="ar-SA"/>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 w:hRule="atLeast"/>
          <w:jc w:val="center"/>
        </w:trPr>
        <w:tc>
          <w:tcPr>
            <w:tcW w:w="660" w:type="dxa"/>
            <w:noWrap w:val="0"/>
            <w:vAlign w:val="center"/>
          </w:tcPr>
          <w:p>
            <w:pPr>
              <w:pStyle w:val="93"/>
              <w:widowControl w:val="0"/>
              <w:spacing w:line="36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4</w:t>
            </w:r>
          </w:p>
        </w:tc>
        <w:tc>
          <w:tcPr>
            <w:tcW w:w="4488" w:type="dxa"/>
            <w:noWrap w:val="0"/>
            <w:vAlign w:val="center"/>
          </w:tcPr>
          <w:p>
            <w:pPr>
              <w:pStyle w:val="93"/>
              <w:widowControl w:val="0"/>
              <w:spacing w:line="36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通海港区至通州湾港区疏港航道整治工程</w:t>
            </w:r>
          </w:p>
        </w:tc>
        <w:tc>
          <w:tcPr>
            <w:tcW w:w="1928" w:type="dxa"/>
            <w:noWrap w:val="0"/>
            <w:vAlign w:val="center"/>
          </w:tcPr>
          <w:p>
            <w:pPr>
              <w:spacing w:line="360" w:lineRule="auto"/>
              <w:jc w:val="center"/>
              <w:rPr>
                <w:rFonts w:hint="eastAsia" w:ascii="宋体" w:hAnsi="宋体" w:eastAsia="宋体" w:cs="宋体"/>
                <w:color w:val="auto"/>
                <w:kern w:val="0"/>
                <w:sz w:val="21"/>
                <w:szCs w:val="21"/>
                <w:highlight w:val="none"/>
                <w:lang w:val="en-US" w:eastAsia="zh-CN" w:bidi="ar-SA"/>
              </w:rPr>
            </w:pPr>
          </w:p>
        </w:tc>
        <w:tc>
          <w:tcPr>
            <w:tcW w:w="1918" w:type="dxa"/>
            <w:noWrap w:val="0"/>
            <w:vAlign w:val="center"/>
          </w:tcPr>
          <w:p>
            <w:pPr>
              <w:spacing w:line="360" w:lineRule="auto"/>
              <w:jc w:val="center"/>
              <w:rPr>
                <w:rFonts w:hint="eastAsia" w:ascii="宋体" w:hAnsi="宋体" w:eastAsia="宋体" w:cs="宋体"/>
                <w:color w:val="auto"/>
                <w:kern w:val="0"/>
                <w:sz w:val="21"/>
                <w:szCs w:val="21"/>
                <w:highlight w:val="none"/>
                <w:lang w:val="en-US" w:eastAsia="zh-CN" w:bidi="ar-SA"/>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 w:hRule="atLeast"/>
          <w:jc w:val="center"/>
        </w:trPr>
        <w:tc>
          <w:tcPr>
            <w:tcW w:w="5148" w:type="dxa"/>
            <w:gridSpan w:val="2"/>
            <w:noWrap w:val="0"/>
            <w:vAlign w:val="center"/>
          </w:tcPr>
          <w:p>
            <w:pPr>
              <w:pStyle w:val="93"/>
              <w:widowControl w:val="0"/>
              <w:spacing w:line="36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投标报价（以上各项费用之和）</w:t>
            </w:r>
          </w:p>
        </w:tc>
        <w:tc>
          <w:tcPr>
            <w:tcW w:w="1928" w:type="dxa"/>
            <w:noWrap w:val="0"/>
            <w:vAlign w:val="center"/>
          </w:tcPr>
          <w:p>
            <w:pPr>
              <w:spacing w:line="360" w:lineRule="auto"/>
              <w:jc w:val="center"/>
              <w:rPr>
                <w:rFonts w:hint="eastAsia" w:ascii="宋体" w:hAnsi="宋体" w:eastAsia="宋体" w:cs="宋体"/>
                <w:color w:val="auto"/>
                <w:kern w:val="0"/>
                <w:sz w:val="21"/>
                <w:szCs w:val="21"/>
                <w:highlight w:val="none"/>
                <w:lang w:val="en-US" w:eastAsia="zh-CN" w:bidi="ar-SA"/>
              </w:rPr>
            </w:pPr>
          </w:p>
        </w:tc>
        <w:tc>
          <w:tcPr>
            <w:tcW w:w="1918" w:type="dxa"/>
            <w:noWrap w:val="0"/>
            <w:vAlign w:val="center"/>
          </w:tcPr>
          <w:p>
            <w:pPr>
              <w:pStyle w:val="93"/>
              <w:widowControl w:val="0"/>
              <w:spacing w:line="36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转入投标函</w:t>
            </w:r>
          </w:p>
        </w:tc>
      </w:tr>
    </w:tbl>
    <w:p>
      <w:pPr>
        <w:pStyle w:val="3"/>
        <w:keepNext/>
        <w:keepLines/>
        <w:pageBreakBefore w:val="0"/>
        <w:widowControl w:val="0"/>
        <w:kinsoku/>
        <w:wordWrap/>
        <w:overflowPunct/>
        <w:topLinePunct w:val="0"/>
        <w:autoSpaceDE/>
        <w:autoSpaceDN/>
        <w:bidi w:val="0"/>
        <w:adjustRightInd/>
        <w:snapToGrid/>
        <w:spacing w:before="157" w:beforeLines="50" w:after="0" w:line="360" w:lineRule="auto"/>
        <w:jc w:val="left"/>
        <w:textAlignment w:val="auto"/>
        <w:rPr>
          <w:rFonts w:hint="eastAsia" w:ascii="宋体" w:hAnsi="宋体" w:cs="宋体"/>
          <w:b/>
          <w:bCs/>
          <w:color w:val="auto"/>
          <w:sz w:val="24"/>
          <w:szCs w:val="24"/>
          <w:highlight w:val="none"/>
          <w:lang w:eastAsia="zh-CN"/>
        </w:rPr>
      </w:pPr>
      <w:r>
        <w:rPr>
          <w:rFonts w:hint="eastAsia" w:ascii="宋体" w:hAnsi="宋体" w:cs="宋体"/>
          <w:b/>
          <w:bCs/>
          <w:color w:val="auto"/>
          <w:sz w:val="24"/>
          <w:szCs w:val="24"/>
          <w:highlight w:val="none"/>
        </w:rPr>
        <w:t>注：</w:t>
      </w:r>
      <w:r>
        <w:rPr>
          <w:rFonts w:hint="eastAsia" w:ascii="宋体" w:hAnsi="宋体" w:cs="宋体"/>
          <w:b/>
          <w:bCs/>
          <w:color w:val="auto"/>
          <w:sz w:val="24"/>
          <w:szCs w:val="24"/>
          <w:highlight w:val="none"/>
          <w:lang w:eastAsia="zh-CN"/>
        </w:rPr>
        <w:t>1.本表“投标总价”转入投标函中。</w:t>
      </w:r>
    </w:p>
    <w:p>
      <w:pPr>
        <w:pStyle w:val="3"/>
        <w:keepNext/>
        <w:keepLines/>
        <w:pageBreakBefore w:val="0"/>
        <w:widowControl w:val="0"/>
        <w:kinsoku/>
        <w:wordWrap/>
        <w:overflowPunct/>
        <w:topLinePunct w:val="0"/>
        <w:autoSpaceDE/>
        <w:autoSpaceDN/>
        <w:bidi w:val="0"/>
        <w:adjustRightInd/>
        <w:snapToGrid/>
        <w:spacing w:before="157" w:beforeLines="50" w:after="0" w:line="360" w:lineRule="auto"/>
        <w:jc w:val="left"/>
        <w:textAlignment w:val="auto"/>
        <w:rPr>
          <w:rFonts w:hint="eastAsia" w:ascii="宋体" w:hAnsi="宋体" w:cs="宋体"/>
          <w:bCs w:val="0"/>
          <w:color w:val="auto"/>
          <w:sz w:val="24"/>
          <w:szCs w:val="24"/>
          <w:highlight w:val="none"/>
        </w:rPr>
      </w:pPr>
      <w:r>
        <w:rPr>
          <w:rFonts w:hint="eastAsia" w:ascii="宋体" w:hAnsi="宋体" w:cs="宋体"/>
          <w:b/>
          <w:bCs/>
          <w:color w:val="auto"/>
          <w:sz w:val="24"/>
          <w:szCs w:val="24"/>
          <w:highlight w:val="none"/>
          <w:lang w:eastAsia="zh-CN"/>
        </w:rPr>
        <w:t>2.详细费用计算清单及说明的格式由投标人自列。</w:t>
      </w:r>
      <w:r>
        <w:rPr>
          <w:rFonts w:hint="eastAsia" w:ascii="宋体" w:hAnsi="宋体" w:cs="宋体"/>
          <w:bCs w:val="0"/>
          <w:color w:val="auto"/>
          <w:sz w:val="24"/>
          <w:szCs w:val="24"/>
          <w:highlight w:val="none"/>
        </w:rPr>
        <w:t xml:space="preserve">                                             </w:t>
      </w:r>
    </w:p>
    <w:p>
      <w:pPr>
        <w:pStyle w:val="3"/>
        <w:jc w:val="right"/>
        <w:rPr>
          <w:rFonts w:hint="eastAsia" w:ascii="宋体" w:hAnsi="宋体" w:cs="宋体"/>
          <w:bCs w:val="0"/>
          <w:color w:val="auto"/>
          <w:sz w:val="22"/>
          <w:szCs w:val="22"/>
          <w:highlight w:val="none"/>
        </w:rPr>
      </w:pPr>
      <w:r>
        <w:rPr>
          <w:rFonts w:hint="eastAsia" w:ascii="宋体" w:hAnsi="宋体" w:cs="宋体"/>
          <w:bCs w:val="0"/>
          <w:color w:val="auto"/>
          <w:sz w:val="22"/>
          <w:szCs w:val="22"/>
          <w:highlight w:val="none"/>
          <w:lang w:val="en-US" w:eastAsia="zh-CN"/>
        </w:rPr>
        <w:t>投标人</w:t>
      </w:r>
      <w:r>
        <w:rPr>
          <w:rFonts w:hint="eastAsia" w:ascii="宋体" w:hAnsi="宋体" w:cs="宋体"/>
          <w:bCs w:val="0"/>
          <w:color w:val="auto"/>
          <w:sz w:val="22"/>
          <w:szCs w:val="22"/>
          <w:highlight w:val="none"/>
        </w:rPr>
        <w:t>：</w:t>
      </w:r>
      <w:r>
        <w:rPr>
          <w:rFonts w:hint="eastAsia" w:ascii="宋体" w:hAnsi="宋体" w:cs="宋体"/>
          <w:bCs w:val="0"/>
          <w:color w:val="auto"/>
          <w:sz w:val="22"/>
          <w:szCs w:val="22"/>
          <w:highlight w:val="none"/>
          <w:u w:val="single"/>
          <w:lang w:val="en-US" w:eastAsia="zh-CN"/>
        </w:rPr>
        <w:t xml:space="preserve">          </w:t>
      </w:r>
      <w:r>
        <w:rPr>
          <w:rFonts w:hint="eastAsia" w:ascii="宋体" w:hAnsi="宋体" w:cs="宋体"/>
          <w:bCs w:val="0"/>
          <w:color w:val="auto"/>
          <w:sz w:val="22"/>
          <w:szCs w:val="22"/>
          <w:highlight w:val="none"/>
        </w:rPr>
        <w:t>（公章）</w:t>
      </w:r>
    </w:p>
    <w:p>
      <w:pPr>
        <w:pStyle w:val="3"/>
        <w:jc w:val="right"/>
        <w:rPr>
          <w:rFonts w:hint="default" w:ascii="宋体" w:hAnsi="宋体" w:eastAsia="宋体" w:cs="宋体"/>
          <w:bCs w:val="0"/>
          <w:color w:val="auto"/>
          <w:sz w:val="22"/>
          <w:szCs w:val="22"/>
          <w:highlight w:val="none"/>
          <w:lang w:val="en-US" w:eastAsia="zh-CN"/>
        </w:rPr>
      </w:pPr>
      <w:r>
        <w:rPr>
          <w:rFonts w:hint="eastAsia" w:ascii="宋体" w:hAnsi="宋体" w:cs="宋体"/>
          <w:bCs w:val="0"/>
          <w:color w:val="auto"/>
          <w:sz w:val="22"/>
          <w:szCs w:val="22"/>
          <w:highlight w:val="none"/>
          <w:lang w:val="en-US" w:eastAsia="zh-CN"/>
        </w:rPr>
        <w:t xml:space="preserve">                                                         </w:t>
      </w:r>
      <w:r>
        <w:rPr>
          <w:rFonts w:hint="eastAsia" w:ascii="宋体" w:hAnsi="宋体" w:cs="宋体"/>
          <w:bCs w:val="0"/>
          <w:color w:val="auto"/>
          <w:sz w:val="22"/>
          <w:szCs w:val="22"/>
          <w:highlight w:val="none"/>
          <w:u w:val="single"/>
          <w:lang w:val="en-US" w:eastAsia="zh-CN"/>
        </w:rPr>
        <w:t xml:space="preserve">     </w:t>
      </w:r>
      <w:r>
        <w:rPr>
          <w:rFonts w:hint="eastAsia" w:ascii="宋体" w:hAnsi="宋体" w:cs="宋体"/>
          <w:bCs w:val="0"/>
          <w:color w:val="auto"/>
          <w:sz w:val="22"/>
          <w:szCs w:val="22"/>
          <w:highlight w:val="none"/>
          <w:lang w:val="en-US" w:eastAsia="zh-CN"/>
        </w:rPr>
        <w:t>年</w:t>
      </w:r>
      <w:r>
        <w:rPr>
          <w:rFonts w:hint="eastAsia" w:ascii="宋体" w:hAnsi="宋体" w:cs="宋体"/>
          <w:bCs w:val="0"/>
          <w:color w:val="auto"/>
          <w:sz w:val="22"/>
          <w:szCs w:val="22"/>
          <w:highlight w:val="none"/>
          <w:u w:val="single"/>
          <w:lang w:val="en-US" w:eastAsia="zh-CN"/>
        </w:rPr>
        <w:t xml:space="preserve">     </w:t>
      </w:r>
      <w:r>
        <w:rPr>
          <w:rFonts w:hint="eastAsia" w:ascii="宋体" w:hAnsi="宋体" w:cs="宋体"/>
          <w:bCs w:val="0"/>
          <w:color w:val="auto"/>
          <w:sz w:val="22"/>
          <w:szCs w:val="22"/>
          <w:highlight w:val="none"/>
          <w:lang w:val="en-US" w:eastAsia="zh-CN"/>
        </w:rPr>
        <w:t>月</w:t>
      </w:r>
      <w:r>
        <w:rPr>
          <w:rFonts w:hint="eastAsia" w:ascii="宋体" w:hAnsi="宋体" w:cs="宋体"/>
          <w:bCs w:val="0"/>
          <w:color w:val="auto"/>
          <w:sz w:val="22"/>
          <w:szCs w:val="22"/>
          <w:highlight w:val="none"/>
          <w:u w:val="single"/>
          <w:lang w:val="en-US" w:eastAsia="zh-CN"/>
        </w:rPr>
        <w:t xml:space="preserve">     </w:t>
      </w:r>
      <w:r>
        <w:rPr>
          <w:rFonts w:hint="eastAsia" w:ascii="宋体" w:hAnsi="宋体" w:cs="宋体"/>
          <w:bCs w:val="0"/>
          <w:color w:val="auto"/>
          <w:sz w:val="22"/>
          <w:szCs w:val="22"/>
          <w:highlight w:val="none"/>
          <w:lang w:val="en-US" w:eastAsia="zh-CN"/>
        </w:rPr>
        <w:t>日</w:t>
      </w:r>
    </w:p>
    <w:p>
      <w:pPr>
        <w:pStyle w:val="7"/>
        <w:rPr>
          <w:rFonts w:hint="eastAsia"/>
          <w:color w:val="auto"/>
          <w:highlight w:val="none"/>
        </w:rPr>
      </w:pPr>
    </w:p>
    <w:p>
      <w:pPr>
        <w:pStyle w:val="7"/>
        <w:rPr>
          <w:rFonts w:hint="eastAsia"/>
          <w:color w:val="auto"/>
          <w:highlight w:val="none"/>
        </w:rPr>
      </w:pPr>
    </w:p>
    <w:p>
      <w:pPr>
        <w:pStyle w:val="7"/>
        <w:rPr>
          <w:rFonts w:hint="eastAsia"/>
          <w:color w:val="auto"/>
          <w:highlight w:val="none"/>
        </w:rPr>
      </w:pPr>
    </w:p>
    <w:p>
      <w:pPr>
        <w:pStyle w:val="7"/>
        <w:rPr>
          <w:rFonts w:hint="eastAsia"/>
          <w:color w:val="auto"/>
          <w:highlight w:val="none"/>
        </w:rPr>
      </w:pPr>
    </w:p>
    <w:p>
      <w:pPr>
        <w:pStyle w:val="7"/>
        <w:rPr>
          <w:rFonts w:hint="eastAsia"/>
          <w:color w:val="auto"/>
          <w:highlight w:val="none"/>
        </w:rPr>
      </w:pPr>
    </w:p>
    <w:p>
      <w:pPr>
        <w:pStyle w:val="7"/>
        <w:rPr>
          <w:rFonts w:hint="eastAsia"/>
          <w:color w:val="auto"/>
          <w:highlight w:val="none"/>
        </w:rPr>
      </w:pPr>
    </w:p>
    <w:p>
      <w:pPr>
        <w:spacing w:line="360" w:lineRule="auto"/>
        <w:rPr>
          <w:rFonts w:hint="eastAsia" w:ascii="宋体" w:hAnsi="宋体" w:cs="宋体"/>
          <w:b/>
          <w:color w:val="auto"/>
          <w:sz w:val="24"/>
          <w:highlight w:val="none"/>
        </w:rPr>
      </w:pPr>
    </w:p>
    <w:p>
      <w:pPr>
        <w:spacing w:line="400" w:lineRule="exact"/>
        <w:rPr>
          <w:color w:val="auto"/>
          <w:highlight w:val="none"/>
        </w:rPr>
      </w:pPr>
    </w:p>
    <w:sectPr>
      <w:pgSz w:w="11906" w:h="16838"/>
      <w:pgMar w:top="1361" w:right="1361" w:bottom="1361" w:left="1361" w:header="850" w:footer="964" w:gutter="170"/>
      <w:pgNumType w:fmt="decimal"/>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adjustRightInd w:val="0"/>
      <w:spacing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adjustRightInd w:val="0"/>
      <w:spacing w:line="240" w:lineRule="auto"/>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0"/>
                          </w:pPr>
                          <w:r>
                            <w:fldChar w:fldCharType="begin"/>
                          </w:r>
                          <w:r>
                            <w:instrText xml:space="preserve"> PAGE  \* MERGEFORMAT </w:instrText>
                          </w:r>
                          <w:r>
                            <w:fldChar w:fldCharType="separate"/>
                          </w:r>
                          <w:r>
                            <w:t>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2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adjustRightInd w:val="0"/>
      <w:spacing w:line="240" w:lineRule="auto"/>
      <w:jc w:val="center"/>
      <w:rPr>
        <w:rFonts w:hint="eastAsia"/>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0"/>
                            <w:adjustRightInd w:val="0"/>
                            <w:spacing w:line="240" w:lineRule="auto"/>
                            <w:jc w:val="center"/>
                          </w:pPr>
                          <w:r>
                            <w:fldChar w:fldCharType="begin"/>
                          </w:r>
                          <w:r>
                            <w:instrText xml:space="preserve">PAGE   \* MERGEFORMAT</w:instrText>
                          </w:r>
                          <w:r>
                            <w:fldChar w:fldCharType="separate"/>
                          </w:r>
                          <w:r>
                            <w:rPr>
                              <w:lang w:val="zh-CN"/>
                            </w:rPr>
                            <w:t>2</w:t>
                          </w:r>
                          <w:r>
                            <w:fldChar w:fldCharType="end"/>
                          </w:r>
                        </w:p>
                      </w:txbxContent>
                    </wps:txbx>
                    <wps:bodyPr vert="horz" wrap="none" lIns="0" tIns="0" rIns="0" bIns="0" anchor="t" anchorCtr="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EREUCndAQAAvgMAAA4AAAAAAAAA&#10;AQAgAAAAHgEAAGRycy9lMm9Eb2MueG1sUEsFBgAAAAAGAAYAWQEAAG0FAAAAAA==&#10;">
              <v:fill on="f" focussize="0,0"/>
              <v:stroke on="f"/>
              <v:imagedata o:title=""/>
              <o:lock v:ext="edit" aspectratio="f"/>
              <v:textbox inset="0mm,0mm,0mm,0mm" style="mso-fit-shape-to-text:t;">
                <w:txbxContent>
                  <w:p>
                    <w:pPr>
                      <w:pStyle w:val="20"/>
                      <w:adjustRightInd w:val="0"/>
                      <w:spacing w:line="240" w:lineRule="auto"/>
                      <w:jc w:val="center"/>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jc w:val="center"/>
      <w:rPr>
        <w:rFonts w:hint="eastAsia"/>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jc w:val="center"/>
      <w:rPr>
        <w:rFonts w:hint="eastAsi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DEBF64"/>
    <w:multiLevelType w:val="singleLevel"/>
    <w:tmpl w:val="98DEBF64"/>
    <w:lvl w:ilvl="0" w:tentative="0">
      <w:start w:val="1"/>
      <w:numFmt w:val="chineseCounting"/>
      <w:suff w:val="space"/>
      <w:lvlText w:val="%1、"/>
      <w:lvlJc w:val="left"/>
      <w:rPr>
        <w:rFonts w:hint="eastAsia"/>
      </w:rPr>
    </w:lvl>
  </w:abstractNum>
  <w:abstractNum w:abstractNumId="1">
    <w:nsid w:val="2472CD72"/>
    <w:multiLevelType w:val="singleLevel"/>
    <w:tmpl w:val="2472CD72"/>
    <w:lvl w:ilvl="0" w:tentative="0">
      <w:start w:val="1"/>
      <w:numFmt w:val="decimal"/>
      <w:lvlText w:val="%1."/>
      <w:lvlJc w:val="left"/>
      <w:pPr>
        <w:ind w:left="425" w:hanging="425"/>
      </w:pPr>
    </w:lvl>
  </w:abstractNum>
  <w:abstractNum w:abstractNumId="2">
    <w:nsid w:val="4BA68184"/>
    <w:multiLevelType w:val="singleLevel"/>
    <w:tmpl w:val="4BA68184"/>
    <w:lvl w:ilvl="0" w:tentative="0">
      <w:start w:val="1"/>
      <w:numFmt w:val="decimal"/>
      <w:lvlText w:val="%1."/>
      <w:lvlJc w:val="left"/>
      <w:pPr>
        <w:ind w:left="425" w:hanging="425"/>
      </w:pPr>
      <w:rPr>
        <w:rFonts w:hint="default"/>
      </w:rPr>
    </w:lvl>
  </w:abstractNum>
  <w:num w:numId="1">
    <w:abstractNumId w:val="0"/>
  </w:num>
  <w:num w:numId="2">
    <w:abstractNumId w:val="1"/>
    <w:lvlOverride w:ilvl="0">
      <w:startOverride w:val="1"/>
    </w:lvlOverride>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苏州市航道管理处">
    <w15:presenceInfo w15:providerId="None" w15:userId="苏州市航道管理处"/>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dkOGY2MTQwMjY0NjNhOWFlMTM4YmZjYzUyNjcxYjcifQ=="/>
  </w:docVars>
  <w:rsids>
    <w:rsidRoot w:val="00797667"/>
    <w:rsid w:val="00001CF7"/>
    <w:rsid w:val="00006925"/>
    <w:rsid w:val="00006932"/>
    <w:rsid w:val="00011781"/>
    <w:rsid w:val="00013CB3"/>
    <w:rsid w:val="0001429D"/>
    <w:rsid w:val="00014434"/>
    <w:rsid w:val="00015B88"/>
    <w:rsid w:val="0002318D"/>
    <w:rsid w:val="000265C4"/>
    <w:rsid w:val="000363DB"/>
    <w:rsid w:val="00036685"/>
    <w:rsid w:val="000406EC"/>
    <w:rsid w:val="00052A18"/>
    <w:rsid w:val="000646F5"/>
    <w:rsid w:val="00072C34"/>
    <w:rsid w:val="00080299"/>
    <w:rsid w:val="0008058B"/>
    <w:rsid w:val="00084887"/>
    <w:rsid w:val="00084897"/>
    <w:rsid w:val="0008596D"/>
    <w:rsid w:val="00086CDC"/>
    <w:rsid w:val="000924A5"/>
    <w:rsid w:val="0009426D"/>
    <w:rsid w:val="000A0517"/>
    <w:rsid w:val="000A0691"/>
    <w:rsid w:val="000B2853"/>
    <w:rsid w:val="000B28C0"/>
    <w:rsid w:val="000B3FA1"/>
    <w:rsid w:val="000B5B2E"/>
    <w:rsid w:val="000C066F"/>
    <w:rsid w:val="000C2FA0"/>
    <w:rsid w:val="000C45FB"/>
    <w:rsid w:val="000C469B"/>
    <w:rsid w:val="000C6D02"/>
    <w:rsid w:val="000D429E"/>
    <w:rsid w:val="000D4927"/>
    <w:rsid w:val="000D5AC7"/>
    <w:rsid w:val="000E11D0"/>
    <w:rsid w:val="000E486A"/>
    <w:rsid w:val="000F01D3"/>
    <w:rsid w:val="000F2B26"/>
    <w:rsid w:val="000F7FC1"/>
    <w:rsid w:val="001033DF"/>
    <w:rsid w:val="00106D19"/>
    <w:rsid w:val="001143C4"/>
    <w:rsid w:val="00121957"/>
    <w:rsid w:val="001222AD"/>
    <w:rsid w:val="00126260"/>
    <w:rsid w:val="001267FD"/>
    <w:rsid w:val="00130BE0"/>
    <w:rsid w:val="001351CD"/>
    <w:rsid w:val="00135D9F"/>
    <w:rsid w:val="0014163D"/>
    <w:rsid w:val="00146644"/>
    <w:rsid w:val="00153800"/>
    <w:rsid w:val="001542FC"/>
    <w:rsid w:val="00154A93"/>
    <w:rsid w:val="00156665"/>
    <w:rsid w:val="00175A6D"/>
    <w:rsid w:val="001810D4"/>
    <w:rsid w:val="00184F53"/>
    <w:rsid w:val="001873C0"/>
    <w:rsid w:val="001A06E6"/>
    <w:rsid w:val="001A18CA"/>
    <w:rsid w:val="001A655A"/>
    <w:rsid w:val="001C519E"/>
    <w:rsid w:val="001C6B78"/>
    <w:rsid w:val="001E7433"/>
    <w:rsid w:val="001F1F12"/>
    <w:rsid w:val="00210931"/>
    <w:rsid w:val="00214AD6"/>
    <w:rsid w:val="00215328"/>
    <w:rsid w:val="00223C7A"/>
    <w:rsid w:val="00226FAF"/>
    <w:rsid w:val="0026236A"/>
    <w:rsid w:val="0026434C"/>
    <w:rsid w:val="002710BD"/>
    <w:rsid w:val="00274F17"/>
    <w:rsid w:val="00294959"/>
    <w:rsid w:val="002A0F26"/>
    <w:rsid w:val="002A5683"/>
    <w:rsid w:val="002A7D3F"/>
    <w:rsid w:val="002A7DF7"/>
    <w:rsid w:val="002B1902"/>
    <w:rsid w:val="002C5758"/>
    <w:rsid w:val="002D2283"/>
    <w:rsid w:val="002E031E"/>
    <w:rsid w:val="002E4661"/>
    <w:rsid w:val="002F0674"/>
    <w:rsid w:val="002F2DDA"/>
    <w:rsid w:val="0030417C"/>
    <w:rsid w:val="00305EFD"/>
    <w:rsid w:val="00312581"/>
    <w:rsid w:val="0032193C"/>
    <w:rsid w:val="003308FF"/>
    <w:rsid w:val="003352AF"/>
    <w:rsid w:val="00342384"/>
    <w:rsid w:val="003435BD"/>
    <w:rsid w:val="003447D0"/>
    <w:rsid w:val="00345316"/>
    <w:rsid w:val="003554CE"/>
    <w:rsid w:val="00360361"/>
    <w:rsid w:val="00372DC3"/>
    <w:rsid w:val="003752C8"/>
    <w:rsid w:val="0037791D"/>
    <w:rsid w:val="00383032"/>
    <w:rsid w:val="00383E9F"/>
    <w:rsid w:val="003939AA"/>
    <w:rsid w:val="00394F9A"/>
    <w:rsid w:val="003A1EBB"/>
    <w:rsid w:val="003A70B7"/>
    <w:rsid w:val="003A7DCA"/>
    <w:rsid w:val="003B6A35"/>
    <w:rsid w:val="003C0DC8"/>
    <w:rsid w:val="003C7E91"/>
    <w:rsid w:val="003D26EE"/>
    <w:rsid w:val="003D533C"/>
    <w:rsid w:val="003D6A71"/>
    <w:rsid w:val="003D6BD5"/>
    <w:rsid w:val="003E0BAA"/>
    <w:rsid w:val="003E270B"/>
    <w:rsid w:val="003E6B3F"/>
    <w:rsid w:val="003F28C3"/>
    <w:rsid w:val="003F31FB"/>
    <w:rsid w:val="003F622A"/>
    <w:rsid w:val="003F68E0"/>
    <w:rsid w:val="00400597"/>
    <w:rsid w:val="00405178"/>
    <w:rsid w:val="00405A96"/>
    <w:rsid w:val="00406760"/>
    <w:rsid w:val="00413893"/>
    <w:rsid w:val="0041390D"/>
    <w:rsid w:val="00413E40"/>
    <w:rsid w:val="00417D5C"/>
    <w:rsid w:val="004453EE"/>
    <w:rsid w:val="0044782C"/>
    <w:rsid w:val="00450BAE"/>
    <w:rsid w:val="004510D0"/>
    <w:rsid w:val="00457010"/>
    <w:rsid w:val="0045713A"/>
    <w:rsid w:val="004612AD"/>
    <w:rsid w:val="004640AE"/>
    <w:rsid w:val="00470CF3"/>
    <w:rsid w:val="00470F51"/>
    <w:rsid w:val="004728A7"/>
    <w:rsid w:val="0047422E"/>
    <w:rsid w:val="0048490B"/>
    <w:rsid w:val="004864AF"/>
    <w:rsid w:val="00490291"/>
    <w:rsid w:val="00492597"/>
    <w:rsid w:val="004926AD"/>
    <w:rsid w:val="00493060"/>
    <w:rsid w:val="004A151F"/>
    <w:rsid w:val="004A43EF"/>
    <w:rsid w:val="004B53B0"/>
    <w:rsid w:val="004B66F3"/>
    <w:rsid w:val="004B6B9A"/>
    <w:rsid w:val="004C2242"/>
    <w:rsid w:val="004D23BC"/>
    <w:rsid w:val="004D6741"/>
    <w:rsid w:val="004D6FB5"/>
    <w:rsid w:val="004E490E"/>
    <w:rsid w:val="004F0B6C"/>
    <w:rsid w:val="004F12DC"/>
    <w:rsid w:val="004F6DEA"/>
    <w:rsid w:val="00504B20"/>
    <w:rsid w:val="00515699"/>
    <w:rsid w:val="00515D58"/>
    <w:rsid w:val="005172CC"/>
    <w:rsid w:val="00522819"/>
    <w:rsid w:val="00525D5F"/>
    <w:rsid w:val="00532978"/>
    <w:rsid w:val="00534153"/>
    <w:rsid w:val="005350F4"/>
    <w:rsid w:val="005421B6"/>
    <w:rsid w:val="00545CB2"/>
    <w:rsid w:val="005539A0"/>
    <w:rsid w:val="00555C31"/>
    <w:rsid w:val="00557276"/>
    <w:rsid w:val="00557752"/>
    <w:rsid w:val="00572FB0"/>
    <w:rsid w:val="00574FA8"/>
    <w:rsid w:val="00575F6B"/>
    <w:rsid w:val="00577718"/>
    <w:rsid w:val="00580A52"/>
    <w:rsid w:val="00581674"/>
    <w:rsid w:val="00586541"/>
    <w:rsid w:val="00594DF0"/>
    <w:rsid w:val="005A0FB6"/>
    <w:rsid w:val="005A70E1"/>
    <w:rsid w:val="005B2286"/>
    <w:rsid w:val="005B3849"/>
    <w:rsid w:val="005B599A"/>
    <w:rsid w:val="005B7942"/>
    <w:rsid w:val="005C00E1"/>
    <w:rsid w:val="005C60DA"/>
    <w:rsid w:val="005D1410"/>
    <w:rsid w:val="005D284F"/>
    <w:rsid w:val="005D32B3"/>
    <w:rsid w:val="005D60D1"/>
    <w:rsid w:val="005E1A5B"/>
    <w:rsid w:val="005E2A34"/>
    <w:rsid w:val="005E5113"/>
    <w:rsid w:val="005F1754"/>
    <w:rsid w:val="00600CF5"/>
    <w:rsid w:val="00601277"/>
    <w:rsid w:val="0060387F"/>
    <w:rsid w:val="00604505"/>
    <w:rsid w:val="0060754C"/>
    <w:rsid w:val="00610296"/>
    <w:rsid w:val="00621764"/>
    <w:rsid w:val="00625903"/>
    <w:rsid w:val="0065113A"/>
    <w:rsid w:val="00652D66"/>
    <w:rsid w:val="00656544"/>
    <w:rsid w:val="006738CA"/>
    <w:rsid w:val="00685B95"/>
    <w:rsid w:val="0069766B"/>
    <w:rsid w:val="006A00BD"/>
    <w:rsid w:val="006A4090"/>
    <w:rsid w:val="006A7102"/>
    <w:rsid w:val="006B598A"/>
    <w:rsid w:val="006B5C33"/>
    <w:rsid w:val="006C0842"/>
    <w:rsid w:val="006D3F44"/>
    <w:rsid w:val="006E67D2"/>
    <w:rsid w:val="006F2C5C"/>
    <w:rsid w:val="00700096"/>
    <w:rsid w:val="007008AC"/>
    <w:rsid w:val="00705653"/>
    <w:rsid w:val="007103E7"/>
    <w:rsid w:val="0071370F"/>
    <w:rsid w:val="00720304"/>
    <w:rsid w:val="00755AF5"/>
    <w:rsid w:val="00755F1D"/>
    <w:rsid w:val="00766139"/>
    <w:rsid w:val="007661DF"/>
    <w:rsid w:val="00770C16"/>
    <w:rsid w:val="00771F9D"/>
    <w:rsid w:val="00773F58"/>
    <w:rsid w:val="00775D50"/>
    <w:rsid w:val="007771C4"/>
    <w:rsid w:val="00780F3C"/>
    <w:rsid w:val="00781108"/>
    <w:rsid w:val="00787996"/>
    <w:rsid w:val="007921DA"/>
    <w:rsid w:val="00793B50"/>
    <w:rsid w:val="00794D8D"/>
    <w:rsid w:val="00797667"/>
    <w:rsid w:val="007A6DA5"/>
    <w:rsid w:val="007B0F0C"/>
    <w:rsid w:val="007B3D4E"/>
    <w:rsid w:val="007B5604"/>
    <w:rsid w:val="007B5CE0"/>
    <w:rsid w:val="007D042C"/>
    <w:rsid w:val="007D0CB4"/>
    <w:rsid w:val="007D5553"/>
    <w:rsid w:val="007D6FFE"/>
    <w:rsid w:val="007E0568"/>
    <w:rsid w:val="00800063"/>
    <w:rsid w:val="0081268A"/>
    <w:rsid w:val="00816059"/>
    <w:rsid w:val="00821CF7"/>
    <w:rsid w:val="00823C68"/>
    <w:rsid w:val="008275AD"/>
    <w:rsid w:val="0083254A"/>
    <w:rsid w:val="00832F10"/>
    <w:rsid w:val="00835097"/>
    <w:rsid w:val="008377A7"/>
    <w:rsid w:val="00844A0E"/>
    <w:rsid w:val="008469EB"/>
    <w:rsid w:val="00852C91"/>
    <w:rsid w:val="00864363"/>
    <w:rsid w:val="0086436C"/>
    <w:rsid w:val="008700FF"/>
    <w:rsid w:val="00870494"/>
    <w:rsid w:val="008734D0"/>
    <w:rsid w:val="00874277"/>
    <w:rsid w:val="0087797B"/>
    <w:rsid w:val="00880390"/>
    <w:rsid w:val="0088316C"/>
    <w:rsid w:val="008852CF"/>
    <w:rsid w:val="00886755"/>
    <w:rsid w:val="00886E1B"/>
    <w:rsid w:val="00890DA4"/>
    <w:rsid w:val="00896A57"/>
    <w:rsid w:val="00897F53"/>
    <w:rsid w:val="008A0739"/>
    <w:rsid w:val="008A28FC"/>
    <w:rsid w:val="008B00A4"/>
    <w:rsid w:val="008B3E4F"/>
    <w:rsid w:val="008C1668"/>
    <w:rsid w:val="008C449E"/>
    <w:rsid w:val="008C5D62"/>
    <w:rsid w:val="008C7538"/>
    <w:rsid w:val="008D0DF1"/>
    <w:rsid w:val="008D3A06"/>
    <w:rsid w:val="008D767F"/>
    <w:rsid w:val="008E1319"/>
    <w:rsid w:val="008E53EE"/>
    <w:rsid w:val="008F18CD"/>
    <w:rsid w:val="008F4C20"/>
    <w:rsid w:val="009034D5"/>
    <w:rsid w:val="009054CA"/>
    <w:rsid w:val="0091223F"/>
    <w:rsid w:val="0091246B"/>
    <w:rsid w:val="00916284"/>
    <w:rsid w:val="00924ECB"/>
    <w:rsid w:val="00932F4A"/>
    <w:rsid w:val="00935224"/>
    <w:rsid w:val="00935C36"/>
    <w:rsid w:val="0093686F"/>
    <w:rsid w:val="00936D4D"/>
    <w:rsid w:val="009409AD"/>
    <w:rsid w:val="009444C8"/>
    <w:rsid w:val="00951A35"/>
    <w:rsid w:val="00951FEE"/>
    <w:rsid w:val="00954D10"/>
    <w:rsid w:val="00954F8A"/>
    <w:rsid w:val="009567AA"/>
    <w:rsid w:val="0096082D"/>
    <w:rsid w:val="009639C9"/>
    <w:rsid w:val="00964661"/>
    <w:rsid w:val="00965B10"/>
    <w:rsid w:val="009712FF"/>
    <w:rsid w:val="0097329E"/>
    <w:rsid w:val="0097349E"/>
    <w:rsid w:val="009735CD"/>
    <w:rsid w:val="00974C6E"/>
    <w:rsid w:val="00975F8E"/>
    <w:rsid w:val="009802E5"/>
    <w:rsid w:val="009828C5"/>
    <w:rsid w:val="009862CB"/>
    <w:rsid w:val="009A223F"/>
    <w:rsid w:val="009A3583"/>
    <w:rsid w:val="009A789A"/>
    <w:rsid w:val="009B29F8"/>
    <w:rsid w:val="009B3AB1"/>
    <w:rsid w:val="009D1219"/>
    <w:rsid w:val="009D3E20"/>
    <w:rsid w:val="009E2060"/>
    <w:rsid w:val="009E264B"/>
    <w:rsid w:val="009E70F5"/>
    <w:rsid w:val="009E7EB7"/>
    <w:rsid w:val="009F2E6D"/>
    <w:rsid w:val="009F511B"/>
    <w:rsid w:val="009F528F"/>
    <w:rsid w:val="00A02368"/>
    <w:rsid w:val="00A135DE"/>
    <w:rsid w:val="00A32BD4"/>
    <w:rsid w:val="00A36C22"/>
    <w:rsid w:val="00A42FDE"/>
    <w:rsid w:val="00A5397F"/>
    <w:rsid w:val="00A56682"/>
    <w:rsid w:val="00A618D2"/>
    <w:rsid w:val="00A80D5A"/>
    <w:rsid w:val="00A8485A"/>
    <w:rsid w:val="00A850F4"/>
    <w:rsid w:val="00A93198"/>
    <w:rsid w:val="00A96358"/>
    <w:rsid w:val="00AA19DE"/>
    <w:rsid w:val="00AB1E1D"/>
    <w:rsid w:val="00AB663A"/>
    <w:rsid w:val="00AC196A"/>
    <w:rsid w:val="00AC1A02"/>
    <w:rsid w:val="00AC1EC9"/>
    <w:rsid w:val="00AC50FC"/>
    <w:rsid w:val="00AC6242"/>
    <w:rsid w:val="00AD21E2"/>
    <w:rsid w:val="00AD31D8"/>
    <w:rsid w:val="00AD5409"/>
    <w:rsid w:val="00AE1328"/>
    <w:rsid w:val="00AE29A6"/>
    <w:rsid w:val="00AF3396"/>
    <w:rsid w:val="00AF5490"/>
    <w:rsid w:val="00AF6470"/>
    <w:rsid w:val="00B003E1"/>
    <w:rsid w:val="00B052FE"/>
    <w:rsid w:val="00B0684D"/>
    <w:rsid w:val="00B328BB"/>
    <w:rsid w:val="00B34824"/>
    <w:rsid w:val="00B472C0"/>
    <w:rsid w:val="00B544AE"/>
    <w:rsid w:val="00B561ED"/>
    <w:rsid w:val="00B60531"/>
    <w:rsid w:val="00B60679"/>
    <w:rsid w:val="00B64180"/>
    <w:rsid w:val="00B64E30"/>
    <w:rsid w:val="00B80708"/>
    <w:rsid w:val="00B83527"/>
    <w:rsid w:val="00B84953"/>
    <w:rsid w:val="00B950D7"/>
    <w:rsid w:val="00B95641"/>
    <w:rsid w:val="00BA1F72"/>
    <w:rsid w:val="00BB1299"/>
    <w:rsid w:val="00BB35C8"/>
    <w:rsid w:val="00BB5CC2"/>
    <w:rsid w:val="00BC09D1"/>
    <w:rsid w:val="00BD6778"/>
    <w:rsid w:val="00BE28A6"/>
    <w:rsid w:val="00BE6138"/>
    <w:rsid w:val="00BF18F3"/>
    <w:rsid w:val="00BF4826"/>
    <w:rsid w:val="00C02AAB"/>
    <w:rsid w:val="00C05753"/>
    <w:rsid w:val="00C05FEF"/>
    <w:rsid w:val="00C20A50"/>
    <w:rsid w:val="00C248A5"/>
    <w:rsid w:val="00C26581"/>
    <w:rsid w:val="00C34DAD"/>
    <w:rsid w:val="00C35828"/>
    <w:rsid w:val="00C35D52"/>
    <w:rsid w:val="00C42C7D"/>
    <w:rsid w:val="00C457F6"/>
    <w:rsid w:val="00C47262"/>
    <w:rsid w:val="00C55428"/>
    <w:rsid w:val="00C633A3"/>
    <w:rsid w:val="00C67ADC"/>
    <w:rsid w:val="00C74617"/>
    <w:rsid w:val="00C81766"/>
    <w:rsid w:val="00C81B63"/>
    <w:rsid w:val="00C87BE6"/>
    <w:rsid w:val="00C94DE8"/>
    <w:rsid w:val="00CA02CD"/>
    <w:rsid w:val="00CA057A"/>
    <w:rsid w:val="00CA209A"/>
    <w:rsid w:val="00CA6C1B"/>
    <w:rsid w:val="00CA7FA0"/>
    <w:rsid w:val="00CB1BF2"/>
    <w:rsid w:val="00CB286B"/>
    <w:rsid w:val="00CB7CA7"/>
    <w:rsid w:val="00CD47B3"/>
    <w:rsid w:val="00CD5707"/>
    <w:rsid w:val="00CE059F"/>
    <w:rsid w:val="00CE1A4F"/>
    <w:rsid w:val="00CE4D67"/>
    <w:rsid w:val="00CE749F"/>
    <w:rsid w:val="00CF0C9A"/>
    <w:rsid w:val="00CF1A75"/>
    <w:rsid w:val="00D00EB7"/>
    <w:rsid w:val="00D02FDD"/>
    <w:rsid w:val="00D03170"/>
    <w:rsid w:val="00D0597A"/>
    <w:rsid w:val="00D10C4B"/>
    <w:rsid w:val="00D13540"/>
    <w:rsid w:val="00D26A9F"/>
    <w:rsid w:val="00D34FA3"/>
    <w:rsid w:val="00D36886"/>
    <w:rsid w:val="00D549D3"/>
    <w:rsid w:val="00D568D8"/>
    <w:rsid w:val="00D60F71"/>
    <w:rsid w:val="00D733EC"/>
    <w:rsid w:val="00D80780"/>
    <w:rsid w:val="00D90EC0"/>
    <w:rsid w:val="00D917A5"/>
    <w:rsid w:val="00DA000D"/>
    <w:rsid w:val="00DA6445"/>
    <w:rsid w:val="00DB150B"/>
    <w:rsid w:val="00DB5F24"/>
    <w:rsid w:val="00DC6D78"/>
    <w:rsid w:val="00DD297B"/>
    <w:rsid w:val="00DD323B"/>
    <w:rsid w:val="00DE241D"/>
    <w:rsid w:val="00DF3ED6"/>
    <w:rsid w:val="00E01DF6"/>
    <w:rsid w:val="00E0678F"/>
    <w:rsid w:val="00E1067B"/>
    <w:rsid w:val="00E11FE3"/>
    <w:rsid w:val="00E13DDC"/>
    <w:rsid w:val="00E17126"/>
    <w:rsid w:val="00E20A39"/>
    <w:rsid w:val="00E37E86"/>
    <w:rsid w:val="00E43755"/>
    <w:rsid w:val="00E44BB8"/>
    <w:rsid w:val="00E47645"/>
    <w:rsid w:val="00E51B45"/>
    <w:rsid w:val="00E60183"/>
    <w:rsid w:val="00E60C04"/>
    <w:rsid w:val="00E660B8"/>
    <w:rsid w:val="00E671AC"/>
    <w:rsid w:val="00E71542"/>
    <w:rsid w:val="00E72A17"/>
    <w:rsid w:val="00E7393D"/>
    <w:rsid w:val="00E73C82"/>
    <w:rsid w:val="00E85849"/>
    <w:rsid w:val="00E907D8"/>
    <w:rsid w:val="00EA40E8"/>
    <w:rsid w:val="00EA7D39"/>
    <w:rsid w:val="00EB6D38"/>
    <w:rsid w:val="00EC00D8"/>
    <w:rsid w:val="00EC73E3"/>
    <w:rsid w:val="00EC7DAD"/>
    <w:rsid w:val="00ED692C"/>
    <w:rsid w:val="00EE774B"/>
    <w:rsid w:val="00EE7D9D"/>
    <w:rsid w:val="00EF0E61"/>
    <w:rsid w:val="00EF2C82"/>
    <w:rsid w:val="00EF3A46"/>
    <w:rsid w:val="00EF430C"/>
    <w:rsid w:val="00EF4381"/>
    <w:rsid w:val="00EF4FCA"/>
    <w:rsid w:val="00EF5794"/>
    <w:rsid w:val="00F0371C"/>
    <w:rsid w:val="00F04B5D"/>
    <w:rsid w:val="00F14E90"/>
    <w:rsid w:val="00F17660"/>
    <w:rsid w:val="00F25CC1"/>
    <w:rsid w:val="00F31C51"/>
    <w:rsid w:val="00F40F28"/>
    <w:rsid w:val="00F43612"/>
    <w:rsid w:val="00F518D7"/>
    <w:rsid w:val="00F63B58"/>
    <w:rsid w:val="00F65DAD"/>
    <w:rsid w:val="00F71719"/>
    <w:rsid w:val="00F72423"/>
    <w:rsid w:val="00F84512"/>
    <w:rsid w:val="00F846BE"/>
    <w:rsid w:val="00F85E9E"/>
    <w:rsid w:val="00F946BB"/>
    <w:rsid w:val="00FA5F03"/>
    <w:rsid w:val="00FB036F"/>
    <w:rsid w:val="00FB0C0A"/>
    <w:rsid w:val="00FB1A74"/>
    <w:rsid w:val="00FB6761"/>
    <w:rsid w:val="00FB6924"/>
    <w:rsid w:val="00FC27EA"/>
    <w:rsid w:val="00FC55F2"/>
    <w:rsid w:val="00FC63E7"/>
    <w:rsid w:val="00FC7367"/>
    <w:rsid w:val="00FE346B"/>
    <w:rsid w:val="00FE3C2B"/>
    <w:rsid w:val="00FE529E"/>
    <w:rsid w:val="00FE5DE6"/>
    <w:rsid w:val="00FE714B"/>
    <w:rsid w:val="00FF2A05"/>
    <w:rsid w:val="010A6538"/>
    <w:rsid w:val="0112363F"/>
    <w:rsid w:val="012F2443"/>
    <w:rsid w:val="01454572"/>
    <w:rsid w:val="01500117"/>
    <w:rsid w:val="01536978"/>
    <w:rsid w:val="01541EA9"/>
    <w:rsid w:val="015A1D8C"/>
    <w:rsid w:val="015D0D5E"/>
    <w:rsid w:val="01730582"/>
    <w:rsid w:val="017716F4"/>
    <w:rsid w:val="01835353"/>
    <w:rsid w:val="018750D4"/>
    <w:rsid w:val="01883692"/>
    <w:rsid w:val="018856AF"/>
    <w:rsid w:val="01897A84"/>
    <w:rsid w:val="01964270"/>
    <w:rsid w:val="01A249C3"/>
    <w:rsid w:val="01A26771"/>
    <w:rsid w:val="01A3073B"/>
    <w:rsid w:val="01A95C2A"/>
    <w:rsid w:val="01B110AA"/>
    <w:rsid w:val="01B91D0C"/>
    <w:rsid w:val="01C761D7"/>
    <w:rsid w:val="01CE12BE"/>
    <w:rsid w:val="01DD1E9F"/>
    <w:rsid w:val="01F36FCC"/>
    <w:rsid w:val="020E3E06"/>
    <w:rsid w:val="02111B48"/>
    <w:rsid w:val="02160F0D"/>
    <w:rsid w:val="02237B49"/>
    <w:rsid w:val="022E0064"/>
    <w:rsid w:val="02300221"/>
    <w:rsid w:val="02443CCC"/>
    <w:rsid w:val="02447828"/>
    <w:rsid w:val="02467A44"/>
    <w:rsid w:val="024B505A"/>
    <w:rsid w:val="024C5E48"/>
    <w:rsid w:val="026737D7"/>
    <w:rsid w:val="028C5218"/>
    <w:rsid w:val="029F53A6"/>
    <w:rsid w:val="02A12ECC"/>
    <w:rsid w:val="02B250DA"/>
    <w:rsid w:val="02BF15A4"/>
    <w:rsid w:val="02DE7C7D"/>
    <w:rsid w:val="03157416"/>
    <w:rsid w:val="032558AB"/>
    <w:rsid w:val="03265180"/>
    <w:rsid w:val="03321D76"/>
    <w:rsid w:val="033C49A3"/>
    <w:rsid w:val="0341645D"/>
    <w:rsid w:val="035B751F"/>
    <w:rsid w:val="035D639B"/>
    <w:rsid w:val="0362070F"/>
    <w:rsid w:val="03764359"/>
    <w:rsid w:val="03773C2D"/>
    <w:rsid w:val="037E320E"/>
    <w:rsid w:val="03802AE2"/>
    <w:rsid w:val="03991DF6"/>
    <w:rsid w:val="03B86720"/>
    <w:rsid w:val="03CD627D"/>
    <w:rsid w:val="03CF3A69"/>
    <w:rsid w:val="03E40B1B"/>
    <w:rsid w:val="03F139E0"/>
    <w:rsid w:val="03FE4A84"/>
    <w:rsid w:val="040A684F"/>
    <w:rsid w:val="041B0A5C"/>
    <w:rsid w:val="041F64DD"/>
    <w:rsid w:val="042042C5"/>
    <w:rsid w:val="04216DD6"/>
    <w:rsid w:val="0442248D"/>
    <w:rsid w:val="0467268B"/>
    <w:rsid w:val="046954E0"/>
    <w:rsid w:val="04893C18"/>
    <w:rsid w:val="049327EB"/>
    <w:rsid w:val="04A47A17"/>
    <w:rsid w:val="04BC3FEE"/>
    <w:rsid w:val="04D255BF"/>
    <w:rsid w:val="04DC4690"/>
    <w:rsid w:val="04F01EE9"/>
    <w:rsid w:val="04F25C61"/>
    <w:rsid w:val="04FC6AE0"/>
    <w:rsid w:val="05094D59"/>
    <w:rsid w:val="0523406D"/>
    <w:rsid w:val="05341E77"/>
    <w:rsid w:val="05595CE0"/>
    <w:rsid w:val="05720B50"/>
    <w:rsid w:val="057C377D"/>
    <w:rsid w:val="05946D18"/>
    <w:rsid w:val="05C0366A"/>
    <w:rsid w:val="05E62919"/>
    <w:rsid w:val="05F94DCD"/>
    <w:rsid w:val="06043E9E"/>
    <w:rsid w:val="060663F2"/>
    <w:rsid w:val="061663CA"/>
    <w:rsid w:val="06224324"/>
    <w:rsid w:val="064B6D66"/>
    <w:rsid w:val="064C314F"/>
    <w:rsid w:val="065344DE"/>
    <w:rsid w:val="065D710A"/>
    <w:rsid w:val="0671705A"/>
    <w:rsid w:val="0680104B"/>
    <w:rsid w:val="06913258"/>
    <w:rsid w:val="06A109A1"/>
    <w:rsid w:val="06D51397"/>
    <w:rsid w:val="06D85DD9"/>
    <w:rsid w:val="06E15F8D"/>
    <w:rsid w:val="070457D8"/>
    <w:rsid w:val="070B300A"/>
    <w:rsid w:val="071579E5"/>
    <w:rsid w:val="0721638A"/>
    <w:rsid w:val="07287718"/>
    <w:rsid w:val="072A7934"/>
    <w:rsid w:val="073065CD"/>
    <w:rsid w:val="074402CA"/>
    <w:rsid w:val="075F6EB2"/>
    <w:rsid w:val="078A0DF5"/>
    <w:rsid w:val="078B414B"/>
    <w:rsid w:val="0790350F"/>
    <w:rsid w:val="07B74F40"/>
    <w:rsid w:val="07C136C9"/>
    <w:rsid w:val="07C80EFB"/>
    <w:rsid w:val="07DF4459"/>
    <w:rsid w:val="07F10452"/>
    <w:rsid w:val="07FA1055"/>
    <w:rsid w:val="07FD6DF7"/>
    <w:rsid w:val="080F2686"/>
    <w:rsid w:val="081E0B1B"/>
    <w:rsid w:val="08471E20"/>
    <w:rsid w:val="085A5FF7"/>
    <w:rsid w:val="085B1B32"/>
    <w:rsid w:val="0862623F"/>
    <w:rsid w:val="087D7F38"/>
    <w:rsid w:val="088272FC"/>
    <w:rsid w:val="089332B7"/>
    <w:rsid w:val="08A2799E"/>
    <w:rsid w:val="08C571E9"/>
    <w:rsid w:val="08C96CD9"/>
    <w:rsid w:val="08F215EC"/>
    <w:rsid w:val="08F651E1"/>
    <w:rsid w:val="090146C5"/>
    <w:rsid w:val="091268D2"/>
    <w:rsid w:val="091F34DF"/>
    <w:rsid w:val="09287EA3"/>
    <w:rsid w:val="09296E41"/>
    <w:rsid w:val="09304FAA"/>
    <w:rsid w:val="09336848"/>
    <w:rsid w:val="093C56FD"/>
    <w:rsid w:val="09410F65"/>
    <w:rsid w:val="0963712E"/>
    <w:rsid w:val="0972111F"/>
    <w:rsid w:val="09931225"/>
    <w:rsid w:val="099A2423"/>
    <w:rsid w:val="09CB5382"/>
    <w:rsid w:val="09CF47C3"/>
    <w:rsid w:val="09D26061"/>
    <w:rsid w:val="09E0252C"/>
    <w:rsid w:val="09FC6C3A"/>
    <w:rsid w:val="0A333279"/>
    <w:rsid w:val="0A3C34DB"/>
    <w:rsid w:val="0A486323"/>
    <w:rsid w:val="0A5C3C13"/>
    <w:rsid w:val="0A6A629A"/>
    <w:rsid w:val="0A762E91"/>
    <w:rsid w:val="0AAA2B3A"/>
    <w:rsid w:val="0AAA48E8"/>
    <w:rsid w:val="0AB37C41"/>
    <w:rsid w:val="0AB87005"/>
    <w:rsid w:val="0ABA2D7D"/>
    <w:rsid w:val="0ACE4A7B"/>
    <w:rsid w:val="0AD16319"/>
    <w:rsid w:val="0ADB7197"/>
    <w:rsid w:val="0ADD081A"/>
    <w:rsid w:val="0AEA1189"/>
    <w:rsid w:val="0B043FF8"/>
    <w:rsid w:val="0B100BEF"/>
    <w:rsid w:val="0B156206"/>
    <w:rsid w:val="0B41349E"/>
    <w:rsid w:val="0B536D2E"/>
    <w:rsid w:val="0B5C5BE2"/>
    <w:rsid w:val="0B901D30"/>
    <w:rsid w:val="0BA80E28"/>
    <w:rsid w:val="0BAD643E"/>
    <w:rsid w:val="0BAF7C14"/>
    <w:rsid w:val="0BCA5242"/>
    <w:rsid w:val="0BF16E09"/>
    <w:rsid w:val="0BF57395"/>
    <w:rsid w:val="0C0F0EA7"/>
    <w:rsid w:val="0C152235"/>
    <w:rsid w:val="0C203675"/>
    <w:rsid w:val="0C214E95"/>
    <w:rsid w:val="0C232BA4"/>
    <w:rsid w:val="0C2F1549"/>
    <w:rsid w:val="0C3152C1"/>
    <w:rsid w:val="0C3504B5"/>
    <w:rsid w:val="0C3B6140"/>
    <w:rsid w:val="0C430B50"/>
    <w:rsid w:val="0C4843B9"/>
    <w:rsid w:val="0C5B0590"/>
    <w:rsid w:val="0C601702"/>
    <w:rsid w:val="0C605BA6"/>
    <w:rsid w:val="0C684A5B"/>
    <w:rsid w:val="0C801DA5"/>
    <w:rsid w:val="0C8C699B"/>
    <w:rsid w:val="0C923886"/>
    <w:rsid w:val="0CA84E57"/>
    <w:rsid w:val="0CAE6912"/>
    <w:rsid w:val="0CB50187"/>
    <w:rsid w:val="0CCF6888"/>
    <w:rsid w:val="0CF06F2A"/>
    <w:rsid w:val="0CFB767D"/>
    <w:rsid w:val="0CFC5594"/>
    <w:rsid w:val="0D005C6E"/>
    <w:rsid w:val="0D074274"/>
    <w:rsid w:val="0D0C3638"/>
    <w:rsid w:val="0D110C4F"/>
    <w:rsid w:val="0D2248CA"/>
    <w:rsid w:val="0D562B05"/>
    <w:rsid w:val="0D5F5E5E"/>
    <w:rsid w:val="0D721847"/>
    <w:rsid w:val="0D7D0092"/>
    <w:rsid w:val="0D82437D"/>
    <w:rsid w:val="0D944959"/>
    <w:rsid w:val="0DB31D06"/>
    <w:rsid w:val="0DB37F58"/>
    <w:rsid w:val="0DC10DA5"/>
    <w:rsid w:val="0DCC4856"/>
    <w:rsid w:val="0DD95C10"/>
    <w:rsid w:val="0DDE29C2"/>
    <w:rsid w:val="0DFE11D3"/>
    <w:rsid w:val="0E0F33E0"/>
    <w:rsid w:val="0E10604C"/>
    <w:rsid w:val="0E1E1875"/>
    <w:rsid w:val="0E2F3A82"/>
    <w:rsid w:val="0E3A41D5"/>
    <w:rsid w:val="0E3F3599"/>
    <w:rsid w:val="0E4013EB"/>
    <w:rsid w:val="0E4532A6"/>
    <w:rsid w:val="0E4768C0"/>
    <w:rsid w:val="0E5434E9"/>
    <w:rsid w:val="0E6574A4"/>
    <w:rsid w:val="0E925714"/>
    <w:rsid w:val="0E952805"/>
    <w:rsid w:val="0E96765D"/>
    <w:rsid w:val="0E99714E"/>
    <w:rsid w:val="0EBC4A82"/>
    <w:rsid w:val="0EC266A4"/>
    <w:rsid w:val="0ECA5559"/>
    <w:rsid w:val="0ED14B39"/>
    <w:rsid w:val="0ED85EC8"/>
    <w:rsid w:val="0F026AA1"/>
    <w:rsid w:val="0F031129"/>
    <w:rsid w:val="0F0A004B"/>
    <w:rsid w:val="0F225395"/>
    <w:rsid w:val="0F230706"/>
    <w:rsid w:val="0F493130"/>
    <w:rsid w:val="0F515C7A"/>
    <w:rsid w:val="0F5911E5"/>
    <w:rsid w:val="0F6C4862"/>
    <w:rsid w:val="0FAC4C5F"/>
    <w:rsid w:val="0FB35FED"/>
    <w:rsid w:val="0FB6788B"/>
    <w:rsid w:val="0FB75ADD"/>
    <w:rsid w:val="0FBC7598"/>
    <w:rsid w:val="0FC24482"/>
    <w:rsid w:val="0FC95811"/>
    <w:rsid w:val="0FCE2C6E"/>
    <w:rsid w:val="0FD22C29"/>
    <w:rsid w:val="0FF90AED"/>
    <w:rsid w:val="0FFF7130"/>
    <w:rsid w:val="100920B1"/>
    <w:rsid w:val="1010343F"/>
    <w:rsid w:val="101747CE"/>
    <w:rsid w:val="101A42BE"/>
    <w:rsid w:val="101E3DAE"/>
    <w:rsid w:val="103A226A"/>
    <w:rsid w:val="104A4BA3"/>
    <w:rsid w:val="107514F4"/>
    <w:rsid w:val="10757746"/>
    <w:rsid w:val="107E2A9F"/>
    <w:rsid w:val="108C51BC"/>
    <w:rsid w:val="108F6A5A"/>
    <w:rsid w:val="109329DB"/>
    <w:rsid w:val="109E5727"/>
    <w:rsid w:val="10A43CE3"/>
    <w:rsid w:val="10B22749"/>
    <w:rsid w:val="10EC0872"/>
    <w:rsid w:val="110C1E59"/>
    <w:rsid w:val="110F36F7"/>
    <w:rsid w:val="111156C1"/>
    <w:rsid w:val="11140D0D"/>
    <w:rsid w:val="11274EE5"/>
    <w:rsid w:val="11335637"/>
    <w:rsid w:val="1134315E"/>
    <w:rsid w:val="114A0BD3"/>
    <w:rsid w:val="11621A79"/>
    <w:rsid w:val="11665A0D"/>
    <w:rsid w:val="116C28F7"/>
    <w:rsid w:val="116F23E8"/>
    <w:rsid w:val="117F14CD"/>
    <w:rsid w:val="11867E5D"/>
    <w:rsid w:val="119E1487"/>
    <w:rsid w:val="11A93B4C"/>
    <w:rsid w:val="11B60016"/>
    <w:rsid w:val="11DF131B"/>
    <w:rsid w:val="120314AE"/>
    <w:rsid w:val="12343757"/>
    <w:rsid w:val="124B075F"/>
    <w:rsid w:val="1255782F"/>
    <w:rsid w:val="125A6BF4"/>
    <w:rsid w:val="125C6E10"/>
    <w:rsid w:val="126637EB"/>
    <w:rsid w:val="126F08F1"/>
    <w:rsid w:val="12771554"/>
    <w:rsid w:val="128C0992"/>
    <w:rsid w:val="1299596E"/>
    <w:rsid w:val="12A020CC"/>
    <w:rsid w:val="12A762DD"/>
    <w:rsid w:val="12BC340B"/>
    <w:rsid w:val="12CD386A"/>
    <w:rsid w:val="12DB7D35"/>
    <w:rsid w:val="12E32EDE"/>
    <w:rsid w:val="12E67D1F"/>
    <w:rsid w:val="12ED7A68"/>
    <w:rsid w:val="12FB4D13"/>
    <w:rsid w:val="130B4C68"/>
    <w:rsid w:val="13113D52"/>
    <w:rsid w:val="132A0CBC"/>
    <w:rsid w:val="13637D2A"/>
    <w:rsid w:val="136F6FB6"/>
    <w:rsid w:val="137B5074"/>
    <w:rsid w:val="13893C35"/>
    <w:rsid w:val="138A5A29"/>
    <w:rsid w:val="138E4DA7"/>
    <w:rsid w:val="13C92283"/>
    <w:rsid w:val="13D749A0"/>
    <w:rsid w:val="13E323A5"/>
    <w:rsid w:val="13EF4B3F"/>
    <w:rsid w:val="14013AD3"/>
    <w:rsid w:val="14074B59"/>
    <w:rsid w:val="14092680"/>
    <w:rsid w:val="14237BE5"/>
    <w:rsid w:val="1424570B"/>
    <w:rsid w:val="142851FC"/>
    <w:rsid w:val="145F6743"/>
    <w:rsid w:val="147E306D"/>
    <w:rsid w:val="148368D6"/>
    <w:rsid w:val="148D1503"/>
    <w:rsid w:val="149E0ABD"/>
    <w:rsid w:val="14AC3033"/>
    <w:rsid w:val="14C50C9C"/>
    <w:rsid w:val="14C91E0F"/>
    <w:rsid w:val="14CF1B1B"/>
    <w:rsid w:val="14EF1875"/>
    <w:rsid w:val="14FE7D0A"/>
    <w:rsid w:val="1525173B"/>
    <w:rsid w:val="15316296"/>
    <w:rsid w:val="15515796"/>
    <w:rsid w:val="15783F61"/>
    <w:rsid w:val="159E329B"/>
    <w:rsid w:val="15A4176F"/>
    <w:rsid w:val="15A959CF"/>
    <w:rsid w:val="15B50D11"/>
    <w:rsid w:val="15B77EBD"/>
    <w:rsid w:val="15BB3E4D"/>
    <w:rsid w:val="15D24D4D"/>
    <w:rsid w:val="15E72E94"/>
    <w:rsid w:val="15E769F0"/>
    <w:rsid w:val="16117F11"/>
    <w:rsid w:val="1613309D"/>
    <w:rsid w:val="16210154"/>
    <w:rsid w:val="162B7203"/>
    <w:rsid w:val="16377978"/>
    <w:rsid w:val="16612C47"/>
    <w:rsid w:val="167B560E"/>
    <w:rsid w:val="16BE1E47"/>
    <w:rsid w:val="1720665E"/>
    <w:rsid w:val="172577D0"/>
    <w:rsid w:val="172872C1"/>
    <w:rsid w:val="172F68A1"/>
    <w:rsid w:val="173405AB"/>
    <w:rsid w:val="174727ED"/>
    <w:rsid w:val="17914E66"/>
    <w:rsid w:val="17925102"/>
    <w:rsid w:val="17A728DB"/>
    <w:rsid w:val="17B46DA6"/>
    <w:rsid w:val="17DB07D7"/>
    <w:rsid w:val="17E92EF4"/>
    <w:rsid w:val="18133ACD"/>
    <w:rsid w:val="1844637C"/>
    <w:rsid w:val="1849373C"/>
    <w:rsid w:val="18495C6A"/>
    <w:rsid w:val="18585984"/>
    <w:rsid w:val="187C78C4"/>
    <w:rsid w:val="187F1162"/>
    <w:rsid w:val="18807FFC"/>
    <w:rsid w:val="189E3CDE"/>
    <w:rsid w:val="18A60DE5"/>
    <w:rsid w:val="18BA2933"/>
    <w:rsid w:val="18C33745"/>
    <w:rsid w:val="18CC5CBE"/>
    <w:rsid w:val="18D70F9E"/>
    <w:rsid w:val="18D771F0"/>
    <w:rsid w:val="18EE2DF4"/>
    <w:rsid w:val="18FA3E5B"/>
    <w:rsid w:val="192166BD"/>
    <w:rsid w:val="193A152D"/>
    <w:rsid w:val="194303E2"/>
    <w:rsid w:val="195720DF"/>
    <w:rsid w:val="196C1720"/>
    <w:rsid w:val="196C2483"/>
    <w:rsid w:val="197E141A"/>
    <w:rsid w:val="19853F2F"/>
    <w:rsid w:val="199D251F"/>
    <w:rsid w:val="19E25E4D"/>
    <w:rsid w:val="19E33973"/>
    <w:rsid w:val="19E35721"/>
    <w:rsid w:val="1A0062D3"/>
    <w:rsid w:val="1A0E6C42"/>
    <w:rsid w:val="1A11228E"/>
    <w:rsid w:val="1A2E1092"/>
    <w:rsid w:val="1A5F2FF9"/>
    <w:rsid w:val="1A7647E7"/>
    <w:rsid w:val="1A7F5449"/>
    <w:rsid w:val="1A893699"/>
    <w:rsid w:val="1A975A4B"/>
    <w:rsid w:val="1AA71539"/>
    <w:rsid w:val="1AAC0209"/>
    <w:rsid w:val="1AAE5D2F"/>
    <w:rsid w:val="1AB84DFF"/>
    <w:rsid w:val="1AB86BAD"/>
    <w:rsid w:val="1AD212A8"/>
    <w:rsid w:val="1AD31C39"/>
    <w:rsid w:val="1AEF6A73"/>
    <w:rsid w:val="1B0D17E8"/>
    <w:rsid w:val="1B141319"/>
    <w:rsid w:val="1B281F85"/>
    <w:rsid w:val="1B333503"/>
    <w:rsid w:val="1B3950CA"/>
    <w:rsid w:val="1B46065D"/>
    <w:rsid w:val="1B4A3CA9"/>
    <w:rsid w:val="1B55264E"/>
    <w:rsid w:val="1B644941"/>
    <w:rsid w:val="1B682381"/>
    <w:rsid w:val="1B7F1217"/>
    <w:rsid w:val="1B886580"/>
    <w:rsid w:val="1B8A679C"/>
    <w:rsid w:val="1B8B05F0"/>
    <w:rsid w:val="1B8C2514"/>
    <w:rsid w:val="1B920FD2"/>
    <w:rsid w:val="1B996667"/>
    <w:rsid w:val="1B9C027D"/>
    <w:rsid w:val="1BA809D0"/>
    <w:rsid w:val="1BAD238D"/>
    <w:rsid w:val="1BD01CD5"/>
    <w:rsid w:val="1BD60341"/>
    <w:rsid w:val="1BD9502D"/>
    <w:rsid w:val="1BFF1492"/>
    <w:rsid w:val="1C00080C"/>
    <w:rsid w:val="1C314E69"/>
    <w:rsid w:val="1C422BD3"/>
    <w:rsid w:val="1C427076"/>
    <w:rsid w:val="1C4E0CFD"/>
    <w:rsid w:val="1C4E77C9"/>
    <w:rsid w:val="1C6F14EE"/>
    <w:rsid w:val="1C812B5C"/>
    <w:rsid w:val="1C972ECE"/>
    <w:rsid w:val="1C9B0535"/>
    <w:rsid w:val="1CEE2D5A"/>
    <w:rsid w:val="1CF00880"/>
    <w:rsid w:val="1CFD4D4B"/>
    <w:rsid w:val="1D152095"/>
    <w:rsid w:val="1D187DD7"/>
    <w:rsid w:val="1D24052A"/>
    <w:rsid w:val="1D2F4193"/>
    <w:rsid w:val="1D486DD5"/>
    <w:rsid w:val="1D750D86"/>
    <w:rsid w:val="1D772D50"/>
    <w:rsid w:val="1D8A2A83"/>
    <w:rsid w:val="1D9F5E03"/>
    <w:rsid w:val="1DA63635"/>
    <w:rsid w:val="1DC046F7"/>
    <w:rsid w:val="1DC7696E"/>
    <w:rsid w:val="1DCA10D2"/>
    <w:rsid w:val="1DE81558"/>
    <w:rsid w:val="1DF3687A"/>
    <w:rsid w:val="1DFF5378"/>
    <w:rsid w:val="1E002D45"/>
    <w:rsid w:val="1E05035C"/>
    <w:rsid w:val="1E175127"/>
    <w:rsid w:val="1E3B1FCF"/>
    <w:rsid w:val="1E873CC8"/>
    <w:rsid w:val="1E894AE9"/>
    <w:rsid w:val="1E962052"/>
    <w:rsid w:val="1EA91422"/>
    <w:rsid w:val="1EB4768C"/>
    <w:rsid w:val="1EB678A8"/>
    <w:rsid w:val="1EBD29E4"/>
    <w:rsid w:val="1EC91389"/>
    <w:rsid w:val="1F01510E"/>
    <w:rsid w:val="1F1620F4"/>
    <w:rsid w:val="1F1A244F"/>
    <w:rsid w:val="1F1A3993"/>
    <w:rsid w:val="1F2B3DF2"/>
    <w:rsid w:val="1F372A70"/>
    <w:rsid w:val="1F486752"/>
    <w:rsid w:val="1F51312D"/>
    <w:rsid w:val="1F706947"/>
    <w:rsid w:val="1F722D57"/>
    <w:rsid w:val="1FAA1080"/>
    <w:rsid w:val="1FAF3A62"/>
    <w:rsid w:val="1FB57B5F"/>
    <w:rsid w:val="1FB72576"/>
    <w:rsid w:val="1FD64F56"/>
    <w:rsid w:val="1FF40688"/>
    <w:rsid w:val="200A3A07"/>
    <w:rsid w:val="200C59D1"/>
    <w:rsid w:val="20256A93"/>
    <w:rsid w:val="20514B82"/>
    <w:rsid w:val="20743577"/>
    <w:rsid w:val="20943C19"/>
    <w:rsid w:val="20A420AE"/>
    <w:rsid w:val="20A976C4"/>
    <w:rsid w:val="20B35E4D"/>
    <w:rsid w:val="20B54B1F"/>
    <w:rsid w:val="20C26D90"/>
    <w:rsid w:val="20FC3C98"/>
    <w:rsid w:val="21022930"/>
    <w:rsid w:val="212A1E87"/>
    <w:rsid w:val="212B00D9"/>
    <w:rsid w:val="214B077B"/>
    <w:rsid w:val="214E4081"/>
    <w:rsid w:val="215533A8"/>
    <w:rsid w:val="21621621"/>
    <w:rsid w:val="21701F90"/>
    <w:rsid w:val="217952E8"/>
    <w:rsid w:val="217A4BBD"/>
    <w:rsid w:val="217C26E3"/>
    <w:rsid w:val="218614E9"/>
    <w:rsid w:val="218872DA"/>
    <w:rsid w:val="21983295"/>
    <w:rsid w:val="219C2D85"/>
    <w:rsid w:val="21AC3BEE"/>
    <w:rsid w:val="21BA6329"/>
    <w:rsid w:val="21CD6B24"/>
    <w:rsid w:val="21CF315A"/>
    <w:rsid w:val="21D40771"/>
    <w:rsid w:val="21F032CF"/>
    <w:rsid w:val="22031056"/>
    <w:rsid w:val="220C5E7A"/>
    <w:rsid w:val="22205764"/>
    <w:rsid w:val="222114DC"/>
    <w:rsid w:val="222A213F"/>
    <w:rsid w:val="222C235B"/>
    <w:rsid w:val="223B2916"/>
    <w:rsid w:val="2259234A"/>
    <w:rsid w:val="225C2514"/>
    <w:rsid w:val="22614F44"/>
    <w:rsid w:val="227C782C"/>
    <w:rsid w:val="22A30143"/>
    <w:rsid w:val="22A5210D"/>
    <w:rsid w:val="22B42350"/>
    <w:rsid w:val="22C76548"/>
    <w:rsid w:val="22EC0514"/>
    <w:rsid w:val="22F3095B"/>
    <w:rsid w:val="23360FB7"/>
    <w:rsid w:val="23426EE9"/>
    <w:rsid w:val="23614286"/>
    <w:rsid w:val="236A2761"/>
    <w:rsid w:val="23721DF1"/>
    <w:rsid w:val="237C10C0"/>
    <w:rsid w:val="23843AD1"/>
    <w:rsid w:val="2389558B"/>
    <w:rsid w:val="239006C7"/>
    <w:rsid w:val="23955CDE"/>
    <w:rsid w:val="239C2ADB"/>
    <w:rsid w:val="23DE7685"/>
    <w:rsid w:val="24066BDB"/>
    <w:rsid w:val="24087994"/>
    <w:rsid w:val="241E2177"/>
    <w:rsid w:val="24207C9D"/>
    <w:rsid w:val="243948BB"/>
    <w:rsid w:val="24466FD8"/>
    <w:rsid w:val="24572F93"/>
    <w:rsid w:val="245A6346"/>
    <w:rsid w:val="246A0F18"/>
    <w:rsid w:val="247F739F"/>
    <w:rsid w:val="248D10AB"/>
    <w:rsid w:val="249944D1"/>
    <w:rsid w:val="24C26784"/>
    <w:rsid w:val="24C4748D"/>
    <w:rsid w:val="24C50845"/>
    <w:rsid w:val="25090731"/>
    <w:rsid w:val="2524556B"/>
    <w:rsid w:val="252B4B4C"/>
    <w:rsid w:val="252C41B1"/>
    <w:rsid w:val="2533755C"/>
    <w:rsid w:val="254479BB"/>
    <w:rsid w:val="254D6E53"/>
    <w:rsid w:val="25520CCD"/>
    <w:rsid w:val="25A22934"/>
    <w:rsid w:val="25B06DFF"/>
    <w:rsid w:val="25CB4399"/>
    <w:rsid w:val="25E044AE"/>
    <w:rsid w:val="25F27417"/>
    <w:rsid w:val="25F50CB6"/>
    <w:rsid w:val="262B46D7"/>
    <w:rsid w:val="26321F0A"/>
    <w:rsid w:val="26437C73"/>
    <w:rsid w:val="2661634B"/>
    <w:rsid w:val="2665408D"/>
    <w:rsid w:val="2677273A"/>
    <w:rsid w:val="267E514F"/>
    <w:rsid w:val="26881B2A"/>
    <w:rsid w:val="268D0EEE"/>
    <w:rsid w:val="268F2EB8"/>
    <w:rsid w:val="26AF258B"/>
    <w:rsid w:val="26B3342C"/>
    <w:rsid w:val="26B648E9"/>
    <w:rsid w:val="26B96187"/>
    <w:rsid w:val="26D44D6F"/>
    <w:rsid w:val="26ED2866"/>
    <w:rsid w:val="26F96584"/>
    <w:rsid w:val="2705317A"/>
    <w:rsid w:val="270A253F"/>
    <w:rsid w:val="27133AE9"/>
    <w:rsid w:val="27135897"/>
    <w:rsid w:val="27257379"/>
    <w:rsid w:val="27351CB2"/>
    <w:rsid w:val="274F0899"/>
    <w:rsid w:val="27545EB0"/>
    <w:rsid w:val="275C6038"/>
    <w:rsid w:val="277B343D"/>
    <w:rsid w:val="278E4F1E"/>
    <w:rsid w:val="2790513A"/>
    <w:rsid w:val="27BF4B84"/>
    <w:rsid w:val="27DF39CB"/>
    <w:rsid w:val="27E160ED"/>
    <w:rsid w:val="27E70AD2"/>
    <w:rsid w:val="27E92A9C"/>
    <w:rsid w:val="27F03E2A"/>
    <w:rsid w:val="27F51441"/>
    <w:rsid w:val="27F531EF"/>
    <w:rsid w:val="28203476"/>
    <w:rsid w:val="28243AD4"/>
    <w:rsid w:val="28365C04"/>
    <w:rsid w:val="28667C49"/>
    <w:rsid w:val="286D0FD7"/>
    <w:rsid w:val="287E31E4"/>
    <w:rsid w:val="288E0F4E"/>
    <w:rsid w:val="289522DC"/>
    <w:rsid w:val="28AF15F0"/>
    <w:rsid w:val="28D04EA7"/>
    <w:rsid w:val="28D9666D"/>
    <w:rsid w:val="28DB0637"/>
    <w:rsid w:val="28E15521"/>
    <w:rsid w:val="28EC1992"/>
    <w:rsid w:val="28F45446"/>
    <w:rsid w:val="2907142C"/>
    <w:rsid w:val="291D29FD"/>
    <w:rsid w:val="29211DC2"/>
    <w:rsid w:val="292A511A"/>
    <w:rsid w:val="29564161"/>
    <w:rsid w:val="296C7758"/>
    <w:rsid w:val="29883BEF"/>
    <w:rsid w:val="299F1664"/>
    <w:rsid w:val="29BD1AEA"/>
    <w:rsid w:val="29C015DB"/>
    <w:rsid w:val="29C208F0"/>
    <w:rsid w:val="2A067935"/>
    <w:rsid w:val="2A247DBB"/>
    <w:rsid w:val="2A314286"/>
    <w:rsid w:val="2A41096D"/>
    <w:rsid w:val="2A570191"/>
    <w:rsid w:val="2A571F3F"/>
    <w:rsid w:val="2A5A37DD"/>
    <w:rsid w:val="2AA8279A"/>
    <w:rsid w:val="2ABE1FBE"/>
    <w:rsid w:val="2AC60E73"/>
    <w:rsid w:val="2AF552B4"/>
    <w:rsid w:val="2B006133"/>
    <w:rsid w:val="2B0D0850"/>
    <w:rsid w:val="2B0D4CF3"/>
    <w:rsid w:val="2B345DDC"/>
    <w:rsid w:val="2B365FF8"/>
    <w:rsid w:val="2B366200"/>
    <w:rsid w:val="2B3B53BD"/>
    <w:rsid w:val="2B5D17D7"/>
    <w:rsid w:val="2B5E72FD"/>
    <w:rsid w:val="2B633ADC"/>
    <w:rsid w:val="2B82123D"/>
    <w:rsid w:val="2B9872F8"/>
    <w:rsid w:val="2BDD0222"/>
    <w:rsid w:val="2BEC66B7"/>
    <w:rsid w:val="2BED28C7"/>
    <w:rsid w:val="2BFC02D1"/>
    <w:rsid w:val="2C0719F0"/>
    <w:rsid w:val="2C077995"/>
    <w:rsid w:val="2C1F6654"/>
    <w:rsid w:val="2C2E7758"/>
    <w:rsid w:val="2C3F0EDD"/>
    <w:rsid w:val="2C615316"/>
    <w:rsid w:val="2C657298"/>
    <w:rsid w:val="2C70553A"/>
    <w:rsid w:val="2C7D1A05"/>
    <w:rsid w:val="2C7F39CF"/>
    <w:rsid w:val="2C8C39F6"/>
    <w:rsid w:val="2CAD4098"/>
    <w:rsid w:val="2CE35D0C"/>
    <w:rsid w:val="2D0143E4"/>
    <w:rsid w:val="2D0619FA"/>
    <w:rsid w:val="2D0637A8"/>
    <w:rsid w:val="2D0A363A"/>
    <w:rsid w:val="2D2D51D9"/>
    <w:rsid w:val="2D2F71A3"/>
    <w:rsid w:val="2D411C4E"/>
    <w:rsid w:val="2D4349FC"/>
    <w:rsid w:val="2D435A68"/>
    <w:rsid w:val="2D450775"/>
    <w:rsid w:val="2D4B685B"/>
    <w:rsid w:val="2D4C1B03"/>
    <w:rsid w:val="2D4F33A1"/>
    <w:rsid w:val="2D686211"/>
    <w:rsid w:val="2D6D1A79"/>
    <w:rsid w:val="2D727090"/>
    <w:rsid w:val="2D8A43D9"/>
    <w:rsid w:val="2D905576"/>
    <w:rsid w:val="2D986AF6"/>
    <w:rsid w:val="2DA31D38"/>
    <w:rsid w:val="2DA336ED"/>
    <w:rsid w:val="2DAA05D8"/>
    <w:rsid w:val="2DC85380"/>
    <w:rsid w:val="2DCA2A28"/>
    <w:rsid w:val="2DCE1B55"/>
    <w:rsid w:val="2DE25FC3"/>
    <w:rsid w:val="2DFF6B75"/>
    <w:rsid w:val="2E132621"/>
    <w:rsid w:val="2E216586"/>
    <w:rsid w:val="2E254102"/>
    <w:rsid w:val="2E3569FF"/>
    <w:rsid w:val="2E444588"/>
    <w:rsid w:val="2E494294"/>
    <w:rsid w:val="2E552C39"/>
    <w:rsid w:val="2E755089"/>
    <w:rsid w:val="2E7F1A64"/>
    <w:rsid w:val="2E813A2E"/>
    <w:rsid w:val="2E8B21B7"/>
    <w:rsid w:val="2E912571"/>
    <w:rsid w:val="2E974057"/>
    <w:rsid w:val="2E9F315C"/>
    <w:rsid w:val="2EA65243"/>
    <w:rsid w:val="2EA9281C"/>
    <w:rsid w:val="2EB37960"/>
    <w:rsid w:val="2EC102CF"/>
    <w:rsid w:val="2F041F69"/>
    <w:rsid w:val="2F0B154A"/>
    <w:rsid w:val="2F0E4B96"/>
    <w:rsid w:val="2F120B2A"/>
    <w:rsid w:val="2F1A353B"/>
    <w:rsid w:val="2F1F6DA3"/>
    <w:rsid w:val="2F2E38F9"/>
    <w:rsid w:val="2F2F5238"/>
    <w:rsid w:val="2F436F36"/>
    <w:rsid w:val="2F452CAE"/>
    <w:rsid w:val="2F6649D2"/>
    <w:rsid w:val="2F807842"/>
    <w:rsid w:val="2FA07EE4"/>
    <w:rsid w:val="2FA15A0A"/>
    <w:rsid w:val="2FA379D4"/>
    <w:rsid w:val="2FB27C17"/>
    <w:rsid w:val="2FB90FA6"/>
    <w:rsid w:val="2FBB4D1E"/>
    <w:rsid w:val="2FD45DE0"/>
    <w:rsid w:val="2FF3270A"/>
    <w:rsid w:val="2FFD70E5"/>
    <w:rsid w:val="30072EFD"/>
    <w:rsid w:val="30085A89"/>
    <w:rsid w:val="30135523"/>
    <w:rsid w:val="3014442E"/>
    <w:rsid w:val="301729F2"/>
    <w:rsid w:val="301B57BD"/>
    <w:rsid w:val="30347DA4"/>
    <w:rsid w:val="3046275B"/>
    <w:rsid w:val="305331A8"/>
    <w:rsid w:val="30711068"/>
    <w:rsid w:val="307F7AFA"/>
    <w:rsid w:val="309A2B85"/>
    <w:rsid w:val="30B07949"/>
    <w:rsid w:val="30D42A97"/>
    <w:rsid w:val="30E20088"/>
    <w:rsid w:val="310D475F"/>
    <w:rsid w:val="31102E48"/>
    <w:rsid w:val="31150FA9"/>
    <w:rsid w:val="311A0CF9"/>
    <w:rsid w:val="311A5A74"/>
    <w:rsid w:val="311D7312"/>
    <w:rsid w:val="312468F3"/>
    <w:rsid w:val="313308E4"/>
    <w:rsid w:val="31534978"/>
    <w:rsid w:val="315F6EB9"/>
    <w:rsid w:val="31653193"/>
    <w:rsid w:val="31927D00"/>
    <w:rsid w:val="31BC6B2B"/>
    <w:rsid w:val="31C53C32"/>
    <w:rsid w:val="31D200FD"/>
    <w:rsid w:val="31D8203D"/>
    <w:rsid w:val="31D976DD"/>
    <w:rsid w:val="31E43CC1"/>
    <w:rsid w:val="31E87920"/>
    <w:rsid w:val="31FE0EF2"/>
    <w:rsid w:val="32132BEF"/>
    <w:rsid w:val="32261770"/>
    <w:rsid w:val="322C3CB1"/>
    <w:rsid w:val="325B7E6C"/>
    <w:rsid w:val="325C3658"/>
    <w:rsid w:val="32700042"/>
    <w:rsid w:val="32780CA4"/>
    <w:rsid w:val="32816E64"/>
    <w:rsid w:val="3281717C"/>
    <w:rsid w:val="32AA2E28"/>
    <w:rsid w:val="32B85545"/>
    <w:rsid w:val="32DA54BB"/>
    <w:rsid w:val="32DD144F"/>
    <w:rsid w:val="32FB17B4"/>
    <w:rsid w:val="33072CF4"/>
    <w:rsid w:val="3308777A"/>
    <w:rsid w:val="3317670F"/>
    <w:rsid w:val="331C1F78"/>
    <w:rsid w:val="332C482A"/>
    <w:rsid w:val="333948D8"/>
    <w:rsid w:val="336456CD"/>
    <w:rsid w:val="33680D19"/>
    <w:rsid w:val="339715FE"/>
    <w:rsid w:val="33A1247D"/>
    <w:rsid w:val="33A51F6D"/>
    <w:rsid w:val="33A663C1"/>
    <w:rsid w:val="33AE5013"/>
    <w:rsid w:val="33B850E7"/>
    <w:rsid w:val="33E83C08"/>
    <w:rsid w:val="33EA7980"/>
    <w:rsid w:val="33EF143A"/>
    <w:rsid w:val="33F94067"/>
    <w:rsid w:val="341113B0"/>
    <w:rsid w:val="34130C0E"/>
    <w:rsid w:val="341F5F58"/>
    <w:rsid w:val="34403A44"/>
    <w:rsid w:val="345B1148"/>
    <w:rsid w:val="34675474"/>
    <w:rsid w:val="34677222"/>
    <w:rsid w:val="346E05B1"/>
    <w:rsid w:val="349260CF"/>
    <w:rsid w:val="349D6F1D"/>
    <w:rsid w:val="34A42225"/>
    <w:rsid w:val="34BA15FF"/>
    <w:rsid w:val="34D60535"/>
    <w:rsid w:val="34E61A2F"/>
    <w:rsid w:val="34E84E24"/>
    <w:rsid w:val="34F52A80"/>
    <w:rsid w:val="35020CF9"/>
    <w:rsid w:val="350727B3"/>
    <w:rsid w:val="35150A2C"/>
    <w:rsid w:val="35260E8C"/>
    <w:rsid w:val="352670DE"/>
    <w:rsid w:val="352D221A"/>
    <w:rsid w:val="35335357"/>
    <w:rsid w:val="35352E7D"/>
    <w:rsid w:val="353D61D5"/>
    <w:rsid w:val="353E4427"/>
    <w:rsid w:val="354E2190"/>
    <w:rsid w:val="35586B6B"/>
    <w:rsid w:val="355A1FDF"/>
    <w:rsid w:val="355F7EFA"/>
    <w:rsid w:val="357C0AAC"/>
    <w:rsid w:val="357C7F4E"/>
    <w:rsid w:val="358643DE"/>
    <w:rsid w:val="3592207D"/>
    <w:rsid w:val="35981787"/>
    <w:rsid w:val="35A3428A"/>
    <w:rsid w:val="35AB75E3"/>
    <w:rsid w:val="35BF159A"/>
    <w:rsid w:val="35C42453"/>
    <w:rsid w:val="35DE2B99"/>
    <w:rsid w:val="35EA3ADE"/>
    <w:rsid w:val="35ED7BFB"/>
    <w:rsid w:val="35EF4E1B"/>
    <w:rsid w:val="35F76384"/>
    <w:rsid w:val="35FB0615"/>
    <w:rsid w:val="35FB40C6"/>
    <w:rsid w:val="361E6007"/>
    <w:rsid w:val="363C648D"/>
    <w:rsid w:val="363D46DF"/>
    <w:rsid w:val="364041CF"/>
    <w:rsid w:val="36415851"/>
    <w:rsid w:val="36445757"/>
    <w:rsid w:val="365B387E"/>
    <w:rsid w:val="365E28A7"/>
    <w:rsid w:val="366C4FC4"/>
    <w:rsid w:val="366D6047"/>
    <w:rsid w:val="36716136"/>
    <w:rsid w:val="3676374D"/>
    <w:rsid w:val="3680281D"/>
    <w:rsid w:val="36962041"/>
    <w:rsid w:val="36B83D65"/>
    <w:rsid w:val="37022F00"/>
    <w:rsid w:val="3705167A"/>
    <w:rsid w:val="371511B8"/>
    <w:rsid w:val="371D62BE"/>
    <w:rsid w:val="3724764D"/>
    <w:rsid w:val="372A4537"/>
    <w:rsid w:val="3744384B"/>
    <w:rsid w:val="37465815"/>
    <w:rsid w:val="375842D9"/>
    <w:rsid w:val="375D7A2B"/>
    <w:rsid w:val="376E6B1A"/>
    <w:rsid w:val="37712166"/>
    <w:rsid w:val="378123A9"/>
    <w:rsid w:val="378D6FA0"/>
    <w:rsid w:val="37A4253C"/>
    <w:rsid w:val="37A442EA"/>
    <w:rsid w:val="37BF1123"/>
    <w:rsid w:val="37DF5322"/>
    <w:rsid w:val="37E1109A"/>
    <w:rsid w:val="37E66CE8"/>
    <w:rsid w:val="37EB2D52"/>
    <w:rsid w:val="380B6117"/>
    <w:rsid w:val="3810197F"/>
    <w:rsid w:val="38196A86"/>
    <w:rsid w:val="381979D3"/>
    <w:rsid w:val="38284F1B"/>
    <w:rsid w:val="382C4A0B"/>
    <w:rsid w:val="383438BF"/>
    <w:rsid w:val="384004B6"/>
    <w:rsid w:val="384973E2"/>
    <w:rsid w:val="38561184"/>
    <w:rsid w:val="38590920"/>
    <w:rsid w:val="38650B2B"/>
    <w:rsid w:val="386B4E07"/>
    <w:rsid w:val="38750761"/>
    <w:rsid w:val="38A10829"/>
    <w:rsid w:val="38AD71CE"/>
    <w:rsid w:val="38B14F10"/>
    <w:rsid w:val="38B22A36"/>
    <w:rsid w:val="38C22C79"/>
    <w:rsid w:val="38D26C34"/>
    <w:rsid w:val="38FE5C7B"/>
    <w:rsid w:val="390E5EBF"/>
    <w:rsid w:val="39144F66"/>
    <w:rsid w:val="39730417"/>
    <w:rsid w:val="39846181"/>
    <w:rsid w:val="39861EF9"/>
    <w:rsid w:val="399860D0"/>
    <w:rsid w:val="39A544BC"/>
    <w:rsid w:val="39A607ED"/>
    <w:rsid w:val="39D32C64"/>
    <w:rsid w:val="39DC5FBD"/>
    <w:rsid w:val="39E2653D"/>
    <w:rsid w:val="39E430C3"/>
    <w:rsid w:val="39E92488"/>
    <w:rsid w:val="39EB26A4"/>
    <w:rsid w:val="39F2758E"/>
    <w:rsid w:val="39F5243C"/>
    <w:rsid w:val="3A0021AC"/>
    <w:rsid w:val="3A39340F"/>
    <w:rsid w:val="3A7206CF"/>
    <w:rsid w:val="3A816B64"/>
    <w:rsid w:val="3A8E4BBF"/>
    <w:rsid w:val="3AA30888"/>
    <w:rsid w:val="3AAA2432"/>
    <w:rsid w:val="3ABE3914"/>
    <w:rsid w:val="3AC84793"/>
    <w:rsid w:val="3ACC6031"/>
    <w:rsid w:val="3AD273C0"/>
    <w:rsid w:val="3AE35129"/>
    <w:rsid w:val="3AE55345"/>
    <w:rsid w:val="3AEF1D20"/>
    <w:rsid w:val="3AF15A98"/>
    <w:rsid w:val="3AFB2473"/>
    <w:rsid w:val="3AFD443D"/>
    <w:rsid w:val="3B0F5F1E"/>
    <w:rsid w:val="3B245E6D"/>
    <w:rsid w:val="3B2C2F74"/>
    <w:rsid w:val="3B337E5E"/>
    <w:rsid w:val="3B443337"/>
    <w:rsid w:val="3B567FF1"/>
    <w:rsid w:val="3B6049CB"/>
    <w:rsid w:val="3B710987"/>
    <w:rsid w:val="3B733902"/>
    <w:rsid w:val="3B800BCA"/>
    <w:rsid w:val="3B8C756F"/>
    <w:rsid w:val="3B90705F"/>
    <w:rsid w:val="3BA70BAC"/>
    <w:rsid w:val="3BAC7C11"/>
    <w:rsid w:val="3BC211E2"/>
    <w:rsid w:val="3BC62A80"/>
    <w:rsid w:val="3BC9431F"/>
    <w:rsid w:val="3BE23632"/>
    <w:rsid w:val="3C0161AE"/>
    <w:rsid w:val="3C095063"/>
    <w:rsid w:val="3C2022F0"/>
    <w:rsid w:val="3C207CB3"/>
    <w:rsid w:val="3C277297"/>
    <w:rsid w:val="3C2974B3"/>
    <w:rsid w:val="3C3F0879"/>
    <w:rsid w:val="3C400249"/>
    <w:rsid w:val="3C4B742A"/>
    <w:rsid w:val="3C4D2BCC"/>
    <w:rsid w:val="3C574020"/>
    <w:rsid w:val="3C6329C5"/>
    <w:rsid w:val="3C950D47"/>
    <w:rsid w:val="3C9A5CBB"/>
    <w:rsid w:val="3CAC611A"/>
    <w:rsid w:val="3CD25455"/>
    <w:rsid w:val="3CD70236"/>
    <w:rsid w:val="3CE53DCB"/>
    <w:rsid w:val="3D0B562A"/>
    <w:rsid w:val="3D11482D"/>
    <w:rsid w:val="3D2959BD"/>
    <w:rsid w:val="3D29776B"/>
    <w:rsid w:val="3D4C3459"/>
    <w:rsid w:val="3D5567B2"/>
    <w:rsid w:val="3D583BAC"/>
    <w:rsid w:val="3D595B76"/>
    <w:rsid w:val="3D874491"/>
    <w:rsid w:val="3D8D74B5"/>
    <w:rsid w:val="3D8F0A2E"/>
    <w:rsid w:val="3DCC6348"/>
    <w:rsid w:val="3DCE20C0"/>
    <w:rsid w:val="3DD11BB1"/>
    <w:rsid w:val="3DD932F5"/>
    <w:rsid w:val="3DDC47DD"/>
    <w:rsid w:val="3DEB2C72"/>
    <w:rsid w:val="3DEC0798"/>
    <w:rsid w:val="3E106BFF"/>
    <w:rsid w:val="3E1C1AF3"/>
    <w:rsid w:val="3E214783"/>
    <w:rsid w:val="3E2C05C7"/>
    <w:rsid w:val="3E410AE4"/>
    <w:rsid w:val="3E546A69"/>
    <w:rsid w:val="3E642A25"/>
    <w:rsid w:val="3E6E4E6B"/>
    <w:rsid w:val="3E78202C"/>
    <w:rsid w:val="3E88226F"/>
    <w:rsid w:val="3E8F1850"/>
    <w:rsid w:val="3E927592"/>
    <w:rsid w:val="3E970704"/>
    <w:rsid w:val="3E974BA8"/>
    <w:rsid w:val="3E9C718F"/>
    <w:rsid w:val="3EAB2402"/>
    <w:rsid w:val="3EC20AC4"/>
    <w:rsid w:val="3ED100BA"/>
    <w:rsid w:val="3ED35DB7"/>
    <w:rsid w:val="3EE11ADE"/>
    <w:rsid w:val="3EF25FA6"/>
    <w:rsid w:val="3F022566"/>
    <w:rsid w:val="3F0A35CC"/>
    <w:rsid w:val="3F1665F9"/>
    <w:rsid w:val="3F1E00A0"/>
    <w:rsid w:val="3F2521B4"/>
    <w:rsid w:val="3F253F62"/>
    <w:rsid w:val="3F367F1D"/>
    <w:rsid w:val="3F402B4A"/>
    <w:rsid w:val="3F4168C2"/>
    <w:rsid w:val="3F44150A"/>
    <w:rsid w:val="3F473ED8"/>
    <w:rsid w:val="3F4940F4"/>
    <w:rsid w:val="3F4D7CD4"/>
    <w:rsid w:val="3F5605BF"/>
    <w:rsid w:val="3F585F31"/>
    <w:rsid w:val="3F656A54"/>
    <w:rsid w:val="3F6A7BC7"/>
    <w:rsid w:val="3F6F78D3"/>
    <w:rsid w:val="3F7722E4"/>
    <w:rsid w:val="3F7B1DD4"/>
    <w:rsid w:val="3F9E1105"/>
    <w:rsid w:val="3FA4757D"/>
    <w:rsid w:val="3FB7476E"/>
    <w:rsid w:val="3FC714BD"/>
    <w:rsid w:val="3FDD483D"/>
    <w:rsid w:val="3FEA4714"/>
    <w:rsid w:val="3FFD7F66"/>
    <w:rsid w:val="4008349B"/>
    <w:rsid w:val="400B75FC"/>
    <w:rsid w:val="4010076E"/>
    <w:rsid w:val="40181D19"/>
    <w:rsid w:val="40185875"/>
    <w:rsid w:val="401F30A7"/>
    <w:rsid w:val="4021297B"/>
    <w:rsid w:val="40295CD4"/>
    <w:rsid w:val="40555D6E"/>
    <w:rsid w:val="405C39B3"/>
    <w:rsid w:val="40703298"/>
    <w:rsid w:val="40833636"/>
    <w:rsid w:val="408D1DBF"/>
    <w:rsid w:val="409420DA"/>
    <w:rsid w:val="40B30F05"/>
    <w:rsid w:val="40C8729B"/>
    <w:rsid w:val="40CB0B39"/>
    <w:rsid w:val="40CD48B1"/>
    <w:rsid w:val="40CD665F"/>
    <w:rsid w:val="40D514AA"/>
    <w:rsid w:val="40DE170D"/>
    <w:rsid w:val="40EB1D66"/>
    <w:rsid w:val="40F2510D"/>
    <w:rsid w:val="411B3A43"/>
    <w:rsid w:val="413277CA"/>
    <w:rsid w:val="41405083"/>
    <w:rsid w:val="4157061F"/>
    <w:rsid w:val="41744D2D"/>
    <w:rsid w:val="418C0847"/>
    <w:rsid w:val="41AB4759"/>
    <w:rsid w:val="41B45A71"/>
    <w:rsid w:val="41C95079"/>
    <w:rsid w:val="41CF4659"/>
    <w:rsid w:val="41D34149"/>
    <w:rsid w:val="41DA54D8"/>
    <w:rsid w:val="42040184"/>
    <w:rsid w:val="420662CD"/>
    <w:rsid w:val="420C31B7"/>
    <w:rsid w:val="42100EF9"/>
    <w:rsid w:val="421502BE"/>
    <w:rsid w:val="42313F06"/>
    <w:rsid w:val="42470E98"/>
    <w:rsid w:val="42562684"/>
    <w:rsid w:val="425A03C6"/>
    <w:rsid w:val="42884F34"/>
    <w:rsid w:val="428E6874"/>
    <w:rsid w:val="42A14BBD"/>
    <w:rsid w:val="42CB6BCE"/>
    <w:rsid w:val="42CD0B98"/>
    <w:rsid w:val="42EA174A"/>
    <w:rsid w:val="432D09BF"/>
    <w:rsid w:val="43351583"/>
    <w:rsid w:val="43374264"/>
    <w:rsid w:val="434B7D0F"/>
    <w:rsid w:val="435272F0"/>
    <w:rsid w:val="43617533"/>
    <w:rsid w:val="43763667"/>
    <w:rsid w:val="43770B04"/>
    <w:rsid w:val="4381268E"/>
    <w:rsid w:val="43813731"/>
    <w:rsid w:val="43820D0B"/>
    <w:rsid w:val="438D657A"/>
    <w:rsid w:val="4391606A"/>
    <w:rsid w:val="439D2E88"/>
    <w:rsid w:val="43AF7095"/>
    <w:rsid w:val="43B21B3C"/>
    <w:rsid w:val="43EE12FB"/>
    <w:rsid w:val="43F65ECD"/>
    <w:rsid w:val="441D16AC"/>
    <w:rsid w:val="44222CAF"/>
    <w:rsid w:val="442A3DC9"/>
    <w:rsid w:val="44354C47"/>
    <w:rsid w:val="444625F0"/>
    <w:rsid w:val="444F55DD"/>
    <w:rsid w:val="44542A12"/>
    <w:rsid w:val="44692B43"/>
    <w:rsid w:val="446C618F"/>
    <w:rsid w:val="447137A5"/>
    <w:rsid w:val="44953938"/>
    <w:rsid w:val="44A56A8B"/>
    <w:rsid w:val="44D04970"/>
    <w:rsid w:val="44F248E6"/>
    <w:rsid w:val="44FF34A7"/>
    <w:rsid w:val="45045743"/>
    <w:rsid w:val="45246F22"/>
    <w:rsid w:val="452D1DC2"/>
    <w:rsid w:val="45356EC9"/>
    <w:rsid w:val="4568104C"/>
    <w:rsid w:val="456A75B3"/>
    <w:rsid w:val="45815C6A"/>
    <w:rsid w:val="458C4D3B"/>
    <w:rsid w:val="45905EAD"/>
    <w:rsid w:val="459C093A"/>
    <w:rsid w:val="45B1127B"/>
    <w:rsid w:val="45B1654F"/>
    <w:rsid w:val="45B92459"/>
    <w:rsid w:val="45C142B9"/>
    <w:rsid w:val="45CA13BF"/>
    <w:rsid w:val="45CC3389"/>
    <w:rsid w:val="45EE77A4"/>
    <w:rsid w:val="45F12DF0"/>
    <w:rsid w:val="461F5BAF"/>
    <w:rsid w:val="462C02CC"/>
    <w:rsid w:val="46401681"/>
    <w:rsid w:val="46496788"/>
    <w:rsid w:val="4668345C"/>
    <w:rsid w:val="4677696F"/>
    <w:rsid w:val="467B3B1C"/>
    <w:rsid w:val="46911EDD"/>
    <w:rsid w:val="46B06807"/>
    <w:rsid w:val="46B53706"/>
    <w:rsid w:val="46CC73B9"/>
    <w:rsid w:val="46D17B8D"/>
    <w:rsid w:val="46D32666"/>
    <w:rsid w:val="46D544C0"/>
    <w:rsid w:val="46DF3AAB"/>
    <w:rsid w:val="46E14C12"/>
    <w:rsid w:val="46FA2178"/>
    <w:rsid w:val="46FC1A4C"/>
    <w:rsid w:val="46FD57C4"/>
    <w:rsid w:val="470B6133"/>
    <w:rsid w:val="473311E6"/>
    <w:rsid w:val="473A35E2"/>
    <w:rsid w:val="474F593B"/>
    <w:rsid w:val="475C073D"/>
    <w:rsid w:val="475D76B0"/>
    <w:rsid w:val="476500B3"/>
    <w:rsid w:val="476870E2"/>
    <w:rsid w:val="477626C0"/>
    <w:rsid w:val="4783216D"/>
    <w:rsid w:val="4789677A"/>
    <w:rsid w:val="478F466E"/>
    <w:rsid w:val="47971775"/>
    <w:rsid w:val="47AF475B"/>
    <w:rsid w:val="47AF6ABF"/>
    <w:rsid w:val="47B71E17"/>
    <w:rsid w:val="47C36A0E"/>
    <w:rsid w:val="47C6205A"/>
    <w:rsid w:val="47D06A35"/>
    <w:rsid w:val="47D541ED"/>
    <w:rsid w:val="47E81FD1"/>
    <w:rsid w:val="47E86474"/>
    <w:rsid w:val="47ED3A8B"/>
    <w:rsid w:val="47EF15B1"/>
    <w:rsid w:val="4803505C"/>
    <w:rsid w:val="481728B6"/>
    <w:rsid w:val="48181D3F"/>
    <w:rsid w:val="481903DC"/>
    <w:rsid w:val="482E20D9"/>
    <w:rsid w:val="483B2A48"/>
    <w:rsid w:val="484511D1"/>
    <w:rsid w:val="48592ECE"/>
    <w:rsid w:val="48645AFB"/>
    <w:rsid w:val="486A50DB"/>
    <w:rsid w:val="48763A80"/>
    <w:rsid w:val="48895562"/>
    <w:rsid w:val="488E4809"/>
    <w:rsid w:val="489F2FD7"/>
    <w:rsid w:val="48A51C70"/>
    <w:rsid w:val="48B9571B"/>
    <w:rsid w:val="48BF2D31"/>
    <w:rsid w:val="49121BEA"/>
    <w:rsid w:val="491C4628"/>
    <w:rsid w:val="49210164"/>
    <w:rsid w:val="493C0826"/>
    <w:rsid w:val="493F2815"/>
    <w:rsid w:val="495518E8"/>
    <w:rsid w:val="496F29A9"/>
    <w:rsid w:val="49731D6E"/>
    <w:rsid w:val="49895E52"/>
    <w:rsid w:val="498E4CFA"/>
    <w:rsid w:val="49A63F99"/>
    <w:rsid w:val="49B760FE"/>
    <w:rsid w:val="49C5081B"/>
    <w:rsid w:val="49CD147E"/>
    <w:rsid w:val="4A054B02"/>
    <w:rsid w:val="4A0A26D2"/>
    <w:rsid w:val="4A171B6A"/>
    <w:rsid w:val="4A1A5506"/>
    <w:rsid w:val="4A2A2D74"/>
    <w:rsid w:val="4A3C5BA1"/>
    <w:rsid w:val="4A4135B3"/>
    <w:rsid w:val="4A443E36"/>
    <w:rsid w:val="4A491FEF"/>
    <w:rsid w:val="4A4D25BF"/>
    <w:rsid w:val="4A513E5D"/>
    <w:rsid w:val="4A541B9F"/>
    <w:rsid w:val="4A6F69D9"/>
    <w:rsid w:val="4A790F50"/>
    <w:rsid w:val="4A946440"/>
    <w:rsid w:val="4A9B332A"/>
    <w:rsid w:val="4ABD14F2"/>
    <w:rsid w:val="4AC62A9D"/>
    <w:rsid w:val="4AD12E5A"/>
    <w:rsid w:val="4ADF3B5F"/>
    <w:rsid w:val="4AE7656F"/>
    <w:rsid w:val="4AEC002A"/>
    <w:rsid w:val="4B1D4687"/>
    <w:rsid w:val="4B3A0D95"/>
    <w:rsid w:val="4B3D2633"/>
    <w:rsid w:val="4B4C2876"/>
    <w:rsid w:val="4B5F6A4E"/>
    <w:rsid w:val="4B6D116B"/>
    <w:rsid w:val="4B7A73E4"/>
    <w:rsid w:val="4B9F509C"/>
    <w:rsid w:val="4BB70638"/>
    <w:rsid w:val="4BD5286C"/>
    <w:rsid w:val="4BD72A88"/>
    <w:rsid w:val="4BE3142D"/>
    <w:rsid w:val="4BF03B4A"/>
    <w:rsid w:val="4BFB49C8"/>
    <w:rsid w:val="4BFC3043"/>
    <w:rsid w:val="4C0D0258"/>
    <w:rsid w:val="4C16799F"/>
    <w:rsid w:val="4C2061DD"/>
    <w:rsid w:val="4C27793F"/>
    <w:rsid w:val="4C2A0E0A"/>
    <w:rsid w:val="4C4F3781"/>
    <w:rsid w:val="4C60482B"/>
    <w:rsid w:val="4C6E3FE2"/>
    <w:rsid w:val="4C7327B1"/>
    <w:rsid w:val="4CCC0113"/>
    <w:rsid w:val="4CE23492"/>
    <w:rsid w:val="4CE90CC5"/>
    <w:rsid w:val="4D001B6A"/>
    <w:rsid w:val="4D072EF9"/>
    <w:rsid w:val="4D0C075F"/>
    <w:rsid w:val="4D0C69ED"/>
    <w:rsid w:val="4D123792"/>
    <w:rsid w:val="4D333CEE"/>
    <w:rsid w:val="4D502AF2"/>
    <w:rsid w:val="4D5F2D35"/>
    <w:rsid w:val="4D6C7200"/>
    <w:rsid w:val="4D866514"/>
    <w:rsid w:val="4D8C1650"/>
    <w:rsid w:val="4D9B5F33"/>
    <w:rsid w:val="4DC1754C"/>
    <w:rsid w:val="4DC332C4"/>
    <w:rsid w:val="4DC62DB4"/>
    <w:rsid w:val="4DDD3C5A"/>
    <w:rsid w:val="4DFF0074"/>
    <w:rsid w:val="4E0336C0"/>
    <w:rsid w:val="4E0631B0"/>
    <w:rsid w:val="4E10402F"/>
    <w:rsid w:val="4E2D2E33"/>
    <w:rsid w:val="4E355844"/>
    <w:rsid w:val="4E3E294A"/>
    <w:rsid w:val="4E4D2E49"/>
    <w:rsid w:val="4E655F25"/>
    <w:rsid w:val="4E6A373F"/>
    <w:rsid w:val="4E6C1EC1"/>
    <w:rsid w:val="4E7520E4"/>
    <w:rsid w:val="4E916F1E"/>
    <w:rsid w:val="4E9346DE"/>
    <w:rsid w:val="4EB26E94"/>
    <w:rsid w:val="4EDB288F"/>
    <w:rsid w:val="4EDE5EDB"/>
    <w:rsid w:val="4EE71234"/>
    <w:rsid w:val="4EF17387"/>
    <w:rsid w:val="4F1813ED"/>
    <w:rsid w:val="4F4E12B3"/>
    <w:rsid w:val="4F652159"/>
    <w:rsid w:val="4F8922EB"/>
    <w:rsid w:val="4F9C3DCC"/>
    <w:rsid w:val="4F9D18F3"/>
    <w:rsid w:val="4F9F566B"/>
    <w:rsid w:val="4FA42C81"/>
    <w:rsid w:val="4FA73F0D"/>
    <w:rsid w:val="4FAD5E6E"/>
    <w:rsid w:val="4FD77DC0"/>
    <w:rsid w:val="4FD86DCF"/>
    <w:rsid w:val="4FE37C4D"/>
    <w:rsid w:val="4FFC486B"/>
    <w:rsid w:val="5003209D"/>
    <w:rsid w:val="50084FB8"/>
    <w:rsid w:val="501C315F"/>
    <w:rsid w:val="502D0EC8"/>
    <w:rsid w:val="50302767"/>
    <w:rsid w:val="503404A9"/>
    <w:rsid w:val="50371D47"/>
    <w:rsid w:val="503D78E7"/>
    <w:rsid w:val="50485D02"/>
    <w:rsid w:val="505521CD"/>
    <w:rsid w:val="50574197"/>
    <w:rsid w:val="505C7F65"/>
    <w:rsid w:val="506625EC"/>
    <w:rsid w:val="506F14E1"/>
    <w:rsid w:val="507E7976"/>
    <w:rsid w:val="508C2093"/>
    <w:rsid w:val="50942CF5"/>
    <w:rsid w:val="50974594"/>
    <w:rsid w:val="50AB003F"/>
    <w:rsid w:val="50D457E8"/>
    <w:rsid w:val="50DC644B"/>
    <w:rsid w:val="50E20EB9"/>
    <w:rsid w:val="50ED2406"/>
    <w:rsid w:val="50FB4B23"/>
    <w:rsid w:val="51022355"/>
    <w:rsid w:val="51087240"/>
    <w:rsid w:val="51121E6C"/>
    <w:rsid w:val="511770A5"/>
    <w:rsid w:val="511A2CA6"/>
    <w:rsid w:val="51200A2D"/>
    <w:rsid w:val="5133250E"/>
    <w:rsid w:val="514F30C0"/>
    <w:rsid w:val="51711289"/>
    <w:rsid w:val="51791EEB"/>
    <w:rsid w:val="5180327A"/>
    <w:rsid w:val="51856AE2"/>
    <w:rsid w:val="51886FCA"/>
    <w:rsid w:val="518965D2"/>
    <w:rsid w:val="518C7E71"/>
    <w:rsid w:val="51960CEF"/>
    <w:rsid w:val="519D5BDA"/>
    <w:rsid w:val="519F4486"/>
    <w:rsid w:val="51B15354"/>
    <w:rsid w:val="51C805E9"/>
    <w:rsid w:val="51D37233"/>
    <w:rsid w:val="51EB103B"/>
    <w:rsid w:val="51FD48CA"/>
    <w:rsid w:val="520143BB"/>
    <w:rsid w:val="52096D8F"/>
    <w:rsid w:val="522A286E"/>
    <w:rsid w:val="52326C6A"/>
    <w:rsid w:val="52391DA6"/>
    <w:rsid w:val="52410C5B"/>
    <w:rsid w:val="5251742F"/>
    <w:rsid w:val="527816BB"/>
    <w:rsid w:val="52950FA7"/>
    <w:rsid w:val="529F0F39"/>
    <w:rsid w:val="52A74851"/>
    <w:rsid w:val="52A80CDA"/>
    <w:rsid w:val="52DB5464"/>
    <w:rsid w:val="52F21AB2"/>
    <w:rsid w:val="53397B84"/>
    <w:rsid w:val="533E33EC"/>
    <w:rsid w:val="53400F13"/>
    <w:rsid w:val="534C5B09"/>
    <w:rsid w:val="536A214C"/>
    <w:rsid w:val="536F7A4A"/>
    <w:rsid w:val="53746E0E"/>
    <w:rsid w:val="53755FB2"/>
    <w:rsid w:val="5386726D"/>
    <w:rsid w:val="538C5F06"/>
    <w:rsid w:val="539C2B73"/>
    <w:rsid w:val="53B16A4B"/>
    <w:rsid w:val="53C51418"/>
    <w:rsid w:val="53C953AC"/>
    <w:rsid w:val="53CE4770"/>
    <w:rsid w:val="53DA3115"/>
    <w:rsid w:val="54041F40"/>
    <w:rsid w:val="54165A2C"/>
    <w:rsid w:val="541A1764"/>
    <w:rsid w:val="54260581"/>
    <w:rsid w:val="54306D09"/>
    <w:rsid w:val="543071D9"/>
    <w:rsid w:val="545509EE"/>
    <w:rsid w:val="54696247"/>
    <w:rsid w:val="546B1FBF"/>
    <w:rsid w:val="546E385E"/>
    <w:rsid w:val="54705828"/>
    <w:rsid w:val="54752578"/>
    <w:rsid w:val="54752E3E"/>
    <w:rsid w:val="54837309"/>
    <w:rsid w:val="54890697"/>
    <w:rsid w:val="54AD25D8"/>
    <w:rsid w:val="54B24092"/>
    <w:rsid w:val="54B25E40"/>
    <w:rsid w:val="54D77655"/>
    <w:rsid w:val="54D97871"/>
    <w:rsid w:val="54DD775A"/>
    <w:rsid w:val="54DE0134"/>
    <w:rsid w:val="54DE6C35"/>
    <w:rsid w:val="54ED6EBD"/>
    <w:rsid w:val="54F16968"/>
    <w:rsid w:val="55175CA3"/>
    <w:rsid w:val="55222FC6"/>
    <w:rsid w:val="554760F5"/>
    <w:rsid w:val="554D5B69"/>
    <w:rsid w:val="55545149"/>
    <w:rsid w:val="55560EC1"/>
    <w:rsid w:val="55611AFF"/>
    <w:rsid w:val="55A439DB"/>
    <w:rsid w:val="55A979FD"/>
    <w:rsid w:val="55AE4859"/>
    <w:rsid w:val="55C16D48"/>
    <w:rsid w:val="55C776C9"/>
    <w:rsid w:val="55DF2C65"/>
    <w:rsid w:val="55FD30EB"/>
    <w:rsid w:val="5608596C"/>
    <w:rsid w:val="560E7AEF"/>
    <w:rsid w:val="56150435"/>
    <w:rsid w:val="561843C9"/>
    <w:rsid w:val="56646BDD"/>
    <w:rsid w:val="56757125"/>
    <w:rsid w:val="567A473C"/>
    <w:rsid w:val="56861332"/>
    <w:rsid w:val="568850AA"/>
    <w:rsid w:val="56B56B5A"/>
    <w:rsid w:val="56C43C09"/>
    <w:rsid w:val="56C77866"/>
    <w:rsid w:val="56C8194B"/>
    <w:rsid w:val="56CE49F6"/>
    <w:rsid w:val="56F16703"/>
    <w:rsid w:val="572121A9"/>
    <w:rsid w:val="573E74AA"/>
    <w:rsid w:val="57603931"/>
    <w:rsid w:val="576D19D8"/>
    <w:rsid w:val="577675F9"/>
    <w:rsid w:val="57825F9E"/>
    <w:rsid w:val="578F06BB"/>
    <w:rsid w:val="57917819"/>
    <w:rsid w:val="579655A5"/>
    <w:rsid w:val="579C48DF"/>
    <w:rsid w:val="57C37ECB"/>
    <w:rsid w:val="57CF1AC2"/>
    <w:rsid w:val="57D8193B"/>
    <w:rsid w:val="57E16E3D"/>
    <w:rsid w:val="57F8000E"/>
    <w:rsid w:val="58050514"/>
    <w:rsid w:val="58134E48"/>
    <w:rsid w:val="58382B00"/>
    <w:rsid w:val="584414A5"/>
    <w:rsid w:val="584C2108"/>
    <w:rsid w:val="584E40D2"/>
    <w:rsid w:val="585B234B"/>
    <w:rsid w:val="58670CF0"/>
    <w:rsid w:val="58775B87"/>
    <w:rsid w:val="58A65CBC"/>
    <w:rsid w:val="58B8779D"/>
    <w:rsid w:val="58C3061C"/>
    <w:rsid w:val="58D112DD"/>
    <w:rsid w:val="58D2085F"/>
    <w:rsid w:val="58FC7366"/>
    <w:rsid w:val="5906485F"/>
    <w:rsid w:val="590B3D71"/>
    <w:rsid w:val="590F3861"/>
    <w:rsid w:val="59232E69"/>
    <w:rsid w:val="593F3A1A"/>
    <w:rsid w:val="594D6137"/>
    <w:rsid w:val="5975743C"/>
    <w:rsid w:val="598C4EB2"/>
    <w:rsid w:val="59934492"/>
    <w:rsid w:val="59AA5338"/>
    <w:rsid w:val="59BB12F3"/>
    <w:rsid w:val="59C96098"/>
    <w:rsid w:val="59CC3500"/>
    <w:rsid w:val="5A7F688E"/>
    <w:rsid w:val="5A89319F"/>
    <w:rsid w:val="5A957D96"/>
    <w:rsid w:val="5AA20705"/>
    <w:rsid w:val="5AAF3287"/>
    <w:rsid w:val="5AB741B0"/>
    <w:rsid w:val="5AB749B7"/>
    <w:rsid w:val="5ABC17C7"/>
    <w:rsid w:val="5ADA1C4D"/>
    <w:rsid w:val="5B0867BA"/>
    <w:rsid w:val="5B211CC8"/>
    <w:rsid w:val="5B2F7F5E"/>
    <w:rsid w:val="5B413A7A"/>
    <w:rsid w:val="5B4377F2"/>
    <w:rsid w:val="5B5B1114"/>
    <w:rsid w:val="5B6836FC"/>
    <w:rsid w:val="5B70435F"/>
    <w:rsid w:val="5B721E85"/>
    <w:rsid w:val="5B743E4F"/>
    <w:rsid w:val="5BAA5AC3"/>
    <w:rsid w:val="5BB406F0"/>
    <w:rsid w:val="5BB93F58"/>
    <w:rsid w:val="5BCA5273"/>
    <w:rsid w:val="5BDB5C7C"/>
    <w:rsid w:val="5C1D44E7"/>
    <w:rsid w:val="5C473312"/>
    <w:rsid w:val="5C675762"/>
    <w:rsid w:val="5C7200BE"/>
    <w:rsid w:val="5C853E3A"/>
    <w:rsid w:val="5C91458D"/>
    <w:rsid w:val="5C9A78E6"/>
    <w:rsid w:val="5CA95D7B"/>
    <w:rsid w:val="5CCB475A"/>
    <w:rsid w:val="5CCC3817"/>
    <w:rsid w:val="5CD252D1"/>
    <w:rsid w:val="5CD32DF8"/>
    <w:rsid w:val="5CE019A8"/>
    <w:rsid w:val="5CFD1BAE"/>
    <w:rsid w:val="5D052E31"/>
    <w:rsid w:val="5D447851"/>
    <w:rsid w:val="5D5E0913"/>
    <w:rsid w:val="5D5E1378"/>
    <w:rsid w:val="5D7C523D"/>
    <w:rsid w:val="5D8F31C2"/>
    <w:rsid w:val="5DAA7FFC"/>
    <w:rsid w:val="5DF93828"/>
    <w:rsid w:val="5E00022E"/>
    <w:rsid w:val="5E1B2CA8"/>
    <w:rsid w:val="5E296976"/>
    <w:rsid w:val="5E443FAD"/>
    <w:rsid w:val="5E6A153A"/>
    <w:rsid w:val="5E702CD8"/>
    <w:rsid w:val="5E8C345B"/>
    <w:rsid w:val="5E9B254F"/>
    <w:rsid w:val="5EB72C38"/>
    <w:rsid w:val="5EBB1D95"/>
    <w:rsid w:val="5EBC032F"/>
    <w:rsid w:val="5EC92704"/>
    <w:rsid w:val="5EDF5A84"/>
    <w:rsid w:val="5EE74938"/>
    <w:rsid w:val="5EF17565"/>
    <w:rsid w:val="5F221E14"/>
    <w:rsid w:val="5F281DF9"/>
    <w:rsid w:val="5F4467D8"/>
    <w:rsid w:val="5F5521EA"/>
    <w:rsid w:val="5F5809B5"/>
    <w:rsid w:val="5F707329"/>
    <w:rsid w:val="5F795ED8"/>
    <w:rsid w:val="5F893C41"/>
    <w:rsid w:val="5FB76A00"/>
    <w:rsid w:val="5FC1162D"/>
    <w:rsid w:val="5FCF78A6"/>
    <w:rsid w:val="60285208"/>
    <w:rsid w:val="60295975"/>
    <w:rsid w:val="602A5424"/>
    <w:rsid w:val="60333FA6"/>
    <w:rsid w:val="604162CA"/>
    <w:rsid w:val="604638E0"/>
    <w:rsid w:val="605E164F"/>
    <w:rsid w:val="60681AA9"/>
    <w:rsid w:val="607246D5"/>
    <w:rsid w:val="608D150F"/>
    <w:rsid w:val="60946F10"/>
    <w:rsid w:val="609B00D0"/>
    <w:rsid w:val="60B60A66"/>
    <w:rsid w:val="60B66ADC"/>
    <w:rsid w:val="60DD2497"/>
    <w:rsid w:val="60EA0710"/>
    <w:rsid w:val="60EC3840"/>
    <w:rsid w:val="61143F11"/>
    <w:rsid w:val="611759A9"/>
    <w:rsid w:val="6129748A"/>
    <w:rsid w:val="6131633F"/>
    <w:rsid w:val="614E75D3"/>
    <w:rsid w:val="614F743B"/>
    <w:rsid w:val="61573FF7"/>
    <w:rsid w:val="615A5895"/>
    <w:rsid w:val="61646714"/>
    <w:rsid w:val="616B1851"/>
    <w:rsid w:val="6170330B"/>
    <w:rsid w:val="61834DEC"/>
    <w:rsid w:val="618E3791"/>
    <w:rsid w:val="61913BB1"/>
    <w:rsid w:val="61932B55"/>
    <w:rsid w:val="61BC63F4"/>
    <w:rsid w:val="61C827FF"/>
    <w:rsid w:val="61E57855"/>
    <w:rsid w:val="62092E18"/>
    <w:rsid w:val="621B3277"/>
    <w:rsid w:val="621C6FEF"/>
    <w:rsid w:val="621D3974"/>
    <w:rsid w:val="622540F5"/>
    <w:rsid w:val="622639C9"/>
    <w:rsid w:val="62377067"/>
    <w:rsid w:val="623E51B7"/>
    <w:rsid w:val="624F696F"/>
    <w:rsid w:val="6260512D"/>
    <w:rsid w:val="62682234"/>
    <w:rsid w:val="62832694"/>
    <w:rsid w:val="62885B17"/>
    <w:rsid w:val="629B43B7"/>
    <w:rsid w:val="62AF39BF"/>
    <w:rsid w:val="62AF7E63"/>
    <w:rsid w:val="62B334AF"/>
    <w:rsid w:val="62B40FD5"/>
    <w:rsid w:val="62DE42A4"/>
    <w:rsid w:val="62F34242"/>
    <w:rsid w:val="6309501A"/>
    <w:rsid w:val="6324615B"/>
    <w:rsid w:val="63312626"/>
    <w:rsid w:val="633B19CF"/>
    <w:rsid w:val="637075F2"/>
    <w:rsid w:val="63AD43A2"/>
    <w:rsid w:val="63B514A9"/>
    <w:rsid w:val="63BF40D6"/>
    <w:rsid w:val="63D74F7B"/>
    <w:rsid w:val="63E15DFA"/>
    <w:rsid w:val="63E43B3C"/>
    <w:rsid w:val="63E47698"/>
    <w:rsid w:val="63E678B4"/>
    <w:rsid w:val="64207A48"/>
    <w:rsid w:val="642B3519"/>
    <w:rsid w:val="64300B2F"/>
    <w:rsid w:val="64357EF4"/>
    <w:rsid w:val="645667E8"/>
    <w:rsid w:val="645F0BD9"/>
    <w:rsid w:val="64622C5F"/>
    <w:rsid w:val="64632A18"/>
    <w:rsid w:val="64722EF6"/>
    <w:rsid w:val="64760C38"/>
    <w:rsid w:val="64AA08E2"/>
    <w:rsid w:val="64EA3833"/>
    <w:rsid w:val="65046244"/>
    <w:rsid w:val="651421FF"/>
    <w:rsid w:val="65426D6C"/>
    <w:rsid w:val="65605444"/>
    <w:rsid w:val="65660CAD"/>
    <w:rsid w:val="656C3DE9"/>
    <w:rsid w:val="658B10E8"/>
    <w:rsid w:val="659268D0"/>
    <w:rsid w:val="65960E66"/>
    <w:rsid w:val="65A2780B"/>
    <w:rsid w:val="65F52031"/>
    <w:rsid w:val="65F53DDF"/>
    <w:rsid w:val="660679A6"/>
    <w:rsid w:val="66106E6A"/>
    <w:rsid w:val="663C1A0D"/>
    <w:rsid w:val="663C37BC"/>
    <w:rsid w:val="66434B4A"/>
    <w:rsid w:val="664B7EA3"/>
    <w:rsid w:val="664E34EF"/>
    <w:rsid w:val="666920D7"/>
    <w:rsid w:val="666F593F"/>
    <w:rsid w:val="66754F1F"/>
    <w:rsid w:val="668313EA"/>
    <w:rsid w:val="66A013BB"/>
    <w:rsid w:val="66C13CC1"/>
    <w:rsid w:val="66C57C55"/>
    <w:rsid w:val="66D103A8"/>
    <w:rsid w:val="66D971A2"/>
    <w:rsid w:val="66E520A5"/>
    <w:rsid w:val="66F67E0E"/>
    <w:rsid w:val="67010066"/>
    <w:rsid w:val="672901E4"/>
    <w:rsid w:val="672D7859"/>
    <w:rsid w:val="67444AD8"/>
    <w:rsid w:val="674548F2"/>
    <w:rsid w:val="675863D3"/>
    <w:rsid w:val="67874F0A"/>
    <w:rsid w:val="67892A30"/>
    <w:rsid w:val="67955879"/>
    <w:rsid w:val="67A23AF2"/>
    <w:rsid w:val="67AF65DD"/>
    <w:rsid w:val="67B62592"/>
    <w:rsid w:val="67BF400C"/>
    <w:rsid w:val="67C43A69"/>
    <w:rsid w:val="67C717AB"/>
    <w:rsid w:val="67DE7AB7"/>
    <w:rsid w:val="67DF4D46"/>
    <w:rsid w:val="67E260DB"/>
    <w:rsid w:val="67E66FFC"/>
    <w:rsid w:val="67EC2FBF"/>
    <w:rsid w:val="68060525"/>
    <w:rsid w:val="6808604B"/>
    <w:rsid w:val="680D5952"/>
    <w:rsid w:val="6813679E"/>
    <w:rsid w:val="681542C4"/>
    <w:rsid w:val="681A3FD0"/>
    <w:rsid w:val="68212C69"/>
    <w:rsid w:val="68394457"/>
    <w:rsid w:val="68555008"/>
    <w:rsid w:val="6864524C"/>
    <w:rsid w:val="68883754"/>
    <w:rsid w:val="68A85138"/>
    <w:rsid w:val="68CA77A4"/>
    <w:rsid w:val="68CE05E3"/>
    <w:rsid w:val="68D45F2D"/>
    <w:rsid w:val="68E1064A"/>
    <w:rsid w:val="68E1689C"/>
    <w:rsid w:val="68EA343F"/>
    <w:rsid w:val="691427CE"/>
    <w:rsid w:val="69164798"/>
    <w:rsid w:val="69196036"/>
    <w:rsid w:val="6922313D"/>
    <w:rsid w:val="69586B5E"/>
    <w:rsid w:val="69683798"/>
    <w:rsid w:val="696D7A7C"/>
    <w:rsid w:val="69763488"/>
    <w:rsid w:val="69821E2D"/>
    <w:rsid w:val="69992CD3"/>
    <w:rsid w:val="69B1626F"/>
    <w:rsid w:val="69D07401"/>
    <w:rsid w:val="69E46644"/>
    <w:rsid w:val="69EE74C3"/>
    <w:rsid w:val="69EF6408"/>
    <w:rsid w:val="69FF6FDA"/>
    <w:rsid w:val="6A0B08EF"/>
    <w:rsid w:val="6A17613B"/>
    <w:rsid w:val="6A2469FC"/>
    <w:rsid w:val="6A2E78BF"/>
    <w:rsid w:val="6A3D5D54"/>
    <w:rsid w:val="6A576E16"/>
    <w:rsid w:val="6A694D9B"/>
    <w:rsid w:val="6A6C50D6"/>
    <w:rsid w:val="6A7C4ACE"/>
    <w:rsid w:val="6AA81420"/>
    <w:rsid w:val="6AC369D9"/>
    <w:rsid w:val="6ACB7AD0"/>
    <w:rsid w:val="6AE963A2"/>
    <w:rsid w:val="6AF91C7B"/>
    <w:rsid w:val="6B0074AE"/>
    <w:rsid w:val="6B016D82"/>
    <w:rsid w:val="6B056872"/>
    <w:rsid w:val="6B080110"/>
    <w:rsid w:val="6B0A032C"/>
    <w:rsid w:val="6B272A19"/>
    <w:rsid w:val="6B396C40"/>
    <w:rsid w:val="6B4B624F"/>
    <w:rsid w:val="6B513865"/>
    <w:rsid w:val="6B6A7D38"/>
    <w:rsid w:val="6B7B6B34"/>
    <w:rsid w:val="6B870B4D"/>
    <w:rsid w:val="6BB107A8"/>
    <w:rsid w:val="6BBA3B00"/>
    <w:rsid w:val="6BBB3287"/>
    <w:rsid w:val="6BDC7B16"/>
    <w:rsid w:val="6BE7241B"/>
    <w:rsid w:val="6BF11F1B"/>
    <w:rsid w:val="6BFB7C75"/>
    <w:rsid w:val="6C021003"/>
    <w:rsid w:val="6C3311BD"/>
    <w:rsid w:val="6C5279D9"/>
    <w:rsid w:val="6C5A0E3F"/>
    <w:rsid w:val="6C607D61"/>
    <w:rsid w:val="6C7F4402"/>
    <w:rsid w:val="6C8E6D3B"/>
    <w:rsid w:val="6C9F4AA4"/>
    <w:rsid w:val="6CA6001D"/>
    <w:rsid w:val="6CAF118B"/>
    <w:rsid w:val="6CB56076"/>
    <w:rsid w:val="6CB93DB8"/>
    <w:rsid w:val="6CED3A62"/>
    <w:rsid w:val="6CED5810"/>
    <w:rsid w:val="6D0C2229"/>
    <w:rsid w:val="6D1365E0"/>
    <w:rsid w:val="6D486939"/>
    <w:rsid w:val="6D7E46BA"/>
    <w:rsid w:val="6DC522E8"/>
    <w:rsid w:val="6DDD7632"/>
    <w:rsid w:val="6DDF641F"/>
    <w:rsid w:val="6DE2733E"/>
    <w:rsid w:val="6DE9247B"/>
    <w:rsid w:val="6DF57072"/>
    <w:rsid w:val="6DFF1C9E"/>
    <w:rsid w:val="6E072901"/>
    <w:rsid w:val="6E1119D2"/>
    <w:rsid w:val="6E386F5E"/>
    <w:rsid w:val="6E423939"/>
    <w:rsid w:val="6E5A5127"/>
    <w:rsid w:val="6E66587A"/>
    <w:rsid w:val="6E8D5E4E"/>
    <w:rsid w:val="6EA840E4"/>
    <w:rsid w:val="6ED24CBD"/>
    <w:rsid w:val="6EDC3D8E"/>
    <w:rsid w:val="6EE3336E"/>
    <w:rsid w:val="6EE36ECA"/>
    <w:rsid w:val="6EED0B2A"/>
    <w:rsid w:val="6EF03395"/>
    <w:rsid w:val="6EF35E67"/>
    <w:rsid w:val="6EF74724"/>
    <w:rsid w:val="6F0F5516"/>
    <w:rsid w:val="6F2614AD"/>
    <w:rsid w:val="6F293C04"/>
    <w:rsid w:val="6F2F210F"/>
    <w:rsid w:val="6F3D7A43"/>
    <w:rsid w:val="6F573414"/>
    <w:rsid w:val="6F6B6EC0"/>
    <w:rsid w:val="6F712728"/>
    <w:rsid w:val="6F7C731F"/>
    <w:rsid w:val="6F8561D3"/>
    <w:rsid w:val="6F8A249F"/>
    <w:rsid w:val="6F9C52CB"/>
    <w:rsid w:val="6F9F7969"/>
    <w:rsid w:val="6FB36CAD"/>
    <w:rsid w:val="6FD11419"/>
    <w:rsid w:val="6FD437FF"/>
    <w:rsid w:val="6FD607DD"/>
    <w:rsid w:val="6FDB5DF3"/>
    <w:rsid w:val="6FDE58E3"/>
    <w:rsid w:val="6FE6540E"/>
    <w:rsid w:val="6FFB0243"/>
    <w:rsid w:val="6FFD220E"/>
    <w:rsid w:val="704E2A69"/>
    <w:rsid w:val="705F6A24"/>
    <w:rsid w:val="70761FC0"/>
    <w:rsid w:val="7077603F"/>
    <w:rsid w:val="70840239"/>
    <w:rsid w:val="708B5A6B"/>
    <w:rsid w:val="709C1EDC"/>
    <w:rsid w:val="70B32E6B"/>
    <w:rsid w:val="70B86135"/>
    <w:rsid w:val="70D54F38"/>
    <w:rsid w:val="710B44B6"/>
    <w:rsid w:val="711772FF"/>
    <w:rsid w:val="7128150C"/>
    <w:rsid w:val="712E63F7"/>
    <w:rsid w:val="713752AB"/>
    <w:rsid w:val="713A2FED"/>
    <w:rsid w:val="714A6BA3"/>
    <w:rsid w:val="71502811"/>
    <w:rsid w:val="715B3690"/>
    <w:rsid w:val="716167CC"/>
    <w:rsid w:val="716B13F9"/>
    <w:rsid w:val="717E2EDA"/>
    <w:rsid w:val="71844269"/>
    <w:rsid w:val="718D136F"/>
    <w:rsid w:val="71AA3CCF"/>
    <w:rsid w:val="71B903B6"/>
    <w:rsid w:val="71BC3A02"/>
    <w:rsid w:val="71C56D5B"/>
    <w:rsid w:val="71C82DE9"/>
    <w:rsid w:val="71D14210"/>
    <w:rsid w:val="71E116BB"/>
    <w:rsid w:val="71EA67C2"/>
    <w:rsid w:val="71F87130"/>
    <w:rsid w:val="71FC02A3"/>
    <w:rsid w:val="71FE226D"/>
    <w:rsid w:val="72233A82"/>
    <w:rsid w:val="722D120D"/>
    <w:rsid w:val="723E08BB"/>
    <w:rsid w:val="725400DF"/>
    <w:rsid w:val="72633031"/>
    <w:rsid w:val="72646574"/>
    <w:rsid w:val="726E73F3"/>
    <w:rsid w:val="727F515C"/>
    <w:rsid w:val="72930C07"/>
    <w:rsid w:val="729E33E4"/>
    <w:rsid w:val="72A5093A"/>
    <w:rsid w:val="72BC63B0"/>
    <w:rsid w:val="72C2329A"/>
    <w:rsid w:val="72CB5037"/>
    <w:rsid w:val="72D1172F"/>
    <w:rsid w:val="72D82ABE"/>
    <w:rsid w:val="72DB610A"/>
    <w:rsid w:val="73117D7E"/>
    <w:rsid w:val="73155AC0"/>
    <w:rsid w:val="731E2BC7"/>
    <w:rsid w:val="7329331A"/>
    <w:rsid w:val="732D2E0A"/>
    <w:rsid w:val="73334198"/>
    <w:rsid w:val="735A1725"/>
    <w:rsid w:val="737547B1"/>
    <w:rsid w:val="737A5923"/>
    <w:rsid w:val="738B5D82"/>
    <w:rsid w:val="73944C37"/>
    <w:rsid w:val="73B0297D"/>
    <w:rsid w:val="73B8350B"/>
    <w:rsid w:val="73B928EF"/>
    <w:rsid w:val="73CD639B"/>
    <w:rsid w:val="73D9089C"/>
    <w:rsid w:val="73F90F3E"/>
    <w:rsid w:val="740A314B"/>
    <w:rsid w:val="74297CD9"/>
    <w:rsid w:val="742C30C1"/>
    <w:rsid w:val="743C0C41"/>
    <w:rsid w:val="745B5755"/>
    <w:rsid w:val="748051BB"/>
    <w:rsid w:val="748C1DB2"/>
    <w:rsid w:val="74A36046"/>
    <w:rsid w:val="74B35591"/>
    <w:rsid w:val="74B84EB1"/>
    <w:rsid w:val="74C9421C"/>
    <w:rsid w:val="74CA4688"/>
    <w:rsid w:val="74CF1C9F"/>
    <w:rsid w:val="74EA0887"/>
    <w:rsid w:val="7539704C"/>
    <w:rsid w:val="754206C3"/>
    <w:rsid w:val="756D345F"/>
    <w:rsid w:val="757D09AA"/>
    <w:rsid w:val="75952577"/>
    <w:rsid w:val="75AE7533"/>
    <w:rsid w:val="75C94940"/>
    <w:rsid w:val="75D45DDE"/>
    <w:rsid w:val="75D51F38"/>
    <w:rsid w:val="75E672A0"/>
    <w:rsid w:val="75FE45EA"/>
    <w:rsid w:val="760140DA"/>
    <w:rsid w:val="76065B94"/>
    <w:rsid w:val="76191423"/>
    <w:rsid w:val="762436BA"/>
    <w:rsid w:val="76315592"/>
    <w:rsid w:val="76391AC6"/>
    <w:rsid w:val="763C3364"/>
    <w:rsid w:val="76402E54"/>
    <w:rsid w:val="76500BBD"/>
    <w:rsid w:val="76515061"/>
    <w:rsid w:val="76726D86"/>
    <w:rsid w:val="76805946"/>
    <w:rsid w:val="76854D0B"/>
    <w:rsid w:val="7685781D"/>
    <w:rsid w:val="76872831"/>
    <w:rsid w:val="768D3BBF"/>
    <w:rsid w:val="769136B0"/>
    <w:rsid w:val="769D02A6"/>
    <w:rsid w:val="76AA5987"/>
    <w:rsid w:val="76B92C06"/>
    <w:rsid w:val="76CC7942"/>
    <w:rsid w:val="76DB2B7D"/>
    <w:rsid w:val="76DD06A3"/>
    <w:rsid w:val="76E40BD9"/>
    <w:rsid w:val="76EE465E"/>
    <w:rsid w:val="7706409E"/>
    <w:rsid w:val="771340C5"/>
    <w:rsid w:val="773A1561"/>
    <w:rsid w:val="774E334F"/>
    <w:rsid w:val="77505319"/>
    <w:rsid w:val="7763329E"/>
    <w:rsid w:val="776B3F01"/>
    <w:rsid w:val="776D5ECB"/>
    <w:rsid w:val="777C4360"/>
    <w:rsid w:val="77884AB3"/>
    <w:rsid w:val="7789082B"/>
    <w:rsid w:val="778B00FF"/>
    <w:rsid w:val="779F1DFC"/>
    <w:rsid w:val="77A26950"/>
    <w:rsid w:val="77C2117B"/>
    <w:rsid w:val="77DA2E34"/>
    <w:rsid w:val="77E65C7D"/>
    <w:rsid w:val="781C51FB"/>
    <w:rsid w:val="781F6A99"/>
    <w:rsid w:val="78236589"/>
    <w:rsid w:val="783267CC"/>
    <w:rsid w:val="783F09AA"/>
    <w:rsid w:val="78434E7D"/>
    <w:rsid w:val="78477250"/>
    <w:rsid w:val="78611500"/>
    <w:rsid w:val="786D1EFA"/>
    <w:rsid w:val="787E5EB6"/>
    <w:rsid w:val="787E7C64"/>
    <w:rsid w:val="789D458E"/>
    <w:rsid w:val="78A43B6E"/>
    <w:rsid w:val="78A74CC3"/>
    <w:rsid w:val="78B2790D"/>
    <w:rsid w:val="78CC4E73"/>
    <w:rsid w:val="78D41F79"/>
    <w:rsid w:val="78D45AD6"/>
    <w:rsid w:val="78EC7724"/>
    <w:rsid w:val="78F65A4C"/>
    <w:rsid w:val="792B7DEB"/>
    <w:rsid w:val="79393B8B"/>
    <w:rsid w:val="793D367B"/>
    <w:rsid w:val="794013BD"/>
    <w:rsid w:val="79607369"/>
    <w:rsid w:val="796D0FC6"/>
    <w:rsid w:val="796E7CD8"/>
    <w:rsid w:val="79754594"/>
    <w:rsid w:val="798153CC"/>
    <w:rsid w:val="79907C4E"/>
    <w:rsid w:val="799728D3"/>
    <w:rsid w:val="79982FA7"/>
    <w:rsid w:val="799F1E01"/>
    <w:rsid w:val="79A354A2"/>
    <w:rsid w:val="79A84A88"/>
    <w:rsid w:val="79BA2F1D"/>
    <w:rsid w:val="79C760D6"/>
    <w:rsid w:val="79E816E6"/>
    <w:rsid w:val="79E85CDC"/>
    <w:rsid w:val="79F24465"/>
    <w:rsid w:val="79F71A7C"/>
    <w:rsid w:val="79FD7D64"/>
    <w:rsid w:val="7A0917AF"/>
    <w:rsid w:val="7A1563A6"/>
    <w:rsid w:val="7A28257D"/>
    <w:rsid w:val="7A3C3932"/>
    <w:rsid w:val="7A4A3296"/>
    <w:rsid w:val="7A610C0A"/>
    <w:rsid w:val="7A777060"/>
    <w:rsid w:val="7A9814B1"/>
    <w:rsid w:val="7A99501E"/>
    <w:rsid w:val="7AA339B1"/>
    <w:rsid w:val="7AAD0B5B"/>
    <w:rsid w:val="7AB041E9"/>
    <w:rsid w:val="7AC07CD8"/>
    <w:rsid w:val="7AD63D87"/>
    <w:rsid w:val="7AE85868"/>
    <w:rsid w:val="7AEA338E"/>
    <w:rsid w:val="7B113011"/>
    <w:rsid w:val="7B24133B"/>
    <w:rsid w:val="7B357F37"/>
    <w:rsid w:val="7B3960C4"/>
    <w:rsid w:val="7B445194"/>
    <w:rsid w:val="7B4554D0"/>
    <w:rsid w:val="7B517CBA"/>
    <w:rsid w:val="7B5A6766"/>
    <w:rsid w:val="7B670E83"/>
    <w:rsid w:val="7B6E3FBF"/>
    <w:rsid w:val="7B7470FC"/>
    <w:rsid w:val="7BC10593"/>
    <w:rsid w:val="7BE75B20"/>
    <w:rsid w:val="7BFB513A"/>
    <w:rsid w:val="7C127041"/>
    <w:rsid w:val="7C242A5C"/>
    <w:rsid w:val="7C3A0345"/>
    <w:rsid w:val="7C547659"/>
    <w:rsid w:val="7C55517F"/>
    <w:rsid w:val="7C5F7DAC"/>
    <w:rsid w:val="7C6453C2"/>
    <w:rsid w:val="7C6D24C9"/>
    <w:rsid w:val="7C766979"/>
    <w:rsid w:val="7C7970C0"/>
    <w:rsid w:val="7C857813"/>
    <w:rsid w:val="7CD73DE6"/>
    <w:rsid w:val="7CDE6F23"/>
    <w:rsid w:val="7D050953"/>
    <w:rsid w:val="7D1775CF"/>
    <w:rsid w:val="7D272678"/>
    <w:rsid w:val="7D2955BD"/>
    <w:rsid w:val="7D2F777E"/>
    <w:rsid w:val="7D324C10"/>
    <w:rsid w:val="7D480840"/>
    <w:rsid w:val="7D4A0A5C"/>
    <w:rsid w:val="7D5316BF"/>
    <w:rsid w:val="7D627B54"/>
    <w:rsid w:val="7D9121E7"/>
    <w:rsid w:val="7D913F95"/>
    <w:rsid w:val="7D9D0B8C"/>
    <w:rsid w:val="7DAB14FB"/>
    <w:rsid w:val="7DAC6B74"/>
    <w:rsid w:val="7DEC38C1"/>
    <w:rsid w:val="7DF74740"/>
    <w:rsid w:val="7E0429B9"/>
    <w:rsid w:val="7E22523F"/>
    <w:rsid w:val="7E292420"/>
    <w:rsid w:val="7E2E5C88"/>
    <w:rsid w:val="7E327526"/>
    <w:rsid w:val="7E527BC8"/>
    <w:rsid w:val="7E633B84"/>
    <w:rsid w:val="7E7C69F3"/>
    <w:rsid w:val="7E9014C7"/>
    <w:rsid w:val="7E90249F"/>
    <w:rsid w:val="7EAF501B"/>
    <w:rsid w:val="7EE36A72"/>
    <w:rsid w:val="7EE527EB"/>
    <w:rsid w:val="7EF46ED2"/>
    <w:rsid w:val="7F052E8D"/>
    <w:rsid w:val="7F104C8C"/>
    <w:rsid w:val="7F17496E"/>
    <w:rsid w:val="7F25708B"/>
    <w:rsid w:val="7F274FEA"/>
    <w:rsid w:val="7F3E014D"/>
    <w:rsid w:val="7F6000C3"/>
    <w:rsid w:val="7F6556D9"/>
    <w:rsid w:val="7F6C4CBA"/>
    <w:rsid w:val="7F71407E"/>
    <w:rsid w:val="7F7D2A23"/>
    <w:rsid w:val="7F963AE5"/>
    <w:rsid w:val="7F985AAF"/>
    <w:rsid w:val="7FAC4A8E"/>
    <w:rsid w:val="7FB126CD"/>
    <w:rsid w:val="7FB44B21"/>
    <w:rsid w:val="7FB55714"/>
    <w:rsid w:val="7FD64829"/>
    <w:rsid w:val="7FF16F6D"/>
    <w:rsid w:val="7FFB634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qFormat="1" w:unhideWhenUsed="0" w:uiPriority="0" w:semiHidden="0"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qFormat="1" w:unhideWhenUsed="0" w:uiPriority="0" w:semiHidden="0"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600" w:lineRule="exact"/>
      <w:jc w:val="both"/>
    </w:pPr>
    <w:rPr>
      <w:rFonts w:ascii="Times New Roman" w:hAnsi="Times New Roman" w:eastAsia="宋体" w:cs="Times New Roman"/>
      <w:kern w:val="2"/>
      <w:sz w:val="28"/>
      <w:szCs w:val="24"/>
      <w:lang w:val="en-US" w:eastAsia="zh-CN" w:bidi="ar-SA"/>
    </w:rPr>
  </w:style>
  <w:style w:type="paragraph" w:styleId="2">
    <w:name w:val="heading 1"/>
    <w:basedOn w:val="1"/>
    <w:next w:val="1"/>
    <w:link w:val="39"/>
    <w:autoRedefine/>
    <w:qFormat/>
    <w:uiPriority w:val="0"/>
    <w:pPr>
      <w:keepNext/>
      <w:keepLines/>
      <w:spacing w:before="340" w:after="330" w:line="480" w:lineRule="exact"/>
      <w:jc w:val="center"/>
      <w:outlineLvl w:val="0"/>
    </w:pPr>
    <w:rPr>
      <w:b/>
      <w:bCs/>
      <w:kern w:val="44"/>
      <w:sz w:val="36"/>
      <w:szCs w:val="44"/>
    </w:rPr>
  </w:style>
  <w:style w:type="paragraph" w:styleId="3">
    <w:name w:val="heading 2"/>
    <w:basedOn w:val="1"/>
    <w:next w:val="1"/>
    <w:link w:val="38"/>
    <w:autoRedefine/>
    <w:qFormat/>
    <w:uiPriority w:val="0"/>
    <w:pPr>
      <w:keepNext/>
      <w:keepLines/>
      <w:spacing w:before="260" w:line="520" w:lineRule="exact"/>
      <w:jc w:val="center"/>
      <w:outlineLvl w:val="1"/>
    </w:pPr>
    <w:rPr>
      <w:rFonts w:ascii="Arial" w:hAnsi="Arial"/>
      <w:b/>
      <w:bCs/>
      <w:kern w:val="0"/>
      <w:szCs w:val="32"/>
    </w:rPr>
  </w:style>
  <w:style w:type="paragraph" w:styleId="4">
    <w:name w:val="heading 3"/>
    <w:basedOn w:val="1"/>
    <w:next w:val="1"/>
    <w:link w:val="40"/>
    <w:autoRedefine/>
    <w:qFormat/>
    <w:uiPriority w:val="9"/>
    <w:pPr>
      <w:keepNext/>
      <w:keepLines/>
      <w:spacing w:before="260" w:after="260" w:line="416" w:lineRule="auto"/>
      <w:outlineLvl w:val="2"/>
    </w:pPr>
    <w:rPr>
      <w:b/>
      <w:bCs/>
      <w:kern w:val="0"/>
      <w:sz w:val="32"/>
      <w:szCs w:val="32"/>
    </w:rPr>
  </w:style>
  <w:style w:type="paragraph" w:styleId="5">
    <w:name w:val="heading 4"/>
    <w:basedOn w:val="1"/>
    <w:next w:val="1"/>
    <w:link w:val="41"/>
    <w:autoRedefine/>
    <w:qFormat/>
    <w:uiPriority w:val="0"/>
    <w:pPr>
      <w:keepNext/>
      <w:keepLines/>
      <w:spacing w:before="280" w:after="290" w:line="376" w:lineRule="auto"/>
      <w:outlineLvl w:val="3"/>
    </w:pPr>
    <w:rPr>
      <w:rFonts w:ascii="Arial" w:hAnsi="Arial" w:eastAsia="黑体"/>
      <w:b/>
      <w:bCs/>
      <w:kern w:val="0"/>
      <w:szCs w:val="28"/>
    </w:rPr>
  </w:style>
  <w:style w:type="character" w:default="1" w:styleId="33">
    <w:name w:val="Default Paragraph Font"/>
    <w:autoRedefine/>
    <w:unhideWhenUsed/>
    <w:qFormat/>
    <w:uiPriority w:val="1"/>
  </w:style>
  <w:style w:type="table" w:default="1" w:styleId="30">
    <w:name w:val="Normal Table"/>
    <w:autoRedefine/>
    <w:unhideWhenUsed/>
    <w:qFormat/>
    <w:uiPriority w:val="99"/>
    <w:tblPr>
      <w:tblCellMar>
        <w:top w:w="0" w:type="dxa"/>
        <w:left w:w="108" w:type="dxa"/>
        <w:bottom w:w="0" w:type="dxa"/>
        <w:right w:w="108" w:type="dxa"/>
      </w:tblCellMar>
    </w:tblPr>
  </w:style>
  <w:style w:type="paragraph" w:styleId="6">
    <w:name w:val="index 8"/>
    <w:basedOn w:val="1"/>
    <w:next w:val="1"/>
    <w:autoRedefine/>
    <w:qFormat/>
    <w:uiPriority w:val="0"/>
    <w:pPr>
      <w:ind w:left="2940"/>
      <w:jc w:val="center"/>
    </w:pPr>
  </w:style>
  <w:style w:type="paragraph" w:styleId="7">
    <w:name w:val="Normal Indent"/>
    <w:basedOn w:val="1"/>
    <w:link w:val="42"/>
    <w:autoRedefine/>
    <w:qFormat/>
    <w:uiPriority w:val="0"/>
    <w:pPr>
      <w:ind w:firstLine="420"/>
    </w:pPr>
    <w:rPr>
      <w:rFonts w:ascii="等线" w:hAnsi="等线"/>
      <w:kern w:val="0"/>
      <w:szCs w:val="20"/>
    </w:rPr>
  </w:style>
  <w:style w:type="paragraph" w:styleId="8">
    <w:name w:val="caption"/>
    <w:basedOn w:val="1"/>
    <w:next w:val="1"/>
    <w:autoRedefine/>
    <w:qFormat/>
    <w:uiPriority w:val="0"/>
    <w:pPr>
      <w:spacing w:before="152" w:after="160" w:line="240" w:lineRule="auto"/>
    </w:pPr>
    <w:rPr>
      <w:rFonts w:ascii="Arial" w:hAnsi="Arial" w:eastAsia="黑体" w:cs="Arial"/>
      <w:sz w:val="20"/>
      <w:szCs w:val="20"/>
    </w:rPr>
  </w:style>
  <w:style w:type="paragraph" w:styleId="9">
    <w:name w:val="Document Map"/>
    <w:basedOn w:val="1"/>
    <w:link w:val="43"/>
    <w:autoRedefine/>
    <w:semiHidden/>
    <w:qFormat/>
    <w:uiPriority w:val="0"/>
    <w:pPr>
      <w:shd w:val="clear" w:color="auto" w:fill="000080"/>
    </w:pPr>
    <w:rPr>
      <w:kern w:val="0"/>
    </w:rPr>
  </w:style>
  <w:style w:type="paragraph" w:styleId="10">
    <w:name w:val="annotation text"/>
    <w:basedOn w:val="1"/>
    <w:link w:val="44"/>
    <w:autoRedefine/>
    <w:semiHidden/>
    <w:qFormat/>
    <w:uiPriority w:val="0"/>
    <w:pPr>
      <w:jc w:val="left"/>
    </w:pPr>
    <w:rPr>
      <w:kern w:val="0"/>
    </w:rPr>
  </w:style>
  <w:style w:type="paragraph" w:styleId="11">
    <w:name w:val="Body Text 3"/>
    <w:basedOn w:val="1"/>
    <w:link w:val="45"/>
    <w:autoRedefine/>
    <w:qFormat/>
    <w:uiPriority w:val="0"/>
    <w:pPr>
      <w:spacing w:after="120"/>
    </w:pPr>
    <w:rPr>
      <w:rFonts w:ascii="等线" w:hAnsi="等线" w:eastAsia="等线"/>
      <w:kern w:val="0"/>
      <w:sz w:val="16"/>
      <w:szCs w:val="16"/>
    </w:rPr>
  </w:style>
  <w:style w:type="paragraph" w:styleId="12">
    <w:name w:val="Body Text"/>
    <w:basedOn w:val="1"/>
    <w:link w:val="46"/>
    <w:autoRedefine/>
    <w:qFormat/>
    <w:uiPriority w:val="0"/>
    <w:rPr>
      <w:rFonts w:ascii="仿宋_GB2312" w:eastAsia="仿宋_GB2312"/>
      <w:kern w:val="0"/>
    </w:rPr>
  </w:style>
  <w:style w:type="paragraph" w:styleId="13">
    <w:name w:val="Body Text Indent"/>
    <w:basedOn w:val="1"/>
    <w:link w:val="47"/>
    <w:autoRedefine/>
    <w:qFormat/>
    <w:uiPriority w:val="0"/>
    <w:pPr>
      <w:spacing w:line="312" w:lineRule="auto"/>
      <w:ind w:firstLine="420" w:firstLineChars="200"/>
    </w:pPr>
    <w:rPr>
      <w:rFonts w:ascii="仿宋_GB2312" w:eastAsia="仿宋_GB2312"/>
      <w:kern w:val="0"/>
      <w:szCs w:val="21"/>
    </w:rPr>
  </w:style>
  <w:style w:type="paragraph" w:styleId="14">
    <w:name w:val="Block Text"/>
    <w:basedOn w:val="1"/>
    <w:autoRedefine/>
    <w:qFormat/>
    <w:uiPriority w:val="0"/>
    <w:pPr>
      <w:spacing w:after="120"/>
      <w:ind w:left="1440" w:leftChars="700" w:right="1440" w:rightChars="700"/>
    </w:pPr>
  </w:style>
  <w:style w:type="paragraph" w:styleId="15">
    <w:name w:val="toc 3"/>
    <w:basedOn w:val="1"/>
    <w:next w:val="1"/>
    <w:autoRedefine/>
    <w:qFormat/>
    <w:uiPriority w:val="39"/>
    <w:pPr>
      <w:tabs>
        <w:tab w:val="right" w:leader="dot" w:pos="9458"/>
      </w:tabs>
      <w:ind w:left="420" w:leftChars="150"/>
    </w:pPr>
  </w:style>
  <w:style w:type="paragraph" w:styleId="16">
    <w:name w:val="Plain Text"/>
    <w:basedOn w:val="1"/>
    <w:link w:val="48"/>
    <w:autoRedefine/>
    <w:qFormat/>
    <w:uiPriority w:val="0"/>
    <w:rPr>
      <w:rFonts w:ascii="宋体" w:hAnsi="Courier New"/>
      <w:kern w:val="0"/>
      <w:szCs w:val="21"/>
    </w:rPr>
  </w:style>
  <w:style w:type="paragraph" w:styleId="17">
    <w:name w:val="Date"/>
    <w:basedOn w:val="1"/>
    <w:next w:val="1"/>
    <w:link w:val="49"/>
    <w:autoRedefine/>
    <w:qFormat/>
    <w:uiPriority w:val="0"/>
    <w:pPr>
      <w:ind w:left="100" w:leftChars="2500"/>
    </w:pPr>
    <w:rPr>
      <w:kern w:val="0"/>
    </w:rPr>
  </w:style>
  <w:style w:type="paragraph" w:styleId="18">
    <w:name w:val="Body Text Indent 2"/>
    <w:basedOn w:val="1"/>
    <w:link w:val="50"/>
    <w:autoRedefine/>
    <w:qFormat/>
    <w:uiPriority w:val="0"/>
    <w:pPr>
      <w:spacing w:line="312" w:lineRule="auto"/>
      <w:ind w:firstLine="420" w:firstLineChars="200"/>
      <w:jc w:val="left"/>
    </w:pPr>
    <w:rPr>
      <w:rFonts w:ascii="仿宋_GB2312" w:eastAsia="仿宋_GB2312"/>
      <w:kern w:val="0"/>
      <w:szCs w:val="21"/>
    </w:rPr>
  </w:style>
  <w:style w:type="paragraph" w:styleId="19">
    <w:name w:val="Balloon Text"/>
    <w:basedOn w:val="1"/>
    <w:link w:val="51"/>
    <w:autoRedefine/>
    <w:semiHidden/>
    <w:qFormat/>
    <w:uiPriority w:val="0"/>
    <w:rPr>
      <w:kern w:val="0"/>
      <w:sz w:val="18"/>
      <w:szCs w:val="18"/>
    </w:rPr>
  </w:style>
  <w:style w:type="paragraph" w:styleId="20">
    <w:name w:val="footer"/>
    <w:basedOn w:val="1"/>
    <w:link w:val="52"/>
    <w:autoRedefine/>
    <w:qFormat/>
    <w:uiPriority w:val="99"/>
    <w:pPr>
      <w:tabs>
        <w:tab w:val="center" w:pos="4153"/>
        <w:tab w:val="right" w:pos="8306"/>
      </w:tabs>
      <w:snapToGrid w:val="0"/>
      <w:jc w:val="left"/>
    </w:pPr>
    <w:rPr>
      <w:rFonts w:ascii="等线" w:hAnsi="等线"/>
      <w:kern w:val="0"/>
      <w:sz w:val="18"/>
      <w:szCs w:val="18"/>
    </w:rPr>
  </w:style>
  <w:style w:type="paragraph" w:styleId="21">
    <w:name w:val="header"/>
    <w:basedOn w:val="1"/>
    <w:link w:val="53"/>
    <w:autoRedefine/>
    <w:qFormat/>
    <w:uiPriority w:val="99"/>
    <w:pPr>
      <w:pBdr>
        <w:bottom w:val="single" w:color="auto" w:sz="6" w:space="1"/>
      </w:pBdr>
      <w:tabs>
        <w:tab w:val="center" w:pos="4153"/>
        <w:tab w:val="right" w:pos="8306"/>
      </w:tabs>
      <w:snapToGrid w:val="0"/>
      <w:jc w:val="center"/>
    </w:pPr>
    <w:rPr>
      <w:rFonts w:ascii="等线" w:hAnsi="等线"/>
      <w:kern w:val="0"/>
      <w:sz w:val="18"/>
      <w:szCs w:val="20"/>
    </w:rPr>
  </w:style>
  <w:style w:type="paragraph" w:styleId="22">
    <w:name w:val="toc 1"/>
    <w:basedOn w:val="1"/>
    <w:next w:val="1"/>
    <w:autoRedefine/>
    <w:qFormat/>
    <w:uiPriority w:val="39"/>
    <w:pPr>
      <w:tabs>
        <w:tab w:val="right" w:leader="dot" w:pos="9518"/>
      </w:tabs>
      <w:spacing w:line="480" w:lineRule="auto"/>
    </w:pPr>
    <w:rPr>
      <w:sz w:val="32"/>
    </w:rPr>
  </w:style>
  <w:style w:type="paragraph" w:styleId="23">
    <w:name w:val="List"/>
    <w:basedOn w:val="1"/>
    <w:autoRedefine/>
    <w:qFormat/>
    <w:uiPriority w:val="0"/>
    <w:pPr>
      <w:ind w:left="200" w:hanging="200" w:hangingChars="200"/>
    </w:pPr>
  </w:style>
  <w:style w:type="paragraph" w:styleId="24">
    <w:name w:val="Body Text Indent 3"/>
    <w:basedOn w:val="1"/>
    <w:link w:val="54"/>
    <w:autoRedefine/>
    <w:qFormat/>
    <w:uiPriority w:val="0"/>
    <w:pPr>
      <w:spacing w:line="288" w:lineRule="auto"/>
      <w:ind w:left="536" w:leftChars="207" w:hanging="101" w:hangingChars="48"/>
    </w:pPr>
    <w:rPr>
      <w:rFonts w:ascii="仿宋_GB2312" w:eastAsia="仿宋_GB2312"/>
      <w:kern w:val="0"/>
    </w:rPr>
  </w:style>
  <w:style w:type="paragraph" w:styleId="25">
    <w:name w:val="toc 2"/>
    <w:basedOn w:val="1"/>
    <w:next w:val="1"/>
    <w:autoRedefine/>
    <w:qFormat/>
    <w:uiPriority w:val="39"/>
    <w:pPr>
      <w:tabs>
        <w:tab w:val="left" w:pos="1260"/>
        <w:tab w:val="right" w:leader="dot" w:pos="9142"/>
        <w:tab w:val="right" w:leader="dot" w:pos="9180"/>
      </w:tabs>
      <w:snapToGrid w:val="0"/>
      <w:spacing w:line="360" w:lineRule="auto"/>
    </w:pPr>
    <w:rPr>
      <w:rFonts w:ascii="仿宋_GB2312" w:hAnsi="宋体" w:eastAsia="仿宋_GB2312"/>
      <w:b/>
      <w:bCs/>
      <w:color w:val="000000"/>
      <w:sz w:val="30"/>
      <w:szCs w:val="30"/>
    </w:rPr>
  </w:style>
  <w:style w:type="paragraph" w:styleId="26">
    <w:name w:val="Body Text 2"/>
    <w:basedOn w:val="1"/>
    <w:link w:val="55"/>
    <w:autoRedefine/>
    <w:qFormat/>
    <w:uiPriority w:val="0"/>
    <w:pPr>
      <w:spacing w:after="120" w:line="480" w:lineRule="auto"/>
    </w:pPr>
    <w:rPr>
      <w:rFonts w:ascii="等线" w:hAnsi="等线" w:eastAsia="等线"/>
      <w:kern w:val="0"/>
      <w:sz w:val="20"/>
    </w:rPr>
  </w:style>
  <w:style w:type="paragraph" w:styleId="27">
    <w:name w:val="Normal (Web)"/>
    <w:basedOn w:val="1"/>
    <w:autoRedefine/>
    <w:qFormat/>
    <w:uiPriority w:val="0"/>
    <w:pPr>
      <w:widowControl/>
      <w:spacing w:before="100" w:beforeAutospacing="1" w:after="100" w:afterAutospacing="1"/>
      <w:jc w:val="left"/>
    </w:pPr>
    <w:rPr>
      <w:rFonts w:ascii="宋体" w:hAnsi="宋体" w:cs="宋体"/>
      <w:color w:val="000000"/>
      <w:kern w:val="0"/>
      <w:sz w:val="24"/>
    </w:rPr>
  </w:style>
  <w:style w:type="paragraph" w:styleId="28">
    <w:name w:val="Title"/>
    <w:basedOn w:val="1"/>
    <w:next w:val="1"/>
    <w:link w:val="56"/>
    <w:autoRedefine/>
    <w:qFormat/>
    <w:uiPriority w:val="0"/>
    <w:pPr>
      <w:spacing w:before="240" w:after="60"/>
      <w:jc w:val="center"/>
      <w:outlineLvl w:val="0"/>
    </w:pPr>
    <w:rPr>
      <w:rFonts w:ascii="Arial" w:hAnsi="Arial"/>
      <w:b/>
      <w:bCs/>
      <w:kern w:val="0"/>
      <w:sz w:val="44"/>
      <w:szCs w:val="32"/>
    </w:rPr>
  </w:style>
  <w:style w:type="paragraph" w:styleId="29">
    <w:name w:val="annotation subject"/>
    <w:basedOn w:val="10"/>
    <w:next w:val="10"/>
    <w:link w:val="57"/>
    <w:autoRedefine/>
    <w:semiHidden/>
    <w:qFormat/>
    <w:uiPriority w:val="0"/>
    <w:rPr>
      <w:b/>
      <w:bCs/>
    </w:rPr>
  </w:style>
  <w:style w:type="table" w:styleId="31">
    <w:name w:val="Table Grid"/>
    <w:basedOn w:val="30"/>
    <w:autoRedefine/>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
    <w:name w:val="Table Web 1"/>
    <w:basedOn w:val="30"/>
    <w:autoRedefine/>
    <w:qFormat/>
    <w:uiPriority w:val="0"/>
    <w:pPr>
      <w:widowControl w:val="0"/>
      <w:spacing w:line="600" w:lineRule="exact"/>
      <w:jc w:val="both"/>
    </w:pPr>
    <w:rPr>
      <w:rFonts w:ascii="Times New Roman" w:hAnsi="Times New Roman" w:eastAsia="宋体" w:cs="Times New Roman"/>
      <w:kern w:val="0"/>
      <w:sz w:val="20"/>
      <w:szCs w:val="20"/>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character" w:styleId="34">
    <w:name w:val="Strong"/>
    <w:autoRedefine/>
    <w:qFormat/>
    <w:uiPriority w:val="0"/>
    <w:rPr>
      <w:b/>
      <w:bCs/>
    </w:rPr>
  </w:style>
  <w:style w:type="character" w:styleId="35">
    <w:name w:val="page number"/>
    <w:basedOn w:val="33"/>
    <w:autoRedefine/>
    <w:qFormat/>
    <w:uiPriority w:val="0"/>
  </w:style>
  <w:style w:type="character" w:styleId="36">
    <w:name w:val="Hyperlink"/>
    <w:autoRedefine/>
    <w:qFormat/>
    <w:uiPriority w:val="99"/>
    <w:rPr>
      <w:color w:val="0000FF"/>
      <w:u w:val="single"/>
    </w:rPr>
  </w:style>
  <w:style w:type="character" w:styleId="37">
    <w:name w:val="annotation reference"/>
    <w:autoRedefine/>
    <w:semiHidden/>
    <w:qFormat/>
    <w:uiPriority w:val="0"/>
    <w:rPr>
      <w:sz w:val="21"/>
      <w:szCs w:val="21"/>
    </w:rPr>
  </w:style>
  <w:style w:type="character" w:customStyle="1" w:styleId="38">
    <w:name w:val="标题 2 Char"/>
    <w:link w:val="3"/>
    <w:autoRedefine/>
    <w:qFormat/>
    <w:uiPriority w:val="0"/>
    <w:rPr>
      <w:rFonts w:ascii="Arial" w:hAnsi="Arial" w:eastAsia="宋体" w:cs="Times New Roman"/>
      <w:b/>
      <w:bCs/>
      <w:sz w:val="28"/>
      <w:szCs w:val="32"/>
    </w:rPr>
  </w:style>
  <w:style w:type="character" w:customStyle="1" w:styleId="39">
    <w:name w:val="标题 1 Char"/>
    <w:link w:val="2"/>
    <w:autoRedefine/>
    <w:qFormat/>
    <w:uiPriority w:val="0"/>
    <w:rPr>
      <w:rFonts w:ascii="Times New Roman" w:hAnsi="Times New Roman" w:eastAsia="宋体" w:cs="Times New Roman"/>
      <w:b/>
      <w:bCs/>
      <w:kern w:val="44"/>
      <w:sz w:val="36"/>
      <w:szCs w:val="44"/>
    </w:rPr>
  </w:style>
  <w:style w:type="character" w:customStyle="1" w:styleId="40">
    <w:name w:val="标题 3 Char"/>
    <w:link w:val="4"/>
    <w:autoRedefine/>
    <w:qFormat/>
    <w:uiPriority w:val="9"/>
    <w:rPr>
      <w:rFonts w:ascii="Times New Roman" w:hAnsi="Times New Roman" w:eastAsia="宋体" w:cs="Times New Roman"/>
      <w:b/>
      <w:bCs/>
      <w:sz w:val="32"/>
      <w:szCs w:val="32"/>
    </w:rPr>
  </w:style>
  <w:style w:type="character" w:customStyle="1" w:styleId="41">
    <w:name w:val="标题 4 Char"/>
    <w:link w:val="5"/>
    <w:autoRedefine/>
    <w:qFormat/>
    <w:uiPriority w:val="0"/>
    <w:rPr>
      <w:rFonts w:ascii="Arial" w:hAnsi="Arial" w:eastAsia="黑体" w:cs="Times New Roman"/>
      <w:b/>
      <w:bCs/>
      <w:sz w:val="28"/>
      <w:szCs w:val="28"/>
    </w:rPr>
  </w:style>
  <w:style w:type="character" w:customStyle="1" w:styleId="42">
    <w:name w:val="正文缩进 Char"/>
    <w:link w:val="7"/>
    <w:autoRedefine/>
    <w:qFormat/>
    <w:uiPriority w:val="0"/>
    <w:rPr>
      <w:rFonts w:eastAsia="宋体"/>
      <w:sz w:val="28"/>
    </w:rPr>
  </w:style>
  <w:style w:type="character" w:customStyle="1" w:styleId="43">
    <w:name w:val="文档结构图 Char"/>
    <w:link w:val="9"/>
    <w:autoRedefine/>
    <w:semiHidden/>
    <w:qFormat/>
    <w:uiPriority w:val="0"/>
    <w:rPr>
      <w:rFonts w:ascii="Times New Roman" w:hAnsi="Times New Roman" w:eastAsia="宋体" w:cs="Times New Roman"/>
      <w:sz w:val="28"/>
      <w:szCs w:val="24"/>
      <w:shd w:val="clear" w:color="auto" w:fill="000080"/>
    </w:rPr>
  </w:style>
  <w:style w:type="character" w:customStyle="1" w:styleId="44">
    <w:name w:val="批注文字 Char"/>
    <w:link w:val="10"/>
    <w:autoRedefine/>
    <w:semiHidden/>
    <w:qFormat/>
    <w:uiPriority w:val="0"/>
    <w:rPr>
      <w:rFonts w:ascii="Times New Roman" w:hAnsi="Times New Roman" w:eastAsia="宋体" w:cs="Times New Roman"/>
      <w:sz w:val="28"/>
      <w:szCs w:val="24"/>
    </w:rPr>
  </w:style>
  <w:style w:type="character" w:customStyle="1" w:styleId="45">
    <w:name w:val="正文文本 3 Char"/>
    <w:link w:val="11"/>
    <w:autoRedefine/>
    <w:qFormat/>
    <w:uiPriority w:val="0"/>
    <w:rPr>
      <w:sz w:val="16"/>
      <w:szCs w:val="16"/>
    </w:rPr>
  </w:style>
  <w:style w:type="character" w:customStyle="1" w:styleId="46">
    <w:name w:val="正文文本 Char"/>
    <w:link w:val="12"/>
    <w:autoRedefine/>
    <w:qFormat/>
    <w:uiPriority w:val="0"/>
    <w:rPr>
      <w:rFonts w:ascii="仿宋_GB2312" w:hAnsi="Times New Roman" w:eastAsia="仿宋_GB2312" w:cs="Times New Roman"/>
      <w:sz w:val="28"/>
      <w:szCs w:val="24"/>
    </w:rPr>
  </w:style>
  <w:style w:type="character" w:customStyle="1" w:styleId="47">
    <w:name w:val="正文文本缩进 Char"/>
    <w:link w:val="13"/>
    <w:autoRedefine/>
    <w:qFormat/>
    <w:uiPriority w:val="0"/>
    <w:rPr>
      <w:rFonts w:ascii="仿宋_GB2312" w:hAnsi="Times New Roman" w:eastAsia="仿宋_GB2312" w:cs="Times New Roman"/>
      <w:sz w:val="28"/>
      <w:szCs w:val="21"/>
    </w:rPr>
  </w:style>
  <w:style w:type="character" w:customStyle="1" w:styleId="48">
    <w:name w:val="纯文本 Char"/>
    <w:link w:val="16"/>
    <w:autoRedefine/>
    <w:qFormat/>
    <w:uiPriority w:val="0"/>
    <w:rPr>
      <w:rFonts w:ascii="宋体" w:hAnsi="Courier New" w:eastAsia="宋体" w:cs="Courier New"/>
      <w:sz w:val="28"/>
      <w:szCs w:val="21"/>
    </w:rPr>
  </w:style>
  <w:style w:type="character" w:customStyle="1" w:styleId="49">
    <w:name w:val="日期 Char"/>
    <w:link w:val="17"/>
    <w:autoRedefine/>
    <w:qFormat/>
    <w:uiPriority w:val="0"/>
    <w:rPr>
      <w:rFonts w:ascii="Times New Roman" w:hAnsi="Times New Roman" w:eastAsia="宋体" w:cs="Times New Roman"/>
      <w:sz w:val="28"/>
      <w:szCs w:val="24"/>
    </w:rPr>
  </w:style>
  <w:style w:type="character" w:customStyle="1" w:styleId="50">
    <w:name w:val="正文文本缩进 2 Char"/>
    <w:link w:val="18"/>
    <w:autoRedefine/>
    <w:qFormat/>
    <w:uiPriority w:val="0"/>
    <w:rPr>
      <w:rFonts w:ascii="仿宋_GB2312" w:hAnsi="Times New Roman" w:eastAsia="仿宋_GB2312" w:cs="Times New Roman"/>
      <w:sz w:val="28"/>
      <w:szCs w:val="21"/>
    </w:rPr>
  </w:style>
  <w:style w:type="character" w:customStyle="1" w:styleId="51">
    <w:name w:val="批注框文本 Char"/>
    <w:link w:val="19"/>
    <w:autoRedefine/>
    <w:semiHidden/>
    <w:qFormat/>
    <w:uiPriority w:val="0"/>
    <w:rPr>
      <w:rFonts w:ascii="Times New Roman" w:hAnsi="Times New Roman" w:eastAsia="宋体" w:cs="Times New Roman"/>
      <w:sz w:val="18"/>
      <w:szCs w:val="18"/>
    </w:rPr>
  </w:style>
  <w:style w:type="character" w:customStyle="1" w:styleId="52">
    <w:name w:val="页脚 Char"/>
    <w:link w:val="20"/>
    <w:autoRedefine/>
    <w:qFormat/>
    <w:uiPriority w:val="99"/>
    <w:rPr>
      <w:rFonts w:eastAsia="宋体"/>
      <w:sz w:val="18"/>
      <w:szCs w:val="18"/>
    </w:rPr>
  </w:style>
  <w:style w:type="character" w:customStyle="1" w:styleId="53">
    <w:name w:val="页眉 Char"/>
    <w:link w:val="21"/>
    <w:autoRedefine/>
    <w:qFormat/>
    <w:uiPriority w:val="99"/>
    <w:rPr>
      <w:rFonts w:eastAsia="宋体"/>
      <w:sz w:val="18"/>
    </w:rPr>
  </w:style>
  <w:style w:type="character" w:customStyle="1" w:styleId="54">
    <w:name w:val="正文文本缩进 3 Char"/>
    <w:link w:val="24"/>
    <w:autoRedefine/>
    <w:qFormat/>
    <w:uiPriority w:val="0"/>
    <w:rPr>
      <w:rFonts w:ascii="仿宋_GB2312" w:hAnsi="Times New Roman" w:eastAsia="仿宋_GB2312" w:cs="Times New Roman"/>
      <w:sz w:val="28"/>
      <w:szCs w:val="24"/>
    </w:rPr>
  </w:style>
  <w:style w:type="character" w:customStyle="1" w:styleId="55">
    <w:name w:val="正文文本 2 Char"/>
    <w:link w:val="26"/>
    <w:autoRedefine/>
    <w:qFormat/>
    <w:uiPriority w:val="0"/>
    <w:rPr>
      <w:szCs w:val="24"/>
    </w:rPr>
  </w:style>
  <w:style w:type="character" w:customStyle="1" w:styleId="56">
    <w:name w:val="标题 Char"/>
    <w:link w:val="28"/>
    <w:autoRedefine/>
    <w:qFormat/>
    <w:uiPriority w:val="0"/>
    <w:rPr>
      <w:rFonts w:ascii="Arial" w:hAnsi="Arial" w:eastAsia="宋体" w:cs="Arial"/>
      <w:b/>
      <w:bCs/>
      <w:sz w:val="44"/>
      <w:szCs w:val="32"/>
    </w:rPr>
  </w:style>
  <w:style w:type="character" w:customStyle="1" w:styleId="57">
    <w:name w:val="批注主题 Char"/>
    <w:link w:val="29"/>
    <w:autoRedefine/>
    <w:semiHidden/>
    <w:qFormat/>
    <w:uiPriority w:val="0"/>
    <w:rPr>
      <w:rFonts w:ascii="Times New Roman" w:hAnsi="Times New Roman" w:eastAsia="宋体" w:cs="Times New Roman"/>
      <w:b/>
      <w:bCs/>
      <w:sz w:val="28"/>
      <w:szCs w:val="24"/>
    </w:rPr>
  </w:style>
  <w:style w:type="character" w:customStyle="1" w:styleId="58">
    <w:name w:val="标准 正文 QJJ Char Char"/>
    <w:link w:val="59"/>
    <w:autoRedefine/>
    <w:qFormat/>
    <w:uiPriority w:val="0"/>
    <w:rPr>
      <w:rFonts w:ascii="宋体" w:hAnsi="Arial" w:eastAsia="宋体" w:cs="宋体"/>
      <w:sz w:val="24"/>
      <w:szCs w:val="24"/>
    </w:rPr>
  </w:style>
  <w:style w:type="paragraph" w:customStyle="1" w:styleId="59">
    <w:name w:val="标准 正文 QJJ"/>
    <w:basedOn w:val="1"/>
    <w:link w:val="58"/>
    <w:autoRedefine/>
    <w:qFormat/>
    <w:uiPriority w:val="0"/>
    <w:pPr>
      <w:spacing w:line="520" w:lineRule="exact"/>
      <w:ind w:firstLine="480" w:firstLineChars="200"/>
    </w:pPr>
    <w:rPr>
      <w:rFonts w:ascii="宋体" w:hAnsi="Arial"/>
      <w:kern w:val="0"/>
      <w:sz w:val="24"/>
    </w:rPr>
  </w:style>
  <w:style w:type="character" w:customStyle="1" w:styleId="60">
    <w:name w:val="纯文本 Char1"/>
    <w:autoRedefine/>
    <w:semiHidden/>
    <w:qFormat/>
    <w:uiPriority w:val="99"/>
    <w:rPr>
      <w:rFonts w:ascii="宋体" w:hAnsi="Courier New" w:eastAsia="宋体" w:cs="Courier New"/>
      <w:szCs w:val="21"/>
    </w:rPr>
  </w:style>
  <w:style w:type="character" w:customStyle="1" w:styleId="61">
    <w:name w:val="正文文本 2 Char1"/>
    <w:autoRedefine/>
    <w:semiHidden/>
    <w:qFormat/>
    <w:uiPriority w:val="99"/>
    <w:rPr>
      <w:rFonts w:ascii="Times New Roman" w:hAnsi="Times New Roman" w:eastAsia="宋体" w:cs="Times New Roman"/>
      <w:sz w:val="28"/>
      <w:szCs w:val="24"/>
    </w:rPr>
  </w:style>
  <w:style w:type="character" w:customStyle="1" w:styleId="62">
    <w:name w:val="纯文本 字符"/>
    <w:autoRedefine/>
    <w:qFormat/>
    <w:uiPriority w:val="0"/>
    <w:rPr>
      <w:rFonts w:ascii="宋体" w:hAnsi="Courier New" w:eastAsia="宋体"/>
      <w:kern w:val="2"/>
      <w:sz w:val="21"/>
      <w:szCs w:val="21"/>
      <w:lang w:val="en-US" w:eastAsia="zh-CN" w:bidi="ar-SA"/>
    </w:rPr>
  </w:style>
  <w:style w:type="character" w:customStyle="1" w:styleId="63">
    <w:name w:val="页脚 Char1"/>
    <w:autoRedefine/>
    <w:semiHidden/>
    <w:qFormat/>
    <w:uiPriority w:val="99"/>
    <w:rPr>
      <w:rFonts w:ascii="Times New Roman" w:hAnsi="Times New Roman" w:eastAsia="宋体" w:cs="Times New Roman"/>
      <w:sz w:val="18"/>
      <w:szCs w:val="18"/>
    </w:rPr>
  </w:style>
  <w:style w:type="character" w:customStyle="1" w:styleId="64">
    <w:name w:val="正文缩进 Char1"/>
    <w:autoRedefine/>
    <w:qFormat/>
    <w:uiPriority w:val="0"/>
    <w:rPr>
      <w:rFonts w:eastAsia="宋体"/>
      <w:kern w:val="2"/>
      <w:sz w:val="21"/>
      <w:lang w:val="en-US" w:eastAsia="zh-CN" w:bidi="ar-SA"/>
    </w:rPr>
  </w:style>
  <w:style w:type="character" w:customStyle="1" w:styleId="65">
    <w:name w:val="未处理的提及"/>
    <w:autoRedefine/>
    <w:unhideWhenUsed/>
    <w:qFormat/>
    <w:uiPriority w:val="99"/>
    <w:rPr>
      <w:color w:val="605E5C"/>
      <w:shd w:val="clear" w:color="auto" w:fill="E1DFDD"/>
    </w:rPr>
  </w:style>
  <w:style w:type="character" w:customStyle="1" w:styleId="66">
    <w:name w:val="medium_text1"/>
    <w:autoRedefine/>
    <w:qFormat/>
    <w:uiPriority w:val="0"/>
    <w:rPr>
      <w:rFonts w:ascii="Tahoma" w:hAnsi="Tahoma"/>
      <w:sz w:val="24"/>
      <w:szCs w:val="24"/>
    </w:rPr>
  </w:style>
  <w:style w:type="character" w:customStyle="1" w:styleId="67">
    <w:name w:val="页眉 Char1"/>
    <w:autoRedefine/>
    <w:semiHidden/>
    <w:qFormat/>
    <w:uiPriority w:val="99"/>
    <w:rPr>
      <w:rFonts w:ascii="Times New Roman" w:hAnsi="Times New Roman" w:eastAsia="宋体" w:cs="Times New Roman"/>
      <w:sz w:val="18"/>
      <w:szCs w:val="18"/>
    </w:rPr>
  </w:style>
  <w:style w:type="character" w:customStyle="1" w:styleId="68">
    <w:name w:val="正文文本 3 Char1"/>
    <w:autoRedefine/>
    <w:semiHidden/>
    <w:qFormat/>
    <w:uiPriority w:val="99"/>
    <w:rPr>
      <w:rFonts w:ascii="Times New Roman" w:hAnsi="Times New Roman" w:eastAsia="宋体" w:cs="Times New Roman"/>
      <w:sz w:val="16"/>
      <w:szCs w:val="16"/>
    </w:rPr>
  </w:style>
  <w:style w:type="paragraph" w:customStyle="1" w:styleId="69">
    <w:name w:val="Char Char6 Char Char2"/>
    <w:basedOn w:val="1"/>
    <w:autoRedefine/>
    <w:qFormat/>
    <w:uiPriority w:val="0"/>
    <w:pPr>
      <w:spacing w:line="240" w:lineRule="auto"/>
    </w:pPr>
    <w:rPr>
      <w:sz w:val="21"/>
    </w:rPr>
  </w:style>
  <w:style w:type="paragraph" w:customStyle="1" w:styleId="70">
    <w:name w:val="Char Char Char1 Char"/>
    <w:basedOn w:val="1"/>
    <w:autoRedefine/>
    <w:qFormat/>
    <w:uiPriority w:val="0"/>
  </w:style>
  <w:style w:type="paragraph" w:customStyle="1" w:styleId="71">
    <w:name w:val="格式10"/>
    <w:basedOn w:val="1"/>
    <w:autoRedefine/>
    <w:qFormat/>
    <w:uiPriority w:val="0"/>
    <w:pPr>
      <w:spacing w:line="360" w:lineRule="exact"/>
      <w:ind w:left="480"/>
    </w:pPr>
    <w:rPr>
      <w:sz w:val="24"/>
    </w:rPr>
  </w:style>
  <w:style w:type="paragraph" w:customStyle="1" w:styleId="72">
    <w:name w:val="格式1"/>
    <w:basedOn w:val="1"/>
    <w:autoRedefine/>
    <w:qFormat/>
    <w:uiPriority w:val="0"/>
    <w:pPr>
      <w:spacing w:beforeLines="50"/>
      <w:jc w:val="center"/>
    </w:pPr>
    <w:rPr>
      <w:rFonts w:ascii="黑体" w:hAnsi="宋体" w:eastAsia="黑体"/>
      <w:b/>
      <w:bCs/>
      <w:color w:val="000000"/>
      <w:sz w:val="32"/>
      <w:szCs w:val="20"/>
    </w:rPr>
  </w:style>
  <w:style w:type="paragraph" w:customStyle="1" w:styleId="73">
    <w:name w:val="列出段落"/>
    <w:basedOn w:val="1"/>
    <w:autoRedefine/>
    <w:qFormat/>
    <w:uiPriority w:val="0"/>
    <w:pPr>
      <w:ind w:firstLine="420" w:firstLineChars="200"/>
    </w:pPr>
    <w:rPr>
      <w:rFonts w:ascii="Calibri" w:hAnsi="Calibri"/>
      <w:szCs w:val="22"/>
    </w:rPr>
  </w:style>
  <w:style w:type="paragraph" w:customStyle="1" w:styleId="74">
    <w:name w:val="Char1"/>
    <w:basedOn w:val="1"/>
    <w:autoRedefine/>
    <w:qFormat/>
    <w:uiPriority w:val="0"/>
    <w:pPr>
      <w:spacing w:line="240" w:lineRule="auto"/>
    </w:pPr>
    <w:rPr>
      <w:sz w:val="21"/>
    </w:rPr>
  </w:style>
  <w:style w:type="paragraph" w:customStyle="1" w:styleId="75">
    <w:name w:val="默认段落字体 Para Char Char Char Char"/>
    <w:basedOn w:val="1"/>
    <w:autoRedefine/>
    <w:qFormat/>
    <w:uiPriority w:val="0"/>
    <w:pPr>
      <w:spacing w:line="240" w:lineRule="auto"/>
    </w:pPr>
    <w:rPr>
      <w:sz w:val="21"/>
    </w:rPr>
  </w:style>
  <w:style w:type="paragraph" w:customStyle="1" w:styleId="76">
    <w:name w:val="Char Char6 Char Char"/>
    <w:basedOn w:val="1"/>
    <w:autoRedefine/>
    <w:qFormat/>
    <w:uiPriority w:val="0"/>
    <w:pPr>
      <w:spacing w:line="240" w:lineRule="auto"/>
    </w:pPr>
    <w:rPr>
      <w:sz w:val="21"/>
    </w:rPr>
  </w:style>
  <w:style w:type="paragraph" w:customStyle="1" w:styleId="77">
    <w:name w:val="TOC 标题"/>
    <w:basedOn w:val="2"/>
    <w:next w:val="1"/>
    <w:autoRedefine/>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78">
    <w:name w:val="Char Char6 Char Char1"/>
    <w:basedOn w:val="1"/>
    <w:autoRedefine/>
    <w:qFormat/>
    <w:uiPriority w:val="0"/>
    <w:pPr>
      <w:spacing w:line="240" w:lineRule="auto"/>
    </w:pPr>
    <w:rPr>
      <w:sz w:val="21"/>
    </w:rPr>
  </w:style>
  <w:style w:type="paragraph" w:customStyle="1" w:styleId="79">
    <w:name w:val="标题3"/>
    <w:basedOn w:val="4"/>
    <w:autoRedefine/>
    <w:qFormat/>
    <w:uiPriority w:val="0"/>
    <w:pPr>
      <w:adjustRightInd w:val="0"/>
      <w:snapToGrid w:val="0"/>
      <w:spacing w:beforeLines="100" w:afterLines="100" w:line="240" w:lineRule="auto"/>
      <w:jc w:val="center"/>
    </w:pPr>
    <w:rPr>
      <w:rFonts w:eastAsia="黑体"/>
      <w:sz w:val="28"/>
      <w:szCs w:val="20"/>
    </w:rPr>
  </w:style>
  <w:style w:type="paragraph" w:customStyle="1" w:styleId="80">
    <w:name w:val="_Style 37"/>
    <w:basedOn w:val="1"/>
    <w:autoRedefine/>
    <w:qFormat/>
    <w:uiPriority w:val="0"/>
    <w:pPr>
      <w:spacing w:line="240" w:lineRule="auto"/>
    </w:pPr>
    <w:rPr>
      <w:sz w:val="21"/>
    </w:rPr>
  </w:style>
  <w:style w:type="paragraph" w:customStyle="1" w:styleId="81">
    <w:name w:val="列出段落1"/>
    <w:basedOn w:val="1"/>
    <w:autoRedefine/>
    <w:qFormat/>
    <w:uiPriority w:val="34"/>
    <w:pPr>
      <w:ind w:firstLine="420" w:firstLineChars="200"/>
    </w:pPr>
  </w:style>
  <w:style w:type="paragraph" w:customStyle="1" w:styleId="82">
    <w:name w:val="格式4"/>
    <w:basedOn w:val="1"/>
    <w:autoRedefine/>
    <w:qFormat/>
    <w:uiPriority w:val="0"/>
    <w:pPr>
      <w:spacing w:line="420" w:lineRule="exact"/>
      <w:ind w:left="990" w:leftChars="300" w:hanging="360" w:hangingChars="150"/>
    </w:pPr>
    <w:rPr>
      <w:rFonts w:ascii="宋体" w:hAnsi="宋体"/>
      <w:color w:val="000000"/>
      <w:sz w:val="24"/>
      <w:szCs w:val="20"/>
    </w:rPr>
  </w:style>
  <w:style w:type="paragraph" w:customStyle="1" w:styleId="83">
    <w:name w:val="Char Char Char Char Char Char Char"/>
    <w:basedOn w:val="1"/>
    <w:autoRedefine/>
    <w:qFormat/>
    <w:uiPriority w:val="0"/>
    <w:pPr>
      <w:spacing w:line="240" w:lineRule="auto"/>
    </w:pPr>
    <w:rPr>
      <w:szCs w:val="20"/>
    </w:rPr>
  </w:style>
  <w:style w:type="paragraph" w:customStyle="1" w:styleId="84">
    <w:name w:val="Char Char Char Char Char Char Char Char Char Char Char Char Char Char Char Char Char Char Char Char Char Char Char Char Char"/>
    <w:basedOn w:val="1"/>
    <w:autoRedefine/>
    <w:qFormat/>
    <w:uiPriority w:val="0"/>
    <w:pPr>
      <w:spacing w:line="240" w:lineRule="auto"/>
    </w:pPr>
    <w:rPr>
      <w:sz w:val="21"/>
    </w:rPr>
  </w:style>
  <w:style w:type="paragraph" w:customStyle="1" w:styleId="85">
    <w:name w:val="1"/>
    <w:basedOn w:val="1"/>
    <w:autoRedefine/>
    <w:qFormat/>
    <w:uiPriority w:val="0"/>
    <w:pPr>
      <w:adjustRightInd w:val="0"/>
      <w:spacing w:before="360" w:after="240" w:line="420" w:lineRule="atLeast"/>
      <w:ind w:firstLine="454"/>
      <w:textAlignment w:val="baseline"/>
    </w:pPr>
    <w:rPr>
      <w:b/>
      <w:kern w:val="0"/>
      <w:szCs w:val="20"/>
    </w:rPr>
  </w:style>
  <w:style w:type="paragraph" w:customStyle="1" w:styleId="86">
    <w:name w:val="样式1"/>
    <w:basedOn w:val="25"/>
    <w:autoRedefine/>
    <w:qFormat/>
    <w:uiPriority w:val="0"/>
    <w:pPr>
      <w:spacing w:line="600" w:lineRule="exact"/>
      <w:ind w:left="200" w:leftChars="200"/>
    </w:pPr>
    <w:rPr>
      <w:rFonts w:ascii="宋体" w:eastAsia="宋体"/>
      <w:b w:val="0"/>
    </w:rPr>
  </w:style>
  <w:style w:type="paragraph" w:customStyle="1" w:styleId="87">
    <w:name w:val="格式３"/>
    <w:basedOn w:val="1"/>
    <w:autoRedefine/>
    <w:qFormat/>
    <w:uiPriority w:val="0"/>
    <w:pPr>
      <w:spacing w:line="420" w:lineRule="exact"/>
      <w:ind w:left="600" w:hanging="600" w:hangingChars="250"/>
    </w:pPr>
    <w:rPr>
      <w:rFonts w:ascii="宋体" w:hAnsi="宋体"/>
      <w:color w:val="000000"/>
      <w:sz w:val="24"/>
      <w:szCs w:val="20"/>
    </w:rPr>
  </w:style>
  <w:style w:type="paragraph" w:customStyle="1" w:styleId="88">
    <w:name w:val="标题 2 + Times New Roman 居中 段前: 0 磅 段后: 0 磅 行距: 单倍行距 + 段前..."/>
    <w:basedOn w:val="3"/>
    <w:autoRedefine/>
    <w:qFormat/>
    <w:uiPriority w:val="0"/>
  </w:style>
  <w:style w:type="paragraph" w:customStyle="1" w:styleId="89">
    <w:name w:val="Char Char3 Char Char Char Char Char Char"/>
    <w:basedOn w:val="1"/>
    <w:autoRedefine/>
    <w:qFormat/>
    <w:uiPriority w:val="0"/>
    <w:pPr>
      <w:spacing w:line="240" w:lineRule="auto"/>
    </w:pPr>
    <w:rPr>
      <w:sz w:val="21"/>
    </w:rPr>
  </w:style>
  <w:style w:type="paragraph" w:customStyle="1" w:styleId="90">
    <w:name w:val="简单回函地址"/>
    <w:basedOn w:val="1"/>
    <w:autoRedefine/>
    <w:qFormat/>
    <w:uiPriority w:val="0"/>
  </w:style>
  <w:style w:type="paragraph" w:customStyle="1" w:styleId="91">
    <w:name w:val="Default"/>
    <w:autoRedefine/>
    <w:qFormat/>
    <w:uiPriority w:val="0"/>
    <w:pPr>
      <w:widowControl w:val="0"/>
      <w:autoSpaceDE w:val="0"/>
      <w:autoSpaceDN w:val="0"/>
      <w:adjustRightInd w:val="0"/>
    </w:pPr>
    <w:rPr>
      <w:rFonts w:ascii="宋体" w:hAnsi="等线" w:eastAsia="宋体" w:cs="宋体"/>
      <w:color w:val="000000"/>
      <w:sz w:val="24"/>
      <w:szCs w:val="24"/>
      <w:lang w:val="en-US" w:eastAsia="zh-CN" w:bidi="ar-SA"/>
    </w:rPr>
  </w:style>
  <w:style w:type="paragraph" w:customStyle="1" w:styleId="92">
    <w:name w:val="表头"/>
    <w:basedOn w:val="1"/>
    <w:autoRedefine/>
    <w:qFormat/>
    <w:uiPriority w:val="0"/>
    <w:pPr>
      <w:spacing w:before="120" w:after="120" w:line="60" w:lineRule="atLeast"/>
      <w:jc w:val="center"/>
    </w:pPr>
    <w:rPr>
      <w:sz w:val="24"/>
      <w:szCs w:val="20"/>
    </w:rPr>
  </w:style>
  <w:style w:type="paragraph" w:customStyle="1" w:styleId="93">
    <w:name w:val="Table Text"/>
    <w:basedOn w:val="1"/>
    <w:autoRedefine/>
    <w:semiHidden/>
    <w:qFormat/>
    <w:uiPriority w:val="0"/>
    <w:rPr>
      <w:rFonts w:ascii="宋体" w:hAnsi="宋体" w:eastAsia="宋体" w:cs="宋体"/>
      <w:sz w:val="24"/>
      <w:szCs w:val="24"/>
      <w:lang w:val="en-US" w:eastAsia="en-US" w:bidi="ar-SA"/>
    </w:rPr>
  </w:style>
  <w:style w:type="table" w:customStyle="1" w:styleId="94">
    <w:name w:val="Table Normal"/>
    <w:autoRedefine/>
    <w:unhideWhenUsed/>
    <w:qFormat/>
    <w:uiPriority w:val="0"/>
    <w:rPr>
      <w:lang w:val="en-US" w:eastAsia="zh-CN" w:bidi="ar-SA"/>
    </w:rPr>
    <w:tblPr>
      <w:tblCellMar>
        <w:top w:w="0" w:type="dxa"/>
        <w:left w:w="0" w:type="dxa"/>
        <w:bottom w:w="0" w:type="dxa"/>
        <w:right w:w="0" w:type="dxa"/>
      </w:tblCellMar>
    </w:tblPr>
  </w:style>
  <w:style w:type="paragraph" w:customStyle="1" w:styleId="95">
    <w:name w:val="_Style 2"/>
    <w:basedOn w:val="1"/>
    <w:next w:val="1"/>
    <w:autoRedefine/>
    <w:qFormat/>
    <w:uiPriority w:val="0"/>
    <w:pPr>
      <w:pBdr>
        <w:bottom w:val="single" w:color="auto" w:sz="6" w:space="1"/>
      </w:pBdr>
      <w:jc w:val="center"/>
    </w:pPr>
    <w:rPr>
      <w:rFonts w:ascii="Arial" w:eastAsia="宋体"/>
      <w:vanish/>
      <w:sz w:val="16"/>
    </w:rPr>
  </w:style>
  <w:style w:type="paragraph" w:customStyle="1" w:styleId="96">
    <w:name w:val="_Style 3"/>
    <w:basedOn w:val="1"/>
    <w:next w:val="1"/>
    <w:autoRedefine/>
    <w:qFormat/>
    <w:uiPriority w:val="0"/>
    <w:pPr>
      <w:pBdr>
        <w:top w:val="single" w:color="auto" w:sz="6" w:space="1"/>
      </w:pBdr>
      <w:jc w:val="center"/>
    </w:pPr>
    <w:rPr>
      <w:rFonts w:ascii="Arial" w:eastAsia="宋体"/>
      <w:vanish/>
      <w:sz w:val="16"/>
    </w:rPr>
  </w:style>
  <w:style w:type="paragraph" w:customStyle="1" w:styleId="97">
    <w:name w:val="格式2"/>
    <w:autoRedefine/>
    <w:qFormat/>
    <w:uiPriority w:val="0"/>
    <w:pPr>
      <w:widowControl w:val="0"/>
      <w:adjustRightInd w:val="0"/>
      <w:snapToGrid w:val="0"/>
      <w:spacing w:before="50" w:line="440" w:lineRule="exact"/>
      <w:jc w:val="both"/>
    </w:pPr>
    <w:rPr>
      <w:rFonts w:ascii="Times New Roman" w:hAnsi="Times New Roman" w:eastAsia="宋体" w:cs="Times New Roman"/>
      <w:snapToGrid w:val="0"/>
      <w:sz w:val="24"/>
      <w:lang w:val="en-US" w:eastAsia="zh-CN" w:bidi="ar-SA"/>
    </w:rPr>
  </w:style>
  <w:style w:type="paragraph" w:customStyle="1" w:styleId="98">
    <w:name w:val="目录1"/>
    <w:basedOn w:val="1"/>
    <w:autoRedefine/>
    <w:qFormat/>
    <w:uiPriority w:val="0"/>
    <w:pPr>
      <w:adjustRightInd w:val="0"/>
      <w:spacing w:line="420" w:lineRule="atLeast"/>
      <w:textAlignment w:val="baseline"/>
    </w:pPr>
    <w:rPr>
      <w:rFonts w:eastAsia="黑体"/>
      <w:b/>
      <w:kern w:val="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26396</Words>
  <Characters>27797</Characters>
  <Lines>243</Lines>
  <Paragraphs>68</Paragraphs>
  <TotalTime>66</TotalTime>
  <ScaleCrop>false</ScaleCrop>
  <LinksUpToDate>false</LinksUpToDate>
  <CharactersWithSpaces>29233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2023-10-08T03:10:00Z</dcterms:created>
  <dc:creator>周晓卫</dc:creator>
  <cp:lastModifiedBy>小鹿</cp:lastModifiedBy>
  <cp:lastPrinted>2020-04-22T02:49:00Z</cp:lastPrinted>
  <dcterms:modified xsi:type="dcterms:W3CDTF">2024-07-29T07:13:37Z</dcterms:modified>
  <dc:title>宿连航道一期</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D0D01B08F282426C859803638B107CDA_13</vt:lpwstr>
  </property>
</Properties>
</file>