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color w:val="auto"/>
          <w:sz w:val="36"/>
          <w:szCs w:val="36"/>
          <w:highlight w:val="none"/>
        </w:rPr>
      </w:pPr>
    </w:p>
    <w:p w14:paraId="1CABD1ED">
      <w:pPr>
        <w:autoSpaceDE w:val="0"/>
        <w:autoSpaceDN w:val="0"/>
        <w:adjustRightInd w:val="0"/>
        <w:spacing w:line="1000" w:lineRule="exac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2025年度南通市公路事业发展中心应急演练项目</w:t>
      </w:r>
    </w:p>
    <w:p w14:paraId="42FAF2FB">
      <w:pPr>
        <w:pStyle w:val="2"/>
        <w:rPr>
          <w:rFonts w:ascii="宋体" w:hAnsi="宋体" w:cs="宋体"/>
          <w:color w:val="auto"/>
          <w:highlight w:val="none"/>
        </w:rPr>
      </w:pPr>
    </w:p>
    <w:p w14:paraId="05AC2C92">
      <w:pPr>
        <w:pStyle w:val="2"/>
        <w:rPr>
          <w:rFonts w:ascii="宋体" w:hAnsi="宋体" w:cs="宋体"/>
          <w:color w:val="auto"/>
          <w:highlight w:val="none"/>
        </w:rPr>
      </w:pPr>
    </w:p>
    <w:p w14:paraId="6C5B0957">
      <w:pPr>
        <w:tabs>
          <w:tab w:val="left" w:pos="6300"/>
        </w:tabs>
        <w:snapToGrid w:val="0"/>
        <w:spacing w:line="300" w:lineRule="auto"/>
        <w:jc w:val="center"/>
        <w:rPr>
          <w:rFonts w:ascii="宋体" w:hAnsi="宋体" w:cs="宋体"/>
          <w:b/>
          <w:color w:val="auto"/>
          <w:w w:val="80"/>
          <w:sz w:val="96"/>
          <w:szCs w:val="96"/>
          <w:highlight w:val="none"/>
        </w:rPr>
      </w:pPr>
      <w:r>
        <w:rPr>
          <w:rFonts w:hint="eastAsia" w:ascii="宋体" w:hAnsi="宋体" w:cs="宋体"/>
          <w:b/>
          <w:color w:val="auto"/>
          <w:w w:val="80"/>
          <w:sz w:val="96"/>
          <w:szCs w:val="96"/>
          <w:highlight w:val="none"/>
        </w:rPr>
        <w:t>竞争性磋商文件</w:t>
      </w:r>
    </w:p>
    <w:p w14:paraId="4D87F24F">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lang w:val="en-US" w:eastAsia="zh-CN"/>
        </w:rPr>
      </w:pPr>
      <w:r>
        <w:rPr>
          <w:rFonts w:hint="eastAsia" w:ascii="宋体" w:hAnsi="宋体" w:cs="宋体"/>
          <w:b/>
          <w:color w:val="auto"/>
          <w:w w:val="80"/>
          <w:sz w:val="32"/>
          <w:szCs w:val="32"/>
          <w:highlight w:val="none"/>
          <w:lang w:val="en-US" w:eastAsia="zh-CN"/>
        </w:rPr>
        <w:t>项目编号：2025YJYLZX</w:t>
      </w:r>
    </w:p>
    <w:p w14:paraId="36959DCD">
      <w:pPr>
        <w:tabs>
          <w:tab w:val="left" w:pos="6300"/>
        </w:tabs>
        <w:snapToGrid w:val="0"/>
        <w:spacing w:line="300" w:lineRule="auto"/>
        <w:ind w:firstLine="3087" w:firstLineChars="1200"/>
        <w:jc w:val="both"/>
        <w:rPr>
          <w:rFonts w:hint="default" w:ascii="宋体" w:hAnsi="宋体" w:eastAsia="宋体" w:cs="宋体"/>
          <w:b/>
          <w:color w:val="auto"/>
          <w:w w:val="80"/>
          <w:sz w:val="32"/>
          <w:szCs w:val="32"/>
          <w:highlight w:val="none"/>
          <w:lang w:val="en-US" w:eastAsia="zh-CN"/>
        </w:rPr>
      </w:pPr>
      <w:r>
        <w:rPr>
          <w:rFonts w:hint="eastAsia" w:ascii="宋体" w:hAnsi="宋体" w:cs="宋体"/>
          <w:b/>
          <w:color w:val="auto"/>
          <w:w w:val="80"/>
          <w:sz w:val="32"/>
          <w:szCs w:val="32"/>
          <w:highlight w:val="none"/>
        </w:rPr>
        <w:t>档案编号：</w:t>
      </w:r>
      <w:r>
        <w:rPr>
          <w:rFonts w:hint="eastAsia" w:ascii="宋体" w:hAnsi="宋体" w:cs="宋体"/>
          <w:b/>
          <w:color w:val="auto"/>
          <w:w w:val="80"/>
          <w:sz w:val="32"/>
          <w:szCs w:val="32"/>
          <w:highlight w:val="none"/>
          <w:lang w:val="en-US" w:eastAsia="zh-CN"/>
        </w:rPr>
        <w:t>20251901</w:t>
      </w:r>
    </w:p>
    <w:p w14:paraId="4784C0F7">
      <w:pPr>
        <w:tabs>
          <w:tab w:val="left" w:pos="6300"/>
        </w:tabs>
        <w:snapToGrid w:val="0"/>
        <w:spacing w:line="300" w:lineRule="auto"/>
        <w:ind w:firstLine="2830" w:firstLineChars="1100"/>
        <w:rPr>
          <w:rFonts w:ascii="宋体" w:hAnsi="宋体" w:cs="宋体"/>
          <w:b/>
          <w:snapToGrid w:val="0"/>
          <w:color w:val="auto"/>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color w:val="auto"/>
          <w:szCs w:val="21"/>
          <w:highlight w:val="none"/>
        </w:rPr>
      </w:pPr>
    </w:p>
    <w:p w14:paraId="075DEF2F">
      <w:pPr>
        <w:autoSpaceDE w:val="0"/>
        <w:autoSpaceDN w:val="0"/>
        <w:adjustRightInd w:val="0"/>
        <w:spacing w:line="360" w:lineRule="auto"/>
        <w:ind w:firstLine="420"/>
        <w:jc w:val="center"/>
        <w:rPr>
          <w:rFonts w:ascii="宋体" w:hAnsi="宋体" w:cs="宋体"/>
          <w:color w:val="auto"/>
          <w:szCs w:val="21"/>
          <w:highlight w:val="none"/>
        </w:rPr>
      </w:pPr>
    </w:p>
    <w:p w14:paraId="046A3A87">
      <w:pPr>
        <w:autoSpaceDE w:val="0"/>
        <w:autoSpaceDN w:val="0"/>
        <w:adjustRightInd w:val="0"/>
        <w:spacing w:line="360" w:lineRule="auto"/>
        <w:ind w:firstLine="420"/>
        <w:jc w:val="center"/>
        <w:rPr>
          <w:rFonts w:ascii="宋体" w:hAnsi="宋体" w:cs="宋体"/>
          <w:color w:val="auto"/>
          <w:szCs w:val="21"/>
          <w:highlight w:val="none"/>
        </w:rPr>
      </w:pPr>
    </w:p>
    <w:p w14:paraId="7A2C676B">
      <w:pPr>
        <w:autoSpaceDE w:val="0"/>
        <w:autoSpaceDN w:val="0"/>
        <w:adjustRightInd w:val="0"/>
        <w:spacing w:line="360" w:lineRule="auto"/>
        <w:ind w:firstLine="420"/>
        <w:jc w:val="center"/>
        <w:rPr>
          <w:rFonts w:ascii="宋体" w:hAnsi="宋体" w:cs="宋体"/>
          <w:color w:val="auto"/>
          <w:szCs w:val="21"/>
          <w:highlight w:val="none"/>
        </w:rPr>
      </w:pPr>
    </w:p>
    <w:p w14:paraId="3346916F">
      <w:pPr>
        <w:autoSpaceDE w:val="0"/>
        <w:autoSpaceDN w:val="0"/>
        <w:adjustRightInd w:val="0"/>
        <w:spacing w:line="360" w:lineRule="auto"/>
        <w:ind w:firstLine="420"/>
        <w:jc w:val="center"/>
        <w:rPr>
          <w:rFonts w:ascii="宋体" w:hAnsi="宋体" w:cs="宋体"/>
          <w:color w:val="auto"/>
          <w:szCs w:val="21"/>
          <w:highlight w:val="none"/>
        </w:rPr>
      </w:pPr>
    </w:p>
    <w:p w14:paraId="67C81B8C">
      <w:pPr>
        <w:autoSpaceDE w:val="0"/>
        <w:autoSpaceDN w:val="0"/>
        <w:adjustRightInd w:val="0"/>
        <w:spacing w:line="360" w:lineRule="auto"/>
        <w:ind w:firstLine="420"/>
        <w:jc w:val="center"/>
        <w:rPr>
          <w:rFonts w:ascii="宋体" w:hAnsi="宋体" w:cs="宋体"/>
          <w:color w:val="auto"/>
          <w:szCs w:val="21"/>
          <w:highlight w:val="none"/>
        </w:rPr>
      </w:pPr>
    </w:p>
    <w:p w14:paraId="18802255">
      <w:pPr>
        <w:autoSpaceDE w:val="0"/>
        <w:autoSpaceDN w:val="0"/>
        <w:adjustRightInd w:val="0"/>
        <w:spacing w:line="360" w:lineRule="auto"/>
        <w:ind w:firstLine="420"/>
        <w:jc w:val="center"/>
        <w:rPr>
          <w:rFonts w:ascii="宋体" w:hAnsi="宋体" w:cs="宋体"/>
          <w:color w:val="auto"/>
          <w:szCs w:val="21"/>
          <w:highlight w:val="none"/>
        </w:rPr>
      </w:pPr>
    </w:p>
    <w:p w14:paraId="47AF95AA">
      <w:pPr>
        <w:autoSpaceDE w:val="0"/>
        <w:autoSpaceDN w:val="0"/>
        <w:adjustRightInd w:val="0"/>
        <w:jc w:val="center"/>
        <w:rPr>
          <w:rFonts w:ascii="宋体" w:hAnsi="宋体" w:cs="宋体"/>
          <w:color w:val="auto"/>
          <w:szCs w:val="21"/>
          <w:highlight w:val="none"/>
        </w:rPr>
      </w:pPr>
    </w:p>
    <w:p w14:paraId="7ABA66A7">
      <w:pPr>
        <w:autoSpaceDE w:val="0"/>
        <w:autoSpaceDN w:val="0"/>
        <w:adjustRightInd w:val="0"/>
        <w:spacing w:line="360" w:lineRule="auto"/>
        <w:ind w:firstLine="420"/>
        <w:jc w:val="center"/>
        <w:rPr>
          <w:rFonts w:ascii="宋体" w:hAnsi="宋体" w:cs="宋体"/>
          <w:color w:val="auto"/>
          <w:szCs w:val="21"/>
          <w:highlight w:val="none"/>
        </w:rPr>
      </w:pPr>
    </w:p>
    <w:p w14:paraId="220D0DF3">
      <w:pPr>
        <w:autoSpaceDE w:val="0"/>
        <w:autoSpaceDN w:val="0"/>
        <w:adjustRightInd w:val="0"/>
        <w:spacing w:line="360" w:lineRule="auto"/>
        <w:ind w:firstLine="420"/>
        <w:jc w:val="center"/>
        <w:rPr>
          <w:rFonts w:ascii="宋体" w:hAnsi="宋体" w:cs="宋体"/>
          <w:color w:val="auto"/>
          <w:szCs w:val="21"/>
          <w:highlight w:val="none"/>
        </w:rPr>
      </w:pPr>
    </w:p>
    <w:p w14:paraId="2C27A476">
      <w:pPr>
        <w:autoSpaceDE w:val="0"/>
        <w:autoSpaceDN w:val="0"/>
        <w:adjustRightInd w:val="0"/>
        <w:spacing w:line="360" w:lineRule="auto"/>
        <w:rPr>
          <w:rFonts w:ascii="宋体" w:hAnsi="宋体" w:cs="宋体"/>
          <w:color w:val="auto"/>
          <w:szCs w:val="21"/>
          <w:highlight w:val="none"/>
        </w:rPr>
      </w:pPr>
    </w:p>
    <w:p w14:paraId="57A0D841">
      <w:pPr>
        <w:adjustRightInd w:val="0"/>
        <w:snapToGrid w:val="0"/>
        <w:spacing w:line="360" w:lineRule="auto"/>
        <w:ind w:firstLine="602" w:firstLineChars="200"/>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采购代理机构：江苏睿致诚工程咨询有限公司</w:t>
      </w:r>
    </w:p>
    <w:p w14:paraId="023EADAB">
      <w:pPr>
        <w:adjustRightInd w:val="0"/>
        <w:snapToGrid w:val="0"/>
        <w:spacing w:line="360" w:lineRule="auto"/>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2025年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14:paraId="743EA168">
      <w:pPr>
        <w:autoSpaceDE w:val="0"/>
        <w:autoSpaceDN w:val="0"/>
        <w:adjustRightInd w:val="0"/>
        <w:spacing w:line="360" w:lineRule="auto"/>
        <w:jc w:val="center"/>
        <w:outlineLvl w:val="0"/>
        <w:rPr>
          <w:rFonts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br w:type="page"/>
      </w:r>
      <w:r>
        <w:rPr>
          <w:rFonts w:hint="eastAsia" w:ascii="宋体" w:hAnsi="宋体" w:cs="宋体"/>
          <w:b/>
          <w:bCs/>
          <w:color w:val="auto"/>
          <w:sz w:val="44"/>
          <w:szCs w:val="44"/>
          <w:highlight w:val="none"/>
          <w:lang w:val="zh-CN"/>
        </w:rPr>
        <w:t>目   录</w:t>
      </w:r>
    </w:p>
    <w:p w14:paraId="45D8E3E1">
      <w:pPr>
        <w:autoSpaceDE w:val="0"/>
        <w:autoSpaceDN w:val="0"/>
        <w:adjustRightInd w:val="0"/>
        <w:spacing w:line="480" w:lineRule="auto"/>
        <w:ind w:firstLine="556"/>
        <w:rPr>
          <w:rFonts w:ascii="宋体" w:hAnsi="宋体" w:cs="宋体"/>
          <w:b/>
          <w:bCs/>
          <w:color w:val="auto"/>
          <w:sz w:val="32"/>
          <w:szCs w:val="32"/>
          <w:highlight w:val="none"/>
        </w:rPr>
      </w:pPr>
    </w:p>
    <w:p w14:paraId="5CF6BA9E">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color w:val="auto"/>
          <w:sz w:val="32"/>
          <w:szCs w:val="32"/>
          <w:highlight w:val="none"/>
        </w:rPr>
      </w:pPr>
      <w:r>
        <w:rPr>
          <w:rFonts w:hint="eastAsia" w:ascii="宋体" w:hAnsi="宋体" w:cs="宋体"/>
          <w:b/>
          <w:bCs/>
          <w:color w:val="auto"/>
          <w:sz w:val="32"/>
          <w:szCs w:val="32"/>
          <w:highlight w:val="none"/>
        </w:rPr>
        <w:t>第七部分  响应文件组成</w:t>
      </w:r>
    </w:p>
    <w:p w14:paraId="7A603905">
      <w:pPr>
        <w:tabs>
          <w:tab w:val="left" w:pos="7740"/>
        </w:tabs>
        <w:spacing w:line="500" w:lineRule="exact"/>
        <w:rPr>
          <w:rFonts w:ascii="宋体" w:hAnsi="宋体" w:cs="宋体"/>
          <w:b/>
          <w:color w:val="auto"/>
          <w:spacing w:val="2"/>
          <w:sz w:val="32"/>
          <w:szCs w:val="32"/>
          <w:highlight w:val="none"/>
        </w:rPr>
      </w:pPr>
    </w:p>
    <w:p w14:paraId="0CE77F72">
      <w:pPr>
        <w:autoSpaceDE w:val="0"/>
        <w:autoSpaceDN w:val="0"/>
        <w:adjustRightInd w:val="0"/>
        <w:spacing w:line="540" w:lineRule="exact"/>
        <w:jc w:val="center"/>
        <w:rPr>
          <w:rFonts w:ascii="宋体" w:hAnsi="宋体" w:cs="宋体"/>
          <w:b/>
          <w:bCs/>
          <w:color w:val="auto"/>
          <w:sz w:val="36"/>
          <w:szCs w:val="36"/>
          <w:highlight w:val="none"/>
          <w:lang w:val="zh-CN"/>
        </w:rPr>
      </w:pPr>
    </w:p>
    <w:p w14:paraId="7EB15FC8">
      <w:pPr>
        <w:autoSpaceDE w:val="0"/>
        <w:autoSpaceDN w:val="0"/>
        <w:adjustRightInd w:val="0"/>
        <w:spacing w:line="540" w:lineRule="exact"/>
        <w:rPr>
          <w:rFonts w:ascii="宋体" w:hAnsi="宋体" w:cs="宋体"/>
          <w:b/>
          <w:bCs/>
          <w:color w:val="auto"/>
          <w:sz w:val="36"/>
          <w:szCs w:val="36"/>
          <w:highlight w:val="none"/>
          <w:lang w:val="zh-CN"/>
        </w:rPr>
      </w:pPr>
    </w:p>
    <w:p w14:paraId="76BFA547">
      <w:pPr>
        <w:autoSpaceDE w:val="0"/>
        <w:autoSpaceDN w:val="0"/>
        <w:adjustRightInd w:val="0"/>
        <w:spacing w:line="540" w:lineRule="exact"/>
        <w:jc w:val="center"/>
        <w:rPr>
          <w:rFonts w:ascii="宋体" w:hAnsi="宋体" w:cs="宋体"/>
          <w:b/>
          <w:bCs/>
          <w:color w:val="auto"/>
          <w:sz w:val="36"/>
          <w:szCs w:val="36"/>
          <w:highlight w:val="none"/>
          <w:lang w:val="zh-CN"/>
        </w:rPr>
      </w:pPr>
    </w:p>
    <w:p w14:paraId="7F345DE2">
      <w:pPr>
        <w:autoSpaceDE w:val="0"/>
        <w:autoSpaceDN w:val="0"/>
        <w:adjustRightInd w:val="0"/>
        <w:spacing w:line="540" w:lineRule="exact"/>
        <w:jc w:val="center"/>
        <w:rPr>
          <w:rFonts w:ascii="宋体" w:hAnsi="宋体" w:cs="宋体"/>
          <w:b/>
          <w:bCs/>
          <w:color w:val="auto"/>
          <w:sz w:val="36"/>
          <w:szCs w:val="36"/>
          <w:highlight w:val="none"/>
          <w:lang w:val="zh-CN"/>
        </w:rPr>
      </w:pPr>
    </w:p>
    <w:p w14:paraId="0B7B5570">
      <w:pPr>
        <w:autoSpaceDE w:val="0"/>
        <w:autoSpaceDN w:val="0"/>
        <w:adjustRightInd w:val="0"/>
        <w:spacing w:line="540" w:lineRule="exact"/>
        <w:jc w:val="center"/>
        <w:rPr>
          <w:rFonts w:ascii="宋体" w:hAnsi="宋体" w:cs="宋体"/>
          <w:b/>
          <w:bCs/>
          <w:color w:val="auto"/>
          <w:sz w:val="36"/>
          <w:szCs w:val="36"/>
          <w:highlight w:val="none"/>
          <w:lang w:val="zh-CN"/>
        </w:rPr>
      </w:pPr>
    </w:p>
    <w:p w14:paraId="266007DB">
      <w:pPr>
        <w:autoSpaceDE w:val="0"/>
        <w:autoSpaceDN w:val="0"/>
        <w:adjustRightInd w:val="0"/>
        <w:spacing w:line="540" w:lineRule="exact"/>
        <w:jc w:val="center"/>
        <w:rPr>
          <w:rFonts w:ascii="宋体" w:hAnsi="宋体" w:cs="宋体"/>
          <w:b/>
          <w:bCs/>
          <w:color w:val="auto"/>
          <w:sz w:val="36"/>
          <w:szCs w:val="36"/>
          <w:highlight w:val="none"/>
          <w:lang w:val="zh-CN"/>
        </w:rPr>
      </w:pPr>
    </w:p>
    <w:p w14:paraId="5F5D402A">
      <w:pPr>
        <w:autoSpaceDE w:val="0"/>
        <w:autoSpaceDN w:val="0"/>
        <w:adjustRightInd w:val="0"/>
        <w:spacing w:line="540" w:lineRule="exact"/>
        <w:rPr>
          <w:rFonts w:ascii="宋体" w:hAnsi="宋体" w:cs="宋体"/>
          <w:b/>
          <w:bCs/>
          <w:color w:val="auto"/>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 xml:space="preserve">第一部分  </w:t>
      </w:r>
      <w:bookmarkStart w:id="0" w:name="_Hlk156306618"/>
      <w:r>
        <w:rPr>
          <w:rFonts w:hint="eastAsia" w:ascii="宋体" w:hAnsi="宋体" w:cs="宋体"/>
          <w:b/>
          <w:bCs/>
          <w:color w:val="auto"/>
          <w:sz w:val="36"/>
          <w:szCs w:val="36"/>
          <w:highlight w:val="none"/>
          <w:lang w:val="zh-CN"/>
        </w:rPr>
        <w:t>竞争性磋商公告</w:t>
      </w:r>
    </w:p>
    <w:p w14:paraId="356A4314">
      <w:pPr>
        <w:keepNext w:val="0"/>
        <w:keepLines w:val="0"/>
        <w:pageBreakBefore w:val="0"/>
        <w:topLinePunct w:val="0"/>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60F89A2D">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1.项目</w:t>
      </w:r>
      <w:r>
        <w:rPr>
          <w:rFonts w:hint="eastAsia" w:ascii="宋体" w:hAnsi="宋体" w:cs="宋体"/>
          <w:color w:val="auto"/>
          <w:sz w:val="24"/>
          <w:highlight w:val="none"/>
          <w:lang w:eastAsia="zh-CN"/>
        </w:rPr>
        <w:t>编号：</w:t>
      </w:r>
      <w:r>
        <w:rPr>
          <w:rFonts w:hint="eastAsia" w:ascii="宋体" w:hAnsi="宋体" w:cs="宋体"/>
          <w:color w:val="auto"/>
          <w:sz w:val="24"/>
          <w:highlight w:val="none"/>
          <w:lang w:val="en-US" w:eastAsia="zh-CN"/>
        </w:rPr>
        <w:t>2025YJYLZX</w:t>
      </w:r>
    </w:p>
    <w:p w14:paraId="427437DB">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2025年度南通市公路事业发展中心应急演练项目</w:t>
      </w:r>
    </w:p>
    <w:p w14:paraId="1FE19460">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3.项目类型：服务</w:t>
      </w:r>
    </w:p>
    <w:p w14:paraId="0118130B">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4.所属行业：其他未列明行业</w:t>
      </w:r>
    </w:p>
    <w:p w14:paraId="18B9B0DB">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5.预算金额：人民币</w:t>
      </w:r>
      <w:r>
        <w:rPr>
          <w:rFonts w:hint="eastAsia" w:ascii="宋体" w:hAnsi="宋体" w:cs="宋体"/>
          <w:color w:val="auto"/>
          <w:sz w:val="24"/>
          <w:highlight w:val="none"/>
          <w:lang w:val="en-US" w:eastAsia="zh-CN"/>
        </w:rPr>
        <w:t>叁拾肆万元整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340000</w:t>
      </w:r>
      <w:r>
        <w:rPr>
          <w:rFonts w:hint="eastAsia" w:ascii="宋体" w:hAnsi="宋体" w:cs="宋体"/>
          <w:color w:val="auto"/>
          <w:sz w:val="24"/>
          <w:highlight w:val="none"/>
        </w:rPr>
        <w:t>）</w:t>
      </w:r>
    </w:p>
    <w:p w14:paraId="6EF9826B">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最高投标限价为人民币</w:t>
      </w:r>
      <w:r>
        <w:rPr>
          <w:rFonts w:hint="eastAsia" w:ascii="宋体" w:hAnsi="宋体" w:cs="宋体"/>
          <w:color w:val="auto"/>
          <w:sz w:val="24"/>
          <w:highlight w:val="none"/>
          <w:lang w:val="en-US" w:eastAsia="zh-CN"/>
        </w:rPr>
        <w:t>叁拾肆万元整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340000</w:t>
      </w:r>
      <w:r>
        <w:rPr>
          <w:rFonts w:hint="eastAsia" w:ascii="宋体" w:hAnsi="宋体" w:cs="宋体"/>
          <w:color w:val="auto"/>
          <w:sz w:val="24"/>
          <w:highlight w:val="none"/>
        </w:rPr>
        <w:t>）</w:t>
      </w:r>
    </w:p>
    <w:p w14:paraId="2BBDDC3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采购需求：本项目为1次市县联合综合性应急演练，主题为普通国省道除冰除雪应急处置，采取现场实战方式，内容包括事故发现、响应联动、事故处置、应急结束及后续措施。具体详见《第三部分项目需求》，请仔细研究。</w:t>
      </w:r>
    </w:p>
    <w:p w14:paraId="00B8389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合同履行期限：2025年9月30日前提交演练方案及内容文稿；10月31日前完成年度除冰除雪应急处置演练；演练结束后一周内提交全套资料及不少于20分钟的专题片。</w:t>
      </w:r>
    </w:p>
    <w:p w14:paraId="4F62FF1B">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8.本项目不接受联合体磋商。</w:t>
      </w:r>
    </w:p>
    <w:p w14:paraId="49B76DCA">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9.</w:t>
      </w:r>
      <w:r>
        <w:rPr>
          <w:rFonts w:hint="eastAsia" w:cs="宋体" w:asciiTheme="minorEastAsia" w:hAnsiTheme="minorEastAsia" w:eastAsiaTheme="minorEastAsia"/>
          <w:color w:val="auto"/>
          <w:sz w:val="24"/>
          <w:highlight w:val="none"/>
        </w:rPr>
        <w:t>本项目允许对摄影、摄像、场地布置工作分包。</w:t>
      </w:r>
    </w:p>
    <w:p w14:paraId="2523C3BB">
      <w:pPr>
        <w:keepNext w:val="0"/>
        <w:keepLines w:val="0"/>
        <w:pageBreakBefore w:val="0"/>
        <w:topLinePunct w:val="0"/>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二、供应商资格要求</w:t>
      </w:r>
    </w:p>
    <w:p w14:paraId="739C8A67">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1.符合《中华人民共和国政府采购法》第二十二条规定。</w:t>
      </w:r>
    </w:p>
    <w:p w14:paraId="4ED21A9B">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4B48F1E">
      <w:pPr>
        <w:keepNext w:val="0"/>
        <w:keepLines w:val="0"/>
        <w:pageBreakBefore w:val="0"/>
        <w:topLinePunct w:val="0"/>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（1）项目负责人要求：拟投入本项目的项目负责人具有公路工程相关专业高级</w:t>
      </w:r>
      <w:r>
        <w:rPr>
          <w:rFonts w:hint="eastAsia" w:cs="宋体" w:asciiTheme="minorEastAsia" w:hAnsiTheme="minorEastAsia" w:eastAsiaTheme="minorEastAsia"/>
          <w:color w:val="auto"/>
          <w:sz w:val="24"/>
          <w:highlight w:val="none"/>
          <w:lang w:val="en-US" w:eastAsia="zh-CN"/>
        </w:rPr>
        <w:t>及</w:t>
      </w:r>
      <w:r>
        <w:rPr>
          <w:rFonts w:hint="eastAsia" w:cs="宋体" w:asciiTheme="minorEastAsia" w:hAnsiTheme="minorEastAsia" w:eastAsiaTheme="minorEastAsia"/>
          <w:color w:val="auto"/>
          <w:sz w:val="24"/>
          <w:highlight w:val="none"/>
        </w:rPr>
        <w:t>以上技术职称；</w:t>
      </w:r>
    </w:p>
    <w:p w14:paraId="1EF5661B">
      <w:pPr>
        <w:keepNext w:val="0"/>
        <w:keepLines w:val="0"/>
        <w:pageBreakBefore w:val="0"/>
        <w:topLinePunct w:val="0"/>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注：公路工程相关专业包括公路工程、桥梁工程、公路与桥梁工程、交通土建、隧道（地下结构）工程、交通工程专业职称。</w:t>
      </w:r>
    </w:p>
    <w:p w14:paraId="558995C3">
      <w:pPr>
        <w:keepNext w:val="0"/>
        <w:keepLines w:val="0"/>
        <w:pageBreakBefore w:val="0"/>
        <w:numPr>
          <w:ilvl w:val="0"/>
          <w:numId w:val="0"/>
        </w:numPr>
        <w:topLinePunct w:val="0"/>
        <w:bidi w:val="0"/>
        <w:adjustRightInd w:val="0"/>
        <w:snapToGrid w:val="0"/>
        <w:spacing w:line="360" w:lineRule="auto"/>
        <w:ind w:left="0" w:leftChars="0" w:firstLine="64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（2）投标供应商拟投入本项目的项目负责人须为投标供应商自有人员，提供近3个月</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2025年6月至2025年8月</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内任意1个月的社保缴费证明（含缴费起止时间、缴费单位、缴费人员姓名，加盖社保机构专用章），社保机构官网打印件与线下盖章件效力等同，缴费单位须与投标供应商一致（下属非独立法人分支机构缴纳的社保视为本单位）。</w:t>
      </w:r>
    </w:p>
    <w:p w14:paraId="7AFA70F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（3）信誉要</w:t>
      </w:r>
      <w:r>
        <w:rPr>
          <w:rFonts w:hint="eastAsia" w:ascii="宋体" w:hAnsi="宋体" w:cs="宋体"/>
          <w:color w:val="auto"/>
          <w:sz w:val="24"/>
          <w:highlight w:val="none"/>
        </w:rPr>
        <w:t>求：响应文件递交截止日，供应商未被“信用中国”网站（www.creditchina.gov.cn）列入失信被执行人、重大税收违法失信主体，未被国家企业信用信息公示系统（http://www.gsxt.gov.cn/）列入严重违法失信企业名单，未被“中国政府采购网”（http://www.ccgp.gov.cn/）列入政府采购严重失信行为记录名单（评审时以现场网络截图为准，响应文件无需提供证明）</w:t>
      </w:r>
    </w:p>
    <w:p w14:paraId="45C2331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4.与采购人存在利害关系可能影响公正性的单位，单位负责人为同一人或者存在直接控股、管理关系的不同供应商</w:t>
      </w:r>
      <w:r>
        <w:rPr>
          <w:rFonts w:hint="eastAsia" w:ascii="宋体" w:hAnsi="宋体" w:cs="宋体"/>
          <w:color w:val="auto"/>
          <w:sz w:val="24"/>
          <w:highlight w:val="none"/>
          <w:lang w:eastAsia="zh-CN"/>
        </w:rPr>
        <w:t>，</w:t>
      </w:r>
      <w:r>
        <w:rPr>
          <w:rFonts w:hint="eastAsia" w:ascii="宋体" w:hAnsi="宋体" w:cs="宋体"/>
          <w:color w:val="auto"/>
          <w:sz w:val="24"/>
          <w:highlight w:val="none"/>
        </w:rPr>
        <w:t>不得参加同一合同项下的政府采购活动。若同时参加同一合同项下的政府采购活动，则相关供应商的投标均做无效投标处理。</w:t>
      </w:r>
    </w:p>
    <w:p w14:paraId="0573EDA1">
      <w:pPr>
        <w:pStyle w:val="33"/>
        <w:keepNext w:val="0"/>
        <w:keepLines w:val="0"/>
        <w:pageBreakBefore w:val="0"/>
        <w:topLinePunct w:val="0"/>
        <w:bidi w:val="0"/>
        <w:adjustRightInd w:val="0"/>
        <w:snapToGrid w:val="0"/>
        <w:spacing w:line="360" w:lineRule="auto"/>
        <w:ind w:firstLine="482" w:firstLineChars="200"/>
        <w:textAlignment w:val="auto"/>
        <w:rPr>
          <w:rFonts w:eastAsia="宋体" w:cs="宋体"/>
          <w:b/>
          <w:bCs/>
          <w:color w:val="auto"/>
          <w:highlight w:val="none"/>
        </w:rPr>
      </w:pPr>
      <w:r>
        <w:rPr>
          <w:rFonts w:hint="eastAsia" w:eastAsia="宋体" w:cs="宋体"/>
          <w:b/>
          <w:color w:val="auto"/>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keepNext w:val="0"/>
        <w:keepLines w:val="0"/>
        <w:pageBreakBefore w:val="0"/>
        <w:topLinePunct w:val="0"/>
        <w:bidi w:val="0"/>
        <w:adjustRightInd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三、获取磋商文件</w:t>
      </w:r>
    </w:p>
    <w:p w14:paraId="78616546">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1.申请</w:t>
      </w:r>
    </w:p>
    <w:p w14:paraId="2AA113E6">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申请时间：自公告上网发布之日起至</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8</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31</w:t>
      </w:r>
      <w:r>
        <w:rPr>
          <w:rFonts w:hint="eastAsia" w:ascii="宋体" w:hAnsi="宋体" w:cs="宋体"/>
          <w:color w:val="auto"/>
          <w:spacing w:val="7"/>
          <w:kern w:val="0"/>
          <w:sz w:val="24"/>
          <w:highlight w:val="none"/>
        </w:rPr>
        <w:t>日</w:t>
      </w:r>
      <w:r>
        <w:rPr>
          <w:rFonts w:hint="eastAsia" w:ascii="宋体" w:hAnsi="宋体" w:cs="宋体"/>
          <w:color w:val="auto"/>
          <w:spacing w:val="7"/>
          <w:kern w:val="0"/>
          <w:sz w:val="24"/>
          <w:highlight w:val="none"/>
        </w:rPr>
        <w:t>，每日工作时间：上午9:00—11:30整，</w:t>
      </w:r>
      <w:r>
        <w:rPr>
          <w:rFonts w:hint="eastAsia" w:ascii="宋体" w:hAnsi="宋体" w:cs="宋体"/>
          <w:color w:val="auto"/>
          <w:spacing w:val="7"/>
          <w:kern w:val="0"/>
          <w:sz w:val="24"/>
          <w:highlight w:val="none"/>
          <w:lang w:eastAsia="zh-CN"/>
        </w:rPr>
        <w:t>13:30</w:t>
      </w:r>
      <w:r>
        <w:rPr>
          <w:rFonts w:hint="eastAsia" w:ascii="宋体" w:hAnsi="宋体" w:cs="宋体"/>
          <w:color w:val="auto"/>
          <w:spacing w:val="7"/>
          <w:kern w:val="0"/>
          <w:sz w:val="24"/>
          <w:highlight w:val="none"/>
        </w:rPr>
        <w:t>—17:30整（节假日除外）。</w:t>
      </w:r>
    </w:p>
    <w:p w14:paraId="4D250A0F">
      <w:pPr>
        <w:keepNext w:val="0"/>
        <w:keepLines w:val="0"/>
        <w:pageBreakBefore w:val="0"/>
        <w:topLinePunct w:val="0"/>
        <w:bidi w:val="0"/>
        <w:adjustRightInd w:val="0"/>
        <w:snapToGrid w:val="0"/>
        <w:spacing w:line="360" w:lineRule="auto"/>
        <w:ind w:firstLine="480" w:firstLineChars="200"/>
        <w:contextualSpacing/>
        <w:textAlignment w:val="auto"/>
        <w:rPr>
          <w:rFonts w:ascii="宋体" w:hAnsi="宋体" w:cs="宋体"/>
          <w:color w:val="auto"/>
          <w:spacing w:val="7"/>
          <w:kern w:val="0"/>
          <w:sz w:val="24"/>
          <w:highlight w:val="none"/>
        </w:rPr>
      </w:pPr>
      <w:r>
        <w:rPr>
          <w:rFonts w:hint="eastAsia" w:ascii="宋体" w:hAnsi="宋体" w:cs="宋体"/>
          <w:color w:val="auto"/>
          <w:kern w:val="0"/>
          <w:sz w:val="24"/>
          <w:highlight w:val="none"/>
        </w:rPr>
        <w:t>按照磋商公告下附件《申请函》的形式，回函（加盖单位章）发彩色扫描件至邮箱中（联系人：陆工，联系电话：18260596237），并致电代理机构确认邮件送达，确认是否参与本次投标的相关事宜。</w:t>
      </w:r>
    </w:p>
    <w:p w14:paraId="02C1359E">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申请提供资料：按附件提供《申请函》</w:t>
      </w:r>
    </w:p>
    <w:p w14:paraId="26D52649">
      <w:pPr>
        <w:keepNext w:val="0"/>
        <w:keepLines w:val="0"/>
        <w:pageBreakBefore w:val="0"/>
        <w:topLinePunct w:val="0"/>
        <w:bidi w:val="0"/>
        <w:adjustRightInd w:val="0"/>
        <w:snapToGrid w:val="0"/>
        <w:spacing w:line="360" w:lineRule="auto"/>
        <w:ind w:firstLine="482" w:firstLineChars="200"/>
        <w:contextualSpacing/>
        <w:textAlignment w:val="auto"/>
        <w:rPr>
          <w:rFonts w:ascii="宋体" w:hAnsi="宋体" w:cs="宋体"/>
          <w:color w:val="auto"/>
          <w:spacing w:val="7"/>
          <w:kern w:val="0"/>
          <w:sz w:val="24"/>
          <w:highlight w:val="none"/>
        </w:rPr>
      </w:pPr>
      <w:r>
        <w:rPr>
          <w:rFonts w:hint="eastAsia" w:ascii="宋体" w:hAnsi="宋体" w:cs="宋体"/>
          <w:b/>
          <w:bCs/>
          <w:color w:val="auto"/>
          <w:kern w:val="0"/>
          <w:sz w:val="24"/>
          <w:highlight w:val="none"/>
        </w:rPr>
        <w:t>未按要求进行申请的不具备磋商资格。</w:t>
      </w:r>
    </w:p>
    <w:p w14:paraId="4599E885">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2.获取磋商文件</w:t>
      </w:r>
    </w:p>
    <w:p w14:paraId="4305950B">
      <w:pPr>
        <w:keepNext w:val="0"/>
        <w:keepLines w:val="0"/>
        <w:pageBreakBefore w:val="0"/>
        <w:topLinePunct w:val="0"/>
        <w:bidi w:val="0"/>
        <w:adjustRightInd w:val="0"/>
        <w:snapToGrid w:val="0"/>
        <w:spacing w:line="360" w:lineRule="auto"/>
        <w:ind w:firstLine="508" w:firstLineChars="200"/>
        <w:contextualSpacing/>
        <w:jc w:val="left"/>
        <w:textAlignment w:val="auto"/>
        <w:rPr>
          <w:rFonts w:ascii="宋体" w:hAnsi="宋体" w:cs="宋体"/>
          <w:color w:val="auto"/>
          <w:spacing w:val="7"/>
          <w:kern w:val="0"/>
          <w:sz w:val="24"/>
          <w:highlight w:val="none"/>
        </w:rPr>
      </w:pPr>
      <w:r>
        <w:rPr>
          <w:rFonts w:ascii="宋体" w:hAnsi="宋体" w:cs="宋体"/>
          <w:color w:val="auto"/>
          <w:spacing w:val="7"/>
          <w:kern w:val="0"/>
          <w:sz w:val="24"/>
          <w:highlight w:val="none"/>
        </w:rPr>
        <w:t>各申请人</w:t>
      </w:r>
      <w:r>
        <w:rPr>
          <w:rFonts w:hint="eastAsia" w:ascii="宋体" w:cs="宋体"/>
          <w:color w:val="auto"/>
          <w:sz w:val="24"/>
          <w:highlight w:val="none"/>
        </w:rPr>
        <w:t>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w:t>
      </w:r>
      <w:r>
        <w:rPr>
          <w:rFonts w:hint="eastAsia" w:ascii="宋体" w:hAnsi="Times New Roman" w:eastAsia="宋体" w:cs="宋体"/>
          <w:color w:val="auto"/>
          <w:sz w:val="24"/>
          <w:highlight w:val="none"/>
          <w:lang w:val="en-US" w:eastAsia="zh-CN"/>
        </w:rPr>
        <w:t>本项目</w:t>
      </w:r>
      <w:r>
        <w:rPr>
          <w:rFonts w:hint="eastAsia" w:ascii="宋体" w:hAnsi="Times New Roman" w:eastAsia="宋体" w:cs="宋体"/>
          <w:color w:val="auto"/>
          <w:sz w:val="24"/>
          <w:highlight w:val="none"/>
        </w:rPr>
        <w:fldChar w:fldCharType="end"/>
      </w:r>
      <w:r>
        <w:rPr>
          <w:rFonts w:hint="eastAsia" w:ascii="宋体" w:cs="宋体"/>
          <w:color w:val="auto"/>
          <w:sz w:val="24"/>
          <w:highlight w:val="none"/>
          <w:lang w:val="en-US" w:eastAsia="zh-CN"/>
        </w:rPr>
        <w:t>磋商公告下附件自行下载</w:t>
      </w:r>
      <w:r>
        <w:rPr>
          <w:rFonts w:ascii="宋体" w:hAnsi="宋体" w:cs="宋体"/>
          <w:color w:val="auto"/>
          <w:spacing w:val="7"/>
          <w:kern w:val="0"/>
          <w:sz w:val="24"/>
          <w:highlight w:val="none"/>
        </w:rPr>
        <w:t>。</w:t>
      </w:r>
    </w:p>
    <w:p w14:paraId="1DF93979">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磋商文件售价</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元/供应商。</w:t>
      </w:r>
    </w:p>
    <w:p w14:paraId="750BC059">
      <w:pPr>
        <w:keepNext w:val="0"/>
        <w:keepLines w:val="0"/>
        <w:pageBreakBefore w:val="0"/>
        <w:topLinePunct w:val="0"/>
        <w:bidi w:val="0"/>
        <w:adjustRightInd w:val="0"/>
        <w:snapToGrid w:val="0"/>
        <w:spacing w:line="360" w:lineRule="auto"/>
        <w:ind w:firstLine="480" w:firstLineChars="200"/>
        <w:contextualSpacing/>
        <w:textAlignment w:val="auto"/>
        <w:rPr>
          <w:rFonts w:ascii="宋体" w:hAnsi="宋体" w:cs="宋体"/>
          <w:color w:val="auto"/>
          <w:spacing w:val="7"/>
          <w:kern w:val="0"/>
          <w:sz w:val="24"/>
          <w:highlight w:val="none"/>
        </w:rPr>
      </w:pPr>
      <w:r>
        <w:rPr>
          <w:rFonts w:hint="eastAsia" w:ascii="宋体" w:hAnsi="宋体" w:cs="宋体"/>
          <w:color w:val="auto"/>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keepNext w:val="0"/>
        <w:keepLines w:val="0"/>
        <w:pageBreakBefore w:val="0"/>
        <w:widowControl/>
        <w:shd w:val="clear" w:color="auto" w:fill="FFFFFF"/>
        <w:topLinePunct w:val="0"/>
        <w:bidi w:val="0"/>
        <w:adjustRightInd w:val="0"/>
        <w:snapToGrid w:val="0"/>
        <w:spacing w:line="360" w:lineRule="auto"/>
        <w:ind w:firstLine="510" w:firstLineChars="200"/>
        <w:textAlignment w:val="auto"/>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四、磋商响应文件递交</w:t>
      </w:r>
    </w:p>
    <w:p w14:paraId="1807663D">
      <w:pPr>
        <w:keepNext w:val="0"/>
        <w:keepLines w:val="0"/>
        <w:pageBreakBefore w:val="0"/>
        <w:widowControl/>
        <w:shd w:val="clear" w:color="auto" w:fill="FFFFFF"/>
        <w:topLinePunct w:val="0"/>
        <w:bidi w:val="0"/>
        <w:adjustRightInd w:val="0"/>
        <w:snapToGrid w:val="0"/>
        <w:spacing w:line="360" w:lineRule="auto"/>
        <w:ind w:firstLine="508" w:firstLineChars="200"/>
        <w:textAlignment w:val="auto"/>
        <w:rPr>
          <w:rFonts w:ascii="宋体" w:hAnsi="宋体" w:cs="宋体"/>
          <w:i/>
          <w:color w:val="auto"/>
          <w:spacing w:val="7"/>
          <w:kern w:val="0"/>
          <w:sz w:val="24"/>
          <w:highlight w:val="none"/>
          <w:u w:val="single"/>
        </w:rPr>
      </w:pPr>
      <w:r>
        <w:rPr>
          <w:rFonts w:hint="eastAsia" w:ascii="宋体" w:hAnsi="宋体" w:cs="宋体"/>
          <w:color w:val="auto"/>
          <w:spacing w:val="7"/>
          <w:kern w:val="0"/>
          <w:sz w:val="24"/>
          <w:highlight w:val="none"/>
        </w:rPr>
        <w:t>截止时间：</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9</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1</w:t>
      </w:r>
      <w:r>
        <w:rPr>
          <w:rFonts w:hint="eastAsia" w:ascii="宋体" w:hAnsi="宋体" w:cs="宋体"/>
          <w:color w:val="auto"/>
          <w:spacing w:val="7"/>
          <w:kern w:val="0"/>
          <w:sz w:val="24"/>
          <w:highlight w:val="none"/>
        </w:rPr>
        <w:t>日</w:t>
      </w:r>
      <w:r>
        <w:rPr>
          <w:rFonts w:hint="eastAsia" w:ascii="宋体" w:hAnsi="宋体" w:cs="宋体"/>
          <w:color w:val="auto"/>
          <w:sz w:val="24"/>
          <w:highlight w:val="none"/>
          <w:u w:val="single"/>
        </w:rPr>
        <w:t>9</w:t>
      </w:r>
      <w:r>
        <w:rPr>
          <w:rFonts w:hint="eastAsia" w:ascii="宋体" w:hAnsi="宋体" w:cs="宋体"/>
          <w:color w:val="auto"/>
          <w:spacing w:val="7"/>
          <w:kern w:val="0"/>
          <w:sz w:val="24"/>
          <w:highlight w:val="none"/>
        </w:rPr>
        <w:t>时</w:t>
      </w:r>
      <w:r>
        <w:rPr>
          <w:rFonts w:hint="eastAsia" w:ascii="宋体" w:hAnsi="宋体" w:cs="宋体"/>
          <w:color w:val="auto"/>
          <w:sz w:val="24"/>
          <w:highlight w:val="none"/>
          <w:u w:val="single"/>
        </w:rPr>
        <w:t>00</w:t>
      </w:r>
      <w:r>
        <w:rPr>
          <w:rFonts w:hint="eastAsia" w:ascii="宋体" w:hAnsi="宋体" w:cs="宋体"/>
          <w:color w:val="auto"/>
          <w:spacing w:val="7"/>
          <w:kern w:val="0"/>
          <w:sz w:val="24"/>
          <w:highlight w:val="none"/>
        </w:rPr>
        <w:t>分（北京时间）</w:t>
      </w:r>
    </w:p>
    <w:p w14:paraId="0F827D5B">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逾时，将不予接收。</w:t>
      </w:r>
    </w:p>
    <w:p w14:paraId="363F2697">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地点：南通市公路事业发展中心1楼信访接待室（地址：南通市跃龙路4号），如有变动另行通知。</w:t>
      </w:r>
    </w:p>
    <w:p w14:paraId="58404184">
      <w:pPr>
        <w:keepNext w:val="0"/>
        <w:keepLines w:val="0"/>
        <w:pageBreakBefore w:val="0"/>
        <w:widowControl/>
        <w:shd w:val="clear" w:color="auto" w:fill="FFFFFF"/>
        <w:topLinePunct w:val="0"/>
        <w:bidi w:val="0"/>
        <w:adjustRightInd w:val="0"/>
        <w:snapToGrid w:val="0"/>
        <w:spacing w:line="360" w:lineRule="auto"/>
        <w:ind w:firstLine="510" w:firstLineChars="200"/>
        <w:textAlignment w:val="auto"/>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五、磋商响应文件开启</w:t>
      </w:r>
    </w:p>
    <w:p w14:paraId="769CE567">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时间：</w:t>
      </w:r>
      <w:r>
        <w:rPr>
          <w:rFonts w:hint="eastAsia" w:ascii="宋体" w:hAnsi="宋体" w:cs="宋体"/>
          <w:color w:val="auto"/>
          <w:kern w:val="0"/>
          <w:sz w:val="24"/>
          <w:highlight w:val="none"/>
        </w:rPr>
        <w:t>同磋商响应文件递交截止时间</w:t>
      </w:r>
    </w:p>
    <w:p w14:paraId="0A5DE407">
      <w:pPr>
        <w:keepNext w:val="0"/>
        <w:keepLines w:val="0"/>
        <w:pageBreakBefore w:val="0"/>
        <w:topLinePunct w:val="0"/>
        <w:bidi w:val="0"/>
        <w:adjustRightInd w:val="0"/>
        <w:snapToGrid w:val="0"/>
        <w:spacing w:line="360" w:lineRule="auto"/>
        <w:ind w:firstLine="508" w:firstLineChars="200"/>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地点：南通市公路事业发展中心1楼信访接待室（地址：南通市跃龙路4号），如有变动另行通知。</w:t>
      </w:r>
    </w:p>
    <w:p w14:paraId="03601D4D">
      <w:pPr>
        <w:keepNext w:val="0"/>
        <w:keepLines w:val="0"/>
        <w:pageBreakBefore w:val="0"/>
        <w:widowControl/>
        <w:shd w:val="clear" w:color="auto" w:fill="FFFFFF"/>
        <w:topLinePunct w:val="0"/>
        <w:bidi w:val="0"/>
        <w:adjustRightInd w:val="0"/>
        <w:snapToGrid w:val="0"/>
        <w:spacing w:line="360" w:lineRule="auto"/>
        <w:ind w:firstLine="510" w:firstLineChars="200"/>
        <w:textAlignment w:val="auto"/>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六、公告期限</w:t>
      </w:r>
    </w:p>
    <w:p w14:paraId="6CF2374B">
      <w:pPr>
        <w:keepNext w:val="0"/>
        <w:keepLines w:val="0"/>
        <w:pageBreakBefore w:val="0"/>
        <w:topLinePunct w:val="0"/>
        <w:bidi w:val="0"/>
        <w:adjustRightInd w:val="0"/>
        <w:snapToGrid w:val="0"/>
        <w:spacing w:line="360" w:lineRule="auto"/>
        <w:ind w:firstLine="508"/>
        <w:contextualSpacing/>
        <w:textAlignment w:val="auto"/>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自本公告发布之日起10日。</w:t>
      </w:r>
    </w:p>
    <w:p w14:paraId="4ED8F5A9">
      <w:pPr>
        <w:keepNext w:val="0"/>
        <w:keepLines w:val="0"/>
        <w:pageBreakBefore w:val="0"/>
        <w:topLinePunct w:val="0"/>
        <w:bidi w:val="0"/>
        <w:adjustRightInd w:val="0"/>
        <w:snapToGrid w:val="0"/>
        <w:spacing w:line="360" w:lineRule="auto"/>
        <w:ind w:firstLine="510" w:firstLineChars="200"/>
        <w:textAlignment w:val="auto"/>
        <w:rPr>
          <w:rFonts w:ascii="宋体" w:hAnsi="宋体" w:cs="宋体"/>
          <w:color w:val="auto"/>
          <w:kern w:val="0"/>
          <w:sz w:val="24"/>
          <w:highlight w:val="none"/>
        </w:rPr>
      </w:pPr>
      <w:r>
        <w:rPr>
          <w:rFonts w:hint="eastAsia" w:ascii="宋体" w:hAnsi="宋体" w:cs="宋体"/>
          <w:b/>
          <w:color w:val="auto"/>
          <w:spacing w:val="7"/>
          <w:kern w:val="0"/>
          <w:sz w:val="24"/>
          <w:highlight w:val="none"/>
        </w:rPr>
        <w:t>七、</w:t>
      </w:r>
      <w:r>
        <w:rPr>
          <w:rFonts w:hint="eastAsia" w:ascii="宋体" w:hAnsi="宋体" w:cs="宋体"/>
          <w:b/>
          <w:bCs/>
          <w:color w:val="auto"/>
          <w:sz w:val="24"/>
          <w:highlight w:val="none"/>
          <w:lang w:val="zh-CN"/>
        </w:rPr>
        <w:t>支付方式</w:t>
      </w:r>
      <w:r>
        <w:rPr>
          <w:rFonts w:hint="eastAsia" w:ascii="宋体" w:hAnsi="宋体" w:cs="宋体"/>
          <w:b/>
          <w:bCs/>
          <w:color w:val="auto"/>
          <w:sz w:val="24"/>
          <w:highlight w:val="none"/>
        </w:rPr>
        <w:t>：</w:t>
      </w:r>
    </w:p>
    <w:p w14:paraId="39692D79">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本项目为总价合同，支付方式：</w:t>
      </w:r>
    </w:p>
    <w:p w14:paraId="17F4D8A9">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合同签订后30日内，供应商提供发票后10个工作日内，支付合同价30%作为预付款；</w:t>
      </w:r>
    </w:p>
    <w:p w14:paraId="579760F2">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完成应急演练且全套演练资料及专题片通过验收后30日内，供应商提供发票后10个工作日内付清尾款。</w:t>
      </w:r>
    </w:p>
    <w:p w14:paraId="4A6DA67E">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w:t>
      </w:r>
    </w:p>
    <w:p w14:paraId="459E6BC4">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每次付款须按合同扣减违约金和赔偿款；</w:t>
      </w:r>
    </w:p>
    <w:p w14:paraId="29794188">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付款前供应商须提供等额合规发票及相关申请资料，否则采购人可以拒付；</w:t>
      </w:r>
    </w:p>
    <w:p w14:paraId="216F7999">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所有付款均不计利息。</w:t>
      </w:r>
    </w:p>
    <w:p w14:paraId="6D8BA8A2">
      <w:pPr>
        <w:keepNext w:val="0"/>
        <w:keepLines w:val="0"/>
        <w:pageBreakBefore w:val="0"/>
        <w:topLinePunct w:val="0"/>
        <w:bidi w:val="0"/>
        <w:adjustRightInd w:val="0"/>
        <w:snapToGrid w:val="0"/>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bCs/>
          <w:color w:val="auto"/>
          <w:sz w:val="24"/>
          <w:highlight w:val="none"/>
          <w:lang w:val="zh-CN"/>
        </w:rPr>
        <w:t>八、</w:t>
      </w:r>
      <w:r>
        <w:rPr>
          <w:rFonts w:hint="eastAsia" w:ascii="宋体" w:hAnsi="宋体" w:cs="宋体"/>
          <w:b/>
          <w:color w:val="auto"/>
          <w:sz w:val="24"/>
          <w:highlight w:val="none"/>
        </w:rPr>
        <w:t>公告媒介</w:t>
      </w:r>
    </w:p>
    <w:p w14:paraId="41CBE7F5">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keepNext w:val="0"/>
        <w:keepLines w:val="0"/>
        <w:pageBreakBefore w:val="0"/>
        <w:widowControl/>
        <w:shd w:val="clear" w:color="auto" w:fill="FFFFFF"/>
        <w:topLinePunct w:val="0"/>
        <w:bidi w:val="0"/>
        <w:adjustRightInd w:val="0"/>
        <w:snapToGrid w:val="0"/>
        <w:spacing w:line="360" w:lineRule="auto"/>
        <w:ind w:firstLine="510" w:firstLineChars="200"/>
        <w:textAlignment w:val="auto"/>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九、凡对本次采购提出询问，请按以下方式联系。</w:t>
      </w:r>
    </w:p>
    <w:p w14:paraId="32DBE446">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AFC13B1">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名  称：南通市公路事业发展中心 </w:t>
      </w:r>
    </w:p>
    <w:p w14:paraId="5682FBD2">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址：江苏省南通市跃龙路4号 </w:t>
      </w:r>
    </w:p>
    <w:p w14:paraId="7242BAD0">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联 系 人：周先生 </w:t>
      </w:r>
    </w:p>
    <w:p w14:paraId="769BD185">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联系方式：0513-85524439</w:t>
      </w:r>
    </w:p>
    <w:p w14:paraId="7C8398F1">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6806BDB6">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称：江苏睿致诚工程咨询有限公司</w:t>
      </w:r>
    </w:p>
    <w:p w14:paraId="1D996013">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址：南京市江宁区江南路697号金轮星际中心A1栋7楼</w:t>
      </w:r>
    </w:p>
    <w:p w14:paraId="6535713A">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联系人：尹建、陈小龙</w:t>
      </w:r>
    </w:p>
    <w:p w14:paraId="7058A137">
      <w:pPr>
        <w:keepNext w:val="0"/>
        <w:keepLines w:val="0"/>
        <w:pageBreakBefore w:val="0"/>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联系电话：18906275357（尹建），18932207883（陈小龙）</w:t>
      </w:r>
    </w:p>
    <w:p w14:paraId="75B61B57">
      <w:pPr>
        <w:keepNext w:val="0"/>
        <w:keepLines w:val="0"/>
        <w:pageBreakBefore w:val="0"/>
        <w:topLinePunct w:val="0"/>
        <w:bidi w:val="0"/>
        <w:adjustRightInd w:val="0"/>
        <w:snapToGrid w:val="0"/>
        <w:spacing w:line="360" w:lineRule="auto"/>
        <w:ind w:firstLine="560" w:firstLineChars="200"/>
        <w:contextualSpacing/>
        <w:textAlignment w:val="auto"/>
        <w:rPr>
          <w:rFonts w:ascii="宋体" w:hAnsi="宋体" w:cs="宋体"/>
          <w:color w:val="auto"/>
          <w:sz w:val="28"/>
          <w:szCs w:val="28"/>
          <w:highlight w:val="none"/>
        </w:rPr>
      </w:pPr>
    </w:p>
    <w:p w14:paraId="1535F652">
      <w:pPr>
        <w:keepNext w:val="0"/>
        <w:keepLines w:val="0"/>
        <w:pageBreakBefore w:val="0"/>
        <w:wordWrap w:val="0"/>
        <w:topLinePunct w:val="0"/>
        <w:bidi w:val="0"/>
        <w:adjustRightInd w:val="0"/>
        <w:snapToGrid w:val="0"/>
        <w:spacing w:line="360" w:lineRule="auto"/>
        <w:ind w:firstLine="508" w:firstLineChars="200"/>
        <w:contextualSpacing/>
        <w:jc w:val="right"/>
        <w:textAlignment w:val="auto"/>
        <w:rPr>
          <w:rFonts w:ascii="宋体" w:hAnsi="宋体" w:cs="宋体"/>
          <w:color w:val="auto"/>
          <w:sz w:val="28"/>
          <w:szCs w:val="28"/>
          <w:highlight w:val="none"/>
        </w:rPr>
      </w:pPr>
      <w:r>
        <w:rPr>
          <w:rFonts w:hint="eastAsia" w:ascii="宋体" w:hAnsi="宋体" w:cs="宋体"/>
          <w:color w:val="auto"/>
          <w:spacing w:val="7"/>
          <w:kern w:val="0"/>
          <w:sz w:val="24"/>
          <w:highlight w:val="none"/>
        </w:rPr>
        <w:t xml:space="preserve">   </w:t>
      </w:r>
      <w:r>
        <w:rPr>
          <w:rFonts w:hint="eastAsia" w:ascii="宋体" w:hAnsi="宋体" w:cs="宋体"/>
          <w:color w:val="auto"/>
          <w:spacing w:val="7"/>
          <w:kern w:val="0"/>
          <w:sz w:val="24"/>
          <w:highlight w:val="none"/>
          <w:u w:val="single"/>
        </w:rPr>
        <w:t>2025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8</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lang w:val="en-US" w:eastAsia="zh-CN"/>
        </w:rPr>
        <w:t>1</w:t>
      </w:r>
      <w:r>
        <w:rPr>
          <w:rFonts w:hint="eastAsia" w:ascii="宋体" w:hAnsi="宋体" w:cs="宋体"/>
          <w:color w:val="auto"/>
          <w:spacing w:val="7"/>
          <w:kern w:val="0"/>
          <w:sz w:val="24"/>
          <w:highlight w:val="none"/>
          <w:u w:val="single"/>
          <w:lang w:val="en-US" w:eastAsia="zh-CN"/>
        </w:rPr>
        <w:t>9</w:t>
      </w:r>
      <w:r>
        <w:rPr>
          <w:rFonts w:hint="eastAsia" w:ascii="宋体" w:hAnsi="宋体" w:cs="宋体"/>
          <w:color w:val="auto"/>
          <w:spacing w:val="7"/>
          <w:kern w:val="0"/>
          <w:sz w:val="24"/>
          <w:highlight w:val="none"/>
        </w:rPr>
        <w:t>日</w:t>
      </w:r>
      <w:bookmarkEnd w:id="0"/>
    </w:p>
    <w:p w14:paraId="644D31AD">
      <w:pP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14:paraId="4190C032">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附件1</w:t>
      </w:r>
    </w:p>
    <w:p w14:paraId="27B347C5">
      <w:pPr>
        <w:spacing w:line="420" w:lineRule="exact"/>
        <w:jc w:val="center"/>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申请函</w:t>
      </w:r>
    </w:p>
    <w:p w14:paraId="6FC83043">
      <w:pPr>
        <w:spacing w:line="420" w:lineRule="exact"/>
        <w:jc w:val="left"/>
        <w:rPr>
          <w:rFonts w:ascii="宋体" w:hAnsi="宋体" w:cs="宋体"/>
          <w:b/>
          <w:color w:val="auto"/>
          <w:kern w:val="0"/>
          <w:sz w:val="32"/>
          <w:szCs w:val="20"/>
          <w:highlight w:val="none"/>
        </w:rPr>
      </w:pPr>
    </w:p>
    <w:p w14:paraId="2EFD2A6F">
      <w:pPr>
        <w:spacing w:line="360" w:lineRule="auto"/>
        <w:jc w:val="left"/>
        <w:rPr>
          <w:rFonts w:ascii="宋体" w:hAnsi="宋体" w:cs="宋体"/>
          <w:b/>
          <w:color w:val="auto"/>
          <w:kern w:val="0"/>
          <w:sz w:val="24"/>
          <w:highlight w:val="none"/>
          <w:u w:val="single"/>
        </w:rPr>
      </w:pPr>
      <w:r>
        <w:rPr>
          <w:rFonts w:hint="eastAsia" w:ascii="宋体" w:hAnsi="宋体" w:cs="宋体"/>
          <w:b/>
          <w:color w:val="auto"/>
          <w:kern w:val="0"/>
          <w:sz w:val="24"/>
          <w:highlight w:val="none"/>
        </w:rPr>
        <w:t>致：</w:t>
      </w:r>
      <w:r>
        <w:rPr>
          <w:rFonts w:hint="eastAsia" w:ascii="宋体" w:hAnsi="宋体" w:cs="宋体"/>
          <w:b/>
          <w:color w:val="auto"/>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我公司已获悉贵单位发出的</w:t>
      </w:r>
      <w:r>
        <w:rPr>
          <w:rFonts w:hint="eastAsia" w:ascii="宋体" w:hAnsi="宋体" w:cs="宋体"/>
          <w:color w:val="auto"/>
          <w:spacing w:val="7"/>
          <w:kern w:val="0"/>
          <w:sz w:val="24"/>
          <w:highlight w:val="none"/>
          <w:u w:val="single"/>
          <w:lang w:eastAsia="zh-CN"/>
        </w:rPr>
        <w:t>2025年度南通市公路事业发展中心应急演练项目</w:t>
      </w:r>
      <w:r>
        <w:rPr>
          <w:rFonts w:hint="eastAsia" w:ascii="宋体" w:hAnsi="宋体" w:cs="宋体"/>
          <w:color w:val="auto"/>
          <w:spacing w:val="7"/>
          <w:kern w:val="0"/>
          <w:sz w:val="24"/>
          <w:highlight w:val="none"/>
        </w:rPr>
        <w:t>竞争性磋商公告</w:t>
      </w:r>
      <w:r>
        <w:rPr>
          <w:rFonts w:hint="eastAsia" w:ascii="宋体" w:hAnsi="宋体" w:cs="宋体"/>
          <w:color w:val="auto"/>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color w:val="auto"/>
          <w:kern w:val="0"/>
          <w:sz w:val="24"/>
          <w:highlight w:val="none"/>
        </w:rPr>
      </w:pPr>
    </w:p>
    <w:p w14:paraId="1146575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spacing w:val="7"/>
          <w:kern w:val="0"/>
          <w:sz w:val="24"/>
          <w:highlight w:val="none"/>
          <w:u w:val="single"/>
        </w:rPr>
        <w:t xml:space="preserve">   </w:t>
      </w:r>
    </w:p>
    <w:p w14:paraId="472E9D1E">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spacing w:val="7"/>
          <w:kern w:val="0"/>
          <w:sz w:val="24"/>
          <w:highlight w:val="none"/>
          <w:u w:val="single"/>
        </w:rPr>
        <w:t xml:space="preserve">   </w:t>
      </w:r>
    </w:p>
    <w:p w14:paraId="611B9FA1">
      <w:pPr>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E-MAIL地址：</w:t>
      </w:r>
      <w:r>
        <w:rPr>
          <w:rFonts w:hint="eastAsia" w:ascii="宋体" w:hAnsi="宋体" w:cs="宋体"/>
          <w:color w:val="auto"/>
          <w:spacing w:val="7"/>
          <w:kern w:val="0"/>
          <w:sz w:val="24"/>
          <w:highlight w:val="none"/>
          <w:u w:val="single"/>
        </w:rPr>
        <w:t xml:space="preserve">   </w:t>
      </w:r>
    </w:p>
    <w:p w14:paraId="3E0DF138">
      <w:pPr>
        <w:spacing w:line="360" w:lineRule="auto"/>
        <w:jc w:val="left"/>
        <w:rPr>
          <w:rFonts w:ascii="宋体" w:hAnsi="宋体" w:cs="宋体"/>
          <w:color w:val="auto"/>
          <w:kern w:val="0"/>
          <w:sz w:val="24"/>
          <w:highlight w:val="none"/>
          <w:lang w:val="zh-CN"/>
        </w:rPr>
      </w:pPr>
    </w:p>
    <w:p w14:paraId="71109941">
      <w:pPr>
        <w:spacing w:line="360" w:lineRule="auto"/>
        <w:jc w:val="left"/>
        <w:rPr>
          <w:rFonts w:ascii="宋体" w:hAnsi="宋体" w:cs="宋体"/>
          <w:b/>
          <w:color w:val="auto"/>
          <w:kern w:val="0"/>
          <w:sz w:val="24"/>
          <w:highlight w:val="none"/>
          <w:lang w:val="zh-CN"/>
        </w:rPr>
      </w:pPr>
    </w:p>
    <w:p w14:paraId="435D64D7">
      <w:pPr>
        <w:spacing w:line="360" w:lineRule="auto"/>
        <w:jc w:val="left"/>
        <w:rPr>
          <w:rFonts w:ascii="宋体" w:hAnsi="宋体" w:cs="宋体"/>
          <w:b/>
          <w:color w:val="auto"/>
          <w:kern w:val="0"/>
          <w:sz w:val="24"/>
          <w:highlight w:val="none"/>
          <w:lang w:val="zh-CN"/>
        </w:rPr>
      </w:pPr>
    </w:p>
    <w:p w14:paraId="2D2C363E">
      <w:pPr>
        <w:spacing w:line="360" w:lineRule="auto"/>
        <w:jc w:val="left"/>
        <w:rPr>
          <w:rFonts w:ascii="宋体" w:hAnsi="宋体" w:cs="宋体"/>
          <w:b/>
          <w:color w:val="auto"/>
          <w:kern w:val="0"/>
          <w:sz w:val="24"/>
          <w:highlight w:val="none"/>
          <w:lang w:val="zh-CN"/>
        </w:rPr>
      </w:pPr>
    </w:p>
    <w:p w14:paraId="2FE9CEB1">
      <w:pPr>
        <w:spacing w:line="360" w:lineRule="auto"/>
        <w:ind w:firstLine="5280" w:firstLineChars="2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单位：</w:t>
      </w:r>
      <w:r>
        <w:rPr>
          <w:rFonts w:hint="eastAsia" w:ascii="宋体" w:hAnsi="宋体" w:cs="宋体"/>
          <w:color w:val="auto"/>
          <w:kern w:val="0"/>
          <w:sz w:val="24"/>
          <w:highlight w:val="none"/>
          <w:u w:val="single"/>
          <w:lang w:val="zh-CN"/>
        </w:rPr>
        <w:t xml:space="preserve"> （盖章）                 </w:t>
      </w:r>
    </w:p>
    <w:p w14:paraId="390CCEBB">
      <w:pPr>
        <w:spacing w:line="360" w:lineRule="auto"/>
        <w:jc w:val="right"/>
        <w:rPr>
          <w:rFonts w:ascii="宋体" w:hAnsi="宋体" w:cs="宋体"/>
          <w:color w:val="auto"/>
          <w:kern w:val="0"/>
          <w:sz w:val="24"/>
          <w:highlight w:val="none"/>
        </w:rPr>
      </w:pPr>
      <w:r>
        <w:rPr>
          <w:rFonts w:hint="eastAsia" w:ascii="宋体" w:hAnsi="宋体" w:cs="宋体"/>
          <w:color w:val="auto"/>
          <w:spacing w:val="7"/>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pacing w:val="7"/>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pacing w:val="7"/>
          <w:kern w:val="0"/>
          <w:sz w:val="24"/>
          <w:highlight w:val="none"/>
          <w:u w:val="single"/>
        </w:rPr>
        <w:t xml:space="preserve">   </w:t>
      </w:r>
      <w:r>
        <w:rPr>
          <w:rFonts w:hint="eastAsia" w:ascii="宋体" w:hAnsi="宋体" w:cs="宋体"/>
          <w:color w:val="auto"/>
          <w:kern w:val="0"/>
          <w:sz w:val="24"/>
          <w:highlight w:val="none"/>
          <w:lang w:val="zh-CN"/>
        </w:rPr>
        <w:t>日</w:t>
      </w:r>
    </w:p>
    <w:p w14:paraId="28A5AC4A">
      <w:pPr>
        <w:snapToGrid w:val="0"/>
        <w:spacing w:line="300" w:lineRule="auto"/>
        <w:ind w:firstLine="560" w:firstLineChars="200"/>
        <w:contextualSpacing/>
        <w:rPr>
          <w:rFonts w:ascii="宋体" w:hAnsi="宋体" w:cs="宋体"/>
          <w:color w:val="auto"/>
          <w:sz w:val="28"/>
          <w:szCs w:val="28"/>
          <w:highlight w:val="none"/>
        </w:rPr>
      </w:pPr>
    </w:p>
    <w:p w14:paraId="1D7E7084">
      <w:pPr>
        <w:snapToGrid w:val="0"/>
        <w:spacing w:line="300" w:lineRule="auto"/>
        <w:contextualSpacing/>
        <w:jc w:val="center"/>
        <w:rPr>
          <w:rFonts w:ascii="宋体" w:hAnsi="宋体" w:cs="宋体"/>
          <w:b/>
          <w:bCs/>
          <w:color w:val="auto"/>
          <w:sz w:val="36"/>
          <w:szCs w:val="36"/>
          <w:highlight w:val="none"/>
          <w:lang w:val="zh-CN"/>
        </w:rPr>
      </w:pPr>
      <w:bookmarkStart w:id="9" w:name="_GoBack"/>
      <w:bookmarkEnd w:id="9"/>
      <w:r>
        <w:rPr>
          <w:rFonts w:hint="eastAsia" w:ascii="宋体" w:hAnsi="宋体" w:cs="宋体"/>
          <w:b/>
          <w:color w:val="auto"/>
          <w:sz w:val="28"/>
          <w:szCs w:val="28"/>
          <w:highlight w:val="none"/>
        </w:rPr>
        <w:br w:type="page"/>
      </w:r>
      <w:r>
        <w:rPr>
          <w:rFonts w:hint="eastAsia" w:ascii="宋体" w:hAnsi="宋体" w:cs="宋体"/>
          <w:b/>
          <w:bCs/>
          <w:color w:val="auto"/>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color w:val="auto"/>
          <w:sz w:val="24"/>
          <w:highlight w:val="none"/>
          <w:lang w:val="zh-CN"/>
        </w:rPr>
      </w:pPr>
      <w:r>
        <w:rPr>
          <w:rFonts w:hint="eastAsia" w:ascii="宋体" w:hAnsi="宋体" w:cs="宋体"/>
          <w:b/>
          <w:color w:val="auto"/>
          <w:sz w:val="24"/>
          <w:highlight w:val="none"/>
          <w:lang w:val="zh-CN"/>
        </w:rPr>
        <w:t>一、说明</w:t>
      </w:r>
    </w:p>
    <w:p w14:paraId="16E09B9E">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lang w:val="zh-CN"/>
        </w:rPr>
        <w:t>.</w:t>
      </w:r>
      <w:r>
        <w:rPr>
          <w:rFonts w:hint="eastAsia" w:ascii="宋体" w:hAnsi="宋体" w:cs="宋体"/>
          <w:bCs/>
          <w:color w:val="auto"/>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w:t>
      </w:r>
      <w:r>
        <w:rPr>
          <w:rFonts w:hint="eastAsia" w:ascii="宋体" w:hAnsi="宋体" w:cs="宋体"/>
          <w:color w:val="auto"/>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color w:val="auto"/>
          <w:sz w:val="24"/>
          <w:highlight w:val="none"/>
          <w:lang w:val="zh-CN"/>
        </w:rPr>
        <w:t>供应商下载磋商</w:t>
      </w:r>
      <w:r>
        <w:rPr>
          <w:rFonts w:hint="eastAsia" w:ascii="宋体" w:hAnsi="宋体" w:cs="宋体"/>
          <w:color w:val="auto"/>
          <w:sz w:val="24"/>
          <w:highlight w:val="none"/>
        </w:rPr>
        <w:t>文件后，应在磋商文件发布后的</w:t>
      </w:r>
      <w:r>
        <w:rPr>
          <w:rFonts w:hint="eastAsia" w:ascii="宋体" w:hAnsi="宋体" w:cs="宋体"/>
          <w:b/>
          <w:color w:val="auto"/>
          <w:sz w:val="24"/>
          <w:highlight w:val="none"/>
          <w:lang w:val="zh-CN"/>
        </w:rPr>
        <w:t>3日内以书面形式向采购人或代理单位提出询问或疑问</w:t>
      </w:r>
      <w:r>
        <w:rPr>
          <w:rFonts w:hint="eastAsia" w:ascii="宋体" w:hAnsi="宋体" w:cs="宋体"/>
          <w:color w:val="auto"/>
          <w:sz w:val="24"/>
          <w:highlight w:val="none"/>
          <w:lang w:val="zh-CN"/>
        </w:rPr>
        <w:t>，未在规定的3日内提出询问或疑问的，视同供应商理解并接受本磋商文件所有内容，并由此引起的损失自负。</w:t>
      </w:r>
      <w:r>
        <w:rPr>
          <w:rFonts w:hint="eastAsia" w:ascii="宋体" w:hAnsi="宋体" w:cs="宋体"/>
          <w:b/>
          <w:color w:val="auto"/>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w:t>
      </w:r>
      <w:r>
        <w:rPr>
          <w:rFonts w:hint="eastAsia" w:ascii="宋体" w:hAnsi="宋体" w:cs="宋体"/>
          <w:color w:val="auto"/>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二、磋商文件的澄清、修改、答疑</w:t>
      </w:r>
    </w:p>
    <w:p w14:paraId="4E59600F">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磋商文件的澄清、修改、补充等内容均以书面明确的形式发布，并以</w:t>
      </w:r>
      <w:r>
        <w:rPr>
          <w:rFonts w:hint="eastAsia" w:ascii="宋体" w:hAnsi="宋体" w:cs="宋体"/>
          <w:color w:val="auto"/>
          <w:spacing w:val="7"/>
          <w:kern w:val="0"/>
          <w:sz w:val="24"/>
          <w:highlight w:val="none"/>
        </w:rPr>
        <w:t>南通市交通运输局—公共资源交易栏目</w:t>
      </w:r>
      <w:r>
        <w:rPr>
          <w:rFonts w:hint="eastAsia" w:ascii="宋体" w:hAnsi="宋体" w:cs="宋体"/>
          <w:color w:val="auto"/>
          <w:sz w:val="24"/>
          <w:highlight w:val="none"/>
        </w:rPr>
        <w:t>发布的信息为准。</w:t>
      </w:r>
    </w:p>
    <w:p w14:paraId="099222C9">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s="宋体"/>
          <w:color w:val="auto"/>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w:t>
      </w:r>
      <w:r>
        <w:rPr>
          <w:rFonts w:hint="eastAsia" w:ascii="宋体" w:hAnsi="宋体" w:cs="宋体"/>
          <w:color w:val="auto"/>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w:t>
      </w:r>
      <w:r>
        <w:rPr>
          <w:rFonts w:hint="eastAsia" w:ascii="宋体" w:hAnsi="宋体" w:cs="宋体"/>
          <w:color w:val="auto"/>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w:t>
      </w:r>
      <w:r>
        <w:rPr>
          <w:rFonts w:hint="eastAsia" w:ascii="宋体" w:hAnsi="宋体" w:cs="宋体"/>
          <w:color w:val="auto"/>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三、磋商项目涉及到的现场勘察</w:t>
      </w:r>
    </w:p>
    <w:p w14:paraId="08D5D859">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w:t>
      </w:r>
      <w:r>
        <w:rPr>
          <w:rFonts w:hint="eastAsia" w:ascii="宋体" w:hAnsi="宋体" w:cs="宋体"/>
          <w:color w:val="auto"/>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w:t>
      </w:r>
      <w:r>
        <w:rPr>
          <w:rFonts w:hint="eastAsia" w:ascii="宋体" w:hAnsi="宋体" w:cs="宋体"/>
          <w:color w:val="auto"/>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3.按照磋商文件所规定的内容顺序，统一编制目录，逐页编码，由于编排混乱导致投标</w:t>
      </w:r>
      <w:r>
        <w:rPr>
          <w:rFonts w:hint="eastAsia" w:ascii="宋体" w:hAnsi="宋体" w:cs="宋体"/>
          <w:color w:val="auto"/>
          <w:sz w:val="24"/>
          <w:highlight w:val="none"/>
        </w:rPr>
        <w:t>响应</w:t>
      </w:r>
      <w:r>
        <w:rPr>
          <w:rFonts w:hint="eastAsia" w:ascii="宋体" w:hAnsi="宋体" w:cs="宋体"/>
          <w:color w:val="auto"/>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color w:val="auto"/>
          <w:sz w:val="24"/>
          <w:highlight w:val="none"/>
          <w:lang w:val="zh-CN"/>
        </w:rPr>
      </w:pPr>
      <w:r>
        <w:rPr>
          <w:rFonts w:hint="eastAsia" w:ascii="宋体" w:hAnsi="宋体" w:cs="宋体"/>
          <w:b/>
          <w:bCs/>
          <w:color w:val="auto"/>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1.响应文件由：</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商务技术响应文件、③价格响应文件、④电子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2.纸质响应文件（</w:t>
      </w:r>
      <w:r>
        <w:rPr>
          <w:rFonts w:hint="eastAsia" w:ascii="宋体" w:hAnsi="宋体" w:cs="宋体"/>
          <w:color w:val="auto"/>
          <w:sz w:val="24"/>
          <w:highlight w:val="none"/>
        </w:rPr>
        <w:t>即</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商务技术文件、③价格响应文件，</w:t>
      </w:r>
      <w:r>
        <w:rPr>
          <w:rFonts w:hint="eastAsia" w:ascii="宋体" w:hAnsi="宋体" w:cs="宋体"/>
          <w:color w:val="auto"/>
          <w:sz w:val="24"/>
          <w:highlight w:val="none"/>
        </w:rPr>
        <w:t>下同</w:t>
      </w:r>
      <w:r>
        <w:rPr>
          <w:rFonts w:hint="eastAsia" w:ascii="宋体" w:hAnsi="宋体" w:cs="宋体"/>
          <w:color w:val="auto"/>
          <w:sz w:val="24"/>
          <w:highlight w:val="none"/>
          <w:lang w:val="zh-CN"/>
        </w:rPr>
        <w:t>）均为一式叁份，其中“正本”壹份和“副本”贰份。电子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电子版响应文件即为上述</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color w:val="auto"/>
          <w:sz w:val="24"/>
          <w:highlight w:val="none"/>
          <w:u w:val="double"/>
          <w:lang w:val="zh-CN"/>
        </w:rPr>
      </w:pPr>
      <w:r>
        <w:rPr>
          <w:rFonts w:hint="eastAsia" w:ascii="宋体" w:hAnsi="宋体" w:cs="宋体"/>
          <w:color w:val="auto"/>
          <w:sz w:val="24"/>
          <w:highlight w:val="none"/>
          <w:lang w:val="zh-CN"/>
        </w:rPr>
        <w:t>1.供应商须将本项目响应文件：</w:t>
      </w:r>
      <w:r>
        <w:rPr>
          <w:rFonts w:hint="eastAsia" w:ascii="宋体" w:hAnsi="宋体" w:cs="宋体"/>
          <w:b/>
          <w:bCs/>
          <w:color w:val="auto"/>
          <w:sz w:val="24"/>
          <w:highlight w:val="none"/>
          <w:u w:val="double"/>
          <w:lang w:val="zh-CN"/>
        </w:rPr>
        <w:fldChar w:fldCharType="begin"/>
      </w:r>
      <w:r>
        <w:rPr>
          <w:rFonts w:hint="eastAsia" w:ascii="宋体" w:hAnsi="宋体" w:cs="宋体"/>
          <w:b/>
          <w:bCs/>
          <w:color w:val="auto"/>
          <w:sz w:val="24"/>
          <w:highlight w:val="none"/>
          <w:u w:val="double"/>
          <w:lang w:val="zh-CN"/>
        </w:rPr>
        <w:instrText xml:space="preserve"> = 1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①</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w:t>
      </w:r>
      <w:r>
        <w:rPr>
          <w:rFonts w:hint="eastAsia" w:ascii="宋体" w:hAnsi="宋体" w:cs="宋体"/>
          <w:b/>
          <w:bCs/>
          <w:color w:val="auto"/>
          <w:sz w:val="24"/>
          <w:highlight w:val="none"/>
          <w:u w:val="double"/>
          <w:lang w:val="zh-CN"/>
        </w:rPr>
        <w:fldChar w:fldCharType="begin"/>
      </w:r>
      <w:r>
        <w:rPr>
          <w:rFonts w:hint="eastAsia"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color w:val="auto"/>
          <w:sz w:val="24"/>
          <w:highlight w:val="none"/>
          <w:u w:val="double"/>
          <w:lang w:val="zh-CN"/>
        </w:rPr>
      </w:pPr>
      <w:r>
        <w:rPr>
          <w:rFonts w:hint="eastAsia" w:ascii="宋体" w:hAnsi="宋体" w:cs="宋体"/>
          <w:color w:val="auto"/>
          <w:sz w:val="24"/>
          <w:highlight w:val="none"/>
          <w:lang w:val="zh-CN"/>
        </w:rPr>
        <w:t>3.密封后，应在封袋或封箱上明确标注</w:t>
      </w:r>
      <w:r>
        <w:rPr>
          <w:rFonts w:hint="eastAsia" w:ascii="宋体" w:hAnsi="宋体" w:cs="宋体"/>
          <w:b/>
          <w:bCs/>
          <w:color w:val="auto"/>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color w:val="auto"/>
          <w:sz w:val="24"/>
          <w:highlight w:val="none"/>
          <w:u w:val="double"/>
          <w:lang w:val="zh-CN"/>
        </w:rPr>
      </w:pPr>
      <w:r>
        <w:rPr>
          <w:rFonts w:hint="eastAsia" w:ascii="宋体" w:hAnsi="宋体" w:cs="宋体"/>
          <w:color w:val="auto"/>
          <w:sz w:val="24"/>
          <w:highlight w:val="none"/>
          <w:lang w:val="zh-CN"/>
        </w:rPr>
        <w:t>4.</w:t>
      </w:r>
      <w:r>
        <w:rPr>
          <w:rFonts w:hint="eastAsia" w:ascii="宋体" w:hAnsi="宋体" w:cs="宋体"/>
          <w:b/>
          <w:bCs/>
          <w:color w:val="auto"/>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【特别提醒】响应文件中</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w:t>
      </w:r>
      <w:r>
        <w:rPr>
          <w:rFonts w:hint="eastAsia" w:ascii="宋体" w:hAnsi="宋体" w:cs="宋体"/>
          <w:color w:val="auto"/>
          <w:sz w:val="24"/>
          <w:highlight w:val="none"/>
          <w:lang w:val="zh-CN"/>
        </w:rPr>
        <w:fldChar w:fldCharType="begin"/>
      </w:r>
      <w:r>
        <w:rPr>
          <w:rFonts w:hint="eastAsia"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的“正本”或“副本”中，</w:t>
      </w:r>
      <w:r>
        <w:rPr>
          <w:rFonts w:hint="eastAsia" w:ascii="宋体" w:hAnsi="宋体" w:cs="宋体"/>
          <w:b/>
          <w:bCs/>
          <w:color w:val="auto"/>
          <w:sz w:val="24"/>
          <w:highlight w:val="none"/>
          <w:u w:val="double"/>
          <w:lang w:val="zh-CN"/>
        </w:rPr>
        <w:t>均不得含有价格响应文件中报价表（报价单）内的任何项目价格，否则作无效响应处理</w:t>
      </w:r>
      <w:r>
        <w:rPr>
          <w:rFonts w:hint="eastAsia" w:ascii="宋体" w:hAnsi="宋体" w:cs="宋体"/>
          <w:color w:val="auto"/>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rPr>
        <w:t>四</w:t>
      </w:r>
      <w:r>
        <w:rPr>
          <w:rFonts w:hint="eastAsia" w:ascii="宋体" w:hAnsi="宋体" w:cs="宋体"/>
          <w:b/>
          <w:bCs/>
          <w:color w:val="auto"/>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磋商响应有效期为采购代理机构规定的响应文件提交截止时间后</w:t>
      </w:r>
      <w:r>
        <w:rPr>
          <w:rFonts w:hint="eastAsia" w:ascii="宋体" w:hAnsi="宋体" w:cs="宋体"/>
          <w:b/>
          <w:color w:val="auto"/>
          <w:sz w:val="24"/>
          <w:highlight w:val="none"/>
          <w:u w:val="single"/>
          <w:lang w:val="zh-CN"/>
        </w:rPr>
        <w:t>四十五（45）天</w:t>
      </w:r>
      <w:r>
        <w:rPr>
          <w:rFonts w:hint="eastAsia" w:ascii="宋体" w:hAnsi="宋体" w:cs="宋体"/>
          <w:color w:val="auto"/>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4.报价方式及要求：</w:t>
      </w:r>
    </w:p>
    <w:p w14:paraId="2701DB8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本项目采用总价报价，最终报价</w:t>
      </w:r>
      <w:bookmarkStart w:id="1" w:name="_Hlk78137675"/>
      <w:r>
        <w:rPr>
          <w:rFonts w:asciiTheme="minorEastAsia" w:hAnsiTheme="minorEastAsia" w:eastAsiaTheme="minorEastAsia"/>
          <w:color w:val="auto"/>
          <w:sz w:val="24"/>
          <w:highlight w:val="none"/>
        </w:rPr>
        <w:t>包括并不限于人工、材料、</w:t>
      </w:r>
      <w:r>
        <w:rPr>
          <w:rFonts w:hint="eastAsia" w:asciiTheme="minorEastAsia" w:hAnsiTheme="minorEastAsia" w:eastAsiaTheme="minorEastAsia"/>
          <w:color w:val="auto"/>
          <w:sz w:val="24"/>
          <w:highlight w:val="none"/>
        </w:rPr>
        <w:t>设备工器具的使用</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交通、</w:t>
      </w:r>
      <w:r>
        <w:rPr>
          <w:rFonts w:asciiTheme="minorEastAsia" w:hAnsiTheme="minorEastAsia" w:eastAsiaTheme="minorEastAsia"/>
          <w:color w:val="auto"/>
          <w:sz w:val="24"/>
          <w:highlight w:val="none"/>
        </w:rPr>
        <w:t>通信、</w:t>
      </w:r>
      <w:r>
        <w:rPr>
          <w:rFonts w:hint="eastAsia" w:cs="仿宋_GB2312" w:asciiTheme="minorEastAsia" w:hAnsiTheme="minorEastAsia" w:eastAsiaTheme="minorEastAsia"/>
          <w:color w:val="auto"/>
          <w:sz w:val="24"/>
          <w:highlight w:val="none"/>
          <w:lang w:val="zh-CN"/>
        </w:rPr>
        <w:t>后续服务等全部工作所需的</w:t>
      </w:r>
      <w:r>
        <w:rPr>
          <w:rFonts w:hint="eastAsia" w:cs="仿宋_GB2312" w:asciiTheme="minorEastAsia" w:hAnsiTheme="minorEastAsia" w:eastAsiaTheme="minorEastAsia"/>
          <w:color w:val="auto"/>
          <w:sz w:val="24"/>
          <w:highlight w:val="none"/>
        </w:rPr>
        <w:t>费用</w:t>
      </w:r>
      <w:r>
        <w:rPr>
          <w:rFonts w:hint="eastAsia" w:cs="仿宋_GB2312" w:asciiTheme="minorEastAsia" w:hAnsiTheme="minorEastAsia" w:eastAsiaTheme="minorEastAsia"/>
          <w:color w:val="auto"/>
          <w:sz w:val="24"/>
          <w:highlight w:val="none"/>
          <w:lang w:val="zh-CN"/>
        </w:rPr>
        <w:t>以及公司取费、法定税金、利润等与履行合同有关的一切费用以及合同明示或暗示的所有一般风险责任和义务费用</w:t>
      </w:r>
      <w:r>
        <w:rPr>
          <w:rFonts w:asciiTheme="minorEastAsia" w:hAnsiTheme="minorEastAsia" w:eastAsiaTheme="minorEastAsia"/>
          <w:color w:val="auto"/>
          <w:sz w:val="24"/>
          <w:highlight w:val="none"/>
        </w:rPr>
        <w:t>，采购人不另行支付其它任何费用</w:t>
      </w:r>
      <w:r>
        <w:rPr>
          <w:rFonts w:hint="eastAsia" w:cs="仿宋_GB2312" w:asciiTheme="minorEastAsia" w:hAnsiTheme="minorEastAsia" w:eastAsiaTheme="minorEastAsia"/>
          <w:color w:val="auto"/>
          <w:sz w:val="24"/>
          <w:highlight w:val="none"/>
          <w:lang w:val="zh-CN"/>
        </w:rPr>
        <w:t>。</w:t>
      </w:r>
      <w:bookmarkEnd w:id="1"/>
    </w:p>
    <w:p w14:paraId="13AAD47C">
      <w:pPr>
        <w:autoSpaceDE w:val="0"/>
        <w:autoSpaceDN w:val="0"/>
        <w:adjustRightInd w:val="0"/>
        <w:snapToGrid w:val="0"/>
        <w:spacing w:line="360" w:lineRule="auto"/>
        <w:ind w:firstLine="480" w:firstLineChars="200"/>
        <w:jc w:val="left"/>
        <w:rPr>
          <w:rFonts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2）供应商在投标时应主动查阅本项目的有关文件、技术经济等资料。作为一个有经验的供应商，应充分考虑到采购人提供的相关资料和数据与合同实施过程中存有偏差。供应商应综合考虑到报价中，采购对供应商的投标报价不因此而进行调整。</w:t>
      </w:r>
    </w:p>
    <w:p w14:paraId="343AD225">
      <w:pPr>
        <w:autoSpaceDE w:val="0"/>
        <w:autoSpaceDN w:val="0"/>
        <w:adjustRightInd w:val="0"/>
        <w:snapToGrid w:val="0"/>
        <w:spacing w:line="360" w:lineRule="auto"/>
        <w:ind w:firstLine="480" w:firstLineChars="200"/>
        <w:jc w:val="left"/>
        <w:rPr>
          <w:rFonts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zh-CN"/>
        </w:rPr>
        <w:t>）本项目不接受调价函。</w:t>
      </w:r>
    </w:p>
    <w:p w14:paraId="2DF8DF9F">
      <w:pPr>
        <w:autoSpaceDE w:val="0"/>
        <w:autoSpaceDN w:val="0"/>
        <w:adjustRightInd w:val="0"/>
        <w:snapToGrid w:val="0"/>
        <w:spacing w:line="360" w:lineRule="auto"/>
        <w:ind w:firstLine="480" w:firstLineChars="200"/>
        <w:jc w:val="left"/>
        <w:rPr>
          <w:rFonts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zh-CN"/>
        </w:rPr>
        <w:t>）竞争性磋商的最终报价为预期成交价。</w:t>
      </w:r>
    </w:p>
    <w:p w14:paraId="1B6A8A1F">
      <w:pPr>
        <w:autoSpaceDE w:val="0"/>
        <w:autoSpaceDN w:val="0"/>
        <w:adjustRightInd w:val="0"/>
        <w:spacing w:line="360" w:lineRule="auto"/>
        <w:ind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b/>
          <w:bCs/>
          <w:color w:val="auto"/>
          <w:sz w:val="24"/>
          <w:highlight w:val="none"/>
          <w:lang w:val="zh-CN"/>
        </w:rPr>
        <w:t>本项目首轮磋商报价最高投标限价为人民币</w:t>
      </w:r>
      <w:r>
        <w:rPr>
          <w:rFonts w:hint="eastAsia" w:cs="宋体" w:asciiTheme="minorEastAsia" w:hAnsiTheme="minorEastAsia" w:eastAsiaTheme="minorEastAsia"/>
          <w:b/>
          <w:bCs/>
          <w:color w:val="auto"/>
          <w:sz w:val="24"/>
          <w:highlight w:val="none"/>
          <w:lang w:val="en-US" w:eastAsia="zh-CN"/>
        </w:rPr>
        <w:t>叁拾肆万元整</w:t>
      </w:r>
      <w:r>
        <w:rPr>
          <w:rFonts w:hint="eastAsia" w:cs="宋体" w:asciiTheme="minorEastAsia" w:hAnsiTheme="minorEastAsia" w:eastAsiaTheme="minorEastAsia"/>
          <w:b/>
          <w:bCs/>
          <w:color w:val="auto"/>
          <w:sz w:val="24"/>
          <w:highlight w:val="none"/>
          <w:lang w:val="zh-CN"/>
        </w:rPr>
        <w:t>（¥</w:t>
      </w:r>
      <w:r>
        <w:rPr>
          <w:rFonts w:hint="eastAsia" w:cs="宋体" w:asciiTheme="minorEastAsia" w:hAnsiTheme="minorEastAsia" w:eastAsiaTheme="minorEastAsia"/>
          <w:b/>
          <w:bCs/>
          <w:color w:val="auto"/>
          <w:sz w:val="24"/>
          <w:highlight w:val="none"/>
          <w:lang w:val="en-US" w:eastAsia="zh-CN"/>
        </w:rPr>
        <w:t>340000</w:t>
      </w:r>
      <w:r>
        <w:rPr>
          <w:rFonts w:hint="eastAsia" w:cs="宋体" w:asciiTheme="minorEastAsia" w:hAnsiTheme="minorEastAsia" w:eastAsiaTheme="minorEastAsia"/>
          <w:b/>
          <w:bCs/>
          <w:color w:val="auto"/>
          <w:sz w:val="24"/>
          <w:highlight w:val="none"/>
          <w:lang w:val="zh-CN"/>
        </w:rPr>
        <w:t>）</w:t>
      </w:r>
      <w:r>
        <w:rPr>
          <w:rFonts w:hint="eastAsia" w:cs="宋体" w:asciiTheme="minorEastAsia" w:hAnsiTheme="minorEastAsia" w:eastAsiaTheme="minorEastAsia"/>
          <w:color w:val="auto"/>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六、响应文件及磋商费用</w:t>
      </w:r>
    </w:p>
    <w:p w14:paraId="73001393">
      <w:pPr>
        <w:pStyle w:val="30"/>
        <w:snapToGrid w:val="0"/>
        <w:spacing w:line="360" w:lineRule="auto"/>
        <w:ind w:firstLine="494"/>
        <w:contextualSpacing/>
        <w:rPr>
          <w:rFonts w:ascii="宋体" w:eastAsia="宋体" w:cs="宋体"/>
          <w:color w:val="auto"/>
          <w:sz w:val="24"/>
          <w:szCs w:val="24"/>
          <w:highlight w:val="none"/>
        </w:rPr>
      </w:pPr>
      <w:r>
        <w:rPr>
          <w:rFonts w:hint="eastAsia" w:ascii="宋体" w:eastAsia="宋体" w:cs="宋体"/>
          <w:color w:val="auto"/>
          <w:sz w:val="24"/>
          <w:szCs w:val="24"/>
          <w:highlight w:val="none"/>
        </w:rPr>
        <w:t>1</w:t>
      </w:r>
      <w:r>
        <w:rPr>
          <w:rFonts w:hint="eastAsia" w:ascii="宋体" w:eastAsia="宋体" w:cs="宋体"/>
          <w:color w:val="auto"/>
          <w:sz w:val="24"/>
          <w:highlight w:val="none"/>
          <w:lang w:val="zh-CN"/>
        </w:rPr>
        <w:t>.</w:t>
      </w:r>
      <w:r>
        <w:rPr>
          <w:rFonts w:hint="eastAsia" w:ascii="宋体" w:eastAsia="宋体" w:cs="宋体"/>
          <w:color w:val="auto"/>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color w:val="auto"/>
          <w:sz w:val="24"/>
          <w:szCs w:val="24"/>
          <w:highlight w:val="none"/>
        </w:rPr>
      </w:pPr>
      <w:r>
        <w:rPr>
          <w:rFonts w:hint="eastAsia" w:ascii="宋体" w:eastAsia="宋体" w:cs="宋体"/>
          <w:color w:val="auto"/>
          <w:sz w:val="24"/>
          <w:szCs w:val="24"/>
          <w:highlight w:val="none"/>
        </w:rPr>
        <w:t>2</w:t>
      </w:r>
      <w:r>
        <w:rPr>
          <w:rFonts w:hint="eastAsia" w:ascii="宋体" w:eastAsia="宋体" w:cs="宋体"/>
          <w:color w:val="auto"/>
          <w:sz w:val="24"/>
          <w:highlight w:val="none"/>
          <w:lang w:val="zh-CN"/>
        </w:rPr>
        <w:t>.</w:t>
      </w:r>
      <w:r>
        <w:rPr>
          <w:rFonts w:hint="eastAsia" w:ascii="宋体" w:eastAsia="宋体" w:cs="宋体"/>
          <w:color w:val="auto"/>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保证金</w:t>
      </w:r>
    </w:p>
    <w:p w14:paraId="509BB367">
      <w:pPr>
        <w:snapToGrid w:val="0"/>
        <w:spacing w:line="360" w:lineRule="auto"/>
        <w:ind w:firstLine="463" w:firstLineChars="192"/>
        <w:rPr>
          <w:rFonts w:ascii="宋体" w:hAnsi="宋体" w:cs="宋体"/>
          <w:b/>
          <w:bCs/>
          <w:color w:val="auto"/>
          <w:sz w:val="24"/>
          <w:highlight w:val="none"/>
        </w:rPr>
      </w:pPr>
      <w:r>
        <w:rPr>
          <w:rFonts w:hint="eastAsia" w:ascii="宋体" w:hAnsi="宋体" w:cs="宋体"/>
          <w:b/>
          <w:bCs/>
          <w:color w:val="auto"/>
          <w:sz w:val="24"/>
          <w:highlight w:val="none"/>
        </w:rPr>
        <w:t>1.本项目不设磋商保证金。</w:t>
      </w:r>
    </w:p>
    <w:p w14:paraId="53F334E1">
      <w:pPr>
        <w:snapToGrid w:val="0"/>
        <w:spacing w:line="360" w:lineRule="auto"/>
        <w:ind w:firstLine="463" w:firstLineChars="192"/>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本项目不设履约保证金。</w:t>
      </w:r>
    </w:p>
    <w:p w14:paraId="5165A777">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八、分包</w:t>
      </w:r>
    </w:p>
    <w:p w14:paraId="3E49D980">
      <w:pPr>
        <w:snapToGrid w:val="0"/>
        <w:spacing w:line="360" w:lineRule="auto"/>
        <w:ind w:firstLine="460" w:firstLineChars="19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pacing w:val="7"/>
          <w:kern w:val="0"/>
          <w:sz w:val="24"/>
          <w:highlight w:val="none"/>
        </w:rPr>
        <w:t>允许对</w:t>
      </w:r>
      <w:r>
        <w:rPr>
          <w:rFonts w:hint="eastAsia" w:cs="宋体" w:asciiTheme="minorEastAsia" w:hAnsiTheme="minorEastAsia" w:eastAsiaTheme="minorEastAsia"/>
          <w:color w:val="auto"/>
          <w:spacing w:val="7"/>
          <w:kern w:val="0"/>
          <w:sz w:val="24"/>
          <w:highlight w:val="none"/>
          <w:u w:val="single"/>
        </w:rPr>
        <w:t>摄影、摄像、场地布置工作</w:t>
      </w:r>
      <w:r>
        <w:rPr>
          <w:rFonts w:hint="eastAsia" w:cs="宋体" w:asciiTheme="minorEastAsia" w:hAnsiTheme="minorEastAsia" w:eastAsiaTheme="minorEastAsia"/>
          <w:color w:val="auto"/>
          <w:spacing w:val="7"/>
          <w:kern w:val="0"/>
          <w:sz w:val="24"/>
          <w:highlight w:val="none"/>
        </w:rPr>
        <w:t>分包。</w:t>
      </w:r>
    </w:p>
    <w:p w14:paraId="5E219C25">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九、未尽事宜</w:t>
      </w:r>
    </w:p>
    <w:p w14:paraId="6902AE4E">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sz w:val="24"/>
          <w:highlight w:val="none"/>
        </w:rPr>
        <w:t>一、</w:t>
      </w:r>
      <w:r>
        <w:rPr>
          <w:rFonts w:hint="eastAsia" w:ascii="宋体" w:hAnsi="宋体" w:cs="宋体"/>
          <w:b/>
          <w:bCs/>
          <w:color w:val="auto"/>
          <w:kern w:val="0"/>
          <w:sz w:val="24"/>
          <w:highlight w:val="none"/>
        </w:rPr>
        <w:t>采购项目概况</w:t>
      </w:r>
    </w:p>
    <w:p w14:paraId="08F7787B">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根据</w:t>
      </w:r>
      <w:r>
        <w:rPr>
          <w:rFonts w:hint="eastAsia" w:ascii="宋体" w:eastAsia="宋体" w:cs="宋体"/>
          <w:color w:val="auto"/>
          <w:sz w:val="24"/>
          <w:szCs w:val="24"/>
          <w:highlight w:val="none"/>
        </w:rPr>
        <w:t>《省交通运输厅公路事业发展中心关于印发2025年度全省普通公路应急演练计划的通知》（苏交公便安〔2025〕84号）</w:t>
      </w:r>
      <w:r>
        <w:rPr>
          <w:rFonts w:hint="eastAsia" w:ascii="宋体" w:eastAsia="宋体" w:cs="宋体"/>
          <w:color w:val="auto"/>
          <w:sz w:val="24"/>
          <w:szCs w:val="24"/>
          <w:highlight w:val="none"/>
          <w:lang w:eastAsia="zh-CN"/>
        </w:rPr>
        <w:t>的</w:t>
      </w:r>
      <w:r>
        <w:rPr>
          <w:rFonts w:hint="eastAsia" w:ascii="宋体" w:eastAsia="宋体" w:cs="宋体"/>
          <w:color w:val="auto"/>
          <w:sz w:val="24"/>
          <w:szCs w:val="24"/>
          <w:highlight w:val="none"/>
          <w:lang w:val="en-US" w:eastAsia="zh-CN"/>
        </w:rPr>
        <w:t>要求，</w:t>
      </w:r>
      <w:r>
        <w:rPr>
          <w:rFonts w:hint="eastAsia" w:ascii="宋体" w:eastAsia="宋体" w:cs="宋体"/>
          <w:color w:val="auto"/>
          <w:sz w:val="24"/>
          <w:szCs w:val="24"/>
          <w:highlight w:val="none"/>
        </w:rPr>
        <w:t>部署南通市公路事业发展中心开展2025年度市县联动除冰除雪应急演练，要求按既定科目和时间，及早谋划准备、制订方案、精心实施，确保演练成效。</w:t>
      </w:r>
    </w:p>
    <w:p w14:paraId="3FF9DC88">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项目为1次市县联合综合性应急演练，主题为普通国省道除冰除雪应急处置，采取现场实战方式，内容包括事故发现、响应联动、事故处置、应急结束及后续措施。演练地点在如皋市，参演单位有南通市公路事业发展中心、市交通运输综合行政执法支队、市公安局交通警察大队等相关部门。</w:t>
      </w:r>
    </w:p>
    <w:p w14:paraId="78FDCC42">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color w:val="auto"/>
          <w:kern w:val="0"/>
          <w:sz w:val="24"/>
          <w:highlight w:val="none"/>
        </w:rPr>
      </w:pPr>
      <w:r>
        <w:rPr>
          <w:rFonts w:hint="eastAsia" w:ascii="宋体" w:hAnsi="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采购标的数量、采购项目交付或者实施的时间和地点</w:t>
      </w:r>
    </w:p>
    <w:p w14:paraId="5420C56F">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本项目采购内容为普通国省道除冰除雪应急处置演练，拟设除冰除雪、路障清除、应急机械化桥梁架设科目，设1个合同段。主要服务内容：</w:t>
      </w:r>
    </w:p>
    <w:p w14:paraId="4AA6599C">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rPr>
        <w:t>演练策划与指挥：制定含无人机在公路突发事件中应用的演练方案，确定详细内容，指挥各科目预演及正式演练。</w:t>
      </w:r>
    </w:p>
    <w:p w14:paraId="03E6F929">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2.</w:t>
      </w:r>
      <w:r>
        <w:rPr>
          <w:rFonts w:hint="eastAsia" w:ascii="宋体" w:eastAsia="宋体" w:cs="宋体"/>
          <w:color w:val="auto"/>
          <w:sz w:val="24"/>
          <w:szCs w:val="24"/>
          <w:highlight w:val="none"/>
        </w:rPr>
        <w:t>全过程统筹管理：</w:t>
      </w:r>
    </w:p>
    <w:p w14:paraId="524E8D2A">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场地布置：按不同科目和场地需要布置，保障机械设备、物资、交通管制、影音设备到位，演练后清理场地；</w:t>
      </w:r>
    </w:p>
    <w:p w14:paraId="55EA83BB">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2</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观摩安排：不设舞台和观摩台，以室内视频播放及直播形式进行，主席台准备活动手册、席卡、纸笔等；</w:t>
      </w:r>
    </w:p>
    <w:p w14:paraId="6361F0A1">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3</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人员保障：确保参演岗位人员、主持人、拍摄及其他工作人员到位，配备安全帽、反光背心、工作证，做好后勤保障；</w:t>
      </w:r>
    </w:p>
    <w:p w14:paraId="6649BAD0">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4</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其他人员：除项目负责人外，至少2人具有公路工程相关专业中级及以上技术职称。</w:t>
      </w:r>
    </w:p>
    <w:p w14:paraId="6D9C08C1">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注：公路工程相关专业包括公路工程、桥梁工程、公路与桥梁工程、交通土建、隧道（地下结构）工程、交通工程专业职称。</w:t>
      </w:r>
    </w:p>
    <w:p w14:paraId="3FED4690">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5</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拍摄工作：全过程跟踪拍摄，部分场景直播，设置转播机位、无人机及近景拍摄，制作不少于20分钟专题片。</w:t>
      </w:r>
    </w:p>
    <w:p w14:paraId="3DB388FE">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3.</w:t>
      </w:r>
      <w:r>
        <w:rPr>
          <w:rFonts w:hint="eastAsia" w:ascii="宋体" w:eastAsia="宋体" w:cs="宋体"/>
          <w:color w:val="auto"/>
          <w:sz w:val="24"/>
          <w:szCs w:val="24"/>
          <w:highlight w:val="none"/>
        </w:rPr>
        <w:t>演练后编制评估方案，组织评估并撰写报告，提交全套资料</w:t>
      </w:r>
      <w:r>
        <w:rPr>
          <w:rFonts w:hint="eastAsia" w:asciiTheme="minorEastAsia" w:hAnsiTheme="minorEastAsia" w:eastAsiaTheme="minorEastAsia"/>
          <w:color w:val="auto"/>
          <w:sz w:val="24"/>
          <w:szCs w:val="24"/>
          <w:highlight w:val="none"/>
        </w:rPr>
        <w:t>（全套演练资料电子档和纸质资料各</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套）</w:t>
      </w:r>
      <w:r>
        <w:rPr>
          <w:rFonts w:hint="eastAsia" w:ascii="宋体" w:eastAsia="宋体" w:cs="宋体"/>
          <w:color w:val="auto"/>
          <w:sz w:val="24"/>
          <w:szCs w:val="24"/>
          <w:highlight w:val="none"/>
        </w:rPr>
        <w:t>。</w:t>
      </w:r>
    </w:p>
    <w:p w14:paraId="18A37F97">
      <w:pPr>
        <w:widowControl/>
        <w:adjustRightInd w:val="0"/>
        <w:snapToGrid w:val="0"/>
        <w:spacing w:line="360" w:lineRule="auto"/>
        <w:ind w:firstLine="482" w:firstLineChars="200"/>
        <w:textAlignment w:val="baseline"/>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三、采购标的需满足的服务标准、期限、效率等要求</w:t>
      </w:r>
    </w:p>
    <w:p w14:paraId="427F6FD3">
      <w:pPr>
        <w:widowControl/>
        <w:adjustRightInd w:val="0"/>
        <w:snapToGrid w:val="0"/>
        <w:spacing w:line="360" w:lineRule="auto"/>
        <w:ind w:firstLine="480" w:firstLineChars="200"/>
        <w:textAlignment w:val="baseline"/>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合同履行期限：</w:t>
      </w:r>
      <w:r>
        <w:rPr>
          <w:rFonts w:hint="eastAsia" w:ascii="宋体" w:hAnsi="宋体" w:cs="宋体"/>
          <w:color w:val="auto"/>
          <w:sz w:val="24"/>
          <w:highlight w:val="none"/>
        </w:rPr>
        <w:t>2025年9月30日前提交演练方案及内容文稿；10月31日前完成年度除冰除雪应急处置演练；演练结束后一周内提交全套资料及不少于20分钟的专题片。</w:t>
      </w:r>
    </w:p>
    <w:p w14:paraId="2476D8DE">
      <w:pPr>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、采购标的验收标准</w:t>
      </w:r>
    </w:p>
    <w:p w14:paraId="0B35C06C">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验收实施主体：南通市公路事业发展中心公路应急处置分中心。</w:t>
      </w:r>
    </w:p>
    <w:p w14:paraId="387F8332">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验收时间：供应商完成全部工作并提交全套演练资料及专题片5日内。</w:t>
      </w:r>
    </w:p>
    <w:p w14:paraId="35D12C85">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验收方式：应急分中心组织，采用书面审核。</w:t>
      </w:r>
    </w:p>
    <w:p w14:paraId="13D0A16C">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验收内容：供应商是否按期完成演练，是否及时形成并按应急分中心要求完善全套演练资料及专题片。</w:t>
      </w:r>
    </w:p>
    <w:p w14:paraId="57E4778B">
      <w:pPr>
        <w:widowControl/>
        <w:adjustRightInd w:val="0"/>
        <w:snapToGrid w:val="0"/>
        <w:spacing w:line="360" w:lineRule="auto"/>
        <w:ind w:firstLine="480" w:firstLineChars="200"/>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rPr>
        <w:t>验收标准：全套演练资料及专题片通过应急分中心审核。</w:t>
      </w:r>
    </w:p>
    <w:p w14:paraId="1DA81BB8">
      <w:pPr>
        <w:widowControl/>
        <w:adjustRightInd w:val="0"/>
        <w:snapToGrid w:val="0"/>
        <w:spacing w:line="360" w:lineRule="auto"/>
        <w:ind w:firstLine="482" w:firstLineChars="20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五</w:t>
      </w:r>
      <w:r>
        <w:rPr>
          <w:rFonts w:hint="eastAsia" w:ascii="宋体" w:hAnsi="宋体" w:cs="宋体"/>
          <w:b/>
          <w:bCs/>
          <w:color w:val="auto"/>
          <w:kern w:val="0"/>
          <w:sz w:val="24"/>
          <w:highlight w:val="none"/>
        </w:rPr>
        <w:t>、付款方式</w:t>
      </w:r>
    </w:p>
    <w:p w14:paraId="76715E33">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本项目为总价合同，支付方式：</w:t>
      </w:r>
    </w:p>
    <w:p w14:paraId="6EF38750">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合同签订后30日内，供应商提供发票后10个工作日内，支付合同价30%作为预付款；</w:t>
      </w:r>
    </w:p>
    <w:p w14:paraId="20C0FA41">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完成应急演练且全套演练资料及专题片通过验收后30日内，供应商提供发票后10个工作日内付清尾款。</w:t>
      </w:r>
    </w:p>
    <w:p w14:paraId="0874FB91">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w:t>
      </w:r>
    </w:p>
    <w:p w14:paraId="2030A181">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每次付款须按合同扣减违约金和赔偿款；</w:t>
      </w:r>
    </w:p>
    <w:p w14:paraId="5191ECF1">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付款前供应商须提供等额合规发票及相关申请资料，否则采购人可以拒付；</w:t>
      </w:r>
    </w:p>
    <w:p w14:paraId="52702377">
      <w:pPr>
        <w:snapToGrid w:val="0"/>
        <w:spacing w:line="360" w:lineRule="auto"/>
        <w:ind w:firstLine="508"/>
        <w:contextualSpacing/>
        <w:rPr>
          <w:rFonts w:hint="eastAsia" w:ascii="宋体" w:hAnsi="宋体" w:eastAsia="宋体" w:cs="宋体"/>
          <w:color w:val="auto"/>
          <w:spacing w:val="7"/>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所有付款均不计利息。</w:t>
      </w:r>
    </w:p>
    <w:p w14:paraId="2787C60A">
      <w:pPr>
        <w:pStyle w:val="30"/>
        <w:adjustRightInd w:val="0"/>
        <w:snapToGrid w:val="0"/>
        <w:spacing w:line="360" w:lineRule="auto"/>
        <w:ind w:firstLine="480" w:firstLineChars="200"/>
        <w:rPr>
          <w:rFonts w:ascii="宋体" w:eastAsia="宋体" w:cs="宋体"/>
          <w:color w:val="auto"/>
          <w:kern w:val="0"/>
          <w:sz w:val="24"/>
          <w:szCs w:val="24"/>
          <w:highlight w:val="none"/>
        </w:rPr>
      </w:pPr>
    </w:p>
    <w:p w14:paraId="44FEBC02">
      <w:pP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1EC156F1">
      <w:pPr>
        <w:pStyle w:val="30"/>
        <w:snapToGrid w:val="0"/>
        <w:spacing w:line="360" w:lineRule="auto"/>
        <w:ind w:firstLine="0" w:firstLineChars="0"/>
        <w:contextualSpacing/>
        <w:rPr>
          <w:rFonts w:ascii="宋体" w:eastAsia="宋体" w:cs="宋体"/>
          <w:b/>
          <w:bCs/>
          <w:color w:val="auto"/>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595F50C4">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rPr>
        <w:t>磋商小组由</w:t>
      </w:r>
      <w:r>
        <w:rPr>
          <w:rFonts w:hint="eastAsia" w:ascii="宋体" w:eastAsia="宋体" w:cs="宋体"/>
          <w:color w:val="auto"/>
          <w:sz w:val="24"/>
          <w:szCs w:val="24"/>
          <w:highlight w:val="none"/>
        </w:rPr>
        <w:t>有关专家</w:t>
      </w:r>
      <w:r>
        <w:rPr>
          <w:rFonts w:hint="eastAsia" w:ascii="宋体" w:eastAsia="宋体" w:cs="宋体"/>
          <w:color w:val="auto"/>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color w:val="auto"/>
          <w:sz w:val="24"/>
          <w:highlight w:val="none"/>
        </w:rPr>
      </w:pPr>
      <w:r>
        <w:rPr>
          <w:rFonts w:hint="eastAsia" w:ascii="宋体" w:hAnsi="宋体" w:cs="宋体"/>
          <w:b/>
          <w:color w:val="auto"/>
          <w:sz w:val="24"/>
          <w:highlight w:val="none"/>
        </w:rPr>
        <w:t>三、磋商的原则及方法</w:t>
      </w:r>
    </w:p>
    <w:p w14:paraId="6529F2BE">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1</w:t>
      </w:r>
      <w:r>
        <w:rPr>
          <w:rFonts w:hint="eastAsia" w:ascii="宋体" w:eastAsia="宋体" w:cs="宋体"/>
          <w:bCs/>
          <w:color w:val="auto"/>
          <w:kern w:val="0"/>
          <w:sz w:val="24"/>
          <w:szCs w:val="24"/>
          <w:highlight w:val="none"/>
          <w:lang w:val="zh-CN"/>
        </w:rPr>
        <w:t>.</w:t>
      </w:r>
      <w:r>
        <w:rPr>
          <w:rFonts w:hint="eastAsia" w:ascii="宋体" w:eastAsia="宋体" w:cs="宋体"/>
          <w:color w:val="auto"/>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color w:val="auto"/>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bCs/>
          <w:color w:val="auto"/>
          <w:kern w:val="0"/>
          <w:sz w:val="24"/>
          <w:szCs w:val="24"/>
          <w:highlight w:val="none"/>
          <w:lang w:val="zh-CN"/>
        </w:rPr>
        <w:t>4.</w:t>
      </w:r>
      <w:r>
        <w:rPr>
          <w:rFonts w:hint="eastAsia" w:ascii="宋体" w:eastAsia="宋体" w:cs="宋体"/>
          <w:color w:val="auto"/>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color w:val="auto"/>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5</w:t>
      </w:r>
      <w:r>
        <w:rPr>
          <w:rFonts w:hint="eastAsia"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color w:val="auto"/>
          <w:sz w:val="24"/>
          <w:highlight w:val="none"/>
        </w:rPr>
      </w:pPr>
      <w:r>
        <w:rPr>
          <w:rFonts w:hint="eastAsia" w:ascii="宋体" w:hAnsi="宋体" w:cs="宋体"/>
          <w:b/>
          <w:color w:val="auto"/>
          <w:sz w:val="24"/>
          <w:highlight w:val="none"/>
        </w:rPr>
        <w:t>四、评审步骤</w:t>
      </w:r>
    </w:p>
    <w:p w14:paraId="093C6084">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第一阶段：</w:t>
      </w:r>
      <w:r>
        <w:rPr>
          <w:rFonts w:hint="eastAsia" w:ascii="宋体" w:hAnsi="宋体" w:cs="宋体"/>
          <w:color w:val="auto"/>
          <w:sz w:val="24"/>
          <w:highlight w:val="none"/>
        </w:rPr>
        <w:t>磋商小组</w:t>
      </w:r>
      <w:r>
        <w:rPr>
          <w:rFonts w:hint="eastAsia" w:ascii="宋体" w:hAnsi="宋体" w:cs="宋体"/>
          <w:color w:val="auto"/>
          <w:sz w:val="24"/>
          <w:highlight w:val="none"/>
        </w:rPr>
        <w:t>一并</w:t>
      </w:r>
      <w:r>
        <w:rPr>
          <w:rFonts w:hint="eastAsia" w:ascii="宋体" w:hAnsi="宋体" w:cs="宋体"/>
          <w:color w:val="auto"/>
          <w:sz w:val="24"/>
          <w:highlight w:val="none"/>
          <w:lang w:val="zh-CN"/>
        </w:rPr>
        <w:t>对每个供应商的资格进行审查。</w:t>
      </w:r>
    </w:p>
    <w:p w14:paraId="63481DE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color w:val="auto"/>
          <w:sz w:val="24"/>
          <w:highlight w:val="none"/>
        </w:rPr>
        <w:t>磋商</w:t>
      </w:r>
      <w:r>
        <w:rPr>
          <w:rFonts w:hint="eastAsia" w:ascii="宋体" w:hAnsi="宋体" w:cs="宋体"/>
          <w:color w:val="auto"/>
          <w:sz w:val="24"/>
          <w:highlight w:val="none"/>
          <w:lang w:val="zh-CN"/>
        </w:rPr>
        <w:t>明确各供应商符合并满足</w:t>
      </w:r>
      <w:r>
        <w:rPr>
          <w:rFonts w:hint="eastAsia" w:ascii="宋体" w:hAnsi="宋体" w:cs="宋体"/>
          <w:color w:val="auto"/>
          <w:sz w:val="24"/>
          <w:highlight w:val="none"/>
        </w:rPr>
        <w:t>磋商</w:t>
      </w:r>
      <w:r>
        <w:rPr>
          <w:rFonts w:hint="eastAsia" w:ascii="宋体" w:hAnsi="宋体" w:cs="宋体"/>
          <w:color w:val="auto"/>
          <w:sz w:val="24"/>
          <w:highlight w:val="none"/>
          <w:lang w:val="zh-CN"/>
        </w:rPr>
        <w:t>文件要求，并能完全响应</w:t>
      </w:r>
      <w:r>
        <w:rPr>
          <w:rFonts w:hint="eastAsia" w:ascii="宋体" w:hAnsi="宋体" w:cs="宋体"/>
          <w:color w:val="auto"/>
          <w:sz w:val="24"/>
          <w:highlight w:val="none"/>
        </w:rPr>
        <w:t>磋商</w:t>
      </w:r>
      <w:r>
        <w:rPr>
          <w:rFonts w:hint="eastAsia" w:ascii="宋体" w:hAnsi="宋体" w:cs="宋体"/>
          <w:color w:val="auto"/>
          <w:sz w:val="24"/>
          <w:highlight w:val="none"/>
          <w:lang w:val="zh-CN"/>
        </w:rPr>
        <w:t>内容后，要求所有作出实质性响应的有效供应商在规定的时间内，在</w:t>
      </w:r>
      <w:r>
        <w:rPr>
          <w:rFonts w:hint="eastAsia" w:ascii="宋体" w:hAnsi="宋体" w:cs="宋体"/>
          <w:color w:val="auto"/>
          <w:sz w:val="24"/>
          <w:highlight w:val="none"/>
        </w:rPr>
        <w:t>磋商</w:t>
      </w:r>
      <w:r>
        <w:rPr>
          <w:rFonts w:hint="eastAsia" w:ascii="宋体" w:hAnsi="宋体" w:cs="宋体"/>
          <w:color w:val="auto"/>
          <w:sz w:val="24"/>
          <w:highlight w:val="none"/>
          <w:lang w:val="zh-CN"/>
        </w:rPr>
        <w:t>现场给出二次报价（即</w:t>
      </w:r>
      <w:r>
        <w:rPr>
          <w:rFonts w:hint="eastAsia" w:ascii="宋体" w:hAnsi="宋体" w:cs="宋体"/>
          <w:color w:val="auto"/>
          <w:sz w:val="24"/>
          <w:highlight w:val="none"/>
        </w:rPr>
        <w:t>最终报价）</w:t>
      </w:r>
      <w:r>
        <w:rPr>
          <w:rFonts w:hint="eastAsia" w:ascii="宋体" w:hAnsi="宋体" w:cs="宋体"/>
          <w:color w:val="auto"/>
          <w:sz w:val="24"/>
          <w:highlight w:val="none"/>
          <w:lang w:val="zh-CN"/>
        </w:rPr>
        <w:t>。同时最终报价中可包括但不限于如最终澄清方案、有关优惠承诺等。如</w:t>
      </w:r>
      <w:r>
        <w:rPr>
          <w:rFonts w:hint="eastAsia" w:ascii="宋体" w:hAnsi="宋体" w:cs="宋体"/>
          <w:color w:val="auto"/>
          <w:sz w:val="24"/>
          <w:highlight w:val="none"/>
        </w:rPr>
        <w:t>磋商</w:t>
      </w:r>
      <w:r>
        <w:rPr>
          <w:rFonts w:hint="eastAsia" w:ascii="宋体" w:hAnsi="宋体" w:cs="宋体"/>
          <w:color w:val="auto"/>
          <w:sz w:val="24"/>
          <w:highlight w:val="none"/>
          <w:lang w:val="zh-CN"/>
        </w:rPr>
        <w:t>内容导致</w:t>
      </w:r>
      <w:r>
        <w:rPr>
          <w:rFonts w:hint="eastAsia" w:ascii="宋体" w:hAnsi="宋体" w:cs="宋体"/>
          <w:color w:val="auto"/>
          <w:sz w:val="24"/>
          <w:highlight w:val="none"/>
        </w:rPr>
        <w:t>竞争性磋商</w:t>
      </w:r>
      <w:r>
        <w:rPr>
          <w:rFonts w:hint="eastAsia" w:ascii="宋体" w:hAnsi="宋体" w:cs="宋体"/>
          <w:color w:val="auto"/>
          <w:sz w:val="24"/>
          <w:highlight w:val="none"/>
          <w:lang w:val="zh-CN"/>
        </w:rPr>
        <w:t>文件有实质性变动的，</w:t>
      </w:r>
      <w:r>
        <w:rPr>
          <w:rFonts w:hint="eastAsia" w:ascii="宋体" w:hAnsi="宋体" w:cs="宋体"/>
          <w:color w:val="auto"/>
          <w:sz w:val="24"/>
          <w:highlight w:val="none"/>
        </w:rPr>
        <w:t>磋商小组</w:t>
      </w:r>
      <w:r>
        <w:rPr>
          <w:rFonts w:hint="eastAsia" w:ascii="宋体" w:hAnsi="宋体" w:cs="宋体"/>
          <w:color w:val="auto"/>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color w:val="auto"/>
          <w:sz w:val="24"/>
          <w:highlight w:val="none"/>
        </w:rPr>
        <w:t>最终报价）。</w:t>
      </w:r>
    </w:p>
    <w:p w14:paraId="63AAF86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第四阶段：磋商小组对供应商的最终报价进行评议和比较（</w:t>
      </w:r>
      <w:r>
        <w:rPr>
          <w:rFonts w:hint="eastAsia" w:ascii="宋体" w:hAnsi="宋体"/>
          <w:bCs/>
          <w:color w:val="auto"/>
          <w:sz w:val="24"/>
          <w:highlight w:val="none"/>
          <w:lang w:val="en-US" w:eastAsia="zh-CN"/>
        </w:rPr>
        <w:t>磋商小组</w:t>
      </w:r>
      <w:r>
        <w:rPr>
          <w:rFonts w:hint="eastAsia" w:ascii="宋体" w:hAnsi="宋体"/>
          <w:bCs/>
          <w:color w:val="auto"/>
          <w:sz w:val="24"/>
          <w:highlight w:val="none"/>
        </w:rPr>
        <w:t>认为投标</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的报价明显低于其他通过符合性审查投标</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的报价，</w:t>
      </w:r>
      <w:r>
        <w:rPr>
          <w:rFonts w:hint="eastAsia" w:ascii="宋体" w:hAnsi="宋体"/>
          <w:bCs/>
          <w:color w:val="auto"/>
          <w:sz w:val="24"/>
          <w:highlight w:val="none"/>
          <w:lang w:val="en-US" w:eastAsia="zh-CN"/>
        </w:rPr>
        <w:t>有可能影响产品质量或者不能诚信履约的其他情形</w:t>
      </w:r>
      <w:r>
        <w:rPr>
          <w:rFonts w:hint="eastAsia" w:ascii="宋体" w:hAnsi="宋体" w:cs="宋体"/>
          <w:color w:val="auto"/>
          <w:kern w:val="0"/>
          <w:sz w:val="24"/>
          <w:highlight w:val="none"/>
          <w:lang w:eastAsia="zh-CN"/>
        </w:rPr>
        <w:t>，</w:t>
      </w:r>
      <w:r>
        <w:rPr>
          <w:rFonts w:hint="eastAsia" w:ascii="宋体" w:hAnsi="宋体"/>
          <w:bCs/>
          <w:color w:val="auto"/>
          <w:sz w:val="24"/>
          <w:highlight w:val="none"/>
          <w:lang w:val="en-US" w:eastAsia="zh-CN"/>
        </w:rPr>
        <w:t>磋商小组已启动异常低价投标（响应）审查程序，</w:t>
      </w:r>
      <w:r>
        <w:rPr>
          <w:rFonts w:hint="eastAsia" w:ascii="宋体" w:hAnsi="宋体"/>
          <w:bCs/>
          <w:color w:val="auto"/>
          <w:sz w:val="24"/>
          <w:highlight w:val="none"/>
        </w:rPr>
        <w:t>供应商不提供书面说明、证明材料，或者提供的书面说明、证明材料不能证明其报价合理性的</w:t>
      </w:r>
      <w:r>
        <w:rPr>
          <w:rFonts w:hint="eastAsia" w:ascii="宋体" w:hAnsi="宋体" w:cs="宋体"/>
          <w:color w:val="auto"/>
          <w:kern w:val="0"/>
          <w:sz w:val="24"/>
          <w:highlight w:val="none"/>
        </w:rPr>
        <w:t>报价除外）。磋商小组按照综合得分推荐预成交供应商并出具评审磋商报告。</w:t>
      </w:r>
    </w:p>
    <w:p w14:paraId="085B99B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五、评审方法-综合评分法</w:t>
      </w:r>
    </w:p>
    <w:p w14:paraId="7B506AA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（一）审查响应文件的有效性、完整性、响应程度</w:t>
      </w:r>
    </w:p>
    <w:p w14:paraId="1F363F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rPr>
        <w:t>要求的保证金是否已提供；</w:t>
      </w:r>
    </w:p>
    <w:p w14:paraId="6B75F4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响应文件是否按磋商文件要求装订、密封、签署、盖章的；</w:t>
      </w:r>
    </w:p>
    <w:p w14:paraId="773C2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供应商资格是否符合；</w:t>
      </w:r>
    </w:p>
    <w:p w14:paraId="780C4E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响应文件是否完整；</w:t>
      </w:r>
    </w:p>
    <w:p w14:paraId="73EBE5A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是否作出实质性响应（</w:t>
      </w:r>
      <w:r>
        <w:rPr>
          <w:rFonts w:hint="eastAsia" w:ascii="宋体" w:hAnsi="宋体" w:cs="宋体"/>
          <w:b/>
          <w:color w:val="auto"/>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Cs/>
          <w:color w:val="auto"/>
          <w:kern w:val="0"/>
          <w:sz w:val="24"/>
          <w:highlight w:val="none"/>
          <w:lang w:val="zh-CN"/>
        </w:rPr>
        <w:t>.</w:t>
      </w:r>
      <w:r>
        <w:rPr>
          <w:rFonts w:hint="eastAsia" w:ascii="宋体" w:hAnsi="宋体" w:cs="宋体"/>
          <w:color w:val="auto"/>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rPr>
      </w:pPr>
      <w:r>
        <w:rPr>
          <w:rFonts w:hint="eastAsia" w:ascii="宋体" w:hAnsi="宋体" w:cs="宋体"/>
          <w:b/>
          <w:bCs/>
          <w:color w:val="auto"/>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响应</w:t>
      </w:r>
      <w:r>
        <w:rPr>
          <w:rFonts w:hint="eastAsia" w:ascii="宋体" w:hAnsi="宋体" w:cs="宋体"/>
          <w:color w:val="auto"/>
          <w:sz w:val="24"/>
          <w:highlight w:val="none"/>
          <w:lang w:val="zh-CN"/>
        </w:rPr>
        <w:t>文件中开标一览表（报价表）内容与</w:t>
      </w:r>
      <w:r>
        <w:rPr>
          <w:rFonts w:hint="eastAsia" w:ascii="宋体" w:hAnsi="宋体" w:cs="宋体"/>
          <w:color w:val="auto"/>
          <w:sz w:val="24"/>
          <w:highlight w:val="none"/>
        </w:rPr>
        <w:t>响应</w:t>
      </w:r>
      <w:r>
        <w:rPr>
          <w:rFonts w:hint="eastAsia" w:ascii="宋体" w:hAnsi="宋体" w:cs="宋体"/>
          <w:color w:val="auto"/>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同时出现两种以上不一致的，按照前款规定的顺序修正。修正后的报价经</w:t>
      </w:r>
      <w:r>
        <w:rPr>
          <w:rFonts w:hint="eastAsia" w:ascii="宋体" w:hAnsi="宋体" w:cs="宋体"/>
          <w:color w:val="auto"/>
          <w:sz w:val="24"/>
          <w:highlight w:val="none"/>
        </w:rPr>
        <w:t>供应商</w:t>
      </w:r>
      <w:r>
        <w:rPr>
          <w:rFonts w:hint="eastAsia" w:ascii="宋体" w:hAnsi="宋体" w:cs="宋体"/>
          <w:color w:val="auto"/>
          <w:sz w:val="24"/>
          <w:highlight w:val="none"/>
          <w:lang w:val="zh-CN"/>
        </w:rPr>
        <w:t>确认后产生约束力，</w:t>
      </w:r>
      <w:r>
        <w:rPr>
          <w:rFonts w:hint="eastAsia" w:ascii="宋体" w:hAnsi="宋体" w:cs="宋体"/>
          <w:color w:val="auto"/>
          <w:sz w:val="24"/>
          <w:highlight w:val="none"/>
        </w:rPr>
        <w:t>供应商</w:t>
      </w:r>
      <w:r>
        <w:rPr>
          <w:rFonts w:hint="eastAsia" w:ascii="宋体" w:hAnsi="宋体" w:cs="宋体"/>
          <w:color w:val="auto"/>
          <w:sz w:val="24"/>
          <w:highlight w:val="none"/>
          <w:lang w:val="zh-CN"/>
        </w:rPr>
        <w:t>不确认的，其投标无效。</w:t>
      </w:r>
    </w:p>
    <w:p w14:paraId="5BE81B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（三）出现下列情形之一的，作无效响应处理</w:t>
      </w:r>
      <w:r>
        <w:rPr>
          <w:rFonts w:hint="eastAsia" w:ascii="宋体" w:hAnsi="宋体" w:cs="宋体"/>
          <w:b/>
          <w:color w:val="auto"/>
          <w:sz w:val="24"/>
          <w:highlight w:val="none"/>
        </w:rPr>
        <w:tab/>
      </w:r>
      <w:r>
        <w:rPr>
          <w:rFonts w:hint="eastAsia" w:ascii="宋体" w:hAnsi="宋体" w:cs="宋体"/>
          <w:b/>
          <w:color w:val="auto"/>
          <w:sz w:val="24"/>
          <w:highlight w:val="none"/>
        </w:rPr>
        <w:tab/>
      </w:r>
    </w:p>
    <w:p w14:paraId="675B12F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响应文件未按照磋商文件规定要求装订、密封、签署、盖章的；</w:t>
      </w:r>
    </w:p>
    <w:p w14:paraId="29D959D1">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响应文件不完整的；</w:t>
      </w:r>
    </w:p>
    <w:p w14:paraId="66B3A8AF">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不具备磋商文件中规定的资格要求的；</w:t>
      </w:r>
    </w:p>
    <w:p w14:paraId="7860FF7C">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lang w:val="zh-CN"/>
        </w:rPr>
        <w:t>.</w:t>
      </w:r>
      <w:r>
        <w:rPr>
          <w:rFonts w:hint="eastAsia" w:ascii="宋体" w:hAnsi="宋体" w:cs="宋体"/>
          <w:color w:val="auto"/>
          <w:sz w:val="24"/>
          <w:highlight w:val="none"/>
        </w:rPr>
        <w:t>响应报价超出预算（最高投标限价）的；</w:t>
      </w:r>
    </w:p>
    <w:p w14:paraId="11F79B3B">
      <w:pPr>
        <w:snapToGrid w:val="0"/>
        <w:spacing w:line="360" w:lineRule="auto"/>
        <w:ind w:firstLine="57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不符合法律、法规和磋商文件中规定的其他实质性要求的；</w:t>
      </w:r>
    </w:p>
    <w:p w14:paraId="0658DA7F">
      <w:pPr>
        <w:snapToGrid w:val="0"/>
        <w:spacing w:line="360" w:lineRule="auto"/>
        <w:ind w:firstLine="570"/>
        <w:rPr>
          <w:rFonts w:hint="eastAsia" w:ascii="宋体" w:hAnsi="宋体" w:cs="宋体"/>
          <w:color w:val="auto"/>
          <w:sz w:val="24"/>
          <w:highlight w:val="none"/>
          <w:lang w:eastAsia="zh-CN"/>
        </w:rPr>
      </w:pPr>
      <w:r>
        <w:rPr>
          <w:rFonts w:hint="eastAsia" w:ascii="宋体" w:hAnsi="宋体" w:cs="宋体"/>
          <w:color w:val="auto"/>
          <w:sz w:val="24"/>
          <w:highlight w:val="none"/>
        </w:rPr>
        <w:t>6.投标</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r>
        <w:rPr>
          <w:rFonts w:hint="eastAsia" w:ascii="宋体" w:hAnsi="宋体" w:cs="宋体"/>
          <w:color w:val="auto"/>
          <w:sz w:val="24"/>
          <w:highlight w:val="none"/>
          <w:lang w:eastAsia="zh-CN"/>
        </w:rPr>
        <w:t>；</w:t>
      </w:r>
    </w:p>
    <w:p w14:paraId="24C31515">
      <w:pPr>
        <w:snapToGrid w:val="0"/>
        <w:spacing w:line="360" w:lineRule="auto"/>
        <w:ind w:firstLine="570"/>
        <w:rPr>
          <w:rFonts w:hint="eastAsia" w:ascii="宋体" w:hAnsi="宋体"/>
          <w:bCs/>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bCs/>
          <w:color w:val="auto"/>
          <w:sz w:val="24"/>
          <w:highlight w:val="none"/>
          <w:lang w:val="en-US" w:eastAsia="zh-CN"/>
        </w:rPr>
        <w:t>磋商小组</w:t>
      </w:r>
      <w:r>
        <w:rPr>
          <w:rFonts w:hint="eastAsia" w:ascii="宋体" w:hAnsi="宋体"/>
          <w:bCs/>
          <w:color w:val="auto"/>
          <w:sz w:val="24"/>
          <w:highlight w:val="none"/>
        </w:rPr>
        <w:t>认为投标</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的报价明显低于其他通过符合性审查投标</w:t>
      </w:r>
      <w:r>
        <w:rPr>
          <w:rFonts w:hint="eastAsia" w:ascii="宋体" w:hAnsi="宋体"/>
          <w:bCs/>
          <w:color w:val="auto"/>
          <w:sz w:val="24"/>
          <w:highlight w:val="none"/>
          <w:lang w:val="en-US" w:eastAsia="zh-CN"/>
        </w:rPr>
        <w:t>供应商</w:t>
      </w:r>
      <w:r>
        <w:rPr>
          <w:rFonts w:hint="eastAsia" w:ascii="宋体" w:hAnsi="宋体"/>
          <w:bCs/>
          <w:color w:val="auto"/>
          <w:sz w:val="24"/>
          <w:highlight w:val="none"/>
        </w:rPr>
        <w:t>的报价，</w:t>
      </w:r>
      <w:r>
        <w:rPr>
          <w:rFonts w:hint="eastAsia" w:ascii="宋体" w:hAnsi="宋体"/>
          <w:bCs/>
          <w:color w:val="auto"/>
          <w:sz w:val="24"/>
          <w:highlight w:val="none"/>
          <w:lang w:val="en-US" w:eastAsia="zh-CN"/>
        </w:rPr>
        <w:t>有可能影响产品质量或者不能诚信履约的其他情形。磋商小组将启动异常低价投标（响应）审查程序。磋商小组要求相关供应商在评标现场合理的时间内，提供项目具体成本测算等与报价合理性相关的书面说明及相关证明材料，对投标（响应）价格作出解释，由磋商小组结合同类产品在主要电商平台的价格、该</w:t>
      </w:r>
      <w:r>
        <w:rPr>
          <w:rFonts w:hint="eastAsia" w:ascii="宋体" w:hAnsi="宋体"/>
          <w:bCs/>
          <w:color w:val="auto"/>
          <w:sz w:val="24"/>
          <w:highlight w:val="none"/>
        </w:rPr>
        <w:t>行业当地薪资水平等情况，依据专业经验对供应商报价合理性进行判断。投标（响应）供应商不提供书面说明、证明材料，或者提供的书面说明、证明材料不能证明其报价合理性的，</w:t>
      </w:r>
      <w:r>
        <w:rPr>
          <w:rFonts w:hint="eastAsia" w:ascii="宋体" w:hAnsi="宋体"/>
          <w:bCs/>
          <w:color w:val="auto"/>
          <w:sz w:val="24"/>
          <w:highlight w:val="none"/>
          <w:lang w:val="en-US" w:eastAsia="zh-CN"/>
        </w:rPr>
        <w:t>磋商小组</w:t>
      </w:r>
      <w:r>
        <w:rPr>
          <w:rFonts w:hint="eastAsia" w:ascii="宋体" w:hAnsi="宋体"/>
          <w:bCs/>
          <w:color w:val="auto"/>
          <w:sz w:val="24"/>
          <w:highlight w:val="none"/>
        </w:rPr>
        <w:t>应当将其作为无效投标（响应）处理。</w:t>
      </w:r>
    </w:p>
    <w:p w14:paraId="0C1082D4">
      <w:pPr>
        <w:snapToGrid w:val="0"/>
        <w:spacing w:line="360" w:lineRule="auto"/>
        <w:ind w:firstLine="570"/>
        <w:rPr>
          <w:rFonts w:ascii="宋体" w:hAnsi="宋体" w:cs="宋体"/>
          <w:b/>
          <w:color w:val="auto"/>
          <w:sz w:val="24"/>
          <w:highlight w:val="none"/>
        </w:rPr>
      </w:pPr>
      <w:r>
        <w:rPr>
          <w:rFonts w:hint="eastAsia" w:ascii="宋体" w:hAnsi="宋体" w:cs="宋体"/>
          <w:b/>
          <w:color w:val="auto"/>
          <w:sz w:val="24"/>
          <w:highlight w:val="none"/>
        </w:rPr>
        <w:t>（四）出现下列情形之一的，磋商失败</w:t>
      </w:r>
    </w:p>
    <w:p w14:paraId="086838B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4CDFD32D">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3.供应商的最后报价均超过了采购预算，采购人不能支付的；</w:t>
      </w:r>
    </w:p>
    <w:p w14:paraId="46009BC5">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4.因重大变故，采购任务取消的。</w:t>
      </w:r>
    </w:p>
    <w:p w14:paraId="79D0D95C">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color w:val="auto"/>
          <w:sz w:val="24"/>
          <w:highlight w:val="none"/>
        </w:rPr>
      </w:pPr>
      <w:r>
        <w:rPr>
          <w:rFonts w:hint="eastAsia" w:ascii="宋体" w:hAnsi="宋体" w:cs="宋体"/>
          <w:b/>
          <w:bCs/>
          <w:color w:val="auto"/>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商务技术</w:t>
      </w:r>
      <w:r>
        <w:rPr>
          <w:rFonts w:hint="eastAsia" w:ascii="宋体" w:hAnsi="宋体" w:cs="宋体"/>
          <w:color w:val="auto"/>
          <w:kern w:val="0"/>
          <w:sz w:val="24"/>
          <w:highlight w:val="none"/>
        </w:rPr>
        <w:t>响应文件</w:t>
      </w:r>
      <w:r>
        <w:rPr>
          <w:rFonts w:hint="eastAsia" w:ascii="宋体" w:hAnsi="宋体" w:cs="宋体"/>
          <w:color w:val="auto"/>
          <w:sz w:val="24"/>
          <w:highlight w:val="none"/>
        </w:rPr>
        <w:t>分值占总分值的比重为</w:t>
      </w:r>
      <w:r>
        <w:rPr>
          <w:rFonts w:hint="eastAsia" w:ascii="宋体" w:hAnsi="宋体" w:cs="宋体"/>
          <w:b/>
          <w:color w:val="auto"/>
          <w:sz w:val="24"/>
          <w:highlight w:val="none"/>
          <w:u w:val="single"/>
        </w:rPr>
        <w:t>90%（权重）</w:t>
      </w:r>
      <w:r>
        <w:rPr>
          <w:rFonts w:hint="eastAsia" w:ascii="宋体" w:hAnsi="宋体" w:cs="宋体"/>
          <w:color w:val="auto"/>
          <w:sz w:val="24"/>
          <w:highlight w:val="none"/>
        </w:rPr>
        <w:t>（四舍五入保留两位小数）；</w:t>
      </w:r>
    </w:p>
    <w:p w14:paraId="697DEB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w:t>
      </w:r>
      <w:r>
        <w:rPr>
          <w:rFonts w:hint="eastAsia" w:ascii="宋体" w:hAnsi="宋体" w:cs="宋体"/>
          <w:color w:val="auto"/>
          <w:kern w:val="0"/>
          <w:sz w:val="24"/>
          <w:highlight w:val="none"/>
        </w:rPr>
        <w:t>响应文件</w:t>
      </w:r>
      <w:r>
        <w:rPr>
          <w:rFonts w:hint="eastAsia" w:ascii="宋体" w:hAnsi="宋体" w:cs="宋体"/>
          <w:color w:val="auto"/>
          <w:sz w:val="24"/>
          <w:highlight w:val="none"/>
        </w:rPr>
        <w:t>分值占总分值的比重为</w:t>
      </w:r>
      <w:r>
        <w:rPr>
          <w:rFonts w:hint="eastAsia" w:ascii="宋体" w:hAnsi="宋体" w:cs="宋体"/>
          <w:b/>
          <w:color w:val="auto"/>
          <w:sz w:val="24"/>
          <w:highlight w:val="none"/>
          <w:u w:val="single"/>
        </w:rPr>
        <w:t>10%（权重）</w:t>
      </w:r>
      <w:r>
        <w:rPr>
          <w:rFonts w:hint="eastAsia" w:ascii="宋体" w:hAnsi="宋体" w:cs="宋体"/>
          <w:color w:val="auto"/>
          <w:sz w:val="24"/>
          <w:highlight w:val="none"/>
        </w:rPr>
        <w:t>（四舍五入保留两位小数）。</w:t>
      </w:r>
    </w:p>
    <w:p w14:paraId="519E1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（七）确定成交候选人的特殊情况处理：</w:t>
      </w:r>
    </w:p>
    <w:p w14:paraId="0E56D0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1.若总分相同，则按最终报价得分高者优先。</w:t>
      </w:r>
    </w:p>
    <w:p w14:paraId="63EB01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（九）对落标的供应商不做落标原因的解释。</w:t>
      </w:r>
    </w:p>
    <w:p w14:paraId="131EC3C5">
      <w:pPr>
        <w:snapToGrid w:val="0"/>
        <w:spacing w:line="360" w:lineRule="auto"/>
        <w:ind w:left="568"/>
        <w:rPr>
          <w:rFonts w:ascii="宋体" w:hAnsi="宋体" w:cs="宋体"/>
          <w:b/>
          <w:color w:val="auto"/>
          <w:sz w:val="24"/>
          <w:highlight w:val="none"/>
          <w:lang w:val="zh-CN"/>
        </w:rPr>
      </w:pPr>
      <w:r>
        <w:rPr>
          <w:rFonts w:hint="eastAsia" w:ascii="宋体" w:hAnsi="宋体" w:cs="宋体"/>
          <w:b/>
          <w:color w:val="auto"/>
          <w:sz w:val="24"/>
          <w:highlight w:val="none"/>
          <w:lang w:val="zh-CN"/>
        </w:rPr>
        <w:t>六、评审标准</w:t>
      </w:r>
    </w:p>
    <w:p w14:paraId="46A9637F">
      <w:pPr>
        <w:snapToGrid w:val="0"/>
        <w:spacing w:line="360" w:lineRule="auto"/>
        <w:ind w:left="568"/>
        <w:rPr>
          <w:rFonts w:ascii="宋体" w:hAnsi="宋体" w:cs="宋体"/>
          <w:b/>
          <w:color w:val="auto"/>
          <w:sz w:val="24"/>
          <w:highlight w:val="none"/>
        </w:rPr>
      </w:pPr>
      <w:r>
        <w:rPr>
          <w:rFonts w:hint="eastAsia" w:ascii="宋体" w:hAnsi="宋体" w:cs="宋体"/>
          <w:b/>
          <w:color w:val="auto"/>
          <w:sz w:val="24"/>
          <w:highlight w:val="none"/>
        </w:rPr>
        <w:t>（一）</w:t>
      </w:r>
      <w:r>
        <w:rPr>
          <w:rFonts w:hint="eastAsia" w:ascii="宋体" w:hAnsi="宋体" w:cs="宋体"/>
          <w:b/>
          <w:color w:val="auto"/>
          <w:sz w:val="24"/>
          <w:highlight w:val="none"/>
          <w:lang w:val="zh-CN"/>
        </w:rPr>
        <w:t>商务技术分（</w:t>
      </w:r>
      <w:r>
        <w:rPr>
          <w:rFonts w:hint="eastAsia" w:ascii="宋体" w:hAnsi="宋体" w:cs="宋体"/>
          <w:b/>
          <w:color w:val="auto"/>
          <w:sz w:val="24"/>
          <w:highlight w:val="none"/>
        </w:rPr>
        <w:t>9</w:t>
      </w:r>
      <w:r>
        <w:rPr>
          <w:rFonts w:hint="eastAsia" w:ascii="宋体" w:hAnsi="宋体" w:cs="宋体"/>
          <w:b/>
          <w:color w:val="auto"/>
          <w:sz w:val="24"/>
          <w:highlight w:val="none"/>
          <w:lang w:val="zh-CN"/>
        </w:rPr>
        <w:t>0分）</w:t>
      </w:r>
    </w:p>
    <w:p w14:paraId="066016E5">
      <w:pPr>
        <w:snapToGrid w:val="0"/>
        <w:spacing w:line="360" w:lineRule="auto"/>
        <w:ind w:firstLine="480"/>
        <w:contextualSpacing/>
        <w:jc w:val="left"/>
        <w:rPr>
          <w:rFonts w:hint="eastAsia" w:ascii="宋体" w:hAnsi="宋体" w:cs="宋体"/>
          <w:color w:val="auto"/>
          <w:sz w:val="24"/>
          <w:highlight w:val="none"/>
        </w:rPr>
      </w:pPr>
      <w:r>
        <w:rPr>
          <w:rFonts w:hint="eastAsia" w:ascii="宋体" w:hAnsi="宋体" w:cs="宋体"/>
          <w:color w:val="auto"/>
          <w:sz w:val="24"/>
          <w:highlight w:val="none"/>
        </w:rPr>
        <w:t>供应商得分为磋商小组成员评分的算术平均分</w:t>
      </w:r>
      <w:r>
        <w:rPr>
          <w:rFonts w:hint="eastAsia" w:ascii="宋体" w:hAnsi="宋体" w:cs="宋体"/>
          <w:color w:val="auto"/>
          <w:sz w:val="24"/>
          <w:highlight w:val="none"/>
          <w:lang w:eastAsia="zh-CN"/>
        </w:rPr>
        <w:t>，</w:t>
      </w:r>
      <w:r>
        <w:rPr>
          <w:rFonts w:hint="eastAsia" w:ascii="宋体" w:hAnsi="宋体" w:cs="宋体"/>
          <w:color w:val="auto"/>
          <w:sz w:val="24"/>
          <w:highlight w:val="none"/>
        </w:rPr>
        <w:t>分值四舍五入保留小数点后两位。</w:t>
      </w:r>
    </w:p>
    <w:tbl>
      <w:tblPr>
        <w:tblStyle w:val="18"/>
        <w:tblW w:w="5004" w:type="pct"/>
        <w:tblInd w:w="0" w:type="dxa"/>
        <w:tblLayout w:type="autofit"/>
        <w:tblCellMar>
          <w:top w:w="0" w:type="dxa"/>
          <w:left w:w="108" w:type="dxa"/>
          <w:bottom w:w="0" w:type="dxa"/>
          <w:right w:w="108" w:type="dxa"/>
        </w:tblCellMar>
      </w:tblPr>
      <w:tblGrid>
        <w:gridCol w:w="766"/>
        <w:gridCol w:w="1365"/>
        <w:gridCol w:w="4835"/>
        <w:gridCol w:w="768"/>
        <w:gridCol w:w="768"/>
        <w:gridCol w:w="768"/>
      </w:tblGrid>
      <w:tr w14:paraId="10179867">
        <w:tblPrEx>
          <w:tblCellMar>
            <w:top w:w="0" w:type="dxa"/>
            <w:left w:w="108" w:type="dxa"/>
            <w:bottom w:w="0" w:type="dxa"/>
            <w:right w:w="108" w:type="dxa"/>
          </w:tblCellMar>
        </w:tblPrEx>
        <w:trPr>
          <w:trHeight w:val="270" w:hRule="atLeast"/>
        </w:trPr>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14:paraId="4551082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36" w:type="pct"/>
            <w:tcBorders>
              <w:top w:val="single" w:color="auto" w:sz="4" w:space="0"/>
              <w:left w:val="nil"/>
              <w:bottom w:val="single" w:color="auto" w:sz="4" w:space="0"/>
              <w:right w:val="single" w:color="auto" w:sz="4" w:space="0"/>
            </w:tcBorders>
            <w:shd w:val="clear" w:color="auto" w:fill="auto"/>
            <w:vAlign w:val="center"/>
          </w:tcPr>
          <w:p w14:paraId="76D4ED7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2607" w:type="pct"/>
            <w:tcBorders>
              <w:top w:val="single" w:color="auto" w:sz="4" w:space="0"/>
              <w:left w:val="nil"/>
              <w:bottom w:val="single" w:color="auto" w:sz="4" w:space="0"/>
              <w:right w:val="single" w:color="auto" w:sz="4" w:space="0"/>
            </w:tcBorders>
            <w:shd w:val="clear" w:color="auto" w:fill="auto"/>
            <w:vAlign w:val="center"/>
          </w:tcPr>
          <w:p w14:paraId="4DF19D5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414" w:type="pct"/>
            <w:tcBorders>
              <w:top w:val="single" w:color="auto" w:sz="4" w:space="0"/>
              <w:left w:val="nil"/>
              <w:bottom w:val="single" w:color="auto" w:sz="4" w:space="0"/>
              <w:right w:val="single" w:color="auto" w:sz="4" w:space="0"/>
            </w:tcBorders>
            <w:shd w:val="clear" w:color="auto" w:fill="auto"/>
            <w:vAlign w:val="center"/>
          </w:tcPr>
          <w:p w14:paraId="7A5077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最高分</w:t>
            </w:r>
          </w:p>
        </w:tc>
        <w:tc>
          <w:tcPr>
            <w:tcW w:w="414" w:type="pct"/>
            <w:tcBorders>
              <w:top w:val="single" w:color="auto" w:sz="4" w:space="0"/>
              <w:left w:val="nil"/>
              <w:bottom w:val="single" w:color="auto" w:sz="4" w:space="0"/>
              <w:right w:val="single" w:color="auto" w:sz="4" w:space="0"/>
            </w:tcBorders>
            <w:shd w:val="clear" w:color="auto" w:fill="auto"/>
            <w:vAlign w:val="center"/>
          </w:tcPr>
          <w:p w14:paraId="5E1321C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最低分</w:t>
            </w:r>
          </w:p>
        </w:tc>
        <w:tc>
          <w:tcPr>
            <w:tcW w:w="414" w:type="pct"/>
            <w:tcBorders>
              <w:top w:val="single" w:color="auto" w:sz="4" w:space="0"/>
              <w:left w:val="nil"/>
              <w:bottom w:val="single" w:color="auto" w:sz="4" w:space="0"/>
              <w:right w:val="single" w:color="auto" w:sz="4" w:space="0"/>
            </w:tcBorders>
            <w:shd w:val="clear" w:color="auto" w:fill="auto"/>
            <w:vAlign w:val="center"/>
          </w:tcPr>
          <w:p w14:paraId="6E480D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主/客观</w:t>
            </w:r>
          </w:p>
        </w:tc>
      </w:tr>
      <w:tr w14:paraId="508D306D">
        <w:tblPrEx>
          <w:tblCellMar>
            <w:top w:w="0" w:type="dxa"/>
            <w:left w:w="108" w:type="dxa"/>
            <w:bottom w:w="0" w:type="dxa"/>
            <w:right w:w="108" w:type="dxa"/>
          </w:tblCellMar>
        </w:tblPrEx>
        <w:trPr>
          <w:trHeight w:val="270" w:hRule="atLeast"/>
        </w:trPr>
        <w:tc>
          <w:tcPr>
            <w:tcW w:w="413" w:type="pct"/>
            <w:vMerge w:val="restart"/>
            <w:tcBorders>
              <w:top w:val="single" w:color="auto" w:sz="4" w:space="0"/>
              <w:left w:val="single" w:color="auto" w:sz="4" w:space="0"/>
              <w:right w:val="single" w:color="auto" w:sz="4" w:space="0"/>
            </w:tcBorders>
            <w:shd w:val="clear" w:color="auto" w:fill="auto"/>
            <w:vAlign w:val="center"/>
          </w:tcPr>
          <w:p w14:paraId="76BAEAA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36" w:type="pct"/>
            <w:vMerge w:val="restart"/>
            <w:tcBorders>
              <w:top w:val="single" w:color="auto" w:sz="4" w:space="0"/>
              <w:left w:val="nil"/>
              <w:right w:val="single" w:color="auto" w:sz="4" w:space="0"/>
            </w:tcBorders>
            <w:shd w:val="clear" w:color="auto" w:fill="auto"/>
            <w:vAlign w:val="center"/>
          </w:tcPr>
          <w:p w14:paraId="33C1F06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技术方案</w:t>
            </w:r>
          </w:p>
        </w:tc>
        <w:tc>
          <w:tcPr>
            <w:tcW w:w="2607" w:type="pct"/>
            <w:tcBorders>
              <w:top w:val="single" w:color="auto" w:sz="4" w:space="0"/>
              <w:left w:val="nil"/>
              <w:bottom w:val="single" w:color="auto" w:sz="4" w:space="0"/>
              <w:right w:val="single" w:color="auto" w:sz="4" w:space="0"/>
            </w:tcBorders>
            <w:shd w:val="clear" w:color="auto" w:fill="auto"/>
            <w:vAlign w:val="center"/>
          </w:tcPr>
          <w:p w14:paraId="7B8967B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根据投标供应商提供的场景设计方案评分。方案需包含</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演练基本信息（名称、目的、参演单位等）；突发事件背景（明确时间地点、场景、起因）；突发事件发展过程（明确灾害程度，按时间线设计事件升级或变化，模拟动态过程）。</w:t>
            </w:r>
          </w:p>
          <w:p w14:paraId="2B6D0E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由磋商小组结合项目需求，从方案内容的完整性、针对性、可操作性评价：</w:t>
            </w:r>
          </w:p>
          <w:p w14:paraId="090A170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（1）符合要求，方案思路清晰、针对性强、可操作性强：10分；</w:t>
            </w:r>
          </w:p>
          <w:p w14:paraId="14F4E4C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（2）符合要求，方案思路较清晰、针对性较强、基本可行：6分；</w:t>
            </w:r>
          </w:p>
          <w:p w14:paraId="0B303FB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（3）符合要求，方案思路较清晰、针对性一般、基本可行：3分；</w:t>
            </w:r>
          </w:p>
          <w:p w14:paraId="538BB6A7">
            <w:pPr>
              <w:pStyle w:val="9"/>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（4）未提供或未完整提供</w:t>
            </w:r>
            <w:r>
              <w:rPr>
                <w:rFonts w:hint="eastAsia" w:ascii="宋体" w:hAnsi="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思路不清晰、缺乏针对性、不太可行：0分。</w:t>
            </w:r>
          </w:p>
        </w:tc>
        <w:tc>
          <w:tcPr>
            <w:tcW w:w="414" w:type="pct"/>
            <w:tcBorders>
              <w:top w:val="single" w:color="auto" w:sz="4" w:space="0"/>
              <w:left w:val="nil"/>
              <w:bottom w:val="single" w:color="auto" w:sz="4" w:space="0"/>
              <w:right w:val="single" w:color="auto" w:sz="4" w:space="0"/>
            </w:tcBorders>
            <w:shd w:val="clear" w:color="auto" w:fill="auto"/>
            <w:vAlign w:val="center"/>
          </w:tcPr>
          <w:p w14:paraId="3C8C45E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w:t>
            </w:r>
          </w:p>
        </w:tc>
        <w:tc>
          <w:tcPr>
            <w:tcW w:w="414" w:type="pct"/>
            <w:tcBorders>
              <w:top w:val="single" w:color="auto" w:sz="4" w:space="0"/>
              <w:left w:val="nil"/>
              <w:bottom w:val="single" w:color="auto" w:sz="4" w:space="0"/>
              <w:right w:val="single" w:color="auto" w:sz="4" w:space="0"/>
            </w:tcBorders>
            <w:shd w:val="clear" w:color="auto" w:fill="auto"/>
            <w:vAlign w:val="center"/>
          </w:tcPr>
          <w:p w14:paraId="337F1E9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0分</w:t>
            </w:r>
          </w:p>
        </w:tc>
        <w:tc>
          <w:tcPr>
            <w:tcW w:w="414" w:type="pct"/>
            <w:tcBorders>
              <w:top w:val="single" w:color="auto" w:sz="4" w:space="0"/>
              <w:left w:val="nil"/>
              <w:bottom w:val="single" w:color="auto" w:sz="4" w:space="0"/>
              <w:right w:val="single" w:color="auto" w:sz="4" w:space="0"/>
            </w:tcBorders>
            <w:shd w:val="clear" w:color="auto" w:fill="auto"/>
            <w:vAlign w:val="center"/>
          </w:tcPr>
          <w:p w14:paraId="780D018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p>
        </w:tc>
      </w:tr>
      <w:tr w14:paraId="1898DBAC">
        <w:tblPrEx>
          <w:tblCellMar>
            <w:top w:w="0" w:type="dxa"/>
            <w:left w:w="108" w:type="dxa"/>
            <w:bottom w:w="0" w:type="dxa"/>
            <w:right w:w="108" w:type="dxa"/>
          </w:tblCellMar>
        </w:tblPrEx>
        <w:trPr>
          <w:trHeight w:val="1560" w:hRule="atLeast"/>
        </w:trPr>
        <w:tc>
          <w:tcPr>
            <w:tcW w:w="413" w:type="pct"/>
            <w:vMerge w:val="continue"/>
            <w:tcBorders>
              <w:left w:val="single" w:color="auto" w:sz="4" w:space="0"/>
              <w:bottom w:val="single" w:color="auto" w:sz="4" w:space="0"/>
              <w:right w:val="single" w:color="auto" w:sz="4" w:space="0"/>
            </w:tcBorders>
            <w:shd w:val="clear" w:color="auto" w:fill="auto"/>
            <w:vAlign w:val="center"/>
          </w:tcPr>
          <w:p w14:paraId="32218910">
            <w:pPr>
              <w:widowControl/>
              <w:jc w:val="center"/>
              <w:rPr>
                <w:rFonts w:hint="eastAsia" w:ascii="宋体" w:hAnsi="宋体" w:eastAsia="宋体" w:cs="宋体"/>
                <w:color w:val="auto"/>
                <w:kern w:val="0"/>
                <w:sz w:val="24"/>
                <w:szCs w:val="24"/>
                <w:highlight w:val="none"/>
              </w:rPr>
            </w:pPr>
          </w:p>
        </w:tc>
        <w:tc>
          <w:tcPr>
            <w:tcW w:w="736" w:type="pct"/>
            <w:vMerge w:val="continue"/>
            <w:tcBorders>
              <w:left w:val="nil"/>
              <w:bottom w:val="single" w:color="auto" w:sz="4" w:space="0"/>
              <w:right w:val="single" w:color="auto" w:sz="4" w:space="0"/>
            </w:tcBorders>
            <w:shd w:val="clear" w:color="auto" w:fill="auto"/>
            <w:vAlign w:val="center"/>
          </w:tcPr>
          <w:p w14:paraId="2E49DA52">
            <w:pPr>
              <w:widowControl/>
              <w:jc w:val="center"/>
              <w:rPr>
                <w:rFonts w:hint="eastAsia" w:ascii="宋体" w:hAnsi="宋体" w:eastAsia="宋体" w:cs="宋体"/>
                <w:color w:val="auto"/>
                <w:kern w:val="0"/>
                <w:sz w:val="24"/>
                <w:szCs w:val="24"/>
                <w:highlight w:val="none"/>
              </w:rPr>
            </w:pPr>
          </w:p>
        </w:tc>
        <w:tc>
          <w:tcPr>
            <w:tcW w:w="2607" w:type="pct"/>
            <w:tcBorders>
              <w:top w:val="nil"/>
              <w:left w:val="nil"/>
              <w:bottom w:val="single" w:color="auto" w:sz="4" w:space="0"/>
              <w:right w:val="single" w:color="auto" w:sz="4" w:space="0"/>
            </w:tcBorders>
            <w:shd w:val="clear" w:color="auto" w:fill="auto"/>
            <w:vAlign w:val="center"/>
          </w:tcPr>
          <w:p w14:paraId="117FFB9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根据投标供应商提供的应急处置方案评分。方案需包含：</w:t>
            </w:r>
          </w:p>
          <w:p w14:paraId="0BAEEE3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演练流程：描述初期响应、应急处置、后期处置阶段的操作步骤和角色分工，明确所需应急机械装备及其他技术装备，说明无人机在演练中的作用；</w:t>
            </w:r>
          </w:p>
          <w:p w14:paraId="565DBC9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安全保障措施：</w:t>
            </w:r>
            <w:bookmarkStart w:id="2" w:name="OLE_LINK1"/>
            <w:bookmarkStart w:id="3" w:name="OLE_LINK2"/>
            <w:r>
              <w:rPr>
                <w:rFonts w:hint="eastAsia" w:ascii="宋体" w:hAnsi="宋体" w:eastAsia="宋体" w:cs="宋体"/>
                <w:color w:val="auto"/>
                <w:kern w:val="0"/>
                <w:sz w:val="24"/>
                <w:szCs w:val="24"/>
                <w:highlight w:val="none"/>
              </w:rPr>
              <w:t>评估演练可能存在的安全风险，设计防控措施。</w:t>
            </w:r>
            <w:bookmarkEnd w:id="2"/>
            <w:bookmarkEnd w:id="3"/>
          </w:p>
          <w:p w14:paraId="6F953CF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环保保障措施：评估演练可能存在的环保风险，设计防控措施。</w:t>
            </w:r>
          </w:p>
          <w:p w14:paraId="36417D7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由磋商小组结合项目需求，从方案内容的完整性、针对性、可操作性评价</w:t>
            </w:r>
            <w:bookmarkStart w:id="4" w:name="OLE_LINK15"/>
            <w:bookmarkStart w:id="5" w:name="OLE_LINK11"/>
            <w:bookmarkStart w:id="6" w:name="OLE_LINK10"/>
            <w:bookmarkStart w:id="7" w:name="OLE_LINK14"/>
            <w:r>
              <w:rPr>
                <w:rFonts w:hint="eastAsia" w:ascii="宋体" w:hAnsi="宋体" w:eastAsia="宋体" w:cs="宋体"/>
                <w:color w:val="auto"/>
                <w:kern w:val="0"/>
                <w:sz w:val="24"/>
                <w:szCs w:val="24"/>
                <w:highlight w:val="none"/>
              </w:rPr>
              <w:t>：</w:t>
            </w:r>
          </w:p>
          <w:bookmarkEnd w:id="4"/>
          <w:bookmarkEnd w:id="5"/>
          <w:bookmarkEnd w:id="6"/>
          <w:bookmarkEnd w:id="7"/>
          <w:p w14:paraId="1646976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（1）符合要求，方案思路清晰、针对性强、可操作性强：10分；</w:t>
            </w:r>
          </w:p>
          <w:p w14:paraId="20674A3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（2）符合要求，方案思路较清晰、针对性较强、基本可行：6分；</w:t>
            </w:r>
          </w:p>
          <w:p w14:paraId="091E41E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（3）符合要求，方案思路较清晰、针对性一般、基本可行：3分；</w:t>
            </w:r>
          </w:p>
          <w:p w14:paraId="17E5B39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（4）未提供或未完整提供</w:t>
            </w:r>
            <w:r>
              <w:rPr>
                <w:rFonts w:hint="eastAsia" w:ascii="宋体" w:hAnsi="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思路不清晰、缺乏针对性、不太可行：0分。</w:t>
            </w:r>
          </w:p>
        </w:tc>
        <w:tc>
          <w:tcPr>
            <w:tcW w:w="414" w:type="pct"/>
            <w:tcBorders>
              <w:top w:val="nil"/>
              <w:left w:val="nil"/>
              <w:bottom w:val="single" w:color="auto" w:sz="4" w:space="0"/>
              <w:right w:val="single" w:color="auto" w:sz="4" w:space="0"/>
            </w:tcBorders>
            <w:shd w:val="clear" w:color="auto" w:fill="auto"/>
            <w:vAlign w:val="center"/>
          </w:tcPr>
          <w:p w14:paraId="72B6D1C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w:t>
            </w:r>
          </w:p>
        </w:tc>
        <w:tc>
          <w:tcPr>
            <w:tcW w:w="414" w:type="pct"/>
            <w:tcBorders>
              <w:top w:val="nil"/>
              <w:left w:val="nil"/>
              <w:bottom w:val="single" w:color="auto" w:sz="4" w:space="0"/>
              <w:right w:val="single" w:color="auto" w:sz="4" w:space="0"/>
            </w:tcBorders>
            <w:shd w:val="clear" w:color="auto" w:fill="auto"/>
            <w:vAlign w:val="center"/>
          </w:tcPr>
          <w:p w14:paraId="7D7157E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0分</w:t>
            </w:r>
          </w:p>
        </w:tc>
        <w:tc>
          <w:tcPr>
            <w:tcW w:w="414" w:type="pct"/>
            <w:tcBorders>
              <w:top w:val="nil"/>
              <w:left w:val="nil"/>
              <w:bottom w:val="single" w:color="auto" w:sz="4" w:space="0"/>
              <w:right w:val="single" w:color="auto" w:sz="4" w:space="0"/>
            </w:tcBorders>
            <w:shd w:val="clear" w:color="auto" w:fill="auto"/>
            <w:vAlign w:val="center"/>
          </w:tcPr>
          <w:p w14:paraId="65A59A3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w:t>
            </w:r>
          </w:p>
        </w:tc>
      </w:tr>
      <w:tr w14:paraId="4140E1DA">
        <w:tblPrEx>
          <w:tblCellMar>
            <w:top w:w="0" w:type="dxa"/>
            <w:left w:w="108" w:type="dxa"/>
            <w:bottom w:w="0" w:type="dxa"/>
            <w:right w:w="108" w:type="dxa"/>
          </w:tblCellMar>
        </w:tblPrEx>
        <w:trPr>
          <w:trHeight w:val="2970" w:hRule="atLeast"/>
        </w:trPr>
        <w:tc>
          <w:tcPr>
            <w:tcW w:w="413" w:type="pct"/>
            <w:tcBorders>
              <w:top w:val="nil"/>
              <w:left w:val="single" w:color="auto" w:sz="4" w:space="0"/>
              <w:bottom w:val="single" w:color="auto" w:sz="4" w:space="0"/>
              <w:right w:val="single" w:color="auto" w:sz="4" w:space="0"/>
            </w:tcBorders>
            <w:shd w:val="clear" w:color="auto" w:fill="auto"/>
            <w:vAlign w:val="center"/>
          </w:tcPr>
          <w:p w14:paraId="1E4AF3A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36" w:type="pct"/>
            <w:tcBorders>
              <w:top w:val="nil"/>
              <w:left w:val="nil"/>
              <w:bottom w:val="single" w:color="auto" w:sz="4" w:space="0"/>
              <w:right w:val="single" w:color="auto" w:sz="4" w:space="0"/>
            </w:tcBorders>
            <w:shd w:val="clear" w:color="auto" w:fill="auto"/>
            <w:vAlign w:val="center"/>
          </w:tcPr>
          <w:p w14:paraId="7053216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投标供应商业绩</w:t>
            </w:r>
          </w:p>
        </w:tc>
        <w:tc>
          <w:tcPr>
            <w:tcW w:w="2607" w:type="pct"/>
            <w:tcBorders>
              <w:top w:val="nil"/>
              <w:left w:val="nil"/>
              <w:bottom w:val="single" w:color="auto" w:sz="4" w:space="0"/>
              <w:right w:val="single" w:color="auto" w:sz="4" w:space="0"/>
            </w:tcBorders>
            <w:shd w:val="clear" w:color="auto" w:fill="auto"/>
            <w:vAlign w:val="center"/>
          </w:tcPr>
          <w:p w14:paraId="405FC6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2020年1月1日以来（以合同签订时间为准）：</w:t>
            </w:r>
          </w:p>
          <w:p w14:paraId="51FEF7B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担过公路工程的应急演练或安全咨询服务项目业绩的，得15分。在此基础上，每多承担1项市级及以上公路工程联合应急演练服务项目，加5分（最多加5分）；每多承担1项公路工程安全咨询服务项目，加5分（最多加5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（2）承担过公路工程应急预案编制或修编业绩的，得5分（本项最多5分）。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注：一个合同可多次得分。需提供合同复印件或扫描件（均需加盖供应商公章）。</w:t>
            </w:r>
          </w:p>
        </w:tc>
        <w:tc>
          <w:tcPr>
            <w:tcW w:w="414" w:type="pct"/>
            <w:tcBorders>
              <w:top w:val="nil"/>
              <w:left w:val="nil"/>
              <w:bottom w:val="single" w:color="auto" w:sz="4" w:space="0"/>
              <w:right w:val="single" w:color="auto" w:sz="4" w:space="0"/>
            </w:tcBorders>
            <w:shd w:val="clear" w:color="auto" w:fill="auto"/>
            <w:vAlign w:val="center"/>
          </w:tcPr>
          <w:p w14:paraId="126CE7A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414" w:type="pct"/>
            <w:tcBorders>
              <w:top w:val="nil"/>
              <w:left w:val="nil"/>
              <w:bottom w:val="single" w:color="auto" w:sz="4" w:space="0"/>
              <w:right w:val="single" w:color="auto" w:sz="4" w:space="0"/>
            </w:tcBorders>
            <w:shd w:val="clear" w:color="auto" w:fill="auto"/>
            <w:vAlign w:val="center"/>
          </w:tcPr>
          <w:p w14:paraId="10F18C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0分</w:t>
            </w:r>
          </w:p>
        </w:tc>
        <w:tc>
          <w:tcPr>
            <w:tcW w:w="414" w:type="pct"/>
            <w:tcBorders>
              <w:top w:val="nil"/>
              <w:left w:val="nil"/>
              <w:bottom w:val="single" w:color="auto" w:sz="4" w:space="0"/>
              <w:right w:val="single" w:color="auto" w:sz="4" w:space="0"/>
            </w:tcBorders>
            <w:shd w:val="clear" w:color="auto" w:fill="auto"/>
            <w:vAlign w:val="center"/>
          </w:tcPr>
          <w:p w14:paraId="54A781F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w:t>
            </w:r>
          </w:p>
        </w:tc>
      </w:tr>
      <w:tr w14:paraId="3BE5B005">
        <w:tblPrEx>
          <w:tblCellMar>
            <w:top w:w="0" w:type="dxa"/>
            <w:left w:w="108" w:type="dxa"/>
            <w:bottom w:w="0" w:type="dxa"/>
            <w:right w:w="108" w:type="dxa"/>
          </w:tblCellMar>
        </w:tblPrEx>
        <w:trPr>
          <w:trHeight w:val="4864" w:hRule="atLeast"/>
        </w:trPr>
        <w:tc>
          <w:tcPr>
            <w:tcW w:w="413" w:type="pct"/>
            <w:vMerge w:val="restart"/>
            <w:tcBorders>
              <w:top w:val="nil"/>
              <w:left w:val="single" w:color="auto" w:sz="4" w:space="0"/>
              <w:bottom w:val="single" w:color="auto" w:sz="4" w:space="0"/>
              <w:right w:val="single" w:color="auto" w:sz="4" w:space="0"/>
            </w:tcBorders>
            <w:shd w:val="clear" w:color="auto" w:fill="auto"/>
            <w:vAlign w:val="center"/>
          </w:tcPr>
          <w:p w14:paraId="139E5EC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36" w:type="pct"/>
            <w:tcBorders>
              <w:top w:val="nil"/>
              <w:left w:val="single" w:color="auto" w:sz="4" w:space="0"/>
              <w:bottom w:val="single" w:color="auto" w:sz="4" w:space="0"/>
              <w:right w:val="single" w:color="auto" w:sz="4" w:space="0"/>
            </w:tcBorders>
            <w:shd w:val="clear" w:color="auto" w:fill="auto"/>
            <w:vAlign w:val="center"/>
          </w:tcPr>
          <w:p w14:paraId="2691287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项目负责人任职资格与业绩</w:t>
            </w:r>
          </w:p>
        </w:tc>
        <w:tc>
          <w:tcPr>
            <w:tcW w:w="2607" w:type="pct"/>
            <w:tcBorders>
              <w:top w:val="nil"/>
              <w:left w:val="nil"/>
              <w:bottom w:val="single" w:color="auto" w:sz="4" w:space="0"/>
              <w:right w:val="single" w:color="auto" w:sz="4" w:space="0"/>
            </w:tcBorders>
            <w:shd w:val="clear" w:color="auto" w:fill="auto"/>
            <w:vAlign w:val="center"/>
          </w:tcPr>
          <w:p w14:paraId="07244AE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（1）具有注册安全工程师执业资格证书的，得4分（本项最多4分）；</w:t>
            </w:r>
          </w:p>
          <w:p w14:paraId="3638895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需提供证书复印件（或扫描件）或电子证书打印件（均需加盖供应商公章）。</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2020年1月1日以来（以合同签订时间为准）：每担任过1项公路工程应急演练或安全咨询服务项目的项目负责人（或技术负责人），得8分（最多8分）；每增加1项担任过公路工程应急演练项目的项目负责人（或技术负责人）业绩，加4分（最多加4分）；每增加1项担任过公路工程安全咨询服务项目的项目负责人（或技术负责人）业绩，加4分（最多加4分）。本项满分16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注：需提供业绩证明：合同复印件或扫描件（均需加盖供应商公章）；合同中无法体现人员名称或岗位的，不予认可。</w:t>
            </w:r>
          </w:p>
        </w:tc>
        <w:tc>
          <w:tcPr>
            <w:tcW w:w="414" w:type="pct"/>
            <w:tcBorders>
              <w:top w:val="nil"/>
              <w:left w:val="nil"/>
              <w:bottom w:val="single" w:color="auto" w:sz="4" w:space="0"/>
              <w:right w:val="single" w:color="auto" w:sz="4" w:space="0"/>
            </w:tcBorders>
            <w:shd w:val="clear" w:color="auto" w:fill="auto"/>
            <w:vAlign w:val="center"/>
          </w:tcPr>
          <w:p w14:paraId="5D8273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20分</w:t>
            </w:r>
          </w:p>
        </w:tc>
        <w:tc>
          <w:tcPr>
            <w:tcW w:w="414" w:type="pct"/>
            <w:tcBorders>
              <w:top w:val="nil"/>
              <w:left w:val="nil"/>
              <w:bottom w:val="single" w:color="auto" w:sz="4" w:space="0"/>
              <w:right w:val="single" w:color="auto" w:sz="4" w:space="0"/>
            </w:tcBorders>
            <w:shd w:val="clear" w:color="auto" w:fill="auto"/>
            <w:vAlign w:val="center"/>
          </w:tcPr>
          <w:p w14:paraId="3D3424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0分</w:t>
            </w:r>
          </w:p>
        </w:tc>
        <w:tc>
          <w:tcPr>
            <w:tcW w:w="414" w:type="pct"/>
            <w:tcBorders>
              <w:top w:val="nil"/>
              <w:left w:val="nil"/>
              <w:bottom w:val="single" w:color="auto" w:sz="4" w:space="0"/>
              <w:right w:val="single" w:color="auto" w:sz="4" w:space="0"/>
            </w:tcBorders>
            <w:shd w:val="clear" w:color="auto" w:fill="auto"/>
            <w:vAlign w:val="center"/>
          </w:tcPr>
          <w:p w14:paraId="3678C61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w:t>
            </w:r>
          </w:p>
        </w:tc>
      </w:tr>
      <w:tr w14:paraId="25C861D0">
        <w:tblPrEx>
          <w:tblCellMar>
            <w:top w:w="0" w:type="dxa"/>
            <w:left w:w="108" w:type="dxa"/>
            <w:bottom w:w="0" w:type="dxa"/>
            <w:right w:w="108" w:type="dxa"/>
          </w:tblCellMar>
        </w:tblPrEx>
        <w:trPr>
          <w:trHeight w:val="976" w:hRule="atLeast"/>
        </w:trPr>
        <w:tc>
          <w:tcPr>
            <w:tcW w:w="413" w:type="pct"/>
            <w:vMerge w:val="continue"/>
            <w:tcBorders>
              <w:left w:val="single" w:color="auto" w:sz="4" w:space="0"/>
              <w:bottom w:val="single" w:color="auto" w:sz="4" w:space="0"/>
              <w:right w:val="single" w:color="auto" w:sz="4" w:space="0"/>
            </w:tcBorders>
            <w:shd w:val="clear" w:color="auto" w:fill="auto"/>
            <w:vAlign w:val="center"/>
          </w:tcPr>
          <w:p w14:paraId="1692B955">
            <w:pPr>
              <w:widowControl/>
              <w:jc w:val="center"/>
              <w:rPr>
                <w:rFonts w:hint="eastAsia" w:ascii="宋体" w:hAnsi="宋体" w:eastAsia="宋体" w:cs="宋体"/>
                <w:color w:val="auto"/>
                <w:kern w:val="0"/>
                <w:sz w:val="24"/>
                <w:szCs w:val="24"/>
                <w:highlight w:val="none"/>
              </w:rPr>
            </w:pPr>
          </w:p>
        </w:tc>
        <w:tc>
          <w:tcPr>
            <w:tcW w:w="736" w:type="pct"/>
            <w:tcBorders>
              <w:top w:val="nil"/>
              <w:left w:val="single" w:color="auto" w:sz="4" w:space="0"/>
              <w:bottom w:val="single" w:color="auto" w:sz="4" w:space="0"/>
              <w:right w:val="single" w:color="auto" w:sz="4" w:space="0"/>
            </w:tcBorders>
            <w:shd w:val="clear" w:color="auto" w:fill="auto"/>
            <w:vAlign w:val="center"/>
          </w:tcPr>
          <w:p w14:paraId="16A395D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其他人员</w:t>
            </w:r>
          </w:p>
        </w:tc>
        <w:tc>
          <w:tcPr>
            <w:tcW w:w="2607" w:type="pct"/>
            <w:tcBorders>
              <w:top w:val="nil"/>
              <w:left w:val="nil"/>
              <w:bottom w:val="single" w:color="auto" w:sz="4" w:space="0"/>
              <w:right w:val="single" w:color="auto" w:sz="4" w:space="0"/>
            </w:tcBorders>
            <w:shd w:val="clear" w:color="auto" w:fill="auto"/>
            <w:vAlign w:val="center"/>
          </w:tcPr>
          <w:p w14:paraId="524ED73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由磋商小组根据投标供应商投入的除项目负责人外其他人员的数量、职称、业绩评价：</w:t>
            </w:r>
          </w:p>
          <w:p w14:paraId="673CC90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（1）人员数量超项目需求、职称达标、不少于2人有参与过公路工程应急演练项目业绩：20分；</w:t>
            </w:r>
          </w:p>
          <w:p w14:paraId="27D961E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（2）人员数量超项目需求、职称达标、1人有参与过公路工程应急演练项目业绩：15分；</w:t>
            </w:r>
          </w:p>
          <w:p w14:paraId="73F5FDF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（3）人员数量达标、职称达标、仅有参与过公路工程安全咨询服务项目业绩：10分；</w:t>
            </w:r>
          </w:p>
          <w:p w14:paraId="1818770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（4）人员数量达标、职称达标、无上述业绩：5分；</w:t>
            </w:r>
          </w:p>
          <w:p w14:paraId="33367138">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（5）人员数量或职称不满足需求：0分。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需提供职称证明、业绩证明及社保缴费证明：</w:t>
            </w:r>
          </w:p>
          <w:p w14:paraId="23C3DC3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职称证明：证书复印件（或扫描件）或电子证书打印件（均需加盖供应商公章）。</w:t>
            </w:r>
          </w:p>
          <w:p w14:paraId="7758EE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业绩证明：合同复印件或扫描件（均需加盖供应商公章）；合同中无法体现人员名称的不予认可。</w:t>
            </w:r>
          </w:p>
          <w:p w14:paraId="48DD5FD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社保缴费证明：要求同项目负责人。</w:t>
            </w:r>
          </w:p>
        </w:tc>
        <w:tc>
          <w:tcPr>
            <w:tcW w:w="414" w:type="pct"/>
            <w:tcBorders>
              <w:top w:val="nil"/>
              <w:left w:val="nil"/>
              <w:bottom w:val="single" w:color="auto" w:sz="4" w:space="0"/>
              <w:right w:val="single" w:color="auto" w:sz="4" w:space="0"/>
            </w:tcBorders>
            <w:shd w:val="clear" w:color="auto" w:fill="auto"/>
            <w:vAlign w:val="center"/>
          </w:tcPr>
          <w:p w14:paraId="1C5CCC0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20分</w:t>
            </w:r>
          </w:p>
        </w:tc>
        <w:tc>
          <w:tcPr>
            <w:tcW w:w="414" w:type="pct"/>
            <w:tcBorders>
              <w:top w:val="nil"/>
              <w:left w:val="nil"/>
              <w:bottom w:val="single" w:color="auto" w:sz="4" w:space="0"/>
              <w:right w:val="single" w:color="auto" w:sz="4" w:space="0"/>
            </w:tcBorders>
            <w:shd w:val="clear" w:color="auto" w:fill="auto"/>
            <w:vAlign w:val="center"/>
          </w:tcPr>
          <w:p w14:paraId="19C0BE4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0分</w:t>
            </w:r>
          </w:p>
        </w:tc>
        <w:tc>
          <w:tcPr>
            <w:tcW w:w="414" w:type="pct"/>
            <w:tcBorders>
              <w:top w:val="nil"/>
              <w:left w:val="nil"/>
              <w:bottom w:val="single" w:color="auto" w:sz="4" w:space="0"/>
              <w:right w:val="single" w:color="auto" w:sz="4" w:space="0"/>
            </w:tcBorders>
            <w:shd w:val="clear" w:color="auto" w:fill="auto"/>
            <w:vAlign w:val="center"/>
          </w:tcPr>
          <w:p w14:paraId="025319C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w:t>
            </w:r>
          </w:p>
        </w:tc>
      </w:tr>
    </w:tbl>
    <w:p w14:paraId="321856CD">
      <w:pPr>
        <w:autoSpaceDE w:val="0"/>
        <w:autoSpaceDN w:val="0"/>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磋商报</w:t>
      </w:r>
      <w:r>
        <w:rPr>
          <w:rFonts w:hint="eastAsia" w:ascii="宋体" w:hAnsi="宋体" w:cs="宋体"/>
          <w:color w:val="auto"/>
          <w:sz w:val="24"/>
          <w:highlight w:val="none"/>
          <w:lang w:val="zh-CN"/>
        </w:rPr>
        <w:t>价得分=（磋商基准价/最后磋商报价）×</w:t>
      </w:r>
      <w:r>
        <w:rPr>
          <w:rFonts w:hint="eastAsia" w:ascii="宋体" w:hAnsi="宋体" w:cs="宋体"/>
          <w:color w:val="auto"/>
          <w:sz w:val="24"/>
          <w:highlight w:val="none"/>
        </w:rPr>
        <w:t>10%</w:t>
      </w:r>
      <w:r>
        <w:rPr>
          <w:rFonts w:hint="eastAsia" w:ascii="宋体" w:hAnsi="宋体" w:cs="宋体"/>
          <w:color w:val="auto"/>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49EF003">
      <w:pPr>
        <w:autoSpaceDE w:val="0"/>
        <w:autoSpaceDN w:val="0"/>
        <w:adjustRightInd w:val="0"/>
        <w:snapToGrid w:val="0"/>
        <w:spacing w:line="360" w:lineRule="auto"/>
        <w:ind w:firstLine="482" w:firstLineChars="20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评审过程异常低价的审查</w:t>
      </w:r>
    </w:p>
    <w:p w14:paraId="58CB4E1D">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评审过程中出现下列情形之一的，</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应当启动异常低价投标（响应）审查程序：</w:t>
      </w:r>
    </w:p>
    <w:p w14:paraId="14BC8AB0">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投标（响应）报价低于采购项目预算50%的，即投标（响应）报价&lt;采购项目预算×50%</w:t>
      </w:r>
      <w:r>
        <w:rPr>
          <w:rFonts w:hint="eastAsia" w:ascii="宋体" w:hAnsi="宋体" w:cs="宋体"/>
          <w:color w:val="auto"/>
          <w:sz w:val="24"/>
          <w:highlight w:val="none"/>
          <w:lang w:eastAsia="zh-CN"/>
        </w:rPr>
        <w:t>；</w:t>
      </w:r>
    </w:p>
    <w:p w14:paraId="72B7A558">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投标（响应）报价低于采购项目最高限价45%的，即投标（响应）报价&lt;采购项目最高限价×45%</w:t>
      </w:r>
      <w:r>
        <w:rPr>
          <w:rFonts w:hint="eastAsia" w:ascii="宋体" w:hAnsi="宋体" w:cs="宋体"/>
          <w:color w:val="auto"/>
          <w:sz w:val="24"/>
          <w:highlight w:val="none"/>
          <w:lang w:eastAsia="zh-CN"/>
        </w:rPr>
        <w:t>；</w:t>
      </w:r>
    </w:p>
    <w:p w14:paraId="106E8FCC">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认定的供应商报价过低、有可能影响产品质量或者不能诚信履约的其他情形。</w:t>
      </w:r>
    </w:p>
    <w:p w14:paraId="21D6307D">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启动异常低价投标（响应）审查</w:t>
      </w:r>
    </w:p>
    <w:p w14:paraId="5B8C947A">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应当将其作为无效投标（响应）处理。审查相关情况应当在评审报告中进行记录。</w:t>
      </w:r>
    </w:p>
    <w:p w14:paraId="77CB9111">
      <w:pPr>
        <w:snapToGrid w:val="0"/>
        <w:spacing w:line="360" w:lineRule="auto"/>
        <w:ind w:firstLine="555"/>
        <w:rPr>
          <w:rFonts w:ascii="宋体" w:hAnsi="宋体" w:cs="宋体"/>
          <w:b/>
          <w:color w:val="auto"/>
          <w:sz w:val="24"/>
          <w:highlight w:val="none"/>
        </w:rPr>
      </w:pPr>
      <w:r>
        <w:rPr>
          <w:rFonts w:hint="eastAsia" w:ascii="宋体" w:hAnsi="宋体" w:cs="宋体"/>
          <w:b/>
          <w:color w:val="auto"/>
          <w:sz w:val="24"/>
          <w:highlight w:val="none"/>
        </w:rPr>
        <w:t>七、政府采购政策功能落实</w:t>
      </w:r>
    </w:p>
    <w:p w14:paraId="4D2B99E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1.小微型企业价格扣除</w:t>
      </w:r>
    </w:p>
    <w:p w14:paraId="46E4B76C">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（2）供应商需按照采购文件的要求提供相应的《小型、微型企业声明函》。</w:t>
      </w:r>
    </w:p>
    <w:p w14:paraId="74B310C6">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2.残疾人福利单位价格扣除</w:t>
      </w:r>
    </w:p>
    <w:p w14:paraId="198301C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3.监狱和戒毒企业价格扣除</w:t>
      </w:r>
    </w:p>
    <w:p w14:paraId="5148D33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rPr>
        <w:t>残疾人福利单位、监狱企业属于小型、微型企业的，不重复享受政策。</w:t>
      </w:r>
    </w:p>
    <w:p w14:paraId="7B7B952F">
      <w:pPr>
        <w:snapToGrid w:val="0"/>
        <w:spacing w:line="360" w:lineRule="auto"/>
        <w:ind w:firstLine="555"/>
        <w:rPr>
          <w:rFonts w:ascii="宋体" w:hAnsi="宋体" w:cs="宋体"/>
          <w:b/>
          <w:bCs/>
          <w:color w:val="auto"/>
          <w:sz w:val="24"/>
          <w:highlight w:val="none"/>
        </w:rPr>
      </w:pPr>
      <w:r>
        <w:rPr>
          <w:rFonts w:hint="eastAsia" w:ascii="宋体" w:hAnsi="宋体" w:cs="宋体"/>
          <w:b/>
          <w:bCs/>
          <w:color w:val="auto"/>
          <w:sz w:val="24"/>
          <w:highlight w:val="none"/>
          <w:lang w:eastAsia="zh-CN"/>
        </w:rPr>
        <w:t>5.</w:t>
      </w:r>
      <w:r>
        <w:rPr>
          <w:rFonts w:hint="eastAsia" w:ascii="宋体" w:hAnsi="宋体" w:cs="宋体"/>
          <w:b/>
          <w:bCs/>
          <w:color w:val="auto"/>
          <w:sz w:val="24"/>
          <w:highlight w:val="none"/>
        </w:rPr>
        <w:t>专门面向中小企业采购的项目或者采购包，不再执行价格评审优惠的扶持政策。</w:t>
      </w:r>
    </w:p>
    <w:p w14:paraId="2972A7B4">
      <w:pPr>
        <w:snapToGrid w:val="0"/>
        <w:spacing w:line="360" w:lineRule="auto"/>
        <w:ind w:firstLine="555"/>
        <w:rPr>
          <w:rFonts w:ascii="宋体" w:hAnsi="宋体" w:cs="宋体"/>
          <w:b/>
          <w:color w:val="auto"/>
          <w:sz w:val="24"/>
          <w:highlight w:val="none"/>
        </w:rPr>
      </w:pPr>
      <w:r>
        <w:rPr>
          <w:rFonts w:hint="eastAsia" w:ascii="宋体" w:hAnsi="宋体" w:cs="宋体"/>
          <w:b/>
          <w:color w:val="auto"/>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color w:val="auto"/>
          <w:sz w:val="24"/>
          <w:highlight w:val="none"/>
          <w:lang w:val="zh-CN"/>
        </w:rPr>
        <w:t>磋商文件中对供应商资质、技术等要求，将作为</w:t>
      </w:r>
      <w:r>
        <w:rPr>
          <w:rFonts w:hint="eastAsia" w:ascii="宋体" w:hAnsi="宋体" w:cs="宋体"/>
          <w:color w:val="auto"/>
          <w:sz w:val="24"/>
          <w:highlight w:val="none"/>
        </w:rPr>
        <w:t>其他</w:t>
      </w:r>
      <w:r>
        <w:rPr>
          <w:rFonts w:hint="eastAsia" w:ascii="宋体" w:hAnsi="宋体" w:cs="宋体"/>
          <w:color w:val="auto"/>
          <w:sz w:val="24"/>
          <w:highlight w:val="none"/>
          <w:lang w:val="zh-CN"/>
        </w:rPr>
        <w:t>方式采购的基本要求和依据。原已经参加磋商并符合要求的供应商，根据自愿原则，参加</w:t>
      </w:r>
      <w:r>
        <w:rPr>
          <w:rFonts w:hint="eastAsia" w:ascii="宋体" w:hAnsi="宋体" w:cs="宋体"/>
          <w:color w:val="auto"/>
          <w:sz w:val="24"/>
          <w:highlight w:val="none"/>
        </w:rPr>
        <w:t>其他</w:t>
      </w:r>
      <w:r>
        <w:rPr>
          <w:rFonts w:hint="eastAsia" w:ascii="宋体" w:hAnsi="宋体" w:cs="宋体"/>
          <w:color w:val="auto"/>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color w:val="auto"/>
          <w:sz w:val="24"/>
          <w:highlight w:val="none"/>
          <w:lang w:val="zh-CN"/>
        </w:rPr>
      </w:pPr>
      <w:r>
        <w:rPr>
          <w:rFonts w:hint="eastAsia" w:ascii="宋体" w:hAnsi="宋体" w:cs="宋体"/>
          <w:b/>
          <w:color w:val="auto"/>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color w:val="auto"/>
          <w:sz w:val="24"/>
          <w:szCs w:val="24"/>
          <w:highlight w:val="none"/>
        </w:rPr>
      </w:pPr>
      <w:r>
        <w:rPr>
          <w:rFonts w:hint="eastAsia" w:ascii="宋体" w:eastAsia="宋体" w:cs="宋体"/>
          <w:color w:val="auto"/>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color w:val="auto"/>
          <w:sz w:val="24"/>
          <w:szCs w:val="24"/>
          <w:highlight w:val="none"/>
        </w:rPr>
      </w:pPr>
      <w:r>
        <w:rPr>
          <w:rFonts w:hint="eastAsia" w:ascii="宋体" w:eastAsia="宋体" w:cs="宋体"/>
          <w:color w:val="auto"/>
          <w:sz w:val="24"/>
          <w:szCs w:val="24"/>
          <w:highlight w:val="none"/>
        </w:rPr>
        <w:t>（二）出现影响采购公正的违法、违规行为的；</w:t>
      </w:r>
    </w:p>
    <w:p w14:paraId="365E5CF1">
      <w:pPr>
        <w:pStyle w:val="30"/>
        <w:snapToGrid w:val="0"/>
        <w:spacing w:line="360" w:lineRule="auto"/>
        <w:ind w:firstLine="480" w:firstLineChars="200"/>
        <w:contextualSpacing/>
        <w:rPr>
          <w:rFonts w:hint="eastAsia" w:ascii="宋体" w:eastAsia="宋体" w:cs="宋体"/>
          <w:color w:val="auto"/>
          <w:sz w:val="24"/>
          <w:szCs w:val="24"/>
          <w:highlight w:val="none"/>
        </w:rPr>
      </w:pPr>
      <w:r>
        <w:rPr>
          <w:rFonts w:hint="eastAsia" w:ascii="宋体" w:eastAsia="宋体" w:cs="宋体"/>
          <w:color w:val="auto"/>
          <w:sz w:val="24"/>
          <w:szCs w:val="24"/>
          <w:highlight w:val="none"/>
        </w:rPr>
        <w:t>（三）在采购过程中符合要求的供应商或者报价未超过采购预算的供应商不足3家的（市场竞争不充分的科研项目，以及需要扶持的科技成果转化项目除外）。</w:t>
      </w:r>
    </w:p>
    <w:p w14:paraId="062019EB">
      <w:pPr>
        <w:autoSpaceDE w:val="0"/>
        <w:autoSpaceDN w:val="0"/>
        <w:adjustRightInd w:val="0"/>
        <w:snapToGrid w:val="0"/>
        <w:spacing w:line="360" w:lineRule="auto"/>
        <w:ind w:left="-178" w:right="210" w:firstLine="636"/>
        <w:rPr>
          <w:rFonts w:hint="eastAsia" w:ascii="宋体" w:hAnsi="宋体" w:cs="宋体"/>
          <w:b/>
          <w:color w:val="auto"/>
          <w:sz w:val="24"/>
          <w:highlight w:val="none"/>
          <w:lang w:val="zh-CN"/>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lang w:val="zh-CN"/>
        </w:rPr>
        <w:t>若有充分证据证明，</w:t>
      </w:r>
      <w:r>
        <w:rPr>
          <w:rFonts w:hint="eastAsia" w:ascii="宋体" w:hAnsi="宋体" w:cs="宋体"/>
          <w:b/>
          <w:color w:val="auto"/>
          <w:sz w:val="24"/>
          <w:highlight w:val="none"/>
          <w:lang w:val="en-US" w:eastAsia="zh-CN"/>
        </w:rPr>
        <w:t>成交供应商</w:t>
      </w:r>
      <w:r>
        <w:rPr>
          <w:rFonts w:hint="eastAsia" w:ascii="宋体" w:hAnsi="宋体" w:cs="宋体"/>
          <w:b/>
          <w:color w:val="auto"/>
          <w:sz w:val="24"/>
          <w:highlight w:val="none"/>
          <w:lang w:val="zh-CN"/>
        </w:rPr>
        <w:t>出现下列情况之一的，一经查实，将被取消</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lang w:val="zh-CN"/>
        </w:rPr>
        <w:t>资格：</w:t>
      </w:r>
    </w:p>
    <w:p w14:paraId="482070C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提供虚假材料谋取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w:t>
      </w:r>
    </w:p>
    <w:p w14:paraId="7959D2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向采购人、采购代理机构行贿或者提供其他不正当利益的。</w:t>
      </w:r>
    </w:p>
    <w:p w14:paraId="2BA218B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恶意竞争，投标总报价明显低于其自身合理成本且又无法提供证明的。</w:t>
      </w:r>
    </w:p>
    <w:p w14:paraId="0C49D9E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属于本文件规定的无效条件，但在评标过程中又未被评委会发现的。</w:t>
      </w:r>
    </w:p>
    <w:p w14:paraId="08CCBA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17C693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采取不正当手段诋毁、排挤其他</w:t>
      </w: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p>
    <w:p w14:paraId="71CCB7E7">
      <w:pPr>
        <w:autoSpaceDE w:val="0"/>
        <w:autoSpaceDN w:val="0"/>
        <w:adjustRightInd w:val="0"/>
        <w:snapToGrid w:val="0"/>
        <w:spacing w:line="360" w:lineRule="auto"/>
        <w:ind w:left="-178" w:right="210" w:firstLine="636"/>
        <w:rPr>
          <w:rFonts w:hint="eastAsia" w:ascii="宋体" w:hAnsi="宋体" w:cs="宋体"/>
          <w:b/>
          <w:color w:val="auto"/>
          <w:sz w:val="24"/>
          <w:highlight w:val="none"/>
          <w:lang w:val="zh-CN"/>
        </w:rPr>
      </w:pPr>
      <w:r>
        <w:rPr>
          <w:rFonts w:hint="eastAsia" w:ascii="宋体" w:hAnsi="宋体" w:cs="宋体"/>
          <w:b/>
          <w:color w:val="auto"/>
          <w:sz w:val="24"/>
          <w:highlight w:val="none"/>
          <w:lang w:val="en-US" w:eastAsia="zh-CN"/>
        </w:rPr>
        <w:t>十一、</w:t>
      </w:r>
      <w:r>
        <w:rPr>
          <w:rFonts w:hint="eastAsia" w:ascii="宋体" w:hAnsi="宋体" w:cs="宋体"/>
          <w:b/>
          <w:color w:val="auto"/>
          <w:sz w:val="24"/>
          <w:highlight w:val="none"/>
          <w:lang w:val="zh-CN"/>
        </w:rPr>
        <w:t>有下列情形之一的，视为</w:t>
      </w:r>
      <w:r>
        <w:rPr>
          <w:rFonts w:hint="eastAsia" w:ascii="宋体" w:hAnsi="宋体" w:cs="宋体"/>
          <w:b/>
          <w:color w:val="auto"/>
          <w:sz w:val="24"/>
          <w:highlight w:val="none"/>
          <w:lang w:val="zh-CN" w:eastAsia="zh-CN"/>
        </w:rPr>
        <w:t>投标</w:t>
      </w: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lang w:val="zh-CN"/>
        </w:rPr>
        <w:t>串通投标，投标无效：</w:t>
      </w:r>
    </w:p>
    <w:p w14:paraId="497B24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文件由同一单位或者个人编制；</w:t>
      </w:r>
    </w:p>
    <w:p w14:paraId="79FF47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委托同一单位或者个人办理投标事宜；</w:t>
      </w:r>
    </w:p>
    <w:p w14:paraId="6FCDCF7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文件载明的项目管理成员或者联系人员为同一人；</w:t>
      </w:r>
    </w:p>
    <w:p w14:paraId="7041B9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文件异常一致或者投标报价呈规律性差异；</w:t>
      </w:r>
    </w:p>
    <w:p w14:paraId="44BC84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文件相互混装</w:t>
      </w:r>
      <w:r>
        <w:rPr>
          <w:rFonts w:hint="eastAsia" w:ascii="宋体" w:hAnsi="宋体" w:eastAsia="宋体" w:cs="宋体"/>
          <w:color w:val="auto"/>
          <w:sz w:val="24"/>
          <w:szCs w:val="24"/>
          <w:highlight w:val="none"/>
          <w:lang w:eastAsia="zh-CN"/>
        </w:rPr>
        <w:t>。</w:t>
      </w:r>
    </w:p>
    <w:p w14:paraId="7C1452C1">
      <w:pPr>
        <w:autoSpaceDE w:val="0"/>
        <w:autoSpaceDN w:val="0"/>
        <w:adjustRightInd w:val="0"/>
        <w:snapToGrid w:val="0"/>
        <w:spacing w:line="360" w:lineRule="auto"/>
        <w:ind w:left="-178" w:right="210" w:firstLine="636"/>
        <w:rPr>
          <w:rFonts w:ascii="宋体" w:hAnsi="宋体" w:cs="宋体"/>
          <w:b/>
          <w:color w:val="auto"/>
          <w:sz w:val="24"/>
          <w:highlight w:val="none"/>
          <w:lang w:val="zh-CN"/>
        </w:rPr>
      </w:pPr>
      <w:r>
        <w:rPr>
          <w:rFonts w:hint="eastAsia" w:ascii="宋体" w:hAnsi="宋体" w:cs="宋体"/>
          <w:b/>
          <w:color w:val="auto"/>
          <w:sz w:val="24"/>
          <w:highlight w:val="none"/>
          <w:lang w:val="zh-CN"/>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lang w:val="zh-CN"/>
        </w:rPr>
        <w:t>、成交通知</w:t>
      </w:r>
    </w:p>
    <w:p w14:paraId="07CF8DB1">
      <w:pPr>
        <w:snapToGrid w:val="0"/>
        <w:spacing w:line="360" w:lineRule="auto"/>
        <w:ind w:firstLine="480" w:firstLineChars="200"/>
        <w:rPr>
          <w:rFonts w:ascii="宋体" w:hAnsi="宋体" w:cs="宋体"/>
          <w:b/>
          <w:color w:val="auto"/>
          <w:sz w:val="36"/>
          <w:szCs w:val="36"/>
          <w:highlight w:val="none"/>
        </w:rPr>
      </w:pPr>
      <w:r>
        <w:rPr>
          <w:rFonts w:hint="eastAsia" w:ascii="宋体" w:hAnsi="宋体" w:cs="宋体"/>
          <w:color w:val="auto"/>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color w:val="auto"/>
          <w:sz w:val="36"/>
          <w:szCs w:val="36"/>
          <w:highlight w:val="none"/>
        </w:rPr>
        <w:br w:type="page"/>
      </w:r>
    </w:p>
    <w:p w14:paraId="3E6E27C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合同签订与验收付款</w:t>
      </w:r>
    </w:p>
    <w:p w14:paraId="61B67045">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7D654DA1">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val="zh-CN"/>
        </w:rPr>
        <w:t>签订合同后，</w:t>
      </w:r>
      <w:r>
        <w:rPr>
          <w:rFonts w:hint="eastAsia" w:ascii="宋体" w:hAnsi="宋体" w:cs="宋体"/>
          <w:color w:val="auto"/>
          <w:sz w:val="24"/>
          <w:highlight w:val="none"/>
          <w:lang w:val="en-US" w:eastAsia="zh-CN"/>
        </w:rPr>
        <w:t>成交供应商不</w:t>
      </w:r>
      <w:r>
        <w:rPr>
          <w:rFonts w:hint="eastAsia" w:ascii="宋体" w:hAnsi="宋体" w:cs="宋体"/>
          <w:color w:val="auto"/>
          <w:sz w:val="24"/>
          <w:highlight w:val="none"/>
          <w:lang w:val="zh-CN"/>
        </w:rPr>
        <w:t>得将合同标的进行转包。未经采购人同意，</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lang w:val="zh-CN"/>
        </w:rPr>
        <w:t>也不得采用分包的形式履行合同，否则采购人有权终止合同。采购合同分包履行的，</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lang w:val="zh-CN"/>
        </w:rPr>
        <w:t>就采购项目和分包项目向采购人负责，分包供应商就分包项目承担责任。转包或分包造成采购人损失的，</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lang w:val="zh-CN"/>
        </w:rPr>
        <w:t>应承担相应赔偿责任。</w:t>
      </w:r>
    </w:p>
    <w:p w14:paraId="2FD5B8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4EAEA70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货物和服务的追加、减少和添购。</w:t>
      </w:r>
    </w:p>
    <w:p w14:paraId="5E9BDD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.1采购合同履行中，采购人需追加与合同标的相同的货物和服务的，在不改变合同其他条款的前提下，可以与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协商签订补充合同，但所有补充合同的采购金额不超过原合同金额10%。</w:t>
      </w:r>
    </w:p>
    <w:p w14:paraId="2663BA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14:paraId="486E5E54">
      <w:pPr>
        <w:pStyle w:val="30"/>
        <w:numPr>
          <w:ilvl w:val="0"/>
          <w:numId w:val="1"/>
        </w:numPr>
        <w:adjustRightInd w:val="0"/>
        <w:snapToGrid w:val="0"/>
        <w:spacing w:line="360" w:lineRule="auto"/>
        <w:ind w:firstLine="480" w:firstLineChars="200"/>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履约验收：</w:t>
      </w:r>
    </w:p>
    <w:p w14:paraId="0554CA97">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验收实施主体：南通市公路事业发展中心公路应急处置分中心。</w:t>
      </w:r>
    </w:p>
    <w:p w14:paraId="00376CB5">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验收时间：供应商完成全部工作并提交全套演练资料及专题片5日内。</w:t>
      </w:r>
    </w:p>
    <w:p w14:paraId="2913721D">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验收方式：应急分中心组织，采用书面审核。</w:t>
      </w:r>
    </w:p>
    <w:p w14:paraId="70A808B1">
      <w:pPr>
        <w:widowControl/>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验收内容：供应商是否按期完成演练，是否及时形成并按应急分中心要求完善全套演练资料及专题片。</w:t>
      </w:r>
    </w:p>
    <w:p w14:paraId="1B23914A">
      <w:pPr>
        <w:widowControl/>
        <w:adjustRightInd w:val="0"/>
        <w:snapToGrid w:val="0"/>
        <w:spacing w:line="360" w:lineRule="auto"/>
        <w:ind w:firstLine="480" w:firstLineChars="200"/>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rPr>
        <w:t>验收标准：全套演练资料及专题片通过应急分中心审核。</w:t>
      </w:r>
    </w:p>
    <w:p w14:paraId="1C061F2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6"/>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r>
        <w:rPr>
          <w:rFonts w:hint="eastAsia" w:ascii="宋体" w:hAnsi="宋体" w:cs="宋体"/>
          <w:color w:val="auto"/>
          <w:sz w:val="24"/>
          <w:szCs w:val="24"/>
          <w:highlight w:val="none"/>
        </w:rPr>
        <w:t>合同条款内容</w:t>
      </w:r>
    </w:p>
    <w:p w14:paraId="167F4E53">
      <w:pPr>
        <w:pStyle w:val="6"/>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CD8EBF8">
      <w:pPr>
        <w:pStyle w:val="6"/>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512F5F70">
      <w:pPr>
        <w:pStyle w:val="6"/>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5F4296E">
      <w:pPr>
        <w:pStyle w:val="6"/>
        <w:kinsoku w:val="0"/>
        <w:topLinePunct/>
        <w:autoSpaceDE w:val="0"/>
        <w:autoSpaceDN w:val="0"/>
        <w:snapToGrid w:val="0"/>
        <w:spacing w:line="360" w:lineRule="auto"/>
        <w:ind w:firstLine="0"/>
        <w:contextualSpacing/>
        <w:rPr>
          <w:rFonts w:ascii="宋体" w:hAnsi="宋体" w:cs="宋体"/>
          <w:color w:val="auto"/>
          <w:sz w:val="24"/>
          <w:highlight w:val="none"/>
        </w:rPr>
      </w:pPr>
      <w:r>
        <w:rPr>
          <w:rFonts w:hint="eastAsia" w:ascii="宋体" w:hAnsi="宋体" w:cs="宋体"/>
          <w:color w:val="auto"/>
          <w:sz w:val="24"/>
          <w:szCs w:val="24"/>
          <w:highlight w:val="none"/>
        </w:rPr>
        <w:br w:type="page"/>
      </w:r>
    </w:p>
    <w:p w14:paraId="4879EE1F">
      <w:pPr>
        <w:spacing w:line="360" w:lineRule="auto"/>
        <w:ind w:firstLine="602"/>
        <w:jc w:val="center"/>
        <w:outlineLvl w:val="0"/>
        <w:rPr>
          <w:rFonts w:ascii="宋体" w:hAnsi="宋体" w:cs="宋体"/>
          <w:b/>
          <w:bCs/>
          <w:color w:val="auto"/>
          <w:sz w:val="30"/>
          <w:szCs w:val="20"/>
          <w:highlight w:val="none"/>
        </w:rPr>
      </w:pPr>
      <w:r>
        <w:rPr>
          <w:rFonts w:hint="eastAsia" w:ascii="宋体" w:hAnsi="宋体" w:cs="宋体"/>
          <w:b/>
          <w:color w:val="auto"/>
          <w:sz w:val="30"/>
          <w:szCs w:val="21"/>
          <w:highlight w:val="none"/>
          <w:lang w:eastAsia="zh-CN"/>
        </w:rPr>
        <w:t>2025年度南通市公路事业发展中心应急演练项目</w:t>
      </w:r>
      <w:r>
        <w:rPr>
          <w:rFonts w:hint="eastAsia" w:ascii="宋体" w:hAnsi="宋体" w:cs="宋体"/>
          <w:b/>
          <w:color w:val="auto"/>
          <w:sz w:val="30"/>
          <w:szCs w:val="21"/>
          <w:highlight w:val="none"/>
        </w:rPr>
        <w:t>合同协议书</w:t>
      </w:r>
    </w:p>
    <w:p w14:paraId="7E3BBF67">
      <w:pPr>
        <w:spacing w:line="360" w:lineRule="auto"/>
        <w:jc w:val="left"/>
        <w:rPr>
          <w:rFonts w:cs="宋体" w:asciiTheme="minorEastAsia" w:hAnsiTheme="minorEastAsia" w:eastAsiaTheme="minorEastAsia"/>
          <w:bCs/>
          <w:color w:val="auto"/>
          <w:spacing w:val="2"/>
          <w:sz w:val="24"/>
          <w:highlight w:val="none"/>
          <w:u w:val="single"/>
        </w:rPr>
      </w:pPr>
      <w:r>
        <w:rPr>
          <w:rFonts w:hint="eastAsia" w:cs="宋体" w:asciiTheme="minorEastAsia" w:hAnsiTheme="minorEastAsia" w:eastAsiaTheme="minorEastAsia"/>
          <w:bCs/>
          <w:color w:val="auto"/>
          <w:spacing w:val="2"/>
          <w:sz w:val="24"/>
          <w:highlight w:val="none"/>
        </w:rPr>
        <w:t>甲方：</w:t>
      </w:r>
      <w:r>
        <w:rPr>
          <w:rFonts w:hint="eastAsia" w:cs="宋体" w:asciiTheme="minorEastAsia" w:hAnsiTheme="minorEastAsia" w:eastAsiaTheme="minorEastAsia"/>
          <w:bCs/>
          <w:color w:val="auto"/>
          <w:spacing w:val="2"/>
          <w:sz w:val="24"/>
          <w:highlight w:val="none"/>
          <w:u w:val="single"/>
        </w:rPr>
        <w:t xml:space="preserve">                           </w:t>
      </w:r>
    </w:p>
    <w:p w14:paraId="011EB175">
      <w:pPr>
        <w:spacing w:line="360" w:lineRule="auto"/>
        <w:jc w:val="left"/>
        <w:rPr>
          <w:rFonts w:cs="宋体" w:asciiTheme="minorEastAsia" w:hAnsiTheme="minorEastAsia" w:eastAsiaTheme="minorEastAsia"/>
          <w:bCs/>
          <w:color w:val="auto"/>
          <w:spacing w:val="2"/>
          <w:sz w:val="24"/>
          <w:highlight w:val="none"/>
          <w:u w:val="single"/>
        </w:rPr>
      </w:pPr>
      <w:r>
        <w:rPr>
          <w:rFonts w:hint="eastAsia" w:cs="宋体" w:asciiTheme="minorEastAsia" w:hAnsiTheme="minorEastAsia" w:eastAsiaTheme="minorEastAsia"/>
          <w:bCs/>
          <w:color w:val="auto"/>
          <w:spacing w:val="2"/>
          <w:sz w:val="24"/>
          <w:highlight w:val="none"/>
        </w:rPr>
        <w:t>乙方：</w:t>
      </w:r>
      <w:r>
        <w:rPr>
          <w:rFonts w:hint="eastAsia" w:cs="宋体" w:asciiTheme="minorEastAsia" w:hAnsiTheme="minorEastAsia" w:eastAsiaTheme="minorEastAsia"/>
          <w:bCs/>
          <w:color w:val="auto"/>
          <w:spacing w:val="2"/>
          <w:sz w:val="24"/>
          <w:highlight w:val="none"/>
          <w:u w:val="single"/>
        </w:rPr>
        <w:t xml:space="preserve">                           </w:t>
      </w:r>
    </w:p>
    <w:p w14:paraId="7F8CE8C3">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甲乙双方经友好协商，甲方将</w:t>
      </w:r>
      <w:r>
        <w:rPr>
          <w:rFonts w:hint="eastAsia" w:cs="宋体" w:asciiTheme="minorEastAsia" w:hAnsiTheme="minorEastAsia" w:eastAsiaTheme="minorEastAsia"/>
          <w:color w:val="auto"/>
          <w:sz w:val="24"/>
          <w:highlight w:val="none"/>
          <w:lang w:eastAsia="zh-CN"/>
        </w:rPr>
        <w:t>2025年度南通市公路事业发展中心应急演练项目</w:t>
      </w:r>
      <w:r>
        <w:rPr>
          <w:rFonts w:hint="eastAsia" w:cs="宋体" w:asciiTheme="minorEastAsia" w:hAnsiTheme="minorEastAsia" w:eastAsiaTheme="minorEastAsia"/>
          <w:color w:val="auto"/>
          <w:sz w:val="24"/>
          <w:highlight w:val="none"/>
        </w:rPr>
        <w:t>委托乙方，现达成一致合同如下：</w:t>
      </w:r>
    </w:p>
    <w:p w14:paraId="20C0B1B0">
      <w:pPr>
        <w:numPr>
          <w:ilvl w:val="0"/>
          <w:numId w:val="2"/>
        </w:numPr>
        <w:adjustRightInd w:val="0"/>
        <w:snapToGrid w:val="0"/>
        <w:spacing w:line="360" w:lineRule="auto"/>
        <w:ind w:firstLine="482" w:firstLineChars="20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委托内容及标准</w:t>
      </w:r>
    </w:p>
    <w:p w14:paraId="27C7D0EE">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本次委托范围与内容即为</w:t>
      </w:r>
      <w:r>
        <w:rPr>
          <w:rFonts w:hint="eastAsia" w:cs="宋体" w:asciiTheme="minorEastAsia" w:hAnsiTheme="minorEastAsia" w:eastAsiaTheme="minorEastAsia"/>
          <w:color w:val="auto"/>
          <w:sz w:val="24"/>
          <w:highlight w:val="none"/>
          <w:lang w:eastAsia="zh-CN"/>
        </w:rPr>
        <w:t>2025年度南通市公路事业发展中心应急演练项目</w:t>
      </w:r>
      <w:r>
        <w:rPr>
          <w:rFonts w:hint="eastAsia" w:cs="宋体" w:asciiTheme="minorEastAsia" w:hAnsiTheme="minorEastAsia" w:eastAsiaTheme="minorEastAsia"/>
          <w:color w:val="auto"/>
          <w:sz w:val="24"/>
          <w:highlight w:val="none"/>
        </w:rPr>
        <w:t>。</w:t>
      </w:r>
    </w:p>
    <w:p w14:paraId="556D16AD">
      <w:pPr>
        <w:numPr>
          <w:ilvl w:val="0"/>
          <w:numId w:val="2"/>
        </w:numPr>
        <w:adjustRightInd w:val="0"/>
        <w:snapToGrid w:val="0"/>
        <w:spacing w:line="360" w:lineRule="auto"/>
        <w:ind w:firstLine="482" w:firstLineChars="20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基本要求</w:t>
      </w:r>
    </w:p>
    <w:p w14:paraId="59C63C9C">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w:t>
      </w:r>
      <w:r>
        <w:rPr>
          <w:rFonts w:hint="eastAsia" w:ascii="宋体" w:eastAsia="宋体" w:cs="宋体"/>
          <w:color w:val="auto"/>
          <w:sz w:val="24"/>
          <w:szCs w:val="24"/>
          <w:highlight w:val="none"/>
        </w:rPr>
        <w:t>本项目为1次市县联合综合性应急演练，主题为普通国省道除冰除雪应急处置，采取现场实战方式，内容包括事故发现、响应联动、事故处置、应急结束及后续措施。</w:t>
      </w:r>
      <w:r>
        <w:rPr>
          <w:rFonts w:hint="eastAsia" w:cs="宋体" w:asciiTheme="minorEastAsia" w:hAnsiTheme="minorEastAsia" w:eastAsiaTheme="minorEastAsia"/>
          <w:b/>
          <w:bCs/>
          <w:color w:val="auto"/>
          <w:sz w:val="24"/>
          <w:highlight w:val="none"/>
        </w:rPr>
        <w:t>本项目对摄影、摄像、场地布置部分可以分包，但</w:t>
      </w:r>
      <w:r>
        <w:rPr>
          <w:rFonts w:hint="eastAsia" w:cs="宋体" w:asciiTheme="minorEastAsia" w:hAnsiTheme="minorEastAsia" w:eastAsiaTheme="minorEastAsia"/>
          <w:b/>
          <w:bCs/>
          <w:color w:val="auto"/>
          <w:sz w:val="24"/>
          <w:highlight w:val="none"/>
          <w:lang w:val="en-US" w:eastAsia="zh-CN"/>
        </w:rPr>
        <w:t>乙方</w:t>
      </w:r>
      <w:r>
        <w:rPr>
          <w:rFonts w:hint="eastAsia" w:cs="宋体" w:asciiTheme="minorEastAsia" w:hAnsiTheme="minorEastAsia" w:eastAsiaTheme="minorEastAsia"/>
          <w:b/>
          <w:bCs/>
          <w:color w:val="auto"/>
          <w:sz w:val="24"/>
          <w:highlight w:val="none"/>
        </w:rPr>
        <w:t>应做好监督责任，保证按时按需完成</w:t>
      </w:r>
      <w:r>
        <w:rPr>
          <w:rFonts w:hint="eastAsia" w:cs="宋体" w:asciiTheme="minorEastAsia" w:hAnsiTheme="minorEastAsia" w:eastAsiaTheme="minorEastAsia"/>
          <w:b/>
          <w:bCs/>
          <w:color w:val="auto"/>
          <w:sz w:val="24"/>
          <w:highlight w:val="none"/>
          <w:lang w:val="en-US" w:eastAsia="zh-CN"/>
        </w:rPr>
        <w:t>甲方</w:t>
      </w:r>
      <w:r>
        <w:rPr>
          <w:rFonts w:hint="eastAsia" w:cs="宋体" w:asciiTheme="minorEastAsia" w:hAnsiTheme="minorEastAsia" w:eastAsiaTheme="minorEastAsia"/>
          <w:b/>
          <w:bCs/>
          <w:color w:val="auto"/>
          <w:sz w:val="24"/>
          <w:highlight w:val="none"/>
        </w:rPr>
        <w:t>指定的工作</w:t>
      </w:r>
      <w:r>
        <w:rPr>
          <w:rFonts w:hint="eastAsia" w:cs="宋体" w:asciiTheme="minorEastAsia" w:hAnsiTheme="minorEastAsia" w:eastAsiaTheme="minorEastAsia"/>
          <w:color w:val="auto"/>
          <w:sz w:val="24"/>
          <w:highlight w:val="none"/>
        </w:rPr>
        <w:t>。</w:t>
      </w:r>
    </w:p>
    <w:p w14:paraId="2CE98933">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（二）服务内容</w:t>
      </w:r>
    </w:p>
    <w:p w14:paraId="7444D729">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本项目采购内容为普通国省道除冰除雪应急处置演练，拟设除冰除雪、路障清除、应急机械化桥梁架设科目。演练地点在如皋市，参演单位有南通市公路事业发展中心、市交通运输综合行政执法支队、市公安局交通警察大队等相关部门。</w:t>
      </w:r>
    </w:p>
    <w:p w14:paraId="20B266B2">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主要服务内容：</w:t>
      </w:r>
    </w:p>
    <w:p w14:paraId="22695212">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rPr>
        <w:t>演练策划与指挥：制定含无人机在公路突发事件中应用的演练方案，确定详细内容，指挥各科目预演及正式演练。</w:t>
      </w:r>
    </w:p>
    <w:p w14:paraId="14CAD431">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2.</w:t>
      </w:r>
      <w:r>
        <w:rPr>
          <w:rFonts w:hint="eastAsia" w:ascii="宋体" w:eastAsia="宋体" w:cs="宋体"/>
          <w:color w:val="auto"/>
          <w:sz w:val="24"/>
          <w:szCs w:val="24"/>
          <w:highlight w:val="none"/>
        </w:rPr>
        <w:t>全过程统筹管理：</w:t>
      </w:r>
    </w:p>
    <w:p w14:paraId="7ED701DB">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场地布置：按不同科目和场地需要布置，保障机械设备、物资、交通管制、影音设备到位，演练后清理场地；</w:t>
      </w:r>
    </w:p>
    <w:p w14:paraId="6F2C253B">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2</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观摩安排：不设舞台和观摩台，以室内视频播放及直播形式进行，主席台准备活动手册、席卡、纸笔等；</w:t>
      </w:r>
    </w:p>
    <w:p w14:paraId="1F6A4AB7">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3</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人员保障：确保参演岗位人员、主持人、拍摄及其他工作人员到位，配备安全帽、反光背心、工作证，做好后勤保障；</w:t>
      </w:r>
    </w:p>
    <w:p w14:paraId="791D49C4">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4</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拍摄工作：全过程跟踪拍摄，部分场景直播，设置转播机位、无人机及近景拍摄，制作不少于20分钟专题片。</w:t>
      </w:r>
    </w:p>
    <w:p w14:paraId="286E5B27">
      <w:pPr>
        <w:pStyle w:val="30"/>
        <w:adjustRightInd w:val="0"/>
        <w:snapToGrid w:val="0"/>
        <w:spacing w:line="360" w:lineRule="auto"/>
        <w:ind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3.</w:t>
      </w:r>
      <w:r>
        <w:rPr>
          <w:rFonts w:hint="eastAsia" w:ascii="宋体" w:eastAsia="宋体" w:cs="宋体"/>
          <w:color w:val="auto"/>
          <w:sz w:val="24"/>
          <w:szCs w:val="24"/>
          <w:highlight w:val="none"/>
        </w:rPr>
        <w:t>演练后编制评估方案，组织评估并撰写报告，提交全套资料</w:t>
      </w:r>
      <w:r>
        <w:rPr>
          <w:rFonts w:hint="eastAsia" w:asciiTheme="minorEastAsia" w:hAnsiTheme="minorEastAsia" w:eastAsiaTheme="minorEastAsia"/>
          <w:color w:val="auto"/>
          <w:sz w:val="24"/>
          <w:szCs w:val="24"/>
          <w:highlight w:val="none"/>
        </w:rPr>
        <w:t>（全套演练资料电子档和纸质资料各</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套）</w:t>
      </w:r>
      <w:r>
        <w:rPr>
          <w:rFonts w:hint="eastAsia" w:ascii="宋体" w:eastAsia="宋体" w:cs="宋体"/>
          <w:color w:val="auto"/>
          <w:sz w:val="24"/>
          <w:szCs w:val="24"/>
          <w:highlight w:val="none"/>
        </w:rPr>
        <w:t>。</w:t>
      </w:r>
    </w:p>
    <w:p w14:paraId="1642FF54">
      <w:pPr>
        <w:spacing w:line="360" w:lineRule="auto"/>
        <w:ind w:firstLine="471"/>
        <w:rPr>
          <w:rFonts w:ascii="宋体" w:hAnsi="宋体" w:cs="宋体"/>
          <w:color w:val="auto"/>
          <w:sz w:val="24"/>
          <w:highlight w:val="none"/>
        </w:rPr>
      </w:pPr>
      <w:r>
        <w:rPr>
          <w:rFonts w:hint="eastAsia" w:ascii="宋体" w:hAnsi="宋体" w:cs="宋体"/>
          <w:b/>
          <w:color w:val="auto"/>
          <w:sz w:val="24"/>
          <w:highlight w:val="none"/>
        </w:rPr>
        <w:t>四、人员要求</w:t>
      </w:r>
    </w:p>
    <w:p w14:paraId="341C1E98">
      <w:pPr>
        <w:spacing w:line="360" w:lineRule="auto"/>
        <w:ind w:firstLine="471"/>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项目负责人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投入本项目</w:t>
      </w:r>
      <w:r>
        <w:rPr>
          <w:rFonts w:hint="eastAsia" w:ascii="宋体" w:hAnsi="宋体" w:cs="宋体"/>
          <w:color w:val="auto"/>
          <w:sz w:val="24"/>
          <w:szCs w:val="24"/>
          <w:highlight w:val="none"/>
          <w:lang w:val="en-US" w:eastAsia="zh-CN"/>
        </w:rPr>
        <w:t>其他</w:t>
      </w:r>
      <w:r>
        <w:rPr>
          <w:rFonts w:hint="eastAsia" w:ascii="宋体" w:hAnsi="宋体" w:cs="宋体"/>
          <w:color w:val="auto"/>
          <w:sz w:val="24"/>
          <w:szCs w:val="24"/>
          <w:highlight w:val="none"/>
        </w:rPr>
        <w:t>人员见本合同协议书附件</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p>
    <w:p w14:paraId="7F405B8E">
      <w:pPr>
        <w:pStyle w:val="58"/>
        <w:spacing w:before="0"/>
        <w:ind w:firstLine="472"/>
        <w:rPr>
          <w:rFonts w:ascii="宋体" w:hAnsi="宋体" w:cs="宋体"/>
          <w:b/>
          <w:color w:val="auto"/>
          <w:szCs w:val="24"/>
          <w:highlight w:val="none"/>
        </w:rPr>
      </w:pPr>
      <w:r>
        <w:rPr>
          <w:rFonts w:hint="eastAsia" w:cs="宋体" w:asciiTheme="minorEastAsia" w:hAnsiTheme="minorEastAsia" w:eastAsiaTheme="minorEastAsia"/>
          <w:b/>
          <w:bCs/>
          <w:color w:val="auto"/>
          <w:sz w:val="24"/>
          <w:highlight w:val="none"/>
          <w:lang w:val="en-US" w:eastAsia="zh-CN"/>
        </w:rPr>
        <w:t>五</w:t>
      </w:r>
      <w:r>
        <w:rPr>
          <w:rFonts w:hint="eastAsia" w:cs="宋体" w:asciiTheme="minorEastAsia" w:hAnsiTheme="minorEastAsia" w:eastAsiaTheme="minorEastAsia"/>
          <w:b/>
          <w:bCs/>
          <w:color w:val="auto"/>
          <w:sz w:val="24"/>
          <w:highlight w:val="none"/>
        </w:rPr>
        <w:t>、</w:t>
      </w:r>
      <w:r>
        <w:rPr>
          <w:rFonts w:hint="eastAsia" w:ascii="宋体" w:hAnsi="宋体" w:cs="宋体"/>
          <w:b/>
          <w:color w:val="auto"/>
          <w:szCs w:val="24"/>
          <w:highlight w:val="none"/>
        </w:rPr>
        <w:t>合同价款及付款方式</w:t>
      </w:r>
    </w:p>
    <w:p w14:paraId="73699ABF">
      <w:pPr>
        <w:spacing w:line="360" w:lineRule="auto"/>
        <w:ind w:firstLine="471"/>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为总价合同，</w:t>
      </w:r>
      <w:r>
        <w:rPr>
          <w:rFonts w:hint="eastAsia" w:ascii="宋体" w:hAnsi="宋体" w:cs="宋体"/>
          <w:color w:val="auto"/>
          <w:sz w:val="24"/>
          <w:highlight w:val="none"/>
        </w:rPr>
        <w:t>合同价为人民币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C89DB1">
      <w:pPr>
        <w:adjustRightInd w:val="0"/>
        <w:snapToGrid w:val="0"/>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付款方式：</w:t>
      </w:r>
    </w:p>
    <w:p w14:paraId="70502D99">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合同签订后30日内，</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提供发票后10个工作日内，支付合同价30%作为预付款；</w:t>
      </w:r>
    </w:p>
    <w:p w14:paraId="6347FE42">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完成应急演练且全套演练资料及专题片通过验收后30日内，</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提供发票后10个工作日内付清尾款。</w:t>
      </w:r>
    </w:p>
    <w:p w14:paraId="2A3AE778">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w:t>
      </w:r>
    </w:p>
    <w:p w14:paraId="7502A8F8">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每次付款须按合同扣减违约金和赔偿款；</w:t>
      </w:r>
    </w:p>
    <w:p w14:paraId="48550D5A">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付款前供应商须提供等额合规发票及相关申请资料，否则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可以拒付；</w:t>
      </w:r>
    </w:p>
    <w:p w14:paraId="1C0C967D">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所有付款均不计利息。</w:t>
      </w:r>
    </w:p>
    <w:p w14:paraId="24B7ACB5">
      <w:pPr>
        <w:adjustRightInd w:val="0"/>
        <w:snapToGrid w:val="0"/>
        <w:spacing w:line="360" w:lineRule="auto"/>
        <w:ind w:firstLine="482" w:firstLineChars="20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六</w:t>
      </w:r>
      <w:r>
        <w:rPr>
          <w:rFonts w:hint="eastAsia" w:cs="宋体" w:asciiTheme="minorEastAsia" w:hAnsiTheme="minorEastAsia" w:eastAsiaTheme="minorEastAsia"/>
          <w:b/>
          <w:bCs/>
          <w:color w:val="auto"/>
          <w:sz w:val="24"/>
          <w:highlight w:val="none"/>
        </w:rPr>
        <w:t>、合同时间及相关事宜</w:t>
      </w:r>
    </w:p>
    <w:p w14:paraId="0F2CE52C">
      <w:pPr>
        <w:widowControl/>
        <w:adjustRightInd w:val="0"/>
        <w:snapToGrid w:val="0"/>
        <w:spacing w:line="360" w:lineRule="auto"/>
        <w:ind w:firstLine="480" w:firstLineChars="200"/>
        <w:textAlignment w:val="baseline"/>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stheme="minorBidi"/>
          <w:color w:val="auto"/>
          <w:sz w:val="24"/>
          <w:highlight w:val="none"/>
        </w:rPr>
        <w:t>1.</w:t>
      </w:r>
      <w:r>
        <w:rPr>
          <w:rFonts w:hint="eastAsia" w:asciiTheme="minorEastAsia" w:hAnsiTheme="minorEastAsia" w:eastAsiaTheme="minorEastAsia"/>
          <w:color w:val="auto"/>
          <w:sz w:val="24"/>
          <w:szCs w:val="24"/>
          <w:highlight w:val="none"/>
        </w:rPr>
        <w:t>合同履行期限：</w:t>
      </w:r>
      <w:r>
        <w:rPr>
          <w:rFonts w:hint="eastAsia" w:ascii="宋体" w:hAnsi="宋体" w:cs="宋体"/>
          <w:color w:val="auto"/>
          <w:sz w:val="24"/>
          <w:highlight w:val="none"/>
        </w:rPr>
        <w:t>2025年9月30日前提交演练方案及内容文稿；10月31日前完成年度除冰除雪应急处置演练；演练结束后一周内提交全套资料及不少于20分钟的专题片。</w:t>
      </w:r>
    </w:p>
    <w:p w14:paraId="45F7C3A1">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2.知识产权归属：</w:t>
      </w:r>
      <w:r>
        <w:rPr>
          <w:rFonts w:hint="eastAsia" w:cs="宋体" w:asciiTheme="minorEastAsia" w:hAnsiTheme="minorEastAsia" w:eastAsiaTheme="minorEastAsia"/>
          <w:color w:val="auto"/>
          <w:sz w:val="24"/>
          <w:highlight w:val="none"/>
          <w:lang w:val="en-US" w:eastAsia="zh-CN"/>
        </w:rPr>
        <w:t>甲方对本项目下的</w:t>
      </w:r>
      <w:r>
        <w:rPr>
          <w:rFonts w:hint="eastAsia" w:cs="宋体" w:asciiTheme="minorEastAsia" w:hAnsiTheme="minorEastAsia" w:eastAsiaTheme="minorEastAsia"/>
          <w:color w:val="auto"/>
          <w:sz w:val="24"/>
          <w:highlight w:val="none"/>
        </w:rPr>
        <w:t>视频资料及视频拥有完整的知识产权，</w:t>
      </w:r>
      <w:r>
        <w:rPr>
          <w:rFonts w:hint="eastAsia" w:cs="宋体" w:asciiTheme="minorEastAsia" w:hAnsiTheme="minorEastAsia" w:eastAsiaTheme="minorEastAsia"/>
          <w:color w:val="auto"/>
          <w:sz w:val="24"/>
          <w:highlight w:val="none"/>
          <w:lang w:val="en-US" w:eastAsia="zh-CN"/>
        </w:rPr>
        <w:t>非经甲方书面同意，</w:t>
      </w:r>
      <w:r>
        <w:rPr>
          <w:rFonts w:hint="eastAsia" w:cs="宋体" w:asciiTheme="minorEastAsia" w:hAnsiTheme="minorEastAsia" w:eastAsiaTheme="minorEastAsia"/>
          <w:color w:val="auto"/>
          <w:sz w:val="24"/>
          <w:highlight w:val="none"/>
        </w:rPr>
        <w:t>乙方不得将资料及视频提供给第三方，乙方</w:t>
      </w:r>
      <w:r>
        <w:rPr>
          <w:rFonts w:hint="eastAsia" w:cs="宋体" w:asciiTheme="minorEastAsia" w:hAnsiTheme="minorEastAsia" w:eastAsiaTheme="minorEastAsia"/>
          <w:color w:val="auto"/>
          <w:sz w:val="24"/>
          <w:highlight w:val="none"/>
          <w:lang w:val="en-US" w:eastAsia="zh-CN"/>
        </w:rPr>
        <w:t>仅</w:t>
      </w:r>
      <w:r>
        <w:rPr>
          <w:rFonts w:hint="eastAsia" w:cs="宋体" w:asciiTheme="minorEastAsia" w:hAnsiTheme="minorEastAsia" w:eastAsiaTheme="minorEastAsia"/>
          <w:color w:val="auto"/>
          <w:sz w:val="24"/>
          <w:highlight w:val="none"/>
        </w:rPr>
        <w:t>有权</w:t>
      </w:r>
      <w:r>
        <w:rPr>
          <w:rFonts w:hint="eastAsia" w:cs="宋体" w:asciiTheme="minorEastAsia" w:hAnsiTheme="minorEastAsia" w:eastAsiaTheme="minorEastAsia"/>
          <w:color w:val="auto"/>
          <w:sz w:val="24"/>
          <w:highlight w:val="none"/>
          <w:lang w:val="en-US" w:eastAsia="zh-CN"/>
        </w:rPr>
        <w:t>将视频资料及视频作为</w:t>
      </w:r>
      <w:r>
        <w:rPr>
          <w:rFonts w:hint="eastAsia" w:cs="宋体" w:asciiTheme="minorEastAsia" w:hAnsiTheme="minorEastAsia" w:eastAsiaTheme="minorEastAsia"/>
          <w:color w:val="auto"/>
          <w:sz w:val="24"/>
          <w:highlight w:val="none"/>
        </w:rPr>
        <w:t>自身公益宣传使用</w:t>
      </w:r>
      <w:r>
        <w:rPr>
          <w:rFonts w:hint="eastAsia" w:cs="宋体" w:asciiTheme="minorEastAsia" w:hAnsiTheme="minorEastAsia" w:eastAsiaTheme="minorEastAsia"/>
          <w:color w:val="auto"/>
          <w:sz w:val="24"/>
          <w:highlight w:val="none"/>
        </w:rPr>
        <w:t>。</w:t>
      </w:r>
    </w:p>
    <w:p w14:paraId="71FB943E">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3.本合同约定为</w:t>
      </w:r>
      <w:r>
        <w:rPr>
          <w:rFonts w:hint="eastAsia" w:cs="宋体" w:asciiTheme="minorEastAsia" w:hAnsiTheme="minorEastAsia" w:eastAsiaTheme="minorEastAsia"/>
          <w:color w:val="auto"/>
          <w:sz w:val="24"/>
          <w:highlight w:val="none"/>
          <w:lang w:eastAsia="zh-CN"/>
        </w:rPr>
        <w:t>2025年度南通市公路事业发展中心应急演练项目</w:t>
      </w:r>
      <w:r>
        <w:rPr>
          <w:rFonts w:hint="eastAsia" w:cs="宋体" w:asciiTheme="minorEastAsia" w:hAnsiTheme="minorEastAsia" w:eastAsiaTheme="minorEastAsia"/>
          <w:color w:val="auto"/>
          <w:sz w:val="24"/>
          <w:highlight w:val="none"/>
        </w:rPr>
        <w:t>，在本合同约定期限内，甲方不得向第三方提供乙方所收集素材用作相关视频制作。</w:t>
      </w:r>
    </w:p>
    <w:p w14:paraId="4409BB43">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4.视频中如涉及对第三方作品的使用，乙方应确保取得相关版权权利人的许可，否则由此产生的相应法律责任和经济责任均由乙方自行承担。</w:t>
      </w:r>
    </w:p>
    <w:p w14:paraId="5CAAF620">
      <w:pPr>
        <w:adjustRightInd w:val="0"/>
        <w:snapToGrid w:val="0"/>
        <w:spacing w:line="360" w:lineRule="auto"/>
        <w:ind w:firstLine="482" w:firstLineChars="200"/>
        <w:jc w:val="left"/>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七、</w:t>
      </w:r>
      <w:r>
        <w:rPr>
          <w:rFonts w:hint="eastAsia" w:cs="宋体" w:asciiTheme="minorEastAsia" w:hAnsiTheme="minorEastAsia" w:eastAsiaTheme="minorEastAsia"/>
          <w:b/>
          <w:bCs/>
          <w:color w:val="auto"/>
          <w:sz w:val="24"/>
          <w:highlight w:val="none"/>
        </w:rPr>
        <w:t>验收标准</w:t>
      </w:r>
    </w:p>
    <w:p w14:paraId="00EA7A78">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验收实施主体：南通市公路事业发展中心公路应急处置分中心。</w:t>
      </w:r>
    </w:p>
    <w:p w14:paraId="573DE69C">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验收时间：</w:t>
      </w:r>
      <w:r>
        <w:rPr>
          <w:rFonts w:hint="eastAsia" w:cs="宋体" w:asciiTheme="minorEastAsia" w:hAnsiTheme="minorEastAsia" w:eastAsiaTheme="minorEastAsia"/>
          <w:color w:val="auto"/>
          <w:sz w:val="24"/>
          <w:highlight w:val="none"/>
          <w:lang w:val="en-US" w:eastAsia="zh-CN"/>
        </w:rPr>
        <w:t>乙方</w:t>
      </w:r>
      <w:r>
        <w:rPr>
          <w:rFonts w:hint="eastAsia" w:cs="宋体" w:asciiTheme="minorEastAsia" w:hAnsiTheme="minorEastAsia" w:eastAsiaTheme="minorEastAsia"/>
          <w:color w:val="auto"/>
          <w:sz w:val="24"/>
          <w:highlight w:val="none"/>
        </w:rPr>
        <w:t>完成全部工作并提交全套演练资料及专题片5日内。</w:t>
      </w:r>
    </w:p>
    <w:p w14:paraId="458FEFAE">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验收方式：应急分中心组织，采用书面审核。</w:t>
      </w:r>
    </w:p>
    <w:p w14:paraId="76D38882">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验收内容：</w:t>
      </w:r>
      <w:r>
        <w:rPr>
          <w:rFonts w:hint="eastAsia" w:cs="宋体" w:asciiTheme="minorEastAsia" w:hAnsiTheme="minorEastAsia" w:eastAsiaTheme="minorEastAsia"/>
          <w:color w:val="auto"/>
          <w:sz w:val="24"/>
          <w:highlight w:val="none"/>
          <w:lang w:val="en-US" w:eastAsia="zh-CN"/>
        </w:rPr>
        <w:t>乙方</w:t>
      </w:r>
      <w:r>
        <w:rPr>
          <w:rFonts w:hint="eastAsia" w:cs="宋体" w:asciiTheme="minorEastAsia" w:hAnsiTheme="minorEastAsia" w:eastAsiaTheme="minorEastAsia"/>
          <w:color w:val="auto"/>
          <w:sz w:val="24"/>
          <w:highlight w:val="none"/>
        </w:rPr>
        <w:t>是否按期完成演练，是否及时形成并按应急分中心要求完善全套演练资料及专题片。</w:t>
      </w:r>
    </w:p>
    <w:p w14:paraId="68C6A765">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验收标准：全套演练资料及专题片通过应急分中心审核。</w:t>
      </w:r>
    </w:p>
    <w:p w14:paraId="795BCDFD">
      <w:pPr>
        <w:adjustRightInd w:val="0"/>
        <w:snapToGrid w:val="0"/>
        <w:spacing w:line="360" w:lineRule="auto"/>
        <w:ind w:firstLine="482" w:firstLineChars="20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八</w:t>
      </w:r>
      <w:r>
        <w:rPr>
          <w:rFonts w:hint="eastAsia" w:cs="宋体" w:asciiTheme="minorEastAsia" w:hAnsiTheme="minorEastAsia" w:eastAsiaTheme="minorEastAsia"/>
          <w:b/>
          <w:bCs/>
          <w:color w:val="auto"/>
          <w:sz w:val="24"/>
          <w:highlight w:val="none"/>
        </w:rPr>
        <w:t>、违约责任</w:t>
      </w:r>
    </w:p>
    <w:p w14:paraId="7B9712A9">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TW" w:eastAsia="zh-TW"/>
        </w:rPr>
        <w:t>1</w:t>
      </w:r>
      <w:r>
        <w:rPr>
          <w:rFonts w:hint="eastAsia" w:cs="宋体" w:asciiTheme="minorEastAsia" w:hAnsiTheme="minorEastAsia" w:eastAsiaTheme="minorEastAsia"/>
          <w:color w:val="auto"/>
          <w:sz w:val="24"/>
          <w:highlight w:val="none"/>
          <w:lang w:val="zh-TW"/>
        </w:rPr>
        <w:t>.</w:t>
      </w:r>
      <w:r>
        <w:rPr>
          <w:rFonts w:hint="eastAsia" w:cs="宋体" w:asciiTheme="minorEastAsia" w:hAnsiTheme="minorEastAsia" w:eastAsiaTheme="minorEastAsia"/>
          <w:color w:val="auto"/>
          <w:sz w:val="24"/>
          <w:highlight w:val="none"/>
        </w:rPr>
        <w:t>乙方已完成资料拍摄且经甲方审核认可，或视频制作乙方作品初稿已完成，甲方要求终止合同的，应按合同约定支付全额费用。</w:t>
      </w:r>
    </w:p>
    <w:p w14:paraId="3FCCDC5A">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2.乙方因保管不善导致视频资料灭失的，乙方所收取的费用应全部退还给甲方；因乙方原因导致视频不能在约定时间完成的，视情扣减制作费用，完全失去使用时效的，甲方不支付制作费用。</w:t>
      </w:r>
    </w:p>
    <w:p w14:paraId="526C4419">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3.投标响应文件及提供样片为本合同的组成部分，投标响应文件内容与本合同一致的，以本合同为准。</w:t>
      </w:r>
    </w:p>
    <w:p w14:paraId="4993DBEF">
      <w:pPr>
        <w:spacing w:line="360" w:lineRule="auto"/>
        <w:ind w:firstLine="471"/>
        <w:rPr>
          <w:rFonts w:ascii="宋体" w:hAnsi="宋体" w:cs="宋体"/>
          <w:bCs/>
          <w:color w:val="auto"/>
          <w:sz w:val="24"/>
          <w:highlight w:val="none"/>
        </w:rPr>
      </w:pPr>
      <w:r>
        <w:rPr>
          <w:rFonts w:hint="eastAsia" w:ascii="宋体" w:hAnsi="宋体" w:cs="宋体"/>
          <w:color w:val="auto"/>
          <w:sz w:val="24"/>
          <w:highlight w:val="none"/>
          <w:lang w:val="en-US" w:eastAsia="zh-CN"/>
        </w:rPr>
        <w:t>4.甲方未按合同约</w:t>
      </w:r>
      <w:r>
        <w:rPr>
          <w:rFonts w:hint="eastAsia" w:ascii="宋体" w:hAnsi="宋体" w:cs="宋体"/>
          <w:color w:val="auto"/>
          <w:sz w:val="24"/>
          <w:highlight w:val="none"/>
          <w:lang w:val="en-US" w:eastAsia="zh-CN"/>
        </w:rPr>
        <w:t>定支付</w:t>
      </w:r>
      <w:r>
        <w:rPr>
          <w:rFonts w:hint="eastAsia" w:ascii="宋体" w:hAnsi="宋体" w:eastAsia="宋体" w:cs="宋体"/>
          <w:color w:val="auto"/>
          <w:kern w:val="0"/>
          <w:sz w:val="24"/>
          <w:szCs w:val="24"/>
          <w:highlight w:val="none"/>
        </w:rPr>
        <w:t>服务费用</w:t>
      </w:r>
      <w:r>
        <w:rPr>
          <w:rFonts w:hint="eastAsia" w:ascii="宋体" w:hAnsi="宋体" w:cs="宋体"/>
          <w:color w:val="auto"/>
          <w:sz w:val="24"/>
          <w:highlight w:val="none"/>
          <w:lang w:val="en-US" w:eastAsia="zh-CN"/>
        </w:rPr>
        <w:t>的，甲</w:t>
      </w:r>
      <w:r>
        <w:rPr>
          <w:rFonts w:hint="eastAsia" w:ascii="宋体" w:hAnsi="宋体" w:cs="宋体"/>
          <w:color w:val="auto"/>
          <w:sz w:val="24"/>
          <w:highlight w:val="none"/>
          <w:lang w:val="en-US" w:eastAsia="zh-CN"/>
        </w:rPr>
        <w:t>方按相当于中国人民银行发布的同期六个月以内（含六个月）短期贷款基准利率（不计复利）加手续费支付逾期付款违约金。</w:t>
      </w:r>
    </w:p>
    <w:p w14:paraId="743BB4ED">
      <w:pPr>
        <w:adjustRightInd w:val="0"/>
        <w:snapToGrid w:val="0"/>
        <w:spacing w:line="360" w:lineRule="auto"/>
        <w:ind w:firstLine="482" w:firstLineChars="200"/>
        <w:jc w:val="left"/>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九</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甲乙双方的</w:t>
      </w:r>
      <w:r>
        <w:rPr>
          <w:rFonts w:hint="eastAsia" w:cs="宋体" w:asciiTheme="minorEastAsia" w:hAnsiTheme="minorEastAsia" w:eastAsiaTheme="minorEastAsia"/>
          <w:b/>
          <w:bCs/>
          <w:color w:val="auto"/>
          <w:sz w:val="24"/>
          <w:highlight w:val="none"/>
        </w:rPr>
        <w:t>义务</w:t>
      </w:r>
    </w:p>
    <w:p w14:paraId="7F8FB172">
      <w:pPr>
        <w:spacing w:line="360" w:lineRule="auto"/>
        <w:ind w:firstLine="47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（一）甲方的义务</w:t>
      </w:r>
    </w:p>
    <w:p w14:paraId="3D60C599">
      <w:pPr>
        <w:spacing w:line="360" w:lineRule="auto"/>
        <w:ind w:firstLine="47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甲方根据乙方有关针对本项目的质量和安全等重大问题的请示及时予以决定。甲方对上述请示给予书面答复的期限，自收到书面请示之日起最长不超过15日。</w:t>
      </w:r>
    </w:p>
    <w:p w14:paraId="523403DB">
      <w:pPr>
        <w:spacing w:line="360" w:lineRule="auto"/>
        <w:ind w:firstLine="471"/>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（二）乙方的义务</w:t>
      </w:r>
    </w:p>
    <w:p w14:paraId="50E08C0C">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应仔细研究演练方案和技术要求，了解演练地点的水文、地质、气象情况，制定周密的安全、质量保证、信息管理措施及演练计划(包括人员、设备、材料、后勤保障及紧急处理措施等)。为执行本款要求而发生的费用均应认为已含入乙方的报价之中，甲方将不另行支付。凡因乙方采取措施不力而造成本合同工程的一切损失、服务期拖延及费用的增加等均由乙方自行负责。</w:t>
      </w:r>
    </w:p>
    <w:p w14:paraId="12CFC1EB">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2.根据合同的各项规定，乙方应精心组织演练，按时完成本合同工程。为此，乙方应提供所需的全部监督管理、劳务、相关材料、设备、施工装备和其他物品。</w:t>
      </w:r>
    </w:p>
    <w:p w14:paraId="07582E1D">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3.乙方应对本项目的分包、雇用劳务、运输、供料等委托单位的经济往来全权负责。在演练结束后应及时结算清楚。否则，乙方与委托单位之间发生的经济纠纷，应由乙方承担一切经济和法律责任。</w:t>
      </w:r>
    </w:p>
    <w:p w14:paraId="67B1B7B2">
      <w:pPr>
        <w:adjustRightInd w:val="0"/>
        <w:snapToGrid w:val="0"/>
        <w:spacing w:line="360" w:lineRule="auto"/>
        <w:ind w:firstLine="480" w:firstLineChars="200"/>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4.演练期间乙方必须严格执行国家、地方政府有关施工安全管理方面的法律、法规及规章制度，同时严格执行甲方制定的相关安全生产管理方面的规章制度、安全检查程序及施工安全管理要求和有关安全工作的指示。</w:t>
      </w:r>
      <w:r>
        <w:rPr>
          <w:rFonts w:hint="eastAsia" w:cs="宋体" w:asciiTheme="minorEastAsia" w:hAnsiTheme="minorEastAsia" w:eastAsiaTheme="minorEastAsia"/>
          <w:color w:val="auto"/>
          <w:sz w:val="24"/>
          <w:highlight w:val="none"/>
          <w:lang w:val="en-US" w:eastAsia="zh-CN"/>
        </w:rPr>
        <w:t>如果演练期间因乙方原因导致他人人身损害或财产损失的，应由乙方承担一切经济和法律责任</w:t>
      </w:r>
      <w:r>
        <w:rPr>
          <w:rFonts w:hint="eastAsia" w:cs="宋体" w:asciiTheme="minorEastAsia" w:hAnsiTheme="minorEastAsia" w:eastAsiaTheme="minorEastAsia"/>
          <w:color w:val="auto"/>
          <w:sz w:val="24"/>
          <w:highlight w:val="none"/>
          <w:lang w:val="en-US" w:eastAsia="zh-CN"/>
        </w:rPr>
        <w:t>。</w:t>
      </w:r>
    </w:p>
    <w:p w14:paraId="0869FFBA">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结合本项目的实际情况，一个有经验的乙方应考虑到演练过程中可能会发生的由于施工及各种原因造成的地方矛盾等问题，乙方自行负责解决，并支付所发生的一切费用。甲方协助做好协调工作。甲方的协调不免除乙方自行解决矛盾的任何责任（特殊情况经甲方同意例外）。</w:t>
      </w:r>
    </w:p>
    <w:p w14:paraId="10F867AE">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6.乙方应妥善处理好与其它工程承包人的关系，发生工作交叉时，应相互配合，友好协作，并无条件服从甲方统一协调。</w:t>
      </w:r>
    </w:p>
    <w:p w14:paraId="3876D548">
      <w:pPr>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7.合同实施期间，合同价格不予调整。</w:t>
      </w:r>
    </w:p>
    <w:p w14:paraId="0D2B8D6B">
      <w:pPr>
        <w:adjustRightInd w:val="0"/>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8.遵守地方政府和有关部门对施工场地和噪音、环保管理规定，保护好演练现场地下管线和邻近建筑，按照有关规定做好工程施工中废料的处理工作，严禁乱倒乱抛废料。</w:t>
      </w:r>
    </w:p>
    <w:p w14:paraId="62AF0E7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十、不可抗力事件处理</w:t>
      </w:r>
    </w:p>
    <w:p w14:paraId="588B9FF5">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由于不可抗力因素（指火灾、地震、洪水、战争等）使乙方不能在合同规定的期限内完成服务时，乙方必须立即以书面形式通知甲方，并以书面形式向甲方提供有关政府机关所出具的不可抗力因素证明。</w:t>
      </w:r>
    </w:p>
    <w:p w14:paraId="12DDF19D">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1E441559">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color w:val="auto"/>
          <w:sz w:val="24"/>
          <w:highlight w:val="none"/>
          <w:lang w:val="zh-CN"/>
        </w:rPr>
        <w:t>争议处理</w:t>
      </w:r>
    </w:p>
    <w:p w14:paraId="08E5D28E">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争议的最终解决方式：仲裁 </w:t>
      </w:r>
    </w:p>
    <w:p w14:paraId="19F32AA9">
      <w:pPr>
        <w:spacing w:line="360" w:lineRule="auto"/>
        <w:ind w:firstLine="471"/>
        <w:jc w:val="left"/>
        <w:rPr>
          <w:rFonts w:ascii="宋体" w:hAnsi="宋体" w:cs="宋体"/>
          <w:b/>
          <w:color w:val="auto"/>
          <w:sz w:val="24"/>
          <w:highlight w:val="none"/>
        </w:rPr>
      </w:pPr>
      <w:r>
        <w:rPr>
          <w:rFonts w:hint="eastAsia" w:ascii="宋体" w:hAnsi="宋体" w:cs="宋体"/>
          <w:color w:val="auto"/>
          <w:sz w:val="24"/>
          <w:highlight w:val="none"/>
          <w:lang w:val="zh-CN"/>
        </w:rPr>
        <w:t>如采用仲裁，向南通仲裁委员会提起仲裁。</w:t>
      </w:r>
    </w:p>
    <w:p w14:paraId="71C1D622">
      <w:pPr>
        <w:adjustRightInd w:val="0"/>
        <w:snapToGrid w:val="0"/>
        <w:spacing w:line="360" w:lineRule="auto"/>
        <w:ind w:firstLine="482" w:firstLineChars="200"/>
        <w:jc w:val="left"/>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val="en-US" w:eastAsia="zh-CN"/>
        </w:rPr>
        <w:t>十二</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其他</w:t>
      </w:r>
    </w:p>
    <w:p w14:paraId="20012582">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本合同经双方签字</w:t>
      </w:r>
      <w:r>
        <w:rPr>
          <w:rFonts w:hint="eastAsia" w:ascii="宋体" w:hAnsi="宋体" w:cs="宋体"/>
          <w:color w:val="auto"/>
          <w:sz w:val="24"/>
          <w:highlight w:val="none"/>
          <w:lang w:val="en-US" w:eastAsia="zh-CN"/>
        </w:rPr>
        <w:t>并加</w:t>
      </w:r>
      <w:r>
        <w:rPr>
          <w:rFonts w:hint="eastAsia" w:ascii="宋体" w:hAnsi="宋体" w:cs="宋体"/>
          <w:color w:val="auto"/>
          <w:sz w:val="24"/>
          <w:highlight w:val="none"/>
        </w:rPr>
        <w:t>盖</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章后生效，至双方按照合同的规定履行完各自的义务和责任后自然失效。</w:t>
      </w:r>
    </w:p>
    <w:p w14:paraId="179C6027">
      <w:pPr>
        <w:spacing w:line="360" w:lineRule="auto"/>
        <w:ind w:firstLine="471"/>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合同履行期内甲乙双方均不得随意变更或解除合同。合同若有未尽事宜，需经双方共同协商，订立补充协议，补充协议条款与本合同条款有冲突的，以补充协议条款为准，补充协议与本合同有同等法律效力。</w:t>
      </w:r>
    </w:p>
    <w:p w14:paraId="5F4C8B95">
      <w:pPr>
        <w:spacing w:line="360" w:lineRule="auto"/>
        <w:ind w:firstLine="471"/>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本合同</w:t>
      </w:r>
      <w:r>
        <w:rPr>
          <w:rFonts w:hint="eastAsia" w:ascii="宋体" w:hAnsi="宋体" w:cs="宋体"/>
          <w:color w:val="auto"/>
          <w:sz w:val="24"/>
          <w:highlight w:val="none"/>
          <w:u w:val="single"/>
        </w:rPr>
        <w:t>一式陆份</w:t>
      </w:r>
      <w:r>
        <w:rPr>
          <w:rFonts w:hint="eastAsia" w:ascii="宋体" w:hAnsi="宋体" w:cs="宋体"/>
          <w:color w:val="auto"/>
          <w:sz w:val="24"/>
          <w:highlight w:val="none"/>
        </w:rPr>
        <w:t>，双方各执叁份，自签订之日起生效。</w:t>
      </w:r>
    </w:p>
    <w:p w14:paraId="33F69045">
      <w:pPr>
        <w:spacing w:line="360" w:lineRule="auto"/>
        <w:ind w:firstLine="471"/>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本合同未尽事宜，遵照《中华人民共和国民法典》有关条文执行。</w:t>
      </w:r>
    </w:p>
    <w:p w14:paraId="7C7B3ED7">
      <w:pPr>
        <w:pStyle w:val="2"/>
        <w:rPr>
          <w:rFonts w:hint="eastAsia" w:ascii="宋体" w:hAnsi="宋体" w:cs="宋体"/>
          <w:color w:val="auto"/>
          <w:sz w:val="24"/>
          <w:highlight w:val="none"/>
        </w:rPr>
      </w:pPr>
    </w:p>
    <w:p w14:paraId="56DE8FF7">
      <w:pPr>
        <w:pStyle w:val="2"/>
        <w:rPr>
          <w:rFonts w:hint="eastAsia" w:ascii="宋体" w:hAnsi="宋体" w:cs="宋体"/>
          <w:color w:val="auto"/>
          <w:sz w:val="24"/>
          <w:highlight w:val="none"/>
        </w:rPr>
      </w:pPr>
    </w:p>
    <w:p w14:paraId="1367DCF7">
      <w:pPr>
        <w:pStyle w:val="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附件1：投入本项目主要人员情况汇总表</w:t>
      </w:r>
    </w:p>
    <w:p w14:paraId="156F835E">
      <w:pPr>
        <w:pStyle w:val="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附件2：供应商二次报价单</w:t>
      </w:r>
    </w:p>
    <w:p w14:paraId="5AE09D6C">
      <w:pPr>
        <w:pStyle w:val="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附件3：供应商分项报价明细表</w:t>
      </w:r>
    </w:p>
    <w:p w14:paraId="44CE72B9">
      <w:pPr>
        <w:pStyle w:val="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附件4：拟分包项目情况表（如有）</w:t>
      </w:r>
    </w:p>
    <w:p w14:paraId="2853D834">
      <w:pPr>
        <w:pStyle w:val="2"/>
        <w:rPr>
          <w:color w:val="auto"/>
          <w:highlight w:val="none"/>
        </w:rPr>
      </w:pPr>
    </w:p>
    <w:p w14:paraId="0F01DD8B">
      <w:pPr>
        <w:ind w:firstLine="400"/>
        <w:rPr>
          <w:rFonts w:cs="宋体" w:asciiTheme="minorEastAsia" w:hAnsiTheme="minorEastAsia" w:eastAsiaTheme="minorEastAsia"/>
          <w:bCs/>
          <w:color w:val="auto"/>
          <w:spacing w:val="2"/>
          <w:sz w:val="24"/>
          <w:highlight w:val="none"/>
        </w:rPr>
      </w:pPr>
    </w:p>
    <w:p w14:paraId="7645C5B4">
      <w:pPr>
        <w:ind w:firstLine="400"/>
        <w:rPr>
          <w:rFonts w:cs="宋体" w:asciiTheme="minorEastAsia" w:hAnsiTheme="minorEastAsia" w:eastAsiaTheme="minorEastAsia"/>
          <w:bCs/>
          <w:color w:val="auto"/>
          <w:spacing w:val="2"/>
          <w:sz w:val="24"/>
          <w:highlight w:val="none"/>
        </w:rPr>
      </w:pPr>
    </w:p>
    <w:p w14:paraId="628354F8">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甲方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（全称）         （盖章）  </w:t>
      </w:r>
      <w:r>
        <w:rPr>
          <w:rFonts w:hint="eastAsia" w:cs="宋体" w:asciiTheme="minorEastAsia" w:hAnsiTheme="minorEastAsia" w:eastAsiaTheme="minorEastAsia"/>
          <w:color w:val="auto"/>
          <w:sz w:val="24"/>
          <w:highlight w:val="none"/>
        </w:rPr>
        <w:t>　      乙方</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（全称） （盖章）         </w:t>
      </w:r>
    </w:p>
    <w:p w14:paraId="487B9A6E">
      <w:pPr>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                               法定代表人</w:t>
      </w:r>
    </w:p>
    <w:p w14:paraId="51876F8D">
      <w:pPr>
        <w:spacing w:line="360"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或其委托代理人：</w:t>
      </w:r>
      <w:r>
        <w:rPr>
          <w:rFonts w:hint="eastAsia" w:cs="宋体" w:asciiTheme="minorEastAsia" w:hAnsiTheme="minorEastAsia" w:eastAsiaTheme="minorEastAsia"/>
          <w:color w:val="auto"/>
          <w:sz w:val="24"/>
          <w:highlight w:val="none"/>
          <w:u w:val="single"/>
        </w:rPr>
        <w:t>（签字）</w:t>
      </w:r>
      <w:r>
        <w:rPr>
          <w:rFonts w:hint="eastAsia" w:cs="宋体" w:asciiTheme="minorEastAsia" w:hAnsiTheme="minorEastAsia" w:eastAsiaTheme="minorEastAsia"/>
          <w:color w:val="auto"/>
          <w:sz w:val="24"/>
          <w:highlight w:val="none"/>
        </w:rPr>
        <w:t xml:space="preserve">                 或其委托代理人：</w:t>
      </w:r>
      <w:r>
        <w:rPr>
          <w:rFonts w:hint="eastAsia" w:cs="宋体" w:asciiTheme="minorEastAsia" w:hAnsiTheme="minorEastAsia" w:eastAsiaTheme="minorEastAsia"/>
          <w:color w:val="auto"/>
          <w:sz w:val="24"/>
          <w:highlight w:val="none"/>
          <w:u w:val="single"/>
        </w:rPr>
        <w:t>（签字）</w:t>
      </w:r>
    </w:p>
    <w:p w14:paraId="7FCFA95F">
      <w:pPr>
        <w:spacing w:line="360" w:lineRule="auto"/>
        <w:jc w:val="left"/>
        <w:rPr>
          <w:rFonts w:cs="宋体" w:asciiTheme="minorEastAsia" w:hAnsiTheme="minorEastAsia" w:eastAsiaTheme="minorEastAsia"/>
          <w:color w:val="auto"/>
          <w:sz w:val="24"/>
          <w:highlight w:val="none"/>
        </w:rPr>
      </w:pPr>
    </w:p>
    <w:p w14:paraId="676BB3DF">
      <w:pPr>
        <w:tabs>
          <w:tab w:val="left" w:pos="4395"/>
          <w:tab w:val="left" w:pos="4678"/>
          <w:tab w:val="left" w:pos="4820"/>
        </w:tabs>
        <w:spacing w:line="360" w:lineRule="auto"/>
        <w:ind w:firstLine="36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月   日                                    年  月  日</w:t>
      </w:r>
    </w:p>
    <w:p w14:paraId="3EAF0DDB">
      <w:pPr>
        <w:spacing w:line="360" w:lineRule="auto"/>
        <w:rPr>
          <w:rFonts w:asciiTheme="minorEastAsia" w:hAnsiTheme="minorEastAsia" w:eastAsiaTheme="minorEastAsia"/>
          <w:color w:val="auto"/>
          <w:sz w:val="24"/>
          <w:highlight w:val="none"/>
        </w:rPr>
      </w:pPr>
    </w:p>
    <w:p w14:paraId="4BE6887A">
      <w:pPr>
        <w:rPr>
          <w:rFonts w:hint="eastAsia" w:ascii="宋体" w:hAnsi="宋体" w:cs="宋体"/>
          <w:b/>
          <w:color w:val="auto"/>
          <w:sz w:val="24"/>
          <w:szCs w:val="20"/>
          <w:highlight w:val="none"/>
        </w:rPr>
      </w:pPr>
      <w:r>
        <w:rPr>
          <w:rFonts w:hint="eastAsia" w:ascii="宋体" w:hAnsi="宋体" w:cs="宋体"/>
          <w:b/>
          <w:color w:val="auto"/>
          <w:sz w:val="24"/>
          <w:szCs w:val="20"/>
          <w:highlight w:val="none"/>
        </w:rPr>
        <w:br w:type="page"/>
      </w:r>
    </w:p>
    <w:p w14:paraId="673325DF">
      <w:pPr>
        <w:spacing w:line="360" w:lineRule="auto"/>
        <w:rPr>
          <w:rFonts w:ascii="宋体" w:hAnsi="宋体" w:cs="宋体"/>
          <w:b/>
          <w:color w:val="auto"/>
          <w:sz w:val="24"/>
          <w:szCs w:val="20"/>
          <w:highlight w:val="none"/>
        </w:rPr>
      </w:pPr>
      <w:r>
        <w:rPr>
          <w:rFonts w:hint="eastAsia" w:ascii="宋体" w:hAnsi="宋体" w:cs="宋体"/>
          <w:b/>
          <w:color w:val="auto"/>
          <w:sz w:val="24"/>
          <w:szCs w:val="20"/>
          <w:highlight w:val="none"/>
        </w:rPr>
        <w:t>附件1</w:t>
      </w:r>
    </w:p>
    <w:p w14:paraId="7B62FAC6">
      <w:pPr>
        <w:spacing w:line="300" w:lineRule="auto"/>
        <w:jc w:val="center"/>
        <w:rPr>
          <w:rFonts w:ascii="宋体" w:hAnsi="宋体"/>
          <w:bCs/>
          <w:color w:val="auto"/>
          <w:sz w:val="32"/>
          <w:szCs w:val="32"/>
          <w:highlight w:val="none"/>
        </w:rPr>
      </w:pPr>
      <w:r>
        <w:rPr>
          <w:rFonts w:hint="eastAsia" w:ascii="宋体" w:hAnsi="宋体"/>
          <w:bCs/>
          <w:color w:val="auto"/>
          <w:sz w:val="32"/>
          <w:szCs w:val="32"/>
          <w:highlight w:val="none"/>
        </w:rPr>
        <w:t>投入本项目主要人员情况汇总表</w:t>
      </w:r>
    </w:p>
    <w:tbl>
      <w:tblPr>
        <w:tblStyle w:val="1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24"/>
        <w:gridCol w:w="900"/>
        <w:gridCol w:w="540"/>
        <w:gridCol w:w="900"/>
        <w:gridCol w:w="720"/>
        <w:gridCol w:w="900"/>
        <w:gridCol w:w="1260"/>
        <w:gridCol w:w="1800"/>
        <w:gridCol w:w="720"/>
        <w:gridCol w:w="720"/>
      </w:tblGrid>
      <w:tr w14:paraId="164E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16" w:type="dxa"/>
            <w:vMerge w:val="restart"/>
            <w:noWrap/>
            <w:vAlign w:val="center"/>
          </w:tcPr>
          <w:p w14:paraId="1599C851">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序号</w:t>
            </w:r>
          </w:p>
        </w:tc>
        <w:tc>
          <w:tcPr>
            <w:tcW w:w="1024" w:type="dxa"/>
            <w:vMerge w:val="restart"/>
            <w:noWrap/>
            <w:vAlign w:val="center"/>
          </w:tcPr>
          <w:p w14:paraId="1D1C7A84">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在本</w:t>
            </w:r>
            <w:r>
              <w:rPr>
                <w:rFonts w:hint="eastAsia" w:ascii="Arial" w:hAnsi="Arial" w:cs="Arial"/>
                <w:color w:val="auto"/>
                <w:kern w:val="0"/>
                <w:sz w:val="20"/>
                <w:highlight w:val="none"/>
              </w:rPr>
              <w:t>项目</w:t>
            </w:r>
            <w:r>
              <w:rPr>
                <w:rFonts w:ascii="Arial" w:hAnsi="Arial" w:cs="Arial"/>
                <w:color w:val="auto"/>
                <w:kern w:val="0"/>
                <w:sz w:val="20"/>
                <w:highlight w:val="none"/>
              </w:rPr>
              <w:t>任职</w:t>
            </w:r>
          </w:p>
        </w:tc>
        <w:tc>
          <w:tcPr>
            <w:tcW w:w="900" w:type="dxa"/>
            <w:vMerge w:val="restart"/>
            <w:noWrap/>
            <w:vAlign w:val="center"/>
          </w:tcPr>
          <w:p w14:paraId="22DAE89F">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姓名</w:t>
            </w:r>
          </w:p>
        </w:tc>
        <w:tc>
          <w:tcPr>
            <w:tcW w:w="540" w:type="dxa"/>
            <w:vMerge w:val="restart"/>
            <w:noWrap/>
            <w:vAlign w:val="center"/>
          </w:tcPr>
          <w:p w14:paraId="67BB813D">
            <w:pPr>
              <w:widowControl/>
              <w:jc w:val="center"/>
              <w:textAlignment w:val="bottom"/>
              <w:rPr>
                <w:rFonts w:ascii="Arial" w:hAnsi="Arial" w:cs="Arial"/>
                <w:color w:val="auto"/>
                <w:sz w:val="20"/>
                <w:highlight w:val="none"/>
              </w:rPr>
            </w:pPr>
            <w:r>
              <w:rPr>
                <w:rFonts w:ascii="Arial" w:hAnsi="Arial" w:cs="Arial"/>
                <w:color w:val="auto"/>
                <w:kern w:val="0"/>
                <w:sz w:val="20"/>
                <w:highlight w:val="none"/>
              </w:rPr>
              <w:t>学历</w:t>
            </w:r>
          </w:p>
        </w:tc>
        <w:tc>
          <w:tcPr>
            <w:tcW w:w="900" w:type="dxa"/>
            <w:vMerge w:val="restart"/>
            <w:noWrap/>
            <w:vAlign w:val="center"/>
          </w:tcPr>
          <w:p w14:paraId="21D85A67">
            <w:pPr>
              <w:widowControl/>
              <w:jc w:val="center"/>
              <w:textAlignment w:val="bottom"/>
              <w:rPr>
                <w:rFonts w:ascii="Arial" w:hAnsi="Arial" w:cs="Arial"/>
                <w:color w:val="auto"/>
                <w:kern w:val="0"/>
                <w:sz w:val="20"/>
                <w:highlight w:val="none"/>
              </w:rPr>
            </w:pPr>
            <w:r>
              <w:rPr>
                <w:rFonts w:ascii="Arial" w:hAnsi="Arial" w:cs="Arial"/>
                <w:color w:val="auto"/>
                <w:kern w:val="0"/>
                <w:sz w:val="20"/>
                <w:highlight w:val="none"/>
              </w:rPr>
              <w:t>技术</w:t>
            </w:r>
          </w:p>
          <w:p w14:paraId="07E7170E">
            <w:pPr>
              <w:widowControl/>
              <w:jc w:val="center"/>
              <w:textAlignment w:val="bottom"/>
              <w:rPr>
                <w:rFonts w:ascii="Arial" w:hAnsi="Arial" w:cs="Arial"/>
                <w:color w:val="auto"/>
                <w:sz w:val="20"/>
                <w:highlight w:val="none"/>
              </w:rPr>
            </w:pPr>
            <w:r>
              <w:rPr>
                <w:rFonts w:ascii="Arial" w:hAnsi="Arial" w:cs="Arial"/>
                <w:color w:val="auto"/>
                <w:kern w:val="0"/>
                <w:sz w:val="20"/>
                <w:highlight w:val="none"/>
              </w:rPr>
              <w:t>职称</w:t>
            </w:r>
          </w:p>
        </w:tc>
        <w:tc>
          <w:tcPr>
            <w:tcW w:w="720" w:type="dxa"/>
            <w:vMerge w:val="restart"/>
            <w:noWrap/>
            <w:vAlign w:val="center"/>
          </w:tcPr>
          <w:p w14:paraId="25556876">
            <w:pPr>
              <w:widowControl/>
              <w:jc w:val="center"/>
              <w:textAlignment w:val="bottom"/>
              <w:rPr>
                <w:rFonts w:ascii="Arial" w:hAnsi="Arial" w:cs="Arial"/>
                <w:color w:val="auto"/>
                <w:sz w:val="20"/>
                <w:highlight w:val="none"/>
              </w:rPr>
            </w:pPr>
            <w:r>
              <w:rPr>
                <w:rFonts w:ascii="Arial" w:hAnsi="Arial" w:cs="Arial"/>
                <w:color w:val="auto"/>
                <w:kern w:val="0"/>
                <w:sz w:val="20"/>
                <w:highlight w:val="none"/>
              </w:rPr>
              <w:t>专业</w:t>
            </w:r>
          </w:p>
        </w:tc>
        <w:tc>
          <w:tcPr>
            <w:tcW w:w="2160" w:type="dxa"/>
            <w:gridSpan w:val="2"/>
            <w:noWrap/>
            <w:vAlign w:val="center"/>
          </w:tcPr>
          <w:p w14:paraId="06D49E58">
            <w:pPr>
              <w:widowControl/>
              <w:jc w:val="center"/>
              <w:textAlignment w:val="bottom"/>
              <w:rPr>
                <w:rFonts w:ascii="Arial" w:hAnsi="Arial" w:cs="Arial"/>
                <w:color w:val="auto"/>
                <w:kern w:val="0"/>
                <w:sz w:val="20"/>
                <w:highlight w:val="none"/>
              </w:rPr>
            </w:pPr>
            <w:r>
              <w:rPr>
                <w:rFonts w:hint="eastAsia" w:ascii="Arial" w:hAnsi="Arial" w:cs="Arial"/>
                <w:color w:val="auto"/>
                <w:kern w:val="0"/>
                <w:sz w:val="20"/>
                <w:highlight w:val="none"/>
              </w:rPr>
              <w:t>执业或职业资格证明</w:t>
            </w:r>
          </w:p>
        </w:tc>
        <w:tc>
          <w:tcPr>
            <w:tcW w:w="1800" w:type="dxa"/>
            <w:vMerge w:val="restart"/>
            <w:noWrap/>
            <w:vAlign w:val="center"/>
          </w:tcPr>
          <w:p w14:paraId="32E71C4A">
            <w:pPr>
              <w:widowControl/>
              <w:jc w:val="center"/>
              <w:textAlignment w:val="bottom"/>
              <w:rPr>
                <w:rFonts w:ascii="Arial" w:hAnsi="Arial" w:cs="Arial"/>
                <w:color w:val="auto"/>
                <w:sz w:val="20"/>
                <w:highlight w:val="none"/>
              </w:rPr>
            </w:pPr>
            <w:r>
              <w:rPr>
                <w:rFonts w:hint="eastAsia" w:ascii="Arial" w:hAnsi="Arial" w:cs="Arial"/>
                <w:color w:val="auto"/>
                <w:kern w:val="0"/>
                <w:sz w:val="20"/>
                <w:highlight w:val="none"/>
              </w:rPr>
              <w:t>身份证号</w:t>
            </w:r>
          </w:p>
        </w:tc>
        <w:tc>
          <w:tcPr>
            <w:tcW w:w="720" w:type="dxa"/>
            <w:vMerge w:val="restart"/>
            <w:noWrap/>
            <w:vAlign w:val="center"/>
          </w:tcPr>
          <w:p w14:paraId="039DB20E">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社保</w:t>
            </w:r>
          </w:p>
          <w:p w14:paraId="545D7E3B">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缴费单位</w:t>
            </w:r>
          </w:p>
        </w:tc>
        <w:tc>
          <w:tcPr>
            <w:tcW w:w="720" w:type="dxa"/>
            <w:vMerge w:val="restart"/>
            <w:noWrap/>
            <w:vAlign w:val="center"/>
          </w:tcPr>
          <w:p w14:paraId="3AE4EE2F">
            <w:pPr>
              <w:widowControl/>
              <w:jc w:val="center"/>
              <w:textAlignment w:val="bottom"/>
              <w:rPr>
                <w:rFonts w:ascii="Arial" w:hAnsi="Arial" w:cs="Arial"/>
                <w:color w:val="auto"/>
                <w:sz w:val="20"/>
                <w:highlight w:val="none"/>
              </w:rPr>
            </w:pPr>
            <w:r>
              <w:rPr>
                <w:rFonts w:hint="eastAsia" w:ascii="Arial" w:hAnsi="Arial" w:cs="Arial"/>
                <w:color w:val="auto"/>
                <w:sz w:val="20"/>
                <w:highlight w:val="none"/>
              </w:rPr>
              <w:t>备注</w:t>
            </w:r>
          </w:p>
        </w:tc>
      </w:tr>
      <w:tr w14:paraId="6017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16" w:type="dxa"/>
            <w:vMerge w:val="continue"/>
            <w:noWrap/>
            <w:vAlign w:val="center"/>
          </w:tcPr>
          <w:p w14:paraId="60E08201">
            <w:pPr>
              <w:spacing w:line="300" w:lineRule="auto"/>
              <w:jc w:val="center"/>
              <w:rPr>
                <w:rFonts w:ascii="黑体" w:eastAsia="黑体"/>
                <w:b/>
                <w:color w:val="auto"/>
                <w:sz w:val="24"/>
                <w:highlight w:val="none"/>
              </w:rPr>
            </w:pPr>
          </w:p>
        </w:tc>
        <w:tc>
          <w:tcPr>
            <w:tcW w:w="1024" w:type="dxa"/>
            <w:vMerge w:val="continue"/>
            <w:noWrap/>
            <w:vAlign w:val="center"/>
          </w:tcPr>
          <w:p w14:paraId="33A64542">
            <w:pPr>
              <w:spacing w:line="300" w:lineRule="auto"/>
              <w:jc w:val="center"/>
              <w:rPr>
                <w:rFonts w:ascii="黑体" w:eastAsia="黑体"/>
                <w:b/>
                <w:color w:val="auto"/>
                <w:sz w:val="24"/>
                <w:highlight w:val="none"/>
              </w:rPr>
            </w:pPr>
          </w:p>
        </w:tc>
        <w:tc>
          <w:tcPr>
            <w:tcW w:w="900" w:type="dxa"/>
            <w:vMerge w:val="continue"/>
            <w:noWrap/>
            <w:vAlign w:val="center"/>
          </w:tcPr>
          <w:p w14:paraId="7EA69BF9">
            <w:pPr>
              <w:spacing w:line="300" w:lineRule="auto"/>
              <w:jc w:val="center"/>
              <w:rPr>
                <w:rFonts w:ascii="黑体" w:eastAsia="黑体"/>
                <w:b/>
                <w:color w:val="auto"/>
                <w:sz w:val="24"/>
                <w:highlight w:val="none"/>
              </w:rPr>
            </w:pPr>
          </w:p>
        </w:tc>
        <w:tc>
          <w:tcPr>
            <w:tcW w:w="540" w:type="dxa"/>
            <w:vMerge w:val="continue"/>
            <w:noWrap/>
            <w:vAlign w:val="center"/>
          </w:tcPr>
          <w:p w14:paraId="36B183FD">
            <w:pPr>
              <w:spacing w:line="300" w:lineRule="auto"/>
              <w:jc w:val="center"/>
              <w:rPr>
                <w:rFonts w:ascii="黑体" w:eastAsia="黑体"/>
                <w:b/>
                <w:color w:val="auto"/>
                <w:sz w:val="24"/>
                <w:highlight w:val="none"/>
              </w:rPr>
            </w:pPr>
          </w:p>
        </w:tc>
        <w:tc>
          <w:tcPr>
            <w:tcW w:w="900" w:type="dxa"/>
            <w:vMerge w:val="continue"/>
            <w:noWrap/>
            <w:vAlign w:val="center"/>
          </w:tcPr>
          <w:p w14:paraId="2C51BA54">
            <w:pPr>
              <w:spacing w:line="300" w:lineRule="auto"/>
              <w:jc w:val="center"/>
              <w:rPr>
                <w:rFonts w:ascii="黑体" w:eastAsia="黑体"/>
                <w:b/>
                <w:color w:val="auto"/>
                <w:sz w:val="24"/>
                <w:highlight w:val="none"/>
              </w:rPr>
            </w:pPr>
          </w:p>
        </w:tc>
        <w:tc>
          <w:tcPr>
            <w:tcW w:w="720" w:type="dxa"/>
            <w:vMerge w:val="continue"/>
            <w:noWrap/>
            <w:vAlign w:val="center"/>
          </w:tcPr>
          <w:p w14:paraId="453BEA9B">
            <w:pPr>
              <w:spacing w:line="300" w:lineRule="auto"/>
              <w:jc w:val="center"/>
              <w:rPr>
                <w:rFonts w:ascii="黑体" w:eastAsia="黑体"/>
                <w:b/>
                <w:color w:val="auto"/>
                <w:sz w:val="24"/>
                <w:highlight w:val="none"/>
              </w:rPr>
            </w:pPr>
          </w:p>
        </w:tc>
        <w:tc>
          <w:tcPr>
            <w:tcW w:w="900" w:type="dxa"/>
            <w:noWrap/>
            <w:vAlign w:val="center"/>
          </w:tcPr>
          <w:p w14:paraId="52815927">
            <w:pPr>
              <w:jc w:val="center"/>
              <w:rPr>
                <w:rFonts w:ascii="Arial" w:hAnsi="Arial" w:cs="Arial"/>
                <w:color w:val="auto"/>
                <w:kern w:val="0"/>
                <w:sz w:val="20"/>
                <w:highlight w:val="none"/>
              </w:rPr>
            </w:pPr>
            <w:r>
              <w:rPr>
                <w:rFonts w:hint="eastAsia" w:ascii="Arial" w:hAnsi="Arial" w:cs="Arial"/>
                <w:color w:val="auto"/>
                <w:kern w:val="0"/>
                <w:sz w:val="20"/>
                <w:highlight w:val="none"/>
              </w:rPr>
              <w:t>证书</w:t>
            </w:r>
          </w:p>
          <w:p w14:paraId="6C79BB18">
            <w:pPr>
              <w:jc w:val="center"/>
              <w:rPr>
                <w:rFonts w:ascii="Arial" w:hAnsi="Arial" w:cs="Arial"/>
                <w:color w:val="auto"/>
                <w:kern w:val="0"/>
                <w:sz w:val="20"/>
                <w:highlight w:val="none"/>
              </w:rPr>
            </w:pPr>
            <w:r>
              <w:rPr>
                <w:rFonts w:hint="eastAsia" w:ascii="Arial" w:hAnsi="Arial" w:cs="Arial"/>
                <w:color w:val="auto"/>
                <w:kern w:val="0"/>
                <w:sz w:val="20"/>
                <w:highlight w:val="none"/>
              </w:rPr>
              <w:t>名称</w:t>
            </w:r>
          </w:p>
        </w:tc>
        <w:tc>
          <w:tcPr>
            <w:tcW w:w="1260" w:type="dxa"/>
            <w:noWrap/>
            <w:vAlign w:val="center"/>
          </w:tcPr>
          <w:p w14:paraId="05E1BB81">
            <w:pPr>
              <w:spacing w:line="300" w:lineRule="auto"/>
              <w:jc w:val="center"/>
              <w:rPr>
                <w:rFonts w:ascii="Arial" w:hAnsi="Arial" w:cs="Arial"/>
                <w:color w:val="auto"/>
                <w:kern w:val="0"/>
                <w:sz w:val="20"/>
                <w:highlight w:val="none"/>
              </w:rPr>
            </w:pPr>
            <w:r>
              <w:rPr>
                <w:rFonts w:hint="eastAsia" w:ascii="Arial" w:hAnsi="Arial" w:cs="Arial"/>
                <w:color w:val="auto"/>
                <w:kern w:val="0"/>
                <w:sz w:val="20"/>
                <w:highlight w:val="none"/>
              </w:rPr>
              <w:t>证 号</w:t>
            </w:r>
          </w:p>
        </w:tc>
        <w:tc>
          <w:tcPr>
            <w:tcW w:w="1800" w:type="dxa"/>
            <w:vMerge w:val="continue"/>
            <w:noWrap/>
            <w:vAlign w:val="center"/>
          </w:tcPr>
          <w:p w14:paraId="60C8F842">
            <w:pPr>
              <w:spacing w:line="300" w:lineRule="auto"/>
              <w:jc w:val="center"/>
              <w:rPr>
                <w:rFonts w:ascii="黑体" w:eastAsia="黑体"/>
                <w:b/>
                <w:color w:val="auto"/>
                <w:sz w:val="24"/>
                <w:highlight w:val="none"/>
              </w:rPr>
            </w:pPr>
          </w:p>
        </w:tc>
        <w:tc>
          <w:tcPr>
            <w:tcW w:w="720" w:type="dxa"/>
            <w:vMerge w:val="continue"/>
            <w:noWrap/>
            <w:vAlign w:val="center"/>
          </w:tcPr>
          <w:p w14:paraId="1C1C9521">
            <w:pPr>
              <w:widowControl/>
              <w:jc w:val="center"/>
              <w:textAlignment w:val="bottom"/>
              <w:rPr>
                <w:rFonts w:ascii="黑体" w:eastAsia="黑体"/>
                <w:b/>
                <w:color w:val="auto"/>
                <w:sz w:val="24"/>
                <w:highlight w:val="none"/>
              </w:rPr>
            </w:pPr>
          </w:p>
        </w:tc>
        <w:tc>
          <w:tcPr>
            <w:tcW w:w="720" w:type="dxa"/>
            <w:vMerge w:val="continue"/>
            <w:noWrap/>
            <w:vAlign w:val="center"/>
          </w:tcPr>
          <w:p w14:paraId="6B0E9E02">
            <w:pPr>
              <w:spacing w:line="300" w:lineRule="auto"/>
              <w:jc w:val="center"/>
              <w:rPr>
                <w:rFonts w:ascii="黑体" w:eastAsia="黑体"/>
                <w:b/>
                <w:color w:val="auto"/>
                <w:sz w:val="24"/>
                <w:highlight w:val="none"/>
              </w:rPr>
            </w:pPr>
          </w:p>
        </w:tc>
      </w:tr>
      <w:tr w14:paraId="7F79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4AEE2FE7">
            <w:pPr>
              <w:spacing w:line="300" w:lineRule="auto"/>
              <w:jc w:val="center"/>
              <w:rPr>
                <w:rFonts w:ascii="黑体" w:eastAsia="黑体"/>
                <w:b/>
                <w:color w:val="auto"/>
                <w:sz w:val="24"/>
                <w:highlight w:val="none"/>
              </w:rPr>
            </w:pPr>
          </w:p>
        </w:tc>
        <w:tc>
          <w:tcPr>
            <w:tcW w:w="1024" w:type="dxa"/>
            <w:noWrap/>
            <w:vAlign w:val="center"/>
          </w:tcPr>
          <w:p w14:paraId="43D17D2D">
            <w:pPr>
              <w:spacing w:line="300" w:lineRule="auto"/>
              <w:jc w:val="center"/>
              <w:rPr>
                <w:rFonts w:ascii="黑体" w:eastAsia="黑体"/>
                <w:b/>
                <w:color w:val="auto"/>
                <w:sz w:val="24"/>
                <w:highlight w:val="none"/>
              </w:rPr>
            </w:pPr>
          </w:p>
        </w:tc>
        <w:tc>
          <w:tcPr>
            <w:tcW w:w="900" w:type="dxa"/>
            <w:noWrap/>
            <w:vAlign w:val="center"/>
          </w:tcPr>
          <w:p w14:paraId="6A602E56">
            <w:pPr>
              <w:spacing w:line="300" w:lineRule="auto"/>
              <w:jc w:val="center"/>
              <w:rPr>
                <w:rFonts w:ascii="黑体" w:eastAsia="黑体"/>
                <w:b/>
                <w:color w:val="auto"/>
                <w:sz w:val="24"/>
                <w:highlight w:val="none"/>
              </w:rPr>
            </w:pPr>
          </w:p>
        </w:tc>
        <w:tc>
          <w:tcPr>
            <w:tcW w:w="540" w:type="dxa"/>
            <w:noWrap/>
            <w:vAlign w:val="center"/>
          </w:tcPr>
          <w:p w14:paraId="2FC2764F">
            <w:pPr>
              <w:spacing w:line="300" w:lineRule="auto"/>
              <w:jc w:val="center"/>
              <w:rPr>
                <w:rFonts w:ascii="黑体" w:eastAsia="黑体"/>
                <w:b/>
                <w:color w:val="auto"/>
                <w:sz w:val="24"/>
                <w:highlight w:val="none"/>
              </w:rPr>
            </w:pPr>
          </w:p>
        </w:tc>
        <w:tc>
          <w:tcPr>
            <w:tcW w:w="900" w:type="dxa"/>
            <w:noWrap/>
            <w:vAlign w:val="center"/>
          </w:tcPr>
          <w:p w14:paraId="4A3CEE11">
            <w:pPr>
              <w:spacing w:line="300" w:lineRule="auto"/>
              <w:jc w:val="center"/>
              <w:rPr>
                <w:rFonts w:ascii="黑体" w:eastAsia="黑体"/>
                <w:b/>
                <w:color w:val="auto"/>
                <w:sz w:val="24"/>
                <w:highlight w:val="none"/>
              </w:rPr>
            </w:pPr>
          </w:p>
        </w:tc>
        <w:tc>
          <w:tcPr>
            <w:tcW w:w="720" w:type="dxa"/>
            <w:noWrap/>
            <w:vAlign w:val="center"/>
          </w:tcPr>
          <w:p w14:paraId="7224AA3E">
            <w:pPr>
              <w:spacing w:line="300" w:lineRule="auto"/>
              <w:jc w:val="center"/>
              <w:rPr>
                <w:rFonts w:ascii="黑体" w:eastAsia="黑体"/>
                <w:b/>
                <w:color w:val="auto"/>
                <w:sz w:val="24"/>
                <w:highlight w:val="none"/>
              </w:rPr>
            </w:pPr>
          </w:p>
        </w:tc>
        <w:tc>
          <w:tcPr>
            <w:tcW w:w="900" w:type="dxa"/>
            <w:noWrap/>
            <w:vAlign w:val="center"/>
          </w:tcPr>
          <w:p w14:paraId="5AAE648F">
            <w:pPr>
              <w:spacing w:line="300" w:lineRule="auto"/>
              <w:jc w:val="center"/>
              <w:rPr>
                <w:rFonts w:ascii="黑体" w:eastAsia="黑体"/>
                <w:b/>
                <w:color w:val="auto"/>
                <w:sz w:val="24"/>
                <w:highlight w:val="none"/>
              </w:rPr>
            </w:pPr>
          </w:p>
        </w:tc>
        <w:tc>
          <w:tcPr>
            <w:tcW w:w="1260" w:type="dxa"/>
            <w:noWrap/>
            <w:vAlign w:val="center"/>
          </w:tcPr>
          <w:p w14:paraId="7532A319">
            <w:pPr>
              <w:spacing w:line="300" w:lineRule="auto"/>
              <w:jc w:val="center"/>
              <w:rPr>
                <w:rFonts w:ascii="黑体" w:eastAsia="黑体"/>
                <w:b/>
                <w:color w:val="auto"/>
                <w:sz w:val="24"/>
                <w:highlight w:val="none"/>
              </w:rPr>
            </w:pPr>
          </w:p>
        </w:tc>
        <w:tc>
          <w:tcPr>
            <w:tcW w:w="1800" w:type="dxa"/>
            <w:noWrap/>
            <w:vAlign w:val="center"/>
          </w:tcPr>
          <w:p w14:paraId="27B9FEA7">
            <w:pPr>
              <w:spacing w:line="300" w:lineRule="auto"/>
              <w:jc w:val="center"/>
              <w:rPr>
                <w:rFonts w:ascii="黑体" w:eastAsia="黑体"/>
                <w:b/>
                <w:color w:val="auto"/>
                <w:sz w:val="24"/>
                <w:highlight w:val="none"/>
              </w:rPr>
            </w:pPr>
          </w:p>
        </w:tc>
        <w:tc>
          <w:tcPr>
            <w:tcW w:w="720" w:type="dxa"/>
            <w:noWrap/>
            <w:vAlign w:val="center"/>
          </w:tcPr>
          <w:p w14:paraId="576CD652">
            <w:pPr>
              <w:spacing w:line="300" w:lineRule="auto"/>
              <w:jc w:val="center"/>
              <w:rPr>
                <w:rFonts w:ascii="黑体" w:eastAsia="黑体"/>
                <w:b/>
                <w:color w:val="auto"/>
                <w:sz w:val="24"/>
                <w:highlight w:val="none"/>
              </w:rPr>
            </w:pPr>
          </w:p>
        </w:tc>
        <w:tc>
          <w:tcPr>
            <w:tcW w:w="720" w:type="dxa"/>
            <w:noWrap/>
            <w:vAlign w:val="center"/>
          </w:tcPr>
          <w:p w14:paraId="0B762B77">
            <w:pPr>
              <w:spacing w:line="300" w:lineRule="auto"/>
              <w:jc w:val="center"/>
              <w:rPr>
                <w:rFonts w:ascii="黑体" w:eastAsia="黑体"/>
                <w:b/>
                <w:color w:val="auto"/>
                <w:sz w:val="24"/>
                <w:highlight w:val="none"/>
              </w:rPr>
            </w:pPr>
          </w:p>
        </w:tc>
      </w:tr>
      <w:tr w14:paraId="5C0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601A642D">
            <w:pPr>
              <w:spacing w:line="300" w:lineRule="auto"/>
              <w:jc w:val="center"/>
              <w:rPr>
                <w:rFonts w:ascii="黑体" w:eastAsia="黑体"/>
                <w:b/>
                <w:color w:val="auto"/>
                <w:sz w:val="24"/>
                <w:highlight w:val="none"/>
              </w:rPr>
            </w:pPr>
          </w:p>
        </w:tc>
        <w:tc>
          <w:tcPr>
            <w:tcW w:w="1024" w:type="dxa"/>
            <w:noWrap/>
            <w:vAlign w:val="center"/>
          </w:tcPr>
          <w:p w14:paraId="0C3B00C0">
            <w:pPr>
              <w:spacing w:line="300" w:lineRule="auto"/>
              <w:jc w:val="center"/>
              <w:rPr>
                <w:rFonts w:ascii="黑体" w:eastAsia="黑体"/>
                <w:b/>
                <w:color w:val="auto"/>
                <w:sz w:val="24"/>
                <w:highlight w:val="none"/>
              </w:rPr>
            </w:pPr>
          </w:p>
        </w:tc>
        <w:tc>
          <w:tcPr>
            <w:tcW w:w="900" w:type="dxa"/>
            <w:noWrap/>
            <w:vAlign w:val="center"/>
          </w:tcPr>
          <w:p w14:paraId="49C1654F">
            <w:pPr>
              <w:spacing w:line="300" w:lineRule="auto"/>
              <w:jc w:val="center"/>
              <w:rPr>
                <w:rFonts w:ascii="黑体" w:eastAsia="黑体"/>
                <w:b/>
                <w:color w:val="auto"/>
                <w:sz w:val="24"/>
                <w:highlight w:val="none"/>
              </w:rPr>
            </w:pPr>
          </w:p>
        </w:tc>
        <w:tc>
          <w:tcPr>
            <w:tcW w:w="540" w:type="dxa"/>
            <w:noWrap/>
            <w:vAlign w:val="center"/>
          </w:tcPr>
          <w:p w14:paraId="4DBCF28A">
            <w:pPr>
              <w:spacing w:line="300" w:lineRule="auto"/>
              <w:jc w:val="center"/>
              <w:rPr>
                <w:rFonts w:ascii="黑体" w:eastAsia="黑体"/>
                <w:b/>
                <w:color w:val="auto"/>
                <w:sz w:val="24"/>
                <w:highlight w:val="none"/>
              </w:rPr>
            </w:pPr>
          </w:p>
        </w:tc>
        <w:tc>
          <w:tcPr>
            <w:tcW w:w="900" w:type="dxa"/>
            <w:noWrap/>
            <w:vAlign w:val="center"/>
          </w:tcPr>
          <w:p w14:paraId="242B86E9">
            <w:pPr>
              <w:spacing w:line="300" w:lineRule="auto"/>
              <w:jc w:val="center"/>
              <w:rPr>
                <w:rFonts w:ascii="黑体" w:eastAsia="黑体"/>
                <w:b/>
                <w:color w:val="auto"/>
                <w:sz w:val="24"/>
                <w:highlight w:val="none"/>
              </w:rPr>
            </w:pPr>
          </w:p>
        </w:tc>
        <w:tc>
          <w:tcPr>
            <w:tcW w:w="720" w:type="dxa"/>
            <w:noWrap/>
            <w:vAlign w:val="center"/>
          </w:tcPr>
          <w:p w14:paraId="33B4653D">
            <w:pPr>
              <w:spacing w:line="300" w:lineRule="auto"/>
              <w:jc w:val="center"/>
              <w:rPr>
                <w:rFonts w:ascii="黑体" w:eastAsia="黑体"/>
                <w:b/>
                <w:color w:val="auto"/>
                <w:sz w:val="24"/>
                <w:highlight w:val="none"/>
              </w:rPr>
            </w:pPr>
          </w:p>
        </w:tc>
        <w:tc>
          <w:tcPr>
            <w:tcW w:w="900" w:type="dxa"/>
            <w:noWrap/>
            <w:vAlign w:val="center"/>
          </w:tcPr>
          <w:p w14:paraId="56662D5E">
            <w:pPr>
              <w:spacing w:line="300" w:lineRule="auto"/>
              <w:jc w:val="center"/>
              <w:rPr>
                <w:rFonts w:ascii="黑体" w:eastAsia="黑体"/>
                <w:b/>
                <w:color w:val="auto"/>
                <w:sz w:val="24"/>
                <w:highlight w:val="none"/>
              </w:rPr>
            </w:pPr>
          </w:p>
        </w:tc>
        <w:tc>
          <w:tcPr>
            <w:tcW w:w="1260" w:type="dxa"/>
            <w:noWrap/>
            <w:vAlign w:val="center"/>
          </w:tcPr>
          <w:p w14:paraId="1DBF71C5">
            <w:pPr>
              <w:spacing w:line="300" w:lineRule="auto"/>
              <w:jc w:val="center"/>
              <w:rPr>
                <w:rFonts w:ascii="黑体" w:eastAsia="黑体"/>
                <w:b/>
                <w:color w:val="auto"/>
                <w:sz w:val="24"/>
                <w:highlight w:val="none"/>
              </w:rPr>
            </w:pPr>
          </w:p>
        </w:tc>
        <w:tc>
          <w:tcPr>
            <w:tcW w:w="1800" w:type="dxa"/>
            <w:noWrap/>
            <w:vAlign w:val="center"/>
          </w:tcPr>
          <w:p w14:paraId="048F6334">
            <w:pPr>
              <w:spacing w:line="300" w:lineRule="auto"/>
              <w:jc w:val="center"/>
              <w:rPr>
                <w:rFonts w:ascii="黑体" w:eastAsia="黑体"/>
                <w:b/>
                <w:color w:val="auto"/>
                <w:sz w:val="24"/>
                <w:highlight w:val="none"/>
              </w:rPr>
            </w:pPr>
          </w:p>
        </w:tc>
        <w:tc>
          <w:tcPr>
            <w:tcW w:w="720" w:type="dxa"/>
            <w:noWrap/>
            <w:vAlign w:val="center"/>
          </w:tcPr>
          <w:p w14:paraId="3C2A4BE3">
            <w:pPr>
              <w:spacing w:line="300" w:lineRule="auto"/>
              <w:jc w:val="center"/>
              <w:rPr>
                <w:rFonts w:ascii="黑体" w:eastAsia="黑体"/>
                <w:b/>
                <w:color w:val="auto"/>
                <w:sz w:val="24"/>
                <w:highlight w:val="none"/>
              </w:rPr>
            </w:pPr>
          </w:p>
        </w:tc>
        <w:tc>
          <w:tcPr>
            <w:tcW w:w="720" w:type="dxa"/>
            <w:noWrap/>
            <w:vAlign w:val="center"/>
          </w:tcPr>
          <w:p w14:paraId="45447035">
            <w:pPr>
              <w:spacing w:line="300" w:lineRule="auto"/>
              <w:jc w:val="center"/>
              <w:rPr>
                <w:rFonts w:ascii="黑体" w:eastAsia="黑体"/>
                <w:b/>
                <w:color w:val="auto"/>
                <w:sz w:val="24"/>
                <w:highlight w:val="none"/>
              </w:rPr>
            </w:pPr>
          </w:p>
        </w:tc>
      </w:tr>
      <w:tr w14:paraId="72D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C04118C">
            <w:pPr>
              <w:spacing w:line="300" w:lineRule="auto"/>
              <w:jc w:val="center"/>
              <w:rPr>
                <w:rFonts w:ascii="黑体" w:eastAsia="黑体"/>
                <w:b/>
                <w:color w:val="auto"/>
                <w:sz w:val="24"/>
                <w:highlight w:val="none"/>
              </w:rPr>
            </w:pPr>
          </w:p>
        </w:tc>
        <w:tc>
          <w:tcPr>
            <w:tcW w:w="1024" w:type="dxa"/>
            <w:noWrap/>
            <w:vAlign w:val="center"/>
          </w:tcPr>
          <w:p w14:paraId="05C52999">
            <w:pPr>
              <w:spacing w:line="300" w:lineRule="auto"/>
              <w:jc w:val="center"/>
              <w:rPr>
                <w:rFonts w:ascii="黑体" w:eastAsia="黑体"/>
                <w:b/>
                <w:color w:val="auto"/>
                <w:sz w:val="24"/>
                <w:highlight w:val="none"/>
              </w:rPr>
            </w:pPr>
          </w:p>
        </w:tc>
        <w:tc>
          <w:tcPr>
            <w:tcW w:w="900" w:type="dxa"/>
            <w:noWrap/>
            <w:vAlign w:val="center"/>
          </w:tcPr>
          <w:p w14:paraId="2D504ABD">
            <w:pPr>
              <w:spacing w:line="300" w:lineRule="auto"/>
              <w:jc w:val="center"/>
              <w:rPr>
                <w:rFonts w:ascii="黑体" w:eastAsia="黑体"/>
                <w:b/>
                <w:color w:val="auto"/>
                <w:sz w:val="24"/>
                <w:highlight w:val="none"/>
              </w:rPr>
            </w:pPr>
          </w:p>
        </w:tc>
        <w:tc>
          <w:tcPr>
            <w:tcW w:w="540" w:type="dxa"/>
            <w:noWrap/>
            <w:vAlign w:val="center"/>
          </w:tcPr>
          <w:p w14:paraId="1D0E68A1">
            <w:pPr>
              <w:spacing w:line="300" w:lineRule="auto"/>
              <w:jc w:val="center"/>
              <w:rPr>
                <w:rFonts w:ascii="黑体" w:eastAsia="黑体"/>
                <w:b/>
                <w:color w:val="auto"/>
                <w:sz w:val="24"/>
                <w:highlight w:val="none"/>
              </w:rPr>
            </w:pPr>
          </w:p>
        </w:tc>
        <w:tc>
          <w:tcPr>
            <w:tcW w:w="900" w:type="dxa"/>
            <w:noWrap/>
            <w:vAlign w:val="center"/>
          </w:tcPr>
          <w:p w14:paraId="702E4C60">
            <w:pPr>
              <w:spacing w:line="300" w:lineRule="auto"/>
              <w:jc w:val="center"/>
              <w:rPr>
                <w:rFonts w:ascii="黑体" w:eastAsia="黑体"/>
                <w:b/>
                <w:color w:val="auto"/>
                <w:sz w:val="24"/>
                <w:highlight w:val="none"/>
              </w:rPr>
            </w:pPr>
          </w:p>
        </w:tc>
        <w:tc>
          <w:tcPr>
            <w:tcW w:w="720" w:type="dxa"/>
            <w:noWrap/>
            <w:vAlign w:val="center"/>
          </w:tcPr>
          <w:p w14:paraId="502F36A1">
            <w:pPr>
              <w:spacing w:line="300" w:lineRule="auto"/>
              <w:jc w:val="center"/>
              <w:rPr>
                <w:rFonts w:ascii="黑体" w:eastAsia="黑体"/>
                <w:b/>
                <w:color w:val="auto"/>
                <w:sz w:val="24"/>
                <w:highlight w:val="none"/>
              </w:rPr>
            </w:pPr>
          </w:p>
        </w:tc>
        <w:tc>
          <w:tcPr>
            <w:tcW w:w="900" w:type="dxa"/>
            <w:noWrap/>
            <w:vAlign w:val="center"/>
          </w:tcPr>
          <w:p w14:paraId="2D78E29F">
            <w:pPr>
              <w:spacing w:line="300" w:lineRule="auto"/>
              <w:jc w:val="center"/>
              <w:rPr>
                <w:rFonts w:ascii="黑体" w:eastAsia="黑体"/>
                <w:b/>
                <w:color w:val="auto"/>
                <w:sz w:val="24"/>
                <w:highlight w:val="none"/>
              </w:rPr>
            </w:pPr>
          </w:p>
        </w:tc>
        <w:tc>
          <w:tcPr>
            <w:tcW w:w="1260" w:type="dxa"/>
            <w:noWrap/>
            <w:vAlign w:val="center"/>
          </w:tcPr>
          <w:p w14:paraId="0CD241C3">
            <w:pPr>
              <w:spacing w:line="300" w:lineRule="auto"/>
              <w:jc w:val="center"/>
              <w:rPr>
                <w:rFonts w:ascii="黑体" w:eastAsia="黑体"/>
                <w:b/>
                <w:color w:val="auto"/>
                <w:sz w:val="24"/>
                <w:highlight w:val="none"/>
              </w:rPr>
            </w:pPr>
          </w:p>
        </w:tc>
        <w:tc>
          <w:tcPr>
            <w:tcW w:w="1800" w:type="dxa"/>
            <w:noWrap/>
            <w:vAlign w:val="center"/>
          </w:tcPr>
          <w:p w14:paraId="363C0AD1">
            <w:pPr>
              <w:spacing w:line="300" w:lineRule="auto"/>
              <w:jc w:val="center"/>
              <w:rPr>
                <w:rFonts w:ascii="黑体" w:eastAsia="黑体"/>
                <w:b/>
                <w:color w:val="auto"/>
                <w:sz w:val="24"/>
                <w:highlight w:val="none"/>
              </w:rPr>
            </w:pPr>
          </w:p>
        </w:tc>
        <w:tc>
          <w:tcPr>
            <w:tcW w:w="720" w:type="dxa"/>
            <w:noWrap/>
            <w:vAlign w:val="center"/>
          </w:tcPr>
          <w:p w14:paraId="56E87E03">
            <w:pPr>
              <w:spacing w:line="300" w:lineRule="auto"/>
              <w:jc w:val="center"/>
              <w:rPr>
                <w:rFonts w:ascii="黑体" w:eastAsia="黑体"/>
                <w:b/>
                <w:color w:val="auto"/>
                <w:sz w:val="24"/>
                <w:highlight w:val="none"/>
              </w:rPr>
            </w:pPr>
          </w:p>
        </w:tc>
        <w:tc>
          <w:tcPr>
            <w:tcW w:w="720" w:type="dxa"/>
            <w:noWrap/>
            <w:vAlign w:val="center"/>
          </w:tcPr>
          <w:p w14:paraId="27F6EC90">
            <w:pPr>
              <w:spacing w:line="300" w:lineRule="auto"/>
              <w:jc w:val="center"/>
              <w:rPr>
                <w:rFonts w:ascii="黑体" w:eastAsia="黑体"/>
                <w:b/>
                <w:color w:val="auto"/>
                <w:sz w:val="24"/>
                <w:highlight w:val="none"/>
              </w:rPr>
            </w:pPr>
          </w:p>
        </w:tc>
      </w:tr>
      <w:tr w14:paraId="4EE6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668859F">
            <w:pPr>
              <w:spacing w:line="300" w:lineRule="auto"/>
              <w:jc w:val="center"/>
              <w:rPr>
                <w:rFonts w:ascii="黑体" w:eastAsia="黑体"/>
                <w:b/>
                <w:color w:val="auto"/>
                <w:sz w:val="24"/>
                <w:highlight w:val="none"/>
              </w:rPr>
            </w:pPr>
          </w:p>
        </w:tc>
        <w:tc>
          <w:tcPr>
            <w:tcW w:w="1024" w:type="dxa"/>
            <w:noWrap/>
            <w:vAlign w:val="center"/>
          </w:tcPr>
          <w:p w14:paraId="14FAC9ED">
            <w:pPr>
              <w:spacing w:line="300" w:lineRule="auto"/>
              <w:jc w:val="center"/>
              <w:rPr>
                <w:rFonts w:ascii="黑体" w:eastAsia="黑体"/>
                <w:b/>
                <w:color w:val="auto"/>
                <w:sz w:val="24"/>
                <w:highlight w:val="none"/>
              </w:rPr>
            </w:pPr>
          </w:p>
        </w:tc>
        <w:tc>
          <w:tcPr>
            <w:tcW w:w="900" w:type="dxa"/>
            <w:noWrap/>
            <w:vAlign w:val="center"/>
          </w:tcPr>
          <w:p w14:paraId="54F34FE5">
            <w:pPr>
              <w:spacing w:line="300" w:lineRule="auto"/>
              <w:jc w:val="center"/>
              <w:rPr>
                <w:rFonts w:ascii="黑体" w:eastAsia="黑体"/>
                <w:b/>
                <w:color w:val="auto"/>
                <w:sz w:val="24"/>
                <w:highlight w:val="none"/>
              </w:rPr>
            </w:pPr>
          </w:p>
        </w:tc>
        <w:tc>
          <w:tcPr>
            <w:tcW w:w="540" w:type="dxa"/>
            <w:noWrap/>
            <w:vAlign w:val="center"/>
          </w:tcPr>
          <w:p w14:paraId="29772AEC">
            <w:pPr>
              <w:spacing w:line="300" w:lineRule="auto"/>
              <w:jc w:val="center"/>
              <w:rPr>
                <w:rFonts w:ascii="黑体" w:eastAsia="黑体"/>
                <w:b/>
                <w:color w:val="auto"/>
                <w:sz w:val="24"/>
                <w:highlight w:val="none"/>
              </w:rPr>
            </w:pPr>
          </w:p>
        </w:tc>
        <w:tc>
          <w:tcPr>
            <w:tcW w:w="900" w:type="dxa"/>
            <w:noWrap/>
            <w:vAlign w:val="center"/>
          </w:tcPr>
          <w:p w14:paraId="0E3D3BA8">
            <w:pPr>
              <w:spacing w:line="300" w:lineRule="auto"/>
              <w:jc w:val="center"/>
              <w:rPr>
                <w:rFonts w:ascii="黑体" w:eastAsia="黑体"/>
                <w:b/>
                <w:color w:val="auto"/>
                <w:sz w:val="24"/>
                <w:highlight w:val="none"/>
              </w:rPr>
            </w:pPr>
          </w:p>
        </w:tc>
        <w:tc>
          <w:tcPr>
            <w:tcW w:w="720" w:type="dxa"/>
            <w:noWrap/>
            <w:vAlign w:val="center"/>
          </w:tcPr>
          <w:p w14:paraId="0FBC22E5">
            <w:pPr>
              <w:spacing w:line="300" w:lineRule="auto"/>
              <w:jc w:val="center"/>
              <w:rPr>
                <w:rFonts w:ascii="黑体" w:eastAsia="黑体"/>
                <w:b/>
                <w:color w:val="auto"/>
                <w:sz w:val="24"/>
                <w:highlight w:val="none"/>
              </w:rPr>
            </w:pPr>
          </w:p>
        </w:tc>
        <w:tc>
          <w:tcPr>
            <w:tcW w:w="900" w:type="dxa"/>
            <w:noWrap/>
            <w:vAlign w:val="center"/>
          </w:tcPr>
          <w:p w14:paraId="4D3EC1D1">
            <w:pPr>
              <w:spacing w:line="300" w:lineRule="auto"/>
              <w:jc w:val="center"/>
              <w:rPr>
                <w:rFonts w:ascii="黑体" w:eastAsia="黑体"/>
                <w:b/>
                <w:color w:val="auto"/>
                <w:sz w:val="24"/>
                <w:highlight w:val="none"/>
              </w:rPr>
            </w:pPr>
          </w:p>
        </w:tc>
        <w:tc>
          <w:tcPr>
            <w:tcW w:w="1260" w:type="dxa"/>
            <w:noWrap/>
            <w:vAlign w:val="center"/>
          </w:tcPr>
          <w:p w14:paraId="0A99EE0E">
            <w:pPr>
              <w:spacing w:line="300" w:lineRule="auto"/>
              <w:jc w:val="center"/>
              <w:rPr>
                <w:rFonts w:ascii="黑体" w:eastAsia="黑体"/>
                <w:b/>
                <w:color w:val="auto"/>
                <w:sz w:val="24"/>
                <w:highlight w:val="none"/>
              </w:rPr>
            </w:pPr>
          </w:p>
        </w:tc>
        <w:tc>
          <w:tcPr>
            <w:tcW w:w="1800" w:type="dxa"/>
            <w:noWrap/>
            <w:vAlign w:val="center"/>
          </w:tcPr>
          <w:p w14:paraId="5F339E2F">
            <w:pPr>
              <w:spacing w:line="300" w:lineRule="auto"/>
              <w:jc w:val="center"/>
              <w:rPr>
                <w:rFonts w:ascii="黑体" w:eastAsia="黑体"/>
                <w:b/>
                <w:color w:val="auto"/>
                <w:sz w:val="24"/>
                <w:highlight w:val="none"/>
              </w:rPr>
            </w:pPr>
          </w:p>
        </w:tc>
        <w:tc>
          <w:tcPr>
            <w:tcW w:w="720" w:type="dxa"/>
            <w:noWrap/>
            <w:vAlign w:val="center"/>
          </w:tcPr>
          <w:p w14:paraId="2EF6418E">
            <w:pPr>
              <w:spacing w:line="300" w:lineRule="auto"/>
              <w:jc w:val="center"/>
              <w:rPr>
                <w:rFonts w:ascii="黑体" w:eastAsia="黑体"/>
                <w:b/>
                <w:color w:val="auto"/>
                <w:sz w:val="24"/>
                <w:highlight w:val="none"/>
              </w:rPr>
            </w:pPr>
          </w:p>
        </w:tc>
        <w:tc>
          <w:tcPr>
            <w:tcW w:w="720" w:type="dxa"/>
            <w:noWrap/>
            <w:vAlign w:val="center"/>
          </w:tcPr>
          <w:p w14:paraId="1A618429">
            <w:pPr>
              <w:spacing w:line="300" w:lineRule="auto"/>
              <w:jc w:val="center"/>
              <w:rPr>
                <w:rFonts w:ascii="黑体" w:eastAsia="黑体"/>
                <w:b/>
                <w:color w:val="auto"/>
                <w:sz w:val="24"/>
                <w:highlight w:val="none"/>
              </w:rPr>
            </w:pPr>
          </w:p>
        </w:tc>
      </w:tr>
      <w:tr w14:paraId="3EF3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264DF77D">
            <w:pPr>
              <w:spacing w:line="300" w:lineRule="auto"/>
              <w:jc w:val="center"/>
              <w:rPr>
                <w:rFonts w:ascii="黑体" w:eastAsia="黑体"/>
                <w:b/>
                <w:color w:val="auto"/>
                <w:sz w:val="24"/>
                <w:highlight w:val="none"/>
              </w:rPr>
            </w:pPr>
          </w:p>
        </w:tc>
        <w:tc>
          <w:tcPr>
            <w:tcW w:w="1024" w:type="dxa"/>
            <w:noWrap/>
            <w:vAlign w:val="center"/>
          </w:tcPr>
          <w:p w14:paraId="29072FD7">
            <w:pPr>
              <w:spacing w:line="300" w:lineRule="auto"/>
              <w:jc w:val="center"/>
              <w:rPr>
                <w:rFonts w:ascii="黑体" w:eastAsia="黑体"/>
                <w:b/>
                <w:color w:val="auto"/>
                <w:sz w:val="24"/>
                <w:highlight w:val="none"/>
              </w:rPr>
            </w:pPr>
          </w:p>
        </w:tc>
        <w:tc>
          <w:tcPr>
            <w:tcW w:w="900" w:type="dxa"/>
            <w:noWrap/>
            <w:vAlign w:val="center"/>
          </w:tcPr>
          <w:p w14:paraId="1AAF3C2E">
            <w:pPr>
              <w:spacing w:line="300" w:lineRule="auto"/>
              <w:jc w:val="center"/>
              <w:rPr>
                <w:rFonts w:ascii="黑体" w:eastAsia="黑体"/>
                <w:b/>
                <w:color w:val="auto"/>
                <w:sz w:val="24"/>
                <w:highlight w:val="none"/>
              </w:rPr>
            </w:pPr>
          </w:p>
        </w:tc>
        <w:tc>
          <w:tcPr>
            <w:tcW w:w="540" w:type="dxa"/>
            <w:noWrap/>
            <w:vAlign w:val="center"/>
          </w:tcPr>
          <w:p w14:paraId="00F56250">
            <w:pPr>
              <w:spacing w:line="300" w:lineRule="auto"/>
              <w:jc w:val="center"/>
              <w:rPr>
                <w:rFonts w:ascii="黑体" w:eastAsia="黑体"/>
                <w:b/>
                <w:color w:val="auto"/>
                <w:sz w:val="24"/>
                <w:highlight w:val="none"/>
              </w:rPr>
            </w:pPr>
          </w:p>
        </w:tc>
        <w:tc>
          <w:tcPr>
            <w:tcW w:w="900" w:type="dxa"/>
            <w:noWrap/>
            <w:vAlign w:val="center"/>
          </w:tcPr>
          <w:p w14:paraId="54A6C916">
            <w:pPr>
              <w:spacing w:line="300" w:lineRule="auto"/>
              <w:jc w:val="center"/>
              <w:rPr>
                <w:rFonts w:ascii="黑体" w:eastAsia="黑体"/>
                <w:b/>
                <w:color w:val="auto"/>
                <w:sz w:val="24"/>
                <w:highlight w:val="none"/>
              </w:rPr>
            </w:pPr>
          </w:p>
        </w:tc>
        <w:tc>
          <w:tcPr>
            <w:tcW w:w="720" w:type="dxa"/>
            <w:noWrap/>
            <w:vAlign w:val="center"/>
          </w:tcPr>
          <w:p w14:paraId="259E2D0B">
            <w:pPr>
              <w:spacing w:line="300" w:lineRule="auto"/>
              <w:jc w:val="center"/>
              <w:rPr>
                <w:rFonts w:ascii="黑体" w:eastAsia="黑体"/>
                <w:b/>
                <w:color w:val="auto"/>
                <w:sz w:val="24"/>
                <w:highlight w:val="none"/>
              </w:rPr>
            </w:pPr>
          </w:p>
        </w:tc>
        <w:tc>
          <w:tcPr>
            <w:tcW w:w="900" w:type="dxa"/>
            <w:noWrap/>
            <w:vAlign w:val="center"/>
          </w:tcPr>
          <w:p w14:paraId="1C48D2F5">
            <w:pPr>
              <w:spacing w:line="300" w:lineRule="auto"/>
              <w:jc w:val="center"/>
              <w:rPr>
                <w:rFonts w:ascii="黑体" w:eastAsia="黑体"/>
                <w:b/>
                <w:color w:val="auto"/>
                <w:sz w:val="24"/>
                <w:highlight w:val="none"/>
              </w:rPr>
            </w:pPr>
          </w:p>
        </w:tc>
        <w:tc>
          <w:tcPr>
            <w:tcW w:w="1260" w:type="dxa"/>
            <w:noWrap/>
            <w:vAlign w:val="center"/>
          </w:tcPr>
          <w:p w14:paraId="58FDEFCF">
            <w:pPr>
              <w:spacing w:line="300" w:lineRule="auto"/>
              <w:jc w:val="center"/>
              <w:rPr>
                <w:rFonts w:ascii="黑体" w:eastAsia="黑体"/>
                <w:b/>
                <w:color w:val="auto"/>
                <w:sz w:val="24"/>
                <w:highlight w:val="none"/>
              </w:rPr>
            </w:pPr>
          </w:p>
        </w:tc>
        <w:tc>
          <w:tcPr>
            <w:tcW w:w="1800" w:type="dxa"/>
            <w:noWrap/>
            <w:vAlign w:val="center"/>
          </w:tcPr>
          <w:p w14:paraId="7361B6B2">
            <w:pPr>
              <w:spacing w:line="300" w:lineRule="auto"/>
              <w:jc w:val="center"/>
              <w:rPr>
                <w:rFonts w:ascii="黑体" w:eastAsia="黑体"/>
                <w:b/>
                <w:color w:val="auto"/>
                <w:sz w:val="24"/>
                <w:highlight w:val="none"/>
              </w:rPr>
            </w:pPr>
          </w:p>
        </w:tc>
        <w:tc>
          <w:tcPr>
            <w:tcW w:w="720" w:type="dxa"/>
            <w:noWrap/>
            <w:vAlign w:val="center"/>
          </w:tcPr>
          <w:p w14:paraId="0646C216">
            <w:pPr>
              <w:spacing w:line="300" w:lineRule="auto"/>
              <w:jc w:val="center"/>
              <w:rPr>
                <w:rFonts w:ascii="黑体" w:eastAsia="黑体"/>
                <w:b/>
                <w:color w:val="auto"/>
                <w:sz w:val="24"/>
                <w:highlight w:val="none"/>
              </w:rPr>
            </w:pPr>
          </w:p>
        </w:tc>
        <w:tc>
          <w:tcPr>
            <w:tcW w:w="720" w:type="dxa"/>
            <w:noWrap/>
            <w:vAlign w:val="center"/>
          </w:tcPr>
          <w:p w14:paraId="010226FB">
            <w:pPr>
              <w:spacing w:line="300" w:lineRule="auto"/>
              <w:jc w:val="center"/>
              <w:rPr>
                <w:rFonts w:ascii="黑体" w:eastAsia="黑体"/>
                <w:b/>
                <w:color w:val="auto"/>
                <w:sz w:val="24"/>
                <w:highlight w:val="none"/>
              </w:rPr>
            </w:pPr>
          </w:p>
        </w:tc>
      </w:tr>
      <w:tr w14:paraId="49C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77364A4F">
            <w:pPr>
              <w:spacing w:line="300" w:lineRule="auto"/>
              <w:jc w:val="center"/>
              <w:rPr>
                <w:rFonts w:ascii="黑体" w:eastAsia="黑体"/>
                <w:b/>
                <w:color w:val="auto"/>
                <w:sz w:val="24"/>
                <w:highlight w:val="none"/>
              </w:rPr>
            </w:pPr>
          </w:p>
        </w:tc>
        <w:tc>
          <w:tcPr>
            <w:tcW w:w="1024" w:type="dxa"/>
            <w:noWrap/>
            <w:vAlign w:val="center"/>
          </w:tcPr>
          <w:p w14:paraId="08D3D928">
            <w:pPr>
              <w:spacing w:line="300" w:lineRule="auto"/>
              <w:jc w:val="center"/>
              <w:rPr>
                <w:rFonts w:ascii="黑体" w:eastAsia="黑体"/>
                <w:b/>
                <w:color w:val="auto"/>
                <w:sz w:val="24"/>
                <w:highlight w:val="none"/>
              </w:rPr>
            </w:pPr>
          </w:p>
        </w:tc>
        <w:tc>
          <w:tcPr>
            <w:tcW w:w="900" w:type="dxa"/>
            <w:noWrap/>
            <w:vAlign w:val="center"/>
          </w:tcPr>
          <w:p w14:paraId="4B219D83">
            <w:pPr>
              <w:spacing w:line="300" w:lineRule="auto"/>
              <w:jc w:val="center"/>
              <w:rPr>
                <w:rFonts w:ascii="黑体" w:eastAsia="黑体"/>
                <w:b/>
                <w:color w:val="auto"/>
                <w:sz w:val="24"/>
                <w:highlight w:val="none"/>
              </w:rPr>
            </w:pPr>
          </w:p>
        </w:tc>
        <w:tc>
          <w:tcPr>
            <w:tcW w:w="540" w:type="dxa"/>
            <w:noWrap/>
            <w:vAlign w:val="center"/>
          </w:tcPr>
          <w:p w14:paraId="6C01B0F2">
            <w:pPr>
              <w:spacing w:line="300" w:lineRule="auto"/>
              <w:jc w:val="center"/>
              <w:rPr>
                <w:rFonts w:ascii="黑体" w:eastAsia="黑体"/>
                <w:b/>
                <w:color w:val="auto"/>
                <w:sz w:val="24"/>
                <w:highlight w:val="none"/>
              </w:rPr>
            </w:pPr>
          </w:p>
        </w:tc>
        <w:tc>
          <w:tcPr>
            <w:tcW w:w="900" w:type="dxa"/>
            <w:noWrap/>
            <w:vAlign w:val="center"/>
          </w:tcPr>
          <w:p w14:paraId="4822EA2C">
            <w:pPr>
              <w:spacing w:line="300" w:lineRule="auto"/>
              <w:jc w:val="center"/>
              <w:rPr>
                <w:rFonts w:ascii="黑体" w:eastAsia="黑体"/>
                <w:b/>
                <w:color w:val="auto"/>
                <w:sz w:val="24"/>
                <w:highlight w:val="none"/>
              </w:rPr>
            </w:pPr>
          </w:p>
        </w:tc>
        <w:tc>
          <w:tcPr>
            <w:tcW w:w="720" w:type="dxa"/>
            <w:noWrap/>
            <w:vAlign w:val="center"/>
          </w:tcPr>
          <w:p w14:paraId="2D98B682">
            <w:pPr>
              <w:spacing w:line="300" w:lineRule="auto"/>
              <w:jc w:val="center"/>
              <w:rPr>
                <w:rFonts w:ascii="黑体" w:eastAsia="黑体"/>
                <w:b/>
                <w:color w:val="auto"/>
                <w:sz w:val="24"/>
                <w:highlight w:val="none"/>
              </w:rPr>
            </w:pPr>
          </w:p>
        </w:tc>
        <w:tc>
          <w:tcPr>
            <w:tcW w:w="900" w:type="dxa"/>
            <w:noWrap/>
            <w:vAlign w:val="center"/>
          </w:tcPr>
          <w:p w14:paraId="6B599DAF">
            <w:pPr>
              <w:spacing w:line="300" w:lineRule="auto"/>
              <w:jc w:val="center"/>
              <w:rPr>
                <w:rFonts w:ascii="黑体" w:eastAsia="黑体"/>
                <w:b/>
                <w:color w:val="auto"/>
                <w:sz w:val="24"/>
                <w:highlight w:val="none"/>
              </w:rPr>
            </w:pPr>
          </w:p>
        </w:tc>
        <w:tc>
          <w:tcPr>
            <w:tcW w:w="1260" w:type="dxa"/>
            <w:noWrap/>
            <w:vAlign w:val="center"/>
          </w:tcPr>
          <w:p w14:paraId="394A510E">
            <w:pPr>
              <w:spacing w:line="300" w:lineRule="auto"/>
              <w:jc w:val="center"/>
              <w:rPr>
                <w:rFonts w:ascii="黑体" w:eastAsia="黑体"/>
                <w:b/>
                <w:color w:val="auto"/>
                <w:sz w:val="24"/>
                <w:highlight w:val="none"/>
              </w:rPr>
            </w:pPr>
          </w:p>
        </w:tc>
        <w:tc>
          <w:tcPr>
            <w:tcW w:w="1800" w:type="dxa"/>
            <w:noWrap/>
            <w:vAlign w:val="center"/>
          </w:tcPr>
          <w:p w14:paraId="37CE9F08">
            <w:pPr>
              <w:spacing w:line="300" w:lineRule="auto"/>
              <w:jc w:val="center"/>
              <w:rPr>
                <w:rFonts w:ascii="黑体" w:eastAsia="黑体"/>
                <w:b/>
                <w:color w:val="auto"/>
                <w:sz w:val="24"/>
                <w:highlight w:val="none"/>
              </w:rPr>
            </w:pPr>
          </w:p>
        </w:tc>
        <w:tc>
          <w:tcPr>
            <w:tcW w:w="720" w:type="dxa"/>
            <w:noWrap/>
            <w:vAlign w:val="center"/>
          </w:tcPr>
          <w:p w14:paraId="74AB0B97">
            <w:pPr>
              <w:spacing w:line="300" w:lineRule="auto"/>
              <w:jc w:val="center"/>
              <w:rPr>
                <w:rFonts w:ascii="黑体" w:eastAsia="黑体"/>
                <w:b/>
                <w:color w:val="auto"/>
                <w:sz w:val="24"/>
                <w:highlight w:val="none"/>
              </w:rPr>
            </w:pPr>
          </w:p>
        </w:tc>
        <w:tc>
          <w:tcPr>
            <w:tcW w:w="720" w:type="dxa"/>
            <w:noWrap/>
            <w:vAlign w:val="center"/>
          </w:tcPr>
          <w:p w14:paraId="6671F4F7">
            <w:pPr>
              <w:spacing w:line="300" w:lineRule="auto"/>
              <w:jc w:val="center"/>
              <w:rPr>
                <w:rFonts w:ascii="黑体" w:eastAsia="黑体"/>
                <w:b/>
                <w:color w:val="auto"/>
                <w:sz w:val="24"/>
                <w:highlight w:val="none"/>
              </w:rPr>
            </w:pPr>
          </w:p>
        </w:tc>
      </w:tr>
      <w:tr w14:paraId="155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128E1C0B">
            <w:pPr>
              <w:spacing w:line="300" w:lineRule="auto"/>
              <w:jc w:val="center"/>
              <w:rPr>
                <w:rFonts w:ascii="黑体" w:eastAsia="黑体"/>
                <w:b/>
                <w:color w:val="auto"/>
                <w:sz w:val="24"/>
                <w:highlight w:val="none"/>
              </w:rPr>
            </w:pPr>
          </w:p>
        </w:tc>
        <w:tc>
          <w:tcPr>
            <w:tcW w:w="1024" w:type="dxa"/>
            <w:noWrap/>
            <w:vAlign w:val="center"/>
          </w:tcPr>
          <w:p w14:paraId="4AAC29A6">
            <w:pPr>
              <w:spacing w:line="300" w:lineRule="auto"/>
              <w:jc w:val="center"/>
              <w:rPr>
                <w:rFonts w:ascii="黑体" w:eastAsia="黑体"/>
                <w:b/>
                <w:color w:val="auto"/>
                <w:sz w:val="24"/>
                <w:highlight w:val="none"/>
              </w:rPr>
            </w:pPr>
          </w:p>
        </w:tc>
        <w:tc>
          <w:tcPr>
            <w:tcW w:w="900" w:type="dxa"/>
            <w:noWrap/>
            <w:vAlign w:val="center"/>
          </w:tcPr>
          <w:p w14:paraId="115476DD">
            <w:pPr>
              <w:spacing w:line="300" w:lineRule="auto"/>
              <w:jc w:val="center"/>
              <w:rPr>
                <w:rFonts w:ascii="黑体" w:eastAsia="黑体"/>
                <w:b/>
                <w:color w:val="auto"/>
                <w:sz w:val="24"/>
                <w:highlight w:val="none"/>
              </w:rPr>
            </w:pPr>
          </w:p>
        </w:tc>
        <w:tc>
          <w:tcPr>
            <w:tcW w:w="540" w:type="dxa"/>
            <w:noWrap/>
            <w:vAlign w:val="center"/>
          </w:tcPr>
          <w:p w14:paraId="44ED90ED">
            <w:pPr>
              <w:spacing w:line="300" w:lineRule="auto"/>
              <w:jc w:val="center"/>
              <w:rPr>
                <w:rFonts w:ascii="黑体" w:eastAsia="黑体"/>
                <w:b/>
                <w:color w:val="auto"/>
                <w:sz w:val="24"/>
                <w:highlight w:val="none"/>
              </w:rPr>
            </w:pPr>
          </w:p>
        </w:tc>
        <w:tc>
          <w:tcPr>
            <w:tcW w:w="900" w:type="dxa"/>
            <w:noWrap/>
            <w:vAlign w:val="center"/>
          </w:tcPr>
          <w:p w14:paraId="59200AA7">
            <w:pPr>
              <w:spacing w:line="300" w:lineRule="auto"/>
              <w:jc w:val="center"/>
              <w:rPr>
                <w:rFonts w:ascii="黑体" w:eastAsia="黑体"/>
                <w:b/>
                <w:color w:val="auto"/>
                <w:sz w:val="24"/>
                <w:highlight w:val="none"/>
              </w:rPr>
            </w:pPr>
          </w:p>
        </w:tc>
        <w:tc>
          <w:tcPr>
            <w:tcW w:w="720" w:type="dxa"/>
            <w:noWrap/>
            <w:vAlign w:val="center"/>
          </w:tcPr>
          <w:p w14:paraId="6036B260">
            <w:pPr>
              <w:spacing w:line="300" w:lineRule="auto"/>
              <w:jc w:val="center"/>
              <w:rPr>
                <w:rFonts w:ascii="黑体" w:eastAsia="黑体"/>
                <w:b/>
                <w:color w:val="auto"/>
                <w:sz w:val="24"/>
                <w:highlight w:val="none"/>
              </w:rPr>
            </w:pPr>
          </w:p>
        </w:tc>
        <w:tc>
          <w:tcPr>
            <w:tcW w:w="900" w:type="dxa"/>
            <w:noWrap/>
            <w:vAlign w:val="center"/>
          </w:tcPr>
          <w:p w14:paraId="5F595C4B">
            <w:pPr>
              <w:spacing w:line="300" w:lineRule="auto"/>
              <w:jc w:val="center"/>
              <w:rPr>
                <w:rFonts w:ascii="黑体" w:eastAsia="黑体"/>
                <w:b/>
                <w:color w:val="auto"/>
                <w:sz w:val="24"/>
                <w:highlight w:val="none"/>
              </w:rPr>
            </w:pPr>
          </w:p>
        </w:tc>
        <w:tc>
          <w:tcPr>
            <w:tcW w:w="1260" w:type="dxa"/>
            <w:noWrap/>
            <w:vAlign w:val="center"/>
          </w:tcPr>
          <w:p w14:paraId="7643BC4B">
            <w:pPr>
              <w:spacing w:line="300" w:lineRule="auto"/>
              <w:jc w:val="center"/>
              <w:rPr>
                <w:rFonts w:ascii="黑体" w:eastAsia="黑体"/>
                <w:b/>
                <w:color w:val="auto"/>
                <w:sz w:val="24"/>
                <w:highlight w:val="none"/>
              </w:rPr>
            </w:pPr>
          </w:p>
        </w:tc>
        <w:tc>
          <w:tcPr>
            <w:tcW w:w="1800" w:type="dxa"/>
            <w:noWrap/>
            <w:vAlign w:val="center"/>
          </w:tcPr>
          <w:p w14:paraId="2F07A6E0">
            <w:pPr>
              <w:spacing w:line="300" w:lineRule="auto"/>
              <w:jc w:val="center"/>
              <w:rPr>
                <w:rFonts w:ascii="黑体" w:eastAsia="黑体"/>
                <w:b/>
                <w:color w:val="auto"/>
                <w:sz w:val="24"/>
                <w:highlight w:val="none"/>
              </w:rPr>
            </w:pPr>
          </w:p>
        </w:tc>
        <w:tc>
          <w:tcPr>
            <w:tcW w:w="720" w:type="dxa"/>
            <w:noWrap/>
            <w:vAlign w:val="center"/>
          </w:tcPr>
          <w:p w14:paraId="7EC0F56D">
            <w:pPr>
              <w:spacing w:line="300" w:lineRule="auto"/>
              <w:jc w:val="center"/>
              <w:rPr>
                <w:rFonts w:ascii="黑体" w:eastAsia="黑体"/>
                <w:b/>
                <w:color w:val="auto"/>
                <w:sz w:val="24"/>
                <w:highlight w:val="none"/>
              </w:rPr>
            </w:pPr>
          </w:p>
        </w:tc>
        <w:tc>
          <w:tcPr>
            <w:tcW w:w="720" w:type="dxa"/>
            <w:noWrap/>
            <w:vAlign w:val="center"/>
          </w:tcPr>
          <w:p w14:paraId="3051EA38">
            <w:pPr>
              <w:spacing w:line="300" w:lineRule="auto"/>
              <w:jc w:val="center"/>
              <w:rPr>
                <w:rFonts w:ascii="黑体" w:eastAsia="黑体"/>
                <w:b/>
                <w:color w:val="auto"/>
                <w:sz w:val="24"/>
                <w:highlight w:val="none"/>
              </w:rPr>
            </w:pPr>
          </w:p>
        </w:tc>
      </w:tr>
      <w:tr w14:paraId="3A7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noWrap/>
            <w:vAlign w:val="center"/>
          </w:tcPr>
          <w:p w14:paraId="5105FD34">
            <w:pPr>
              <w:spacing w:line="300" w:lineRule="auto"/>
              <w:jc w:val="center"/>
              <w:rPr>
                <w:rFonts w:ascii="黑体" w:eastAsia="黑体"/>
                <w:b/>
                <w:color w:val="auto"/>
                <w:sz w:val="24"/>
                <w:highlight w:val="none"/>
              </w:rPr>
            </w:pPr>
          </w:p>
        </w:tc>
        <w:tc>
          <w:tcPr>
            <w:tcW w:w="1024" w:type="dxa"/>
            <w:noWrap/>
            <w:vAlign w:val="center"/>
          </w:tcPr>
          <w:p w14:paraId="55304B3B">
            <w:pPr>
              <w:spacing w:line="300" w:lineRule="auto"/>
              <w:jc w:val="center"/>
              <w:rPr>
                <w:rFonts w:ascii="黑体" w:eastAsia="黑体"/>
                <w:b/>
                <w:color w:val="auto"/>
                <w:sz w:val="24"/>
                <w:highlight w:val="none"/>
              </w:rPr>
            </w:pPr>
          </w:p>
        </w:tc>
        <w:tc>
          <w:tcPr>
            <w:tcW w:w="900" w:type="dxa"/>
            <w:noWrap/>
            <w:vAlign w:val="center"/>
          </w:tcPr>
          <w:p w14:paraId="7A9A5D76">
            <w:pPr>
              <w:spacing w:line="300" w:lineRule="auto"/>
              <w:jc w:val="center"/>
              <w:rPr>
                <w:rFonts w:ascii="黑体" w:eastAsia="黑体"/>
                <w:b/>
                <w:color w:val="auto"/>
                <w:sz w:val="24"/>
                <w:highlight w:val="none"/>
              </w:rPr>
            </w:pPr>
          </w:p>
        </w:tc>
        <w:tc>
          <w:tcPr>
            <w:tcW w:w="540" w:type="dxa"/>
            <w:noWrap/>
            <w:vAlign w:val="center"/>
          </w:tcPr>
          <w:p w14:paraId="116465A6">
            <w:pPr>
              <w:spacing w:line="300" w:lineRule="auto"/>
              <w:jc w:val="center"/>
              <w:rPr>
                <w:rFonts w:ascii="黑体" w:eastAsia="黑体"/>
                <w:b/>
                <w:color w:val="auto"/>
                <w:sz w:val="24"/>
                <w:highlight w:val="none"/>
              </w:rPr>
            </w:pPr>
          </w:p>
        </w:tc>
        <w:tc>
          <w:tcPr>
            <w:tcW w:w="900" w:type="dxa"/>
            <w:noWrap/>
            <w:vAlign w:val="center"/>
          </w:tcPr>
          <w:p w14:paraId="0FCE6D7C">
            <w:pPr>
              <w:spacing w:line="300" w:lineRule="auto"/>
              <w:jc w:val="center"/>
              <w:rPr>
                <w:rFonts w:ascii="黑体" w:eastAsia="黑体"/>
                <w:b/>
                <w:color w:val="auto"/>
                <w:sz w:val="24"/>
                <w:highlight w:val="none"/>
              </w:rPr>
            </w:pPr>
          </w:p>
        </w:tc>
        <w:tc>
          <w:tcPr>
            <w:tcW w:w="720" w:type="dxa"/>
            <w:noWrap/>
            <w:vAlign w:val="center"/>
          </w:tcPr>
          <w:p w14:paraId="627CE2DF">
            <w:pPr>
              <w:spacing w:line="300" w:lineRule="auto"/>
              <w:jc w:val="center"/>
              <w:rPr>
                <w:rFonts w:ascii="黑体" w:eastAsia="黑体"/>
                <w:b/>
                <w:color w:val="auto"/>
                <w:sz w:val="24"/>
                <w:highlight w:val="none"/>
              </w:rPr>
            </w:pPr>
          </w:p>
        </w:tc>
        <w:tc>
          <w:tcPr>
            <w:tcW w:w="900" w:type="dxa"/>
            <w:noWrap/>
            <w:vAlign w:val="center"/>
          </w:tcPr>
          <w:p w14:paraId="7880E356">
            <w:pPr>
              <w:spacing w:line="300" w:lineRule="auto"/>
              <w:jc w:val="center"/>
              <w:rPr>
                <w:rFonts w:ascii="黑体" w:eastAsia="黑体"/>
                <w:b/>
                <w:color w:val="auto"/>
                <w:sz w:val="24"/>
                <w:highlight w:val="none"/>
              </w:rPr>
            </w:pPr>
          </w:p>
        </w:tc>
        <w:tc>
          <w:tcPr>
            <w:tcW w:w="1260" w:type="dxa"/>
            <w:noWrap/>
            <w:vAlign w:val="center"/>
          </w:tcPr>
          <w:p w14:paraId="2BACBD9B">
            <w:pPr>
              <w:spacing w:line="300" w:lineRule="auto"/>
              <w:jc w:val="center"/>
              <w:rPr>
                <w:rFonts w:ascii="黑体" w:eastAsia="黑体"/>
                <w:b/>
                <w:color w:val="auto"/>
                <w:sz w:val="24"/>
                <w:highlight w:val="none"/>
              </w:rPr>
            </w:pPr>
          </w:p>
        </w:tc>
        <w:tc>
          <w:tcPr>
            <w:tcW w:w="1800" w:type="dxa"/>
            <w:noWrap/>
            <w:vAlign w:val="center"/>
          </w:tcPr>
          <w:p w14:paraId="67BF78A2">
            <w:pPr>
              <w:spacing w:line="300" w:lineRule="auto"/>
              <w:jc w:val="center"/>
              <w:rPr>
                <w:rFonts w:ascii="黑体" w:eastAsia="黑体"/>
                <w:b/>
                <w:color w:val="auto"/>
                <w:sz w:val="24"/>
                <w:highlight w:val="none"/>
              </w:rPr>
            </w:pPr>
          </w:p>
        </w:tc>
        <w:tc>
          <w:tcPr>
            <w:tcW w:w="720" w:type="dxa"/>
            <w:noWrap/>
            <w:vAlign w:val="center"/>
          </w:tcPr>
          <w:p w14:paraId="10C9824E">
            <w:pPr>
              <w:spacing w:line="300" w:lineRule="auto"/>
              <w:jc w:val="center"/>
              <w:rPr>
                <w:rFonts w:ascii="黑体" w:eastAsia="黑体"/>
                <w:b/>
                <w:color w:val="auto"/>
                <w:sz w:val="24"/>
                <w:highlight w:val="none"/>
              </w:rPr>
            </w:pPr>
          </w:p>
        </w:tc>
        <w:tc>
          <w:tcPr>
            <w:tcW w:w="720" w:type="dxa"/>
            <w:noWrap/>
            <w:vAlign w:val="center"/>
          </w:tcPr>
          <w:p w14:paraId="55530F11">
            <w:pPr>
              <w:spacing w:line="300" w:lineRule="auto"/>
              <w:jc w:val="center"/>
              <w:rPr>
                <w:rFonts w:ascii="黑体" w:eastAsia="黑体"/>
                <w:b/>
                <w:color w:val="auto"/>
                <w:sz w:val="24"/>
                <w:highlight w:val="none"/>
              </w:rPr>
            </w:pPr>
          </w:p>
        </w:tc>
      </w:tr>
    </w:tbl>
    <w:p w14:paraId="7954CEA1">
      <w:pP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p>
    <w:p w14:paraId="7D6D0BA2">
      <w:pPr>
        <w:spacing w:line="36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w:t>
      </w:r>
      <w:r>
        <w:rPr>
          <w:rFonts w:hint="eastAsia" w:ascii="宋体" w:hAnsi="宋体" w:eastAsia="宋体" w:cs="宋体"/>
          <w:b/>
          <w:color w:val="auto"/>
          <w:sz w:val="24"/>
          <w:szCs w:val="20"/>
          <w:highlight w:val="none"/>
          <w:lang w:val="en-US" w:eastAsia="zh-CN"/>
        </w:rPr>
        <w:t>件</w:t>
      </w:r>
      <w:r>
        <w:rPr>
          <w:rFonts w:hint="eastAsia" w:ascii="宋体" w:hAnsi="宋体" w:eastAsia="宋体" w:cs="宋体"/>
          <w:b/>
          <w:color w:val="auto"/>
          <w:sz w:val="24"/>
          <w:szCs w:val="20"/>
          <w:highlight w:val="none"/>
        </w:rPr>
        <w:t>2</w:t>
      </w:r>
    </w:p>
    <w:p w14:paraId="02BE795C">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供应商二次报价单</w:t>
      </w:r>
    </w:p>
    <w:p w14:paraId="0F322B42">
      <w:pPr>
        <w:jc w:val="left"/>
        <w:rPr>
          <w:rFonts w:ascii="宋体" w:hAnsi="宋体" w:cs="宋体"/>
          <w:b/>
          <w:color w:val="auto"/>
          <w:sz w:val="24"/>
          <w:highlight w:val="none"/>
        </w:rPr>
      </w:pPr>
      <w:r>
        <w:rPr>
          <w:rFonts w:hint="eastAsia" w:ascii="宋体" w:hAnsi="宋体" w:cs="宋体"/>
          <w:b/>
          <w:color w:val="auto"/>
          <w:sz w:val="24"/>
          <w:highlight w:val="none"/>
        </w:rPr>
        <w:br w:type="page"/>
      </w:r>
    </w:p>
    <w:p w14:paraId="4060D7C1">
      <w:pPr>
        <w:spacing w:line="360" w:lineRule="auto"/>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附件3</w:t>
      </w:r>
    </w:p>
    <w:p w14:paraId="6613F3BA">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供应商分项报价明细表</w:t>
      </w:r>
    </w:p>
    <w:p w14:paraId="55DE35C5">
      <w:pPr>
        <w:adjustRightInd w:val="0"/>
        <w:snapToGrid w:val="0"/>
        <w:spacing w:line="360" w:lineRule="auto"/>
        <w:ind w:firstLine="200"/>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：拟分包项目情况表（如有）</w:t>
      </w:r>
    </w:p>
    <w:p w14:paraId="6FAE2AFB">
      <w:pPr>
        <w:topLinePunct/>
        <w:spacing w:beforeLines="50" w:afterLines="50"/>
        <w:jc w:val="center"/>
        <w:rPr>
          <w:rFonts w:ascii="宋体" w:hAnsi="宋体" w:cs="黑体"/>
          <w:color w:val="auto"/>
          <w:sz w:val="36"/>
          <w:szCs w:val="36"/>
          <w:highlight w:val="none"/>
        </w:rPr>
      </w:pPr>
      <w:r>
        <w:rPr>
          <w:rFonts w:hint="eastAsia" w:ascii="宋体" w:hAnsi="宋体" w:cs="黑体"/>
          <w:color w:val="auto"/>
          <w:sz w:val="36"/>
          <w:szCs w:val="36"/>
          <w:highlight w:val="none"/>
        </w:rPr>
        <w:t>拟分包项目情况表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5"/>
        <w:gridCol w:w="2134"/>
      </w:tblGrid>
      <w:tr w14:paraId="40B0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3878FBC">
            <w:pPr>
              <w:jc w:val="center"/>
              <w:rPr>
                <w:rFonts w:ascii="宋体" w:hAnsi="宋体"/>
                <w:color w:val="auto"/>
                <w:sz w:val="24"/>
                <w:highlight w:val="none"/>
              </w:rPr>
            </w:pPr>
            <w:r>
              <w:rPr>
                <w:rFonts w:hint="eastAsia" w:ascii="宋体" w:hAnsi="宋体" w:cs="宋体"/>
                <w:color w:val="auto"/>
                <w:sz w:val="24"/>
                <w:highlight w:val="none"/>
              </w:rPr>
              <w:t>分包的工程项目</w:t>
            </w:r>
          </w:p>
        </w:tc>
        <w:tc>
          <w:tcPr>
            <w:tcW w:w="1283" w:type="pct"/>
            <w:vAlign w:val="center"/>
          </w:tcPr>
          <w:p w14:paraId="57F900C6">
            <w:pPr>
              <w:jc w:val="center"/>
              <w:rPr>
                <w:rFonts w:ascii="宋体" w:hAnsi="宋体"/>
                <w:color w:val="auto"/>
                <w:sz w:val="24"/>
                <w:highlight w:val="none"/>
              </w:rPr>
            </w:pPr>
            <w:r>
              <w:rPr>
                <w:rFonts w:hint="eastAsia" w:ascii="宋体" w:hAnsi="宋体" w:cs="宋体"/>
                <w:color w:val="auto"/>
                <w:sz w:val="24"/>
                <w:highlight w:val="none"/>
              </w:rPr>
              <w:t>主要工程内容</w:t>
            </w:r>
          </w:p>
        </w:tc>
        <w:tc>
          <w:tcPr>
            <w:tcW w:w="1282" w:type="pct"/>
            <w:vAlign w:val="center"/>
          </w:tcPr>
          <w:p w14:paraId="434988A1">
            <w:pPr>
              <w:jc w:val="center"/>
              <w:rPr>
                <w:rFonts w:ascii="宋体" w:hAnsi="宋体"/>
                <w:color w:val="auto"/>
                <w:sz w:val="24"/>
                <w:highlight w:val="none"/>
              </w:rPr>
            </w:pPr>
            <w:r>
              <w:rPr>
                <w:rFonts w:hint="eastAsia" w:ascii="宋体" w:hAnsi="宋体" w:cs="宋体"/>
                <w:color w:val="auto"/>
                <w:sz w:val="24"/>
                <w:highlight w:val="none"/>
              </w:rPr>
              <w:t>预计造价（万元）</w:t>
            </w:r>
          </w:p>
        </w:tc>
        <w:tc>
          <w:tcPr>
            <w:tcW w:w="1152" w:type="pct"/>
            <w:vMerge w:val="restart"/>
            <w:vAlign w:val="center"/>
          </w:tcPr>
          <w:p w14:paraId="27875FF7">
            <w:pPr>
              <w:widowControl/>
              <w:rPr>
                <w:rFonts w:ascii="宋体" w:hAnsi="宋体"/>
                <w:color w:val="auto"/>
                <w:kern w:val="0"/>
                <w:sz w:val="24"/>
                <w:highlight w:val="none"/>
              </w:rPr>
            </w:pPr>
            <w:r>
              <w:rPr>
                <w:rFonts w:hint="eastAsia" w:ascii="宋体" w:hAnsi="宋体" w:cs="宋体"/>
                <w:color w:val="auto"/>
                <w:kern w:val="0"/>
                <w:sz w:val="24"/>
                <w:highlight w:val="none"/>
              </w:rPr>
              <w:t>注：若无分包计划，则投标人应在本表填写“无”</w:t>
            </w:r>
          </w:p>
        </w:tc>
      </w:tr>
      <w:tr w14:paraId="6E29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783DF63A">
            <w:pPr>
              <w:widowControl/>
              <w:ind w:firstLine="960" w:firstLineChars="400"/>
              <w:rPr>
                <w:rFonts w:ascii="宋体" w:hAnsi="宋体"/>
                <w:color w:val="auto"/>
                <w:kern w:val="0"/>
                <w:sz w:val="24"/>
                <w:highlight w:val="none"/>
              </w:rPr>
            </w:pPr>
          </w:p>
        </w:tc>
        <w:tc>
          <w:tcPr>
            <w:tcW w:w="1283" w:type="pct"/>
            <w:vAlign w:val="center"/>
          </w:tcPr>
          <w:p w14:paraId="3B14D0A2">
            <w:pPr>
              <w:widowControl/>
              <w:rPr>
                <w:rFonts w:ascii="宋体" w:hAnsi="宋体"/>
                <w:color w:val="auto"/>
                <w:kern w:val="0"/>
                <w:sz w:val="24"/>
                <w:highlight w:val="none"/>
              </w:rPr>
            </w:pPr>
          </w:p>
        </w:tc>
        <w:tc>
          <w:tcPr>
            <w:tcW w:w="1282" w:type="pct"/>
            <w:vAlign w:val="center"/>
          </w:tcPr>
          <w:p w14:paraId="7FE3F957">
            <w:pPr>
              <w:widowControl/>
              <w:rPr>
                <w:rFonts w:ascii="宋体" w:hAnsi="宋体"/>
                <w:color w:val="auto"/>
                <w:kern w:val="0"/>
                <w:sz w:val="24"/>
                <w:highlight w:val="none"/>
              </w:rPr>
            </w:pPr>
          </w:p>
        </w:tc>
        <w:tc>
          <w:tcPr>
            <w:tcW w:w="1152" w:type="pct"/>
            <w:vMerge w:val="continue"/>
            <w:vAlign w:val="center"/>
          </w:tcPr>
          <w:p w14:paraId="39CD4E97">
            <w:pPr>
              <w:widowControl/>
              <w:rPr>
                <w:rFonts w:ascii="宋体" w:hAnsi="宋体"/>
                <w:color w:val="auto"/>
                <w:kern w:val="0"/>
                <w:sz w:val="24"/>
                <w:highlight w:val="none"/>
              </w:rPr>
            </w:pPr>
          </w:p>
        </w:tc>
      </w:tr>
      <w:tr w14:paraId="0E15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6BB7E4D">
            <w:pPr>
              <w:widowControl/>
              <w:rPr>
                <w:rFonts w:ascii="宋体" w:hAnsi="宋体"/>
                <w:color w:val="auto"/>
                <w:kern w:val="0"/>
                <w:sz w:val="24"/>
                <w:highlight w:val="none"/>
              </w:rPr>
            </w:pPr>
          </w:p>
        </w:tc>
        <w:tc>
          <w:tcPr>
            <w:tcW w:w="1283" w:type="pct"/>
            <w:vAlign w:val="center"/>
          </w:tcPr>
          <w:p w14:paraId="39853782">
            <w:pPr>
              <w:widowControl/>
              <w:rPr>
                <w:rFonts w:ascii="宋体" w:hAnsi="宋体"/>
                <w:color w:val="auto"/>
                <w:kern w:val="0"/>
                <w:sz w:val="24"/>
                <w:highlight w:val="none"/>
              </w:rPr>
            </w:pPr>
          </w:p>
        </w:tc>
        <w:tc>
          <w:tcPr>
            <w:tcW w:w="1282" w:type="pct"/>
            <w:vAlign w:val="center"/>
          </w:tcPr>
          <w:p w14:paraId="1FA0EEB5">
            <w:pPr>
              <w:widowControl/>
              <w:rPr>
                <w:rFonts w:ascii="宋体" w:hAnsi="宋体"/>
                <w:color w:val="auto"/>
                <w:kern w:val="0"/>
                <w:sz w:val="24"/>
                <w:highlight w:val="none"/>
              </w:rPr>
            </w:pPr>
          </w:p>
        </w:tc>
        <w:tc>
          <w:tcPr>
            <w:tcW w:w="1152" w:type="pct"/>
            <w:vMerge w:val="continue"/>
            <w:vAlign w:val="center"/>
          </w:tcPr>
          <w:p w14:paraId="2E988957">
            <w:pPr>
              <w:widowControl/>
              <w:rPr>
                <w:rFonts w:ascii="宋体" w:hAnsi="宋体"/>
                <w:color w:val="auto"/>
                <w:kern w:val="0"/>
                <w:sz w:val="24"/>
                <w:highlight w:val="none"/>
              </w:rPr>
            </w:pPr>
          </w:p>
        </w:tc>
      </w:tr>
      <w:tr w14:paraId="3D88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50CB755">
            <w:pPr>
              <w:widowControl/>
              <w:rPr>
                <w:rFonts w:ascii="宋体" w:hAnsi="宋体"/>
                <w:color w:val="auto"/>
                <w:kern w:val="0"/>
                <w:sz w:val="24"/>
                <w:highlight w:val="none"/>
              </w:rPr>
            </w:pPr>
          </w:p>
        </w:tc>
        <w:tc>
          <w:tcPr>
            <w:tcW w:w="1283" w:type="pct"/>
            <w:vAlign w:val="center"/>
          </w:tcPr>
          <w:p w14:paraId="7F9AC146">
            <w:pPr>
              <w:widowControl/>
              <w:rPr>
                <w:rFonts w:ascii="宋体" w:hAnsi="宋体"/>
                <w:color w:val="auto"/>
                <w:kern w:val="0"/>
                <w:sz w:val="24"/>
                <w:highlight w:val="none"/>
              </w:rPr>
            </w:pPr>
          </w:p>
        </w:tc>
        <w:tc>
          <w:tcPr>
            <w:tcW w:w="1282" w:type="pct"/>
            <w:vAlign w:val="center"/>
          </w:tcPr>
          <w:p w14:paraId="1334C63F">
            <w:pPr>
              <w:widowControl/>
              <w:rPr>
                <w:rFonts w:ascii="宋体" w:hAnsi="宋体"/>
                <w:color w:val="auto"/>
                <w:kern w:val="0"/>
                <w:sz w:val="24"/>
                <w:highlight w:val="none"/>
              </w:rPr>
            </w:pPr>
          </w:p>
        </w:tc>
        <w:tc>
          <w:tcPr>
            <w:tcW w:w="1152" w:type="pct"/>
            <w:vMerge w:val="continue"/>
            <w:vAlign w:val="center"/>
          </w:tcPr>
          <w:p w14:paraId="25C2C077">
            <w:pPr>
              <w:widowControl/>
              <w:rPr>
                <w:rFonts w:ascii="宋体" w:hAnsi="宋体"/>
                <w:color w:val="auto"/>
                <w:kern w:val="0"/>
                <w:sz w:val="24"/>
                <w:highlight w:val="none"/>
              </w:rPr>
            </w:pPr>
          </w:p>
        </w:tc>
      </w:tr>
      <w:tr w14:paraId="38EF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283" w:type="pct"/>
            <w:vAlign w:val="center"/>
          </w:tcPr>
          <w:p w14:paraId="7232EC23">
            <w:pPr>
              <w:widowControl/>
              <w:rPr>
                <w:rFonts w:ascii="宋体" w:hAnsi="宋体"/>
                <w:color w:val="auto"/>
                <w:kern w:val="0"/>
                <w:sz w:val="24"/>
                <w:highlight w:val="none"/>
              </w:rPr>
            </w:pPr>
          </w:p>
        </w:tc>
        <w:tc>
          <w:tcPr>
            <w:tcW w:w="1283" w:type="pct"/>
            <w:vAlign w:val="center"/>
          </w:tcPr>
          <w:p w14:paraId="51AE2CDD">
            <w:pPr>
              <w:widowControl/>
              <w:rPr>
                <w:rFonts w:ascii="宋体" w:hAnsi="宋体"/>
                <w:color w:val="auto"/>
                <w:kern w:val="0"/>
                <w:sz w:val="24"/>
                <w:highlight w:val="none"/>
              </w:rPr>
            </w:pPr>
          </w:p>
        </w:tc>
        <w:tc>
          <w:tcPr>
            <w:tcW w:w="1282" w:type="pct"/>
          </w:tcPr>
          <w:p w14:paraId="7D64F90D">
            <w:pPr>
              <w:widowControl/>
              <w:rPr>
                <w:rFonts w:ascii="宋体" w:hAnsi="宋体"/>
                <w:color w:val="auto"/>
                <w:kern w:val="0"/>
                <w:sz w:val="24"/>
                <w:highlight w:val="none"/>
              </w:rPr>
            </w:pPr>
          </w:p>
        </w:tc>
        <w:tc>
          <w:tcPr>
            <w:tcW w:w="1152" w:type="pct"/>
            <w:vMerge w:val="continue"/>
          </w:tcPr>
          <w:p w14:paraId="5A0BB34C">
            <w:pPr>
              <w:widowControl/>
              <w:ind w:firstLine="360" w:firstLineChars="150"/>
              <w:rPr>
                <w:rFonts w:ascii="宋体" w:hAnsi="宋体"/>
                <w:color w:val="auto"/>
                <w:kern w:val="0"/>
                <w:sz w:val="24"/>
                <w:highlight w:val="none"/>
              </w:rPr>
            </w:pPr>
          </w:p>
        </w:tc>
      </w:tr>
      <w:tr w14:paraId="0EBA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B6DAB9B">
            <w:pPr>
              <w:widowControl/>
              <w:rPr>
                <w:rFonts w:ascii="宋体" w:hAnsi="宋体"/>
                <w:color w:val="auto"/>
                <w:kern w:val="0"/>
                <w:sz w:val="24"/>
                <w:highlight w:val="none"/>
              </w:rPr>
            </w:pPr>
          </w:p>
        </w:tc>
        <w:tc>
          <w:tcPr>
            <w:tcW w:w="1283" w:type="pct"/>
            <w:vAlign w:val="center"/>
          </w:tcPr>
          <w:p w14:paraId="04E5B790">
            <w:pPr>
              <w:widowControl/>
              <w:rPr>
                <w:rFonts w:ascii="宋体" w:hAnsi="宋体"/>
                <w:color w:val="auto"/>
                <w:kern w:val="0"/>
                <w:sz w:val="24"/>
                <w:highlight w:val="none"/>
              </w:rPr>
            </w:pPr>
          </w:p>
        </w:tc>
        <w:tc>
          <w:tcPr>
            <w:tcW w:w="1282" w:type="pct"/>
          </w:tcPr>
          <w:p w14:paraId="0076CE7A">
            <w:pPr>
              <w:widowControl/>
              <w:rPr>
                <w:rFonts w:ascii="宋体" w:hAnsi="宋体"/>
                <w:color w:val="auto"/>
                <w:kern w:val="0"/>
                <w:sz w:val="24"/>
                <w:highlight w:val="none"/>
              </w:rPr>
            </w:pPr>
          </w:p>
        </w:tc>
        <w:tc>
          <w:tcPr>
            <w:tcW w:w="1152" w:type="pct"/>
            <w:vMerge w:val="continue"/>
          </w:tcPr>
          <w:p w14:paraId="7FE971A1">
            <w:pPr>
              <w:widowControl/>
              <w:rPr>
                <w:rFonts w:ascii="宋体" w:hAnsi="宋体"/>
                <w:color w:val="auto"/>
                <w:kern w:val="0"/>
                <w:sz w:val="24"/>
                <w:highlight w:val="none"/>
              </w:rPr>
            </w:pPr>
          </w:p>
        </w:tc>
      </w:tr>
      <w:tr w14:paraId="0D1A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33B84DE">
            <w:pPr>
              <w:widowControl/>
              <w:rPr>
                <w:rFonts w:ascii="宋体" w:hAnsi="宋体"/>
                <w:color w:val="auto"/>
                <w:kern w:val="0"/>
                <w:sz w:val="24"/>
                <w:highlight w:val="none"/>
              </w:rPr>
            </w:pPr>
          </w:p>
        </w:tc>
        <w:tc>
          <w:tcPr>
            <w:tcW w:w="1283" w:type="pct"/>
            <w:vAlign w:val="center"/>
          </w:tcPr>
          <w:p w14:paraId="6F31D485">
            <w:pPr>
              <w:widowControl/>
              <w:rPr>
                <w:rFonts w:ascii="宋体" w:hAnsi="宋体"/>
                <w:color w:val="auto"/>
                <w:kern w:val="0"/>
                <w:sz w:val="24"/>
                <w:highlight w:val="none"/>
              </w:rPr>
            </w:pPr>
          </w:p>
        </w:tc>
        <w:tc>
          <w:tcPr>
            <w:tcW w:w="1282" w:type="pct"/>
          </w:tcPr>
          <w:p w14:paraId="75C29A6F">
            <w:pPr>
              <w:widowControl/>
              <w:rPr>
                <w:rFonts w:ascii="宋体" w:hAnsi="宋体"/>
                <w:color w:val="auto"/>
                <w:kern w:val="0"/>
                <w:sz w:val="24"/>
                <w:highlight w:val="none"/>
              </w:rPr>
            </w:pPr>
          </w:p>
        </w:tc>
        <w:tc>
          <w:tcPr>
            <w:tcW w:w="1152" w:type="pct"/>
            <w:vMerge w:val="continue"/>
          </w:tcPr>
          <w:p w14:paraId="146271EA">
            <w:pPr>
              <w:widowControl/>
              <w:rPr>
                <w:rFonts w:ascii="宋体" w:hAnsi="宋体"/>
                <w:color w:val="auto"/>
                <w:kern w:val="0"/>
                <w:sz w:val="24"/>
                <w:highlight w:val="none"/>
              </w:rPr>
            </w:pPr>
          </w:p>
        </w:tc>
      </w:tr>
      <w:tr w14:paraId="0FFD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015244C2">
            <w:pPr>
              <w:widowControl/>
              <w:rPr>
                <w:rFonts w:ascii="宋体" w:hAnsi="宋体"/>
                <w:color w:val="auto"/>
                <w:kern w:val="0"/>
                <w:sz w:val="24"/>
                <w:highlight w:val="none"/>
              </w:rPr>
            </w:pPr>
          </w:p>
        </w:tc>
        <w:tc>
          <w:tcPr>
            <w:tcW w:w="1283" w:type="pct"/>
            <w:vAlign w:val="center"/>
          </w:tcPr>
          <w:p w14:paraId="0B142E4E">
            <w:pPr>
              <w:widowControl/>
              <w:rPr>
                <w:rFonts w:ascii="宋体" w:hAnsi="宋体"/>
                <w:color w:val="auto"/>
                <w:kern w:val="0"/>
                <w:sz w:val="24"/>
                <w:highlight w:val="none"/>
              </w:rPr>
            </w:pPr>
          </w:p>
        </w:tc>
        <w:tc>
          <w:tcPr>
            <w:tcW w:w="1282" w:type="pct"/>
          </w:tcPr>
          <w:p w14:paraId="302CB2E8">
            <w:pPr>
              <w:widowControl/>
              <w:rPr>
                <w:rFonts w:ascii="宋体" w:hAnsi="宋体"/>
                <w:color w:val="auto"/>
                <w:kern w:val="0"/>
                <w:sz w:val="24"/>
                <w:highlight w:val="none"/>
              </w:rPr>
            </w:pPr>
          </w:p>
        </w:tc>
        <w:tc>
          <w:tcPr>
            <w:tcW w:w="1152" w:type="pct"/>
            <w:vMerge w:val="continue"/>
          </w:tcPr>
          <w:p w14:paraId="0262BC78">
            <w:pPr>
              <w:widowControl/>
              <w:rPr>
                <w:rFonts w:ascii="宋体" w:hAnsi="宋体"/>
                <w:color w:val="auto"/>
                <w:kern w:val="0"/>
                <w:sz w:val="24"/>
                <w:highlight w:val="none"/>
              </w:rPr>
            </w:pPr>
          </w:p>
        </w:tc>
      </w:tr>
      <w:tr w14:paraId="6E80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1912D30">
            <w:pPr>
              <w:widowControl/>
              <w:rPr>
                <w:rFonts w:ascii="宋体" w:hAnsi="宋体"/>
                <w:color w:val="auto"/>
                <w:kern w:val="0"/>
                <w:sz w:val="24"/>
                <w:highlight w:val="none"/>
              </w:rPr>
            </w:pPr>
          </w:p>
        </w:tc>
        <w:tc>
          <w:tcPr>
            <w:tcW w:w="1283" w:type="pct"/>
            <w:vAlign w:val="center"/>
          </w:tcPr>
          <w:p w14:paraId="1E6B7B94">
            <w:pPr>
              <w:widowControl/>
              <w:rPr>
                <w:rFonts w:ascii="宋体" w:hAnsi="宋体"/>
                <w:color w:val="auto"/>
                <w:kern w:val="0"/>
                <w:sz w:val="24"/>
                <w:highlight w:val="none"/>
              </w:rPr>
            </w:pPr>
          </w:p>
        </w:tc>
        <w:tc>
          <w:tcPr>
            <w:tcW w:w="1282" w:type="pct"/>
          </w:tcPr>
          <w:p w14:paraId="0ED3450A">
            <w:pPr>
              <w:widowControl/>
              <w:rPr>
                <w:rFonts w:ascii="宋体" w:hAnsi="宋体"/>
                <w:color w:val="auto"/>
                <w:kern w:val="0"/>
                <w:sz w:val="24"/>
                <w:highlight w:val="none"/>
              </w:rPr>
            </w:pPr>
          </w:p>
        </w:tc>
        <w:tc>
          <w:tcPr>
            <w:tcW w:w="1152" w:type="pct"/>
            <w:vMerge w:val="continue"/>
          </w:tcPr>
          <w:p w14:paraId="70D032CA">
            <w:pPr>
              <w:widowControl/>
              <w:rPr>
                <w:rFonts w:ascii="宋体" w:hAnsi="宋体"/>
                <w:color w:val="auto"/>
                <w:kern w:val="0"/>
                <w:sz w:val="24"/>
                <w:highlight w:val="none"/>
              </w:rPr>
            </w:pPr>
          </w:p>
        </w:tc>
      </w:tr>
      <w:tr w14:paraId="2A11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643D522B">
            <w:pPr>
              <w:widowControl/>
              <w:rPr>
                <w:rFonts w:ascii="宋体" w:hAnsi="宋体"/>
                <w:color w:val="auto"/>
                <w:kern w:val="0"/>
                <w:sz w:val="24"/>
                <w:highlight w:val="none"/>
              </w:rPr>
            </w:pPr>
          </w:p>
        </w:tc>
        <w:tc>
          <w:tcPr>
            <w:tcW w:w="1283" w:type="pct"/>
            <w:vAlign w:val="center"/>
          </w:tcPr>
          <w:p w14:paraId="482176FC">
            <w:pPr>
              <w:widowControl/>
              <w:rPr>
                <w:rFonts w:ascii="宋体" w:hAnsi="宋体"/>
                <w:color w:val="auto"/>
                <w:kern w:val="0"/>
                <w:sz w:val="24"/>
                <w:highlight w:val="none"/>
              </w:rPr>
            </w:pPr>
          </w:p>
        </w:tc>
        <w:tc>
          <w:tcPr>
            <w:tcW w:w="1282" w:type="pct"/>
          </w:tcPr>
          <w:p w14:paraId="2229EE4F">
            <w:pPr>
              <w:widowControl/>
              <w:rPr>
                <w:rFonts w:ascii="宋体" w:hAnsi="宋体"/>
                <w:color w:val="auto"/>
                <w:kern w:val="0"/>
                <w:sz w:val="24"/>
                <w:highlight w:val="none"/>
              </w:rPr>
            </w:pPr>
          </w:p>
        </w:tc>
        <w:tc>
          <w:tcPr>
            <w:tcW w:w="1152" w:type="pct"/>
            <w:vMerge w:val="continue"/>
          </w:tcPr>
          <w:p w14:paraId="3B37BE65">
            <w:pPr>
              <w:widowControl/>
              <w:rPr>
                <w:rFonts w:ascii="宋体" w:hAnsi="宋体"/>
                <w:color w:val="auto"/>
                <w:kern w:val="0"/>
                <w:sz w:val="24"/>
                <w:highlight w:val="none"/>
              </w:rPr>
            </w:pPr>
          </w:p>
        </w:tc>
      </w:tr>
      <w:tr w14:paraId="5A8B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1A596E77">
            <w:pPr>
              <w:spacing w:after="120"/>
              <w:ind w:firstLine="602"/>
              <w:rPr>
                <w:rFonts w:ascii="宋体" w:hAnsi="宋体"/>
                <w:b/>
                <w:bCs/>
                <w:color w:val="auto"/>
                <w:sz w:val="24"/>
                <w:highlight w:val="none"/>
              </w:rPr>
            </w:pPr>
          </w:p>
        </w:tc>
        <w:tc>
          <w:tcPr>
            <w:tcW w:w="1283" w:type="pct"/>
            <w:vAlign w:val="center"/>
          </w:tcPr>
          <w:p w14:paraId="5D526706">
            <w:pPr>
              <w:spacing w:after="120"/>
              <w:ind w:firstLine="602"/>
              <w:rPr>
                <w:rFonts w:ascii="宋体" w:hAnsi="宋体"/>
                <w:b/>
                <w:bCs/>
                <w:color w:val="auto"/>
                <w:sz w:val="24"/>
                <w:highlight w:val="none"/>
              </w:rPr>
            </w:pPr>
          </w:p>
        </w:tc>
        <w:tc>
          <w:tcPr>
            <w:tcW w:w="1282" w:type="pct"/>
          </w:tcPr>
          <w:p w14:paraId="31E1BDF4">
            <w:pPr>
              <w:spacing w:after="120"/>
              <w:ind w:firstLine="602"/>
              <w:rPr>
                <w:rFonts w:ascii="宋体" w:hAnsi="宋体"/>
                <w:b/>
                <w:bCs/>
                <w:color w:val="auto"/>
                <w:sz w:val="24"/>
                <w:highlight w:val="none"/>
              </w:rPr>
            </w:pPr>
          </w:p>
        </w:tc>
        <w:tc>
          <w:tcPr>
            <w:tcW w:w="1152" w:type="pct"/>
            <w:vMerge w:val="continue"/>
          </w:tcPr>
          <w:p w14:paraId="793DC3A3">
            <w:pPr>
              <w:spacing w:after="120"/>
              <w:ind w:firstLine="602"/>
              <w:rPr>
                <w:rFonts w:ascii="宋体" w:hAnsi="宋体"/>
                <w:b/>
                <w:bCs/>
                <w:color w:val="auto"/>
                <w:sz w:val="24"/>
                <w:highlight w:val="none"/>
              </w:rPr>
            </w:pPr>
          </w:p>
        </w:tc>
      </w:tr>
      <w:tr w14:paraId="52FE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56B3DF9">
            <w:pPr>
              <w:spacing w:after="120"/>
              <w:ind w:firstLine="602"/>
              <w:rPr>
                <w:rFonts w:ascii="宋体" w:hAnsi="宋体"/>
                <w:b/>
                <w:bCs/>
                <w:color w:val="auto"/>
                <w:sz w:val="24"/>
                <w:highlight w:val="none"/>
              </w:rPr>
            </w:pPr>
          </w:p>
        </w:tc>
        <w:tc>
          <w:tcPr>
            <w:tcW w:w="1283" w:type="pct"/>
            <w:vAlign w:val="center"/>
          </w:tcPr>
          <w:p w14:paraId="15FA595D">
            <w:pPr>
              <w:spacing w:after="120"/>
              <w:ind w:firstLine="602"/>
              <w:rPr>
                <w:rFonts w:ascii="宋体" w:hAnsi="宋体"/>
                <w:b/>
                <w:bCs/>
                <w:color w:val="auto"/>
                <w:sz w:val="24"/>
                <w:highlight w:val="none"/>
              </w:rPr>
            </w:pPr>
          </w:p>
        </w:tc>
        <w:tc>
          <w:tcPr>
            <w:tcW w:w="1282" w:type="pct"/>
          </w:tcPr>
          <w:p w14:paraId="70774778">
            <w:pPr>
              <w:spacing w:after="120"/>
              <w:ind w:firstLine="602"/>
              <w:rPr>
                <w:rFonts w:ascii="宋体" w:hAnsi="宋体"/>
                <w:b/>
                <w:bCs/>
                <w:color w:val="auto"/>
                <w:sz w:val="24"/>
                <w:highlight w:val="none"/>
              </w:rPr>
            </w:pPr>
          </w:p>
        </w:tc>
        <w:tc>
          <w:tcPr>
            <w:tcW w:w="1152" w:type="pct"/>
            <w:vMerge w:val="continue"/>
          </w:tcPr>
          <w:p w14:paraId="106204F6">
            <w:pPr>
              <w:spacing w:after="120"/>
              <w:ind w:firstLine="602"/>
              <w:rPr>
                <w:rFonts w:ascii="宋体" w:hAnsi="宋体"/>
                <w:b/>
                <w:bCs/>
                <w:color w:val="auto"/>
                <w:sz w:val="24"/>
                <w:highlight w:val="none"/>
              </w:rPr>
            </w:pPr>
          </w:p>
        </w:tc>
      </w:tr>
      <w:tr w14:paraId="0B7A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2FE50A94">
            <w:pPr>
              <w:spacing w:after="120"/>
              <w:ind w:firstLine="602"/>
              <w:rPr>
                <w:rFonts w:ascii="宋体" w:hAnsi="宋体"/>
                <w:b/>
                <w:bCs/>
                <w:color w:val="auto"/>
                <w:sz w:val="24"/>
                <w:highlight w:val="none"/>
              </w:rPr>
            </w:pPr>
          </w:p>
        </w:tc>
        <w:tc>
          <w:tcPr>
            <w:tcW w:w="1283" w:type="pct"/>
            <w:vAlign w:val="center"/>
          </w:tcPr>
          <w:p w14:paraId="499CAF99">
            <w:pPr>
              <w:spacing w:after="120"/>
              <w:ind w:firstLine="602"/>
              <w:rPr>
                <w:rFonts w:ascii="宋体" w:hAnsi="宋体"/>
                <w:b/>
                <w:bCs/>
                <w:color w:val="auto"/>
                <w:sz w:val="24"/>
                <w:highlight w:val="none"/>
              </w:rPr>
            </w:pPr>
          </w:p>
        </w:tc>
        <w:tc>
          <w:tcPr>
            <w:tcW w:w="1282" w:type="pct"/>
          </w:tcPr>
          <w:p w14:paraId="7E02EB7E">
            <w:pPr>
              <w:spacing w:after="120"/>
              <w:ind w:firstLine="602"/>
              <w:rPr>
                <w:rFonts w:ascii="宋体" w:hAnsi="宋体"/>
                <w:b/>
                <w:bCs/>
                <w:color w:val="auto"/>
                <w:sz w:val="24"/>
                <w:highlight w:val="none"/>
              </w:rPr>
            </w:pPr>
          </w:p>
        </w:tc>
        <w:tc>
          <w:tcPr>
            <w:tcW w:w="1152" w:type="pct"/>
            <w:vMerge w:val="continue"/>
          </w:tcPr>
          <w:p w14:paraId="721658BB">
            <w:pPr>
              <w:spacing w:after="120"/>
              <w:ind w:firstLine="602"/>
              <w:rPr>
                <w:rFonts w:ascii="宋体" w:hAnsi="宋体"/>
                <w:b/>
                <w:bCs/>
                <w:color w:val="auto"/>
                <w:sz w:val="24"/>
                <w:highlight w:val="none"/>
              </w:rPr>
            </w:pPr>
          </w:p>
        </w:tc>
      </w:tr>
      <w:tr w14:paraId="4F34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9E0E722">
            <w:pPr>
              <w:spacing w:after="120"/>
              <w:ind w:firstLine="602"/>
              <w:rPr>
                <w:rFonts w:ascii="宋体" w:hAnsi="宋体"/>
                <w:b/>
                <w:bCs/>
                <w:color w:val="auto"/>
                <w:sz w:val="24"/>
                <w:highlight w:val="none"/>
              </w:rPr>
            </w:pPr>
          </w:p>
        </w:tc>
        <w:tc>
          <w:tcPr>
            <w:tcW w:w="1283" w:type="pct"/>
            <w:vAlign w:val="center"/>
          </w:tcPr>
          <w:p w14:paraId="3CFA2E88">
            <w:pPr>
              <w:spacing w:after="120"/>
              <w:ind w:firstLine="602"/>
              <w:rPr>
                <w:rFonts w:ascii="宋体" w:hAnsi="宋体"/>
                <w:b/>
                <w:bCs/>
                <w:color w:val="auto"/>
                <w:sz w:val="24"/>
                <w:highlight w:val="none"/>
              </w:rPr>
            </w:pPr>
          </w:p>
        </w:tc>
        <w:tc>
          <w:tcPr>
            <w:tcW w:w="1282" w:type="pct"/>
          </w:tcPr>
          <w:p w14:paraId="41F4B8A7">
            <w:pPr>
              <w:spacing w:after="120"/>
              <w:ind w:firstLine="602"/>
              <w:rPr>
                <w:rFonts w:ascii="宋体" w:hAnsi="宋体"/>
                <w:b/>
                <w:bCs/>
                <w:color w:val="auto"/>
                <w:sz w:val="24"/>
                <w:highlight w:val="none"/>
              </w:rPr>
            </w:pPr>
          </w:p>
        </w:tc>
        <w:tc>
          <w:tcPr>
            <w:tcW w:w="1152" w:type="pct"/>
            <w:vMerge w:val="continue"/>
          </w:tcPr>
          <w:p w14:paraId="488DA3BF">
            <w:pPr>
              <w:spacing w:after="120"/>
              <w:ind w:firstLine="602"/>
              <w:rPr>
                <w:rFonts w:ascii="宋体" w:hAnsi="宋体"/>
                <w:b/>
                <w:bCs/>
                <w:color w:val="auto"/>
                <w:sz w:val="24"/>
                <w:highlight w:val="none"/>
              </w:rPr>
            </w:pPr>
          </w:p>
        </w:tc>
      </w:tr>
      <w:tr w14:paraId="5401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DBB952F">
            <w:pPr>
              <w:spacing w:after="120"/>
              <w:ind w:firstLine="602"/>
              <w:rPr>
                <w:rFonts w:ascii="宋体" w:hAnsi="宋体"/>
                <w:b/>
                <w:bCs/>
                <w:color w:val="auto"/>
                <w:sz w:val="24"/>
                <w:highlight w:val="none"/>
              </w:rPr>
            </w:pPr>
          </w:p>
        </w:tc>
        <w:tc>
          <w:tcPr>
            <w:tcW w:w="1283" w:type="pct"/>
            <w:vAlign w:val="center"/>
          </w:tcPr>
          <w:p w14:paraId="56C1B32C">
            <w:pPr>
              <w:spacing w:after="120"/>
              <w:ind w:firstLine="602"/>
              <w:rPr>
                <w:rFonts w:ascii="宋体" w:hAnsi="宋体"/>
                <w:b/>
                <w:bCs/>
                <w:color w:val="auto"/>
                <w:sz w:val="24"/>
                <w:highlight w:val="none"/>
              </w:rPr>
            </w:pPr>
          </w:p>
        </w:tc>
        <w:tc>
          <w:tcPr>
            <w:tcW w:w="1282" w:type="pct"/>
          </w:tcPr>
          <w:p w14:paraId="5BD9475E">
            <w:pPr>
              <w:spacing w:after="120"/>
              <w:ind w:firstLine="602"/>
              <w:rPr>
                <w:rFonts w:ascii="宋体" w:hAnsi="宋体"/>
                <w:b/>
                <w:bCs/>
                <w:color w:val="auto"/>
                <w:sz w:val="24"/>
                <w:highlight w:val="none"/>
              </w:rPr>
            </w:pPr>
          </w:p>
        </w:tc>
        <w:tc>
          <w:tcPr>
            <w:tcW w:w="1152" w:type="pct"/>
            <w:vMerge w:val="continue"/>
          </w:tcPr>
          <w:p w14:paraId="7DDCF9C6">
            <w:pPr>
              <w:spacing w:after="120"/>
              <w:ind w:firstLine="602"/>
              <w:rPr>
                <w:rFonts w:ascii="宋体" w:hAnsi="宋体"/>
                <w:b/>
                <w:bCs/>
                <w:color w:val="auto"/>
                <w:sz w:val="24"/>
                <w:highlight w:val="none"/>
              </w:rPr>
            </w:pPr>
          </w:p>
        </w:tc>
      </w:tr>
      <w:tr w14:paraId="6E2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3A1FDE5">
            <w:pPr>
              <w:spacing w:after="120"/>
              <w:ind w:firstLine="602"/>
              <w:rPr>
                <w:rFonts w:ascii="宋体" w:hAnsi="宋体"/>
                <w:b/>
                <w:bCs/>
                <w:color w:val="auto"/>
                <w:sz w:val="24"/>
                <w:highlight w:val="none"/>
              </w:rPr>
            </w:pPr>
          </w:p>
        </w:tc>
        <w:tc>
          <w:tcPr>
            <w:tcW w:w="1283" w:type="pct"/>
            <w:vAlign w:val="center"/>
          </w:tcPr>
          <w:p w14:paraId="6BB13B94">
            <w:pPr>
              <w:spacing w:after="120"/>
              <w:ind w:firstLine="602"/>
              <w:rPr>
                <w:rFonts w:ascii="宋体" w:hAnsi="宋体"/>
                <w:b/>
                <w:bCs/>
                <w:color w:val="auto"/>
                <w:sz w:val="24"/>
                <w:highlight w:val="none"/>
              </w:rPr>
            </w:pPr>
          </w:p>
        </w:tc>
        <w:tc>
          <w:tcPr>
            <w:tcW w:w="1282" w:type="pct"/>
          </w:tcPr>
          <w:p w14:paraId="782581B0">
            <w:pPr>
              <w:spacing w:after="120"/>
              <w:ind w:firstLine="602"/>
              <w:rPr>
                <w:rFonts w:ascii="宋体" w:hAnsi="宋体"/>
                <w:b/>
                <w:bCs/>
                <w:color w:val="auto"/>
                <w:sz w:val="24"/>
                <w:highlight w:val="none"/>
              </w:rPr>
            </w:pPr>
          </w:p>
        </w:tc>
        <w:tc>
          <w:tcPr>
            <w:tcW w:w="1152" w:type="pct"/>
            <w:vMerge w:val="continue"/>
          </w:tcPr>
          <w:p w14:paraId="59F73085">
            <w:pPr>
              <w:spacing w:after="120"/>
              <w:ind w:firstLine="602"/>
              <w:rPr>
                <w:rFonts w:ascii="宋体" w:hAnsi="宋体"/>
                <w:b/>
                <w:bCs/>
                <w:color w:val="auto"/>
                <w:sz w:val="24"/>
                <w:highlight w:val="none"/>
              </w:rPr>
            </w:pPr>
          </w:p>
        </w:tc>
      </w:tr>
      <w:tr w14:paraId="761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3F6FDCD">
            <w:pPr>
              <w:spacing w:after="120"/>
              <w:ind w:firstLine="602"/>
              <w:rPr>
                <w:rFonts w:ascii="宋体" w:hAnsi="宋体"/>
                <w:b/>
                <w:bCs/>
                <w:color w:val="auto"/>
                <w:sz w:val="24"/>
                <w:highlight w:val="none"/>
              </w:rPr>
            </w:pPr>
          </w:p>
        </w:tc>
        <w:tc>
          <w:tcPr>
            <w:tcW w:w="1283" w:type="pct"/>
            <w:vAlign w:val="center"/>
          </w:tcPr>
          <w:p w14:paraId="6C17BC96">
            <w:pPr>
              <w:spacing w:after="120"/>
              <w:ind w:firstLine="602"/>
              <w:rPr>
                <w:rFonts w:ascii="宋体" w:hAnsi="宋体"/>
                <w:b/>
                <w:bCs/>
                <w:color w:val="auto"/>
                <w:sz w:val="24"/>
                <w:highlight w:val="none"/>
              </w:rPr>
            </w:pPr>
          </w:p>
        </w:tc>
        <w:tc>
          <w:tcPr>
            <w:tcW w:w="1282" w:type="pct"/>
          </w:tcPr>
          <w:p w14:paraId="4E0EB12B">
            <w:pPr>
              <w:spacing w:after="120"/>
              <w:ind w:firstLine="602"/>
              <w:rPr>
                <w:rFonts w:ascii="宋体" w:hAnsi="宋体"/>
                <w:b/>
                <w:bCs/>
                <w:color w:val="auto"/>
                <w:sz w:val="24"/>
                <w:highlight w:val="none"/>
              </w:rPr>
            </w:pPr>
          </w:p>
        </w:tc>
        <w:tc>
          <w:tcPr>
            <w:tcW w:w="1152" w:type="pct"/>
            <w:vMerge w:val="continue"/>
          </w:tcPr>
          <w:p w14:paraId="6D2B4675">
            <w:pPr>
              <w:spacing w:after="120"/>
              <w:ind w:firstLine="602"/>
              <w:rPr>
                <w:rFonts w:ascii="宋体" w:hAnsi="宋体"/>
                <w:b/>
                <w:bCs/>
                <w:color w:val="auto"/>
                <w:sz w:val="24"/>
                <w:highlight w:val="none"/>
              </w:rPr>
            </w:pPr>
          </w:p>
        </w:tc>
      </w:tr>
      <w:tr w14:paraId="52D0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pct"/>
            <w:gridSpan w:val="2"/>
            <w:vAlign w:val="center"/>
          </w:tcPr>
          <w:p w14:paraId="4CE19113">
            <w:pPr>
              <w:widowControl/>
              <w:rPr>
                <w:rFonts w:ascii="宋体" w:hAnsi="宋体"/>
                <w:color w:val="auto"/>
                <w:kern w:val="0"/>
                <w:sz w:val="24"/>
                <w:highlight w:val="none"/>
              </w:rPr>
            </w:pPr>
            <w:r>
              <w:rPr>
                <w:rFonts w:hint="eastAsia" w:ascii="宋体" w:hAnsi="宋体" w:cs="宋体"/>
                <w:color w:val="auto"/>
                <w:kern w:val="0"/>
                <w:sz w:val="24"/>
                <w:highlight w:val="none"/>
              </w:rPr>
              <w:t>拟分包工程造价合计（万元）</w:t>
            </w:r>
          </w:p>
        </w:tc>
        <w:tc>
          <w:tcPr>
            <w:tcW w:w="1282" w:type="pct"/>
          </w:tcPr>
          <w:p w14:paraId="4D7EC4D0">
            <w:pPr>
              <w:spacing w:after="120"/>
              <w:ind w:firstLine="602"/>
              <w:rPr>
                <w:rFonts w:ascii="宋体" w:hAnsi="宋体"/>
                <w:b/>
                <w:bCs/>
                <w:color w:val="auto"/>
                <w:sz w:val="24"/>
                <w:highlight w:val="none"/>
              </w:rPr>
            </w:pPr>
          </w:p>
        </w:tc>
        <w:tc>
          <w:tcPr>
            <w:tcW w:w="1152" w:type="pct"/>
            <w:vMerge w:val="continue"/>
          </w:tcPr>
          <w:p w14:paraId="1D2E8526">
            <w:pPr>
              <w:spacing w:after="120"/>
              <w:ind w:firstLine="602"/>
              <w:rPr>
                <w:rFonts w:ascii="宋体" w:hAnsi="宋体"/>
                <w:b/>
                <w:bCs/>
                <w:color w:val="auto"/>
                <w:sz w:val="24"/>
                <w:highlight w:val="none"/>
              </w:rPr>
            </w:pPr>
          </w:p>
        </w:tc>
      </w:tr>
    </w:tbl>
    <w:p w14:paraId="0B098B08">
      <w:pPr>
        <w:spacing w:after="120"/>
        <w:rPr>
          <w:rFonts w:ascii="宋体" w:hAnsi="宋体" w:cs="宋体"/>
          <w:color w:val="auto"/>
          <w:kern w:val="0"/>
          <w:sz w:val="24"/>
          <w:highlight w:val="none"/>
        </w:rPr>
      </w:pPr>
      <w:r>
        <w:rPr>
          <w:rFonts w:hint="eastAsia" w:ascii="宋体" w:hAnsi="宋体" w:cs="宋体"/>
          <w:color w:val="auto"/>
          <w:kern w:val="0"/>
          <w:sz w:val="24"/>
          <w:highlight w:val="none"/>
        </w:rPr>
        <w:t>注</w:t>
      </w:r>
      <w:r>
        <w:rPr>
          <w:rFonts w:ascii="宋体" w:hAnsi="宋体" w:cs="宋体"/>
          <w:color w:val="auto"/>
          <w:kern w:val="0"/>
          <w:sz w:val="24"/>
          <w:highlight w:val="none"/>
        </w:rPr>
        <w:t>：</w:t>
      </w:r>
      <w:r>
        <w:rPr>
          <w:rFonts w:hint="eastAsia" w:ascii="宋体" w:hAnsi="宋体" w:cs="宋体"/>
          <w:color w:val="auto"/>
          <w:kern w:val="0"/>
          <w:sz w:val="24"/>
          <w:highlight w:val="none"/>
        </w:rPr>
        <w:t>本项目允许对摄影、摄像、场地布置工作分包。</w:t>
      </w:r>
    </w:p>
    <w:p w14:paraId="5007E3A6">
      <w:pPr>
        <w:widowControl/>
        <w:jc w:val="left"/>
        <w:rPr>
          <w:rFonts w:cs="宋体" w:asciiTheme="minorEastAsia" w:hAnsiTheme="minorEastAsia" w:eastAsiaTheme="minorEastAsia"/>
          <w:b/>
          <w:color w:val="auto"/>
          <w:sz w:val="36"/>
          <w:szCs w:val="36"/>
          <w:highlight w:val="none"/>
        </w:rPr>
      </w:pPr>
      <w:r>
        <w:rPr>
          <w:rFonts w:cs="宋体" w:asciiTheme="minorEastAsia" w:hAnsiTheme="minorEastAsia" w:eastAsiaTheme="minorEastAsia"/>
          <w:b/>
          <w:color w:val="auto"/>
          <w:sz w:val="36"/>
          <w:szCs w:val="36"/>
          <w:highlight w:val="none"/>
        </w:rPr>
        <w:br w:type="page"/>
      </w:r>
    </w:p>
    <w:p w14:paraId="2F15CBF5">
      <w:pPr>
        <w:spacing w:line="360" w:lineRule="auto"/>
        <w:rPr>
          <w:rFonts w:ascii="宋体" w:hAnsi="宋体" w:cs="宋体"/>
          <w:b/>
          <w:color w:val="auto"/>
          <w:sz w:val="24"/>
          <w:highlight w:val="none"/>
        </w:rPr>
      </w:pPr>
    </w:p>
    <w:p w14:paraId="59FE9D67">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2025年度南通市公路事业发展中心应急演练项目</w:t>
      </w:r>
      <w:r>
        <w:rPr>
          <w:rFonts w:hint="eastAsia" w:ascii="宋体" w:hAnsi="宋体" w:eastAsia="宋体" w:cs="宋体"/>
          <w:b/>
          <w:color w:val="auto"/>
          <w:sz w:val="32"/>
          <w:szCs w:val="32"/>
          <w:highlight w:val="none"/>
        </w:rPr>
        <w:t>廉政合同</w:t>
      </w:r>
    </w:p>
    <w:p w14:paraId="5364E0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根据交通</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与乙方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特订立如下合同。</w:t>
      </w:r>
    </w:p>
    <w:p w14:paraId="27BD64B5">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第一条</w:t>
      </w:r>
      <w:r>
        <w:rPr>
          <w:rFonts w:hint="eastAsia" w:ascii="宋体" w:hAnsi="宋体" w:cs="宋体"/>
          <w:color w:val="auto"/>
          <w:sz w:val="24"/>
          <w:highlight w:val="none"/>
        </w:rPr>
        <w:t>甲乙双方的权利和义务</w:t>
      </w:r>
    </w:p>
    <w:p w14:paraId="258E03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（一）严格遵守国家有关法律法规及交通运输部的有关规定。</w:t>
      </w:r>
    </w:p>
    <w:p w14:paraId="750C92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的合同文件，自觉按合同办事。</w:t>
      </w:r>
    </w:p>
    <w:p w14:paraId="317FB9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第二条</w:t>
      </w:r>
      <w:r>
        <w:rPr>
          <w:rFonts w:hint="eastAsia" w:ascii="宋体" w:hAnsi="宋体" w:cs="宋体"/>
          <w:color w:val="auto"/>
          <w:sz w:val="24"/>
          <w:highlight w:val="none"/>
        </w:rPr>
        <w:t>甲方的义务</w:t>
      </w:r>
    </w:p>
    <w:p w14:paraId="150638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（一）甲方作为工程项目的建设单位，认真履行合同规定的甲方责任。</w:t>
      </w:r>
    </w:p>
    <w:p w14:paraId="5AABD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（五）甲方工作人员的配偶、子女不得从事与甲方工程有关的项目。</w:t>
      </w:r>
    </w:p>
    <w:p w14:paraId="2511D61E">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第三条</w:t>
      </w:r>
      <w:r>
        <w:rPr>
          <w:rFonts w:hint="eastAsia" w:ascii="宋体" w:hAnsi="宋体" w:cs="宋体"/>
          <w:color w:val="auto"/>
          <w:sz w:val="24"/>
          <w:highlight w:val="none"/>
        </w:rPr>
        <w:t>乙方的义务</w:t>
      </w:r>
    </w:p>
    <w:p w14:paraId="1BF00A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（一）乙方不得以任何理由向甲方及其工作人员行贿或馈赠礼金、有价证券、贵重礼品。</w:t>
      </w:r>
    </w:p>
    <w:p w14:paraId="71C709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（三）乙方不得以任何理由安排甲方工作人员参加超标准宴请及娱乐活动。</w:t>
      </w:r>
    </w:p>
    <w:p w14:paraId="615FC7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（四）乙方不得为甲方单位和个人购置或提供通讯工具、交通工具和高档办公用品等。</w:t>
      </w:r>
    </w:p>
    <w:p w14:paraId="346147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（六）乙方及其工作人员必须严格按照规程办事，不得损害甲方利益。</w:t>
      </w:r>
    </w:p>
    <w:p w14:paraId="7B0E2E7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第四条</w:t>
      </w:r>
      <w:r>
        <w:rPr>
          <w:rFonts w:hint="eastAsia" w:ascii="宋体" w:hAnsi="宋体" w:cs="宋体"/>
          <w:color w:val="auto"/>
          <w:sz w:val="24"/>
          <w:highlight w:val="none"/>
        </w:rPr>
        <w:t>违约责任</w:t>
      </w:r>
    </w:p>
    <w:p w14:paraId="3413F0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第五条</w:t>
      </w:r>
      <w:r>
        <w:rPr>
          <w:rFonts w:hint="eastAsia" w:ascii="宋体" w:hAnsi="宋体" w:cs="宋体"/>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第六条</w:t>
      </w:r>
      <w:r>
        <w:rPr>
          <w:rFonts w:hint="eastAsia" w:ascii="宋体" w:hAnsi="宋体" w:cs="宋体"/>
          <w:color w:val="auto"/>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第七条</w:t>
      </w:r>
      <w:r>
        <w:rPr>
          <w:rFonts w:hint="eastAsia" w:ascii="宋体" w:hAnsi="宋体" w:cs="宋体"/>
          <w:color w:val="auto"/>
          <w:sz w:val="24"/>
          <w:highlight w:val="none"/>
        </w:rPr>
        <w:t>本合同作为</w:t>
      </w:r>
      <w:r>
        <w:rPr>
          <w:rFonts w:hint="eastAsia" w:ascii="宋体" w:hAnsi="宋体" w:cs="宋体"/>
          <w:color w:val="auto"/>
          <w:sz w:val="24"/>
          <w:highlight w:val="none"/>
          <w:lang w:eastAsia="zh-CN"/>
        </w:rPr>
        <w:t>2025年度南通市公路事业发展中心应急演练项目</w:t>
      </w:r>
      <w:r>
        <w:rPr>
          <w:rFonts w:hint="eastAsia" w:ascii="宋体" w:hAnsi="宋体" w:cs="宋体"/>
          <w:color w:val="auto"/>
          <w:sz w:val="24"/>
          <w:highlight w:val="none"/>
        </w:rPr>
        <w:t>合同的附件，与</w:t>
      </w:r>
      <w:r>
        <w:rPr>
          <w:rFonts w:hint="eastAsia" w:ascii="宋体" w:hAnsi="宋体" w:cs="宋体"/>
          <w:color w:val="auto"/>
          <w:sz w:val="24"/>
          <w:highlight w:val="none"/>
          <w:lang w:eastAsia="zh-CN"/>
        </w:rPr>
        <w:t>2025年度南通市公路事业发展中心应急演练项目</w:t>
      </w:r>
      <w:r>
        <w:rPr>
          <w:rFonts w:hint="eastAsia" w:ascii="宋体" w:hAnsi="宋体" w:cs="宋体"/>
          <w:color w:val="auto"/>
          <w:sz w:val="24"/>
          <w:highlight w:val="none"/>
        </w:rPr>
        <w:t>合同具有同等的法律效力，经合同双方签署立即生效。</w:t>
      </w:r>
    </w:p>
    <w:p w14:paraId="3D6701A9">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第八条</w:t>
      </w:r>
      <w:r>
        <w:rPr>
          <w:rFonts w:hint="eastAsia" w:ascii="宋体" w:hAnsi="宋体" w:cs="宋体"/>
          <w:color w:val="auto"/>
          <w:sz w:val="24"/>
          <w:highlight w:val="none"/>
        </w:rPr>
        <w:t>本合同一式六份，双方各执三份。</w:t>
      </w:r>
    </w:p>
    <w:p w14:paraId="4BB20B68">
      <w:pPr>
        <w:spacing w:line="360" w:lineRule="auto"/>
        <w:rPr>
          <w:rFonts w:ascii="宋体" w:hAnsi="宋体" w:cs="宋体"/>
          <w:color w:val="auto"/>
          <w:sz w:val="24"/>
          <w:highlight w:val="none"/>
        </w:rPr>
      </w:pPr>
    </w:p>
    <w:p w14:paraId="720B6A1B">
      <w:pPr>
        <w:spacing w:line="360" w:lineRule="auto"/>
        <w:rPr>
          <w:rFonts w:ascii="宋体" w:hAnsi="宋体" w:cs="宋体"/>
          <w:color w:val="auto"/>
          <w:sz w:val="24"/>
          <w:highlight w:val="none"/>
        </w:rPr>
      </w:pPr>
    </w:p>
    <w:p w14:paraId="6ADD94F7">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（盖单位章）                     乙方：（盖单位章）</w:t>
      </w:r>
    </w:p>
    <w:p w14:paraId="6E46EDB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32BF0CE">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7610B367">
      <w:pPr>
        <w:spacing w:line="360" w:lineRule="auto"/>
        <w:jc w:val="left"/>
        <w:rPr>
          <w:rFonts w:ascii="宋体" w:hAnsi="宋体" w:cs="宋体"/>
          <w:color w:val="auto"/>
          <w:sz w:val="24"/>
          <w:highlight w:val="none"/>
        </w:rPr>
      </w:pPr>
    </w:p>
    <w:p w14:paraId="42199C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0B3C7C43">
      <w:pPr>
        <w:rPr>
          <w:rFonts w:ascii="宋体" w:hAnsi="宋体" w:cs="宋体"/>
          <w:color w:val="auto"/>
          <w:sz w:val="36"/>
          <w:szCs w:val="36"/>
          <w:highlight w:val="none"/>
        </w:rPr>
        <w:sectPr>
          <w:footerReference r:id="rId4" w:type="default"/>
          <w:pgSz w:w="11905" w:h="16838"/>
          <w:pgMar w:top="1429" w:right="1429" w:bottom="1429" w:left="1429" w:header="850" w:footer="992" w:gutter="0"/>
          <w:cols w:space="0" w:num="1"/>
          <w:rtlGutter w:val="0"/>
          <w:docGrid w:linePitch="360" w:charSpace="0"/>
        </w:sectPr>
      </w:pPr>
    </w:p>
    <w:p w14:paraId="62296353">
      <w:pPr>
        <w:spacing w:line="360" w:lineRule="auto"/>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2025年度南通市公路事业发展中心应急演练项目安全生产合同</w:t>
      </w:r>
    </w:p>
    <w:p w14:paraId="4DA00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为在</w:t>
      </w:r>
      <w:r>
        <w:rPr>
          <w:rFonts w:hint="eastAsia" w:ascii="宋体" w:hAnsi="宋体" w:cs="宋体"/>
          <w:color w:val="auto"/>
          <w:sz w:val="24"/>
          <w:szCs w:val="24"/>
          <w:highlight w:val="none"/>
          <w:lang w:eastAsia="zh-CN"/>
        </w:rPr>
        <w:t>2025年度南通市公路事业发展中心应急演练项目</w:t>
      </w:r>
      <w:r>
        <w:rPr>
          <w:rFonts w:hint="eastAsia" w:ascii="宋体" w:hAnsi="宋体" w:cs="宋体"/>
          <w:color w:val="auto"/>
          <w:sz w:val="24"/>
          <w:szCs w:val="24"/>
          <w:highlight w:val="none"/>
        </w:rPr>
        <w:t>合同的实施过程中创造安全、高效的检测环境，切实搞好本项目的安全管理工作，本项目委托人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18"/>
          <w:sz w:val="24"/>
          <w:szCs w:val="24"/>
          <w:highlight w:val="none"/>
          <w:u w:val="single"/>
        </w:rPr>
        <w:t>（委托人全称）</w:t>
      </w:r>
      <w:r>
        <w:rPr>
          <w:rFonts w:hint="eastAsia" w:ascii="宋体" w:hAnsi="宋体" w:cs="宋体"/>
          <w:color w:val="auto"/>
          <w:spacing w:val="18"/>
          <w:sz w:val="24"/>
          <w:szCs w:val="24"/>
          <w:highlight w:val="none"/>
        </w:rPr>
        <w:t>(以下简称“委托人”)</w:t>
      </w:r>
      <w:r>
        <w:rPr>
          <w:rFonts w:hint="eastAsia" w:ascii="宋体" w:hAnsi="宋体" w:cs="宋体"/>
          <w:color w:val="auto"/>
          <w:sz w:val="24"/>
          <w:szCs w:val="24"/>
          <w:highlight w:val="none"/>
        </w:rPr>
        <w:t>与受托人</w:t>
      </w:r>
    </w:p>
    <w:p w14:paraId="4DCDAA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（受托人名称，以下简称“受托人”）特此签订安全生产合同：</w:t>
      </w:r>
    </w:p>
    <w:p w14:paraId="4ACAA1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委托人职责</w:t>
      </w:r>
    </w:p>
    <w:p w14:paraId="268D2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（1）严格遵守国家有关安全生产的法律法规，认真执行工程承包合同中的有关安全要求。</w:t>
      </w:r>
    </w:p>
    <w:p w14:paraId="38B11B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（2）按照“安全第一、预防为主”和坚持“管生产必须管安全”的原则进行安全生产管理，做到生产与安全工作同时计划、布置、检查、总结和评比。</w:t>
      </w:r>
    </w:p>
    <w:p w14:paraId="6B6589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（3）重要的安全设施必须坚持与主体工程“三同时”的原则，即：同时设计、审批，同时施工，同时验收，投入使用。</w:t>
      </w:r>
    </w:p>
    <w:p w14:paraId="3C2F8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（4）定期召开安全生产调度会，及时传达</w:t>
      </w:r>
      <w:r>
        <w:rPr>
          <w:rFonts w:hint="eastAsia" w:ascii="宋体" w:hAnsi="宋体" w:cs="宋体"/>
          <w:color w:val="auto"/>
          <w:sz w:val="24"/>
          <w:szCs w:val="24"/>
          <w:highlight w:val="none"/>
          <w:lang w:eastAsia="zh-CN"/>
        </w:rPr>
        <w:t>中央和地方</w:t>
      </w:r>
      <w:r>
        <w:rPr>
          <w:rFonts w:hint="eastAsia" w:ascii="宋体" w:hAnsi="宋体" w:cs="宋体"/>
          <w:color w:val="auto"/>
          <w:sz w:val="24"/>
          <w:szCs w:val="24"/>
          <w:highlight w:val="none"/>
        </w:rPr>
        <w:t>有关安全生产的精神。</w:t>
      </w:r>
    </w:p>
    <w:p w14:paraId="56B1EF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（5）组织对受托人施工现场进行安全生产检查，监督受托人及时处理发现的各种安全隐患。</w:t>
      </w:r>
    </w:p>
    <w:p w14:paraId="1E7F4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受托人职责</w:t>
      </w:r>
    </w:p>
    <w:p w14:paraId="67B2B2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166CB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B554F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8005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（4）受托人在任何时候都应采取各种合理的预防措施，防止其员工发生任何违法、违禁、暴力或妨碍治安的行为。</w:t>
      </w:r>
    </w:p>
    <w:p w14:paraId="3835DF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受托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14:paraId="66F8F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对于易燃易爆的材料除应专门妥善保管之外，还应配备有足够的消防设施，所有检测人员都应熟悉消防设备的性能和使用方法；受托人不得将任何种类的爆炸物给予、易货或以其他方式转让给任何其他人，或允许、容忍上述同样行为。</w:t>
      </w:r>
    </w:p>
    <w:p w14:paraId="159F81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14:paraId="6A888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（8）所有检测机具设备和高空作业的设备均应定期检查，并有安全员的签字记录，保证其经常处于完好状态；不合格的机具、设备和劳动保护用品严禁使用。</w:t>
      </w:r>
    </w:p>
    <w:p w14:paraId="76BDA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（9）检测中采用新技术、新工艺、新设备、新材料时，必须制定相应的安全技术措施，检测现场必须具有相关的安全标志牌。</w:t>
      </w:r>
    </w:p>
    <w:p w14:paraId="6AFDB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2A389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（11）安全生产费用按照《公路水运工程安全生产监督管理办法》的相关规定使用和管理。</w:t>
      </w:r>
    </w:p>
    <w:p w14:paraId="464339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违约责任</w:t>
      </w:r>
    </w:p>
    <w:p w14:paraId="4B7D54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如因委托人或受托人违约造成安全事故，将依法追究责任。</w:t>
      </w:r>
    </w:p>
    <w:p w14:paraId="2850E0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本合同由双方法定代表人或其授权的代理人签署并加盖单位章后生效，</w:t>
      </w:r>
      <w:r>
        <w:rPr>
          <w:rFonts w:hint="eastAsia" w:ascii="宋体" w:hAnsi="宋体" w:cs="宋体"/>
          <w:color w:val="auto"/>
          <w:sz w:val="24"/>
          <w:szCs w:val="24"/>
          <w:highlight w:val="none"/>
        </w:rPr>
        <w:t>全部工程验收后</w:t>
      </w:r>
      <w:r>
        <w:rPr>
          <w:rFonts w:hint="eastAsia" w:ascii="宋体" w:hAnsi="宋体" w:cs="宋体"/>
          <w:color w:val="auto"/>
          <w:sz w:val="24"/>
          <w:szCs w:val="24"/>
          <w:highlight w:val="none"/>
          <w:lang w:val="en-US" w:eastAsia="zh-CN"/>
        </w:rPr>
        <w:t>终止</w:t>
      </w:r>
      <w:r>
        <w:rPr>
          <w:rFonts w:hint="eastAsia" w:ascii="宋体" w:hAnsi="宋体" w:cs="宋体"/>
          <w:color w:val="auto"/>
          <w:sz w:val="24"/>
          <w:szCs w:val="24"/>
          <w:highlight w:val="none"/>
        </w:rPr>
        <w:t>。</w:t>
      </w:r>
    </w:p>
    <w:p w14:paraId="7C174ABE">
      <w:pPr>
        <w:spacing w:line="360" w:lineRule="auto"/>
        <w:ind w:firstLine="480"/>
        <w:rPr>
          <w:rFonts w:ascii="宋体" w:hAnsi="宋体" w:cs="宋体"/>
          <w:color w:val="auto"/>
          <w:sz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highlight w:val="none"/>
        </w:rPr>
        <w:t>本合同一式六份，双方各执三份。</w:t>
      </w:r>
    </w:p>
    <w:p w14:paraId="31186B8E">
      <w:pPr>
        <w:spacing w:line="360" w:lineRule="auto"/>
        <w:rPr>
          <w:rFonts w:ascii="宋体" w:hAnsi="宋体" w:cs="宋体"/>
          <w:color w:val="auto"/>
          <w:sz w:val="24"/>
          <w:highlight w:val="none"/>
        </w:rPr>
      </w:pPr>
    </w:p>
    <w:p w14:paraId="34D71B12">
      <w:pPr>
        <w:spacing w:line="360" w:lineRule="auto"/>
        <w:rPr>
          <w:rFonts w:ascii="宋体" w:hAnsi="宋体" w:cs="宋体"/>
          <w:color w:val="auto"/>
          <w:sz w:val="24"/>
          <w:highlight w:val="none"/>
        </w:rPr>
      </w:pPr>
    </w:p>
    <w:p w14:paraId="261E22CC">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（盖单位章）                     乙方：（盖单位章）</w:t>
      </w:r>
    </w:p>
    <w:p w14:paraId="5D23F1F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09B6826">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15A19C8A">
      <w:pPr>
        <w:spacing w:line="360" w:lineRule="auto"/>
        <w:jc w:val="left"/>
        <w:rPr>
          <w:rFonts w:ascii="宋体" w:hAnsi="宋体" w:cs="宋体"/>
          <w:color w:val="auto"/>
          <w:sz w:val="24"/>
          <w:highlight w:val="none"/>
        </w:rPr>
      </w:pPr>
    </w:p>
    <w:p w14:paraId="2F84DFA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05AAABED">
      <w:pPr>
        <w:rPr>
          <w:rFonts w:ascii="宋体" w:hAnsi="宋体" w:cs="宋体"/>
          <w:color w:val="auto"/>
          <w:sz w:val="36"/>
          <w:szCs w:val="36"/>
          <w:highlight w:val="none"/>
        </w:rPr>
        <w:sectPr>
          <w:pgSz w:w="11905" w:h="16838"/>
          <w:pgMar w:top="1429" w:right="1429" w:bottom="1429" w:left="1429" w:header="850" w:footer="992" w:gutter="0"/>
          <w:cols w:space="0" w:num="1"/>
          <w:rtlGutter w:val="0"/>
          <w:docGrid w:linePitch="360" w:charSpace="0"/>
        </w:sectPr>
      </w:pPr>
    </w:p>
    <w:p w14:paraId="4673903E">
      <w:pPr>
        <w:adjustRightInd w:val="0"/>
        <w:snapToGrid w:val="0"/>
        <w:spacing w:line="360" w:lineRule="auto"/>
        <w:ind w:firstLine="723" w:firstLineChars="200"/>
        <w:jc w:val="center"/>
        <w:rPr>
          <w:rFonts w:ascii="宋体" w:hAnsi="宋体" w:cs="宋体"/>
          <w:color w:val="auto"/>
          <w:sz w:val="28"/>
          <w:szCs w:val="28"/>
          <w:highlight w:val="none"/>
        </w:rPr>
      </w:pPr>
      <w:r>
        <w:rPr>
          <w:rFonts w:hint="eastAsia" w:ascii="宋体" w:hAnsi="宋体" w:cs="宋体"/>
          <w:b/>
          <w:color w:val="auto"/>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一、质疑的提出</w:t>
      </w:r>
    </w:p>
    <w:p w14:paraId="2D1DB9CF">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1.质疑</w:t>
      </w:r>
      <w:r>
        <w:rPr>
          <w:rFonts w:hint="eastAsia" w:ascii="宋体" w:hAnsi="宋体" w:cs="宋体"/>
          <w:color w:val="auto"/>
          <w:kern w:val="0"/>
          <w:sz w:val="24"/>
          <w:highlight w:val="none"/>
        </w:rPr>
        <w:t>应</w:t>
      </w:r>
      <w:r>
        <w:rPr>
          <w:rFonts w:hint="eastAsia" w:ascii="宋体" w:hAnsi="宋体" w:cs="宋体"/>
          <w:color w:val="auto"/>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人。</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供应商认为采购文件使自己的权益受到损害的，可以按照</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三、质疑处理</w:t>
      </w:r>
    </w:p>
    <w:p w14:paraId="4AD88EA4">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3.虚假质疑的处理          </w:t>
      </w:r>
    </w:p>
    <w:p w14:paraId="16770E63">
      <w:pPr>
        <w:pStyle w:val="3"/>
        <w:adjustRightInd w:val="0"/>
        <w:snapToGrid w:val="0"/>
        <w:spacing w:after="0" w:line="360" w:lineRule="auto"/>
        <w:ind w:left="0" w:leftChars="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color w:val="auto"/>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color w:val="auto"/>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color w:val="auto"/>
          <w:sz w:val="36"/>
          <w:szCs w:val="36"/>
          <w:highlight w:val="none"/>
          <w:lang w:val="zh-CN"/>
        </w:rPr>
      </w:pPr>
    </w:p>
    <w:p w14:paraId="0B157812">
      <w:pPr>
        <w:widowControl/>
        <w:jc w:val="center"/>
        <w:rPr>
          <w:rFonts w:ascii="宋体" w:hAnsi="宋体" w:cs="宋体"/>
          <w:bCs/>
          <w:color w:val="auto"/>
          <w:sz w:val="44"/>
          <w:szCs w:val="44"/>
          <w:highlight w:val="none"/>
        </w:rPr>
      </w:pPr>
      <w:r>
        <w:rPr>
          <w:rFonts w:hint="eastAsia" w:ascii="宋体" w:hAnsi="宋体" w:cs="宋体"/>
          <w:b/>
          <w:bCs/>
          <w:color w:val="auto"/>
          <w:sz w:val="36"/>
          <w:szCs w:val="36"/>
          <w:highlight w:val="none"/>
          <w:lang w:val="zh-CN"/>
        </w:rPr>
        <w:br w:type="page"/>
      </w:r>
      <w:r>
        <w:rPr>
          <w:rFonts w:hint="eastAsia" w:ascii="宋体" w:hAnsi="宋体" w:cs="宋体"/>
          <w:bCs/>
          <w:color w:val="auto"/>
          <w:sz w:val="44"/>
          <w:szCs w:val="44"/>
          <w:highlight w:val="none"/>
        </w:rPr>
        <w:t>质疑函范本</w:t>
      </w:r>
    </w:p>
    <w:p w14:paraId="5856EB40">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F75B50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75C5A5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0F0A136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             联系电话：</w:t>
      </w:r>
    </w:p>
    <w:p w14:paraId="6CD365B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6F58E7C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52A559C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04B04EBC">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7E2F5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67CFE2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     包号：</w:t>
      </w:r>
    </w:p>
    <w:p w14:paraId="26B1368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A585F6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E6ABE56">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42E9FAC">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6A5ACCA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38029908">
      <w:pPr>
        <w:adjustRightInd w:val="0"/>
        <w:snapToGrid w:val="0"/>
        <w:spacing w:line="360" w:lineRule="auto"/>
        <w:rPr>
          <w:rFonts w:ascii="宋体" w:hAnsi="宋体" w:cs="宋体"/>
          <w:color w:val="auto"/>
          <w:sz w:val="24"/>
          <w:highlight w:val="none"/>
        </w:rPr>
      </w:pPr>
    </w:p>
    <w:p w14:paraId="622A438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52981C5D">
      <w:pPr>
        <w:adjustRightInd w:val="0"/>
        <w:snapToGrid w:val="0"/>
        <w:spacing w:line="360" w:lineRule="auto"/>
        <w:rPr>
          <w:rFonts w:ascii="宋体" w:hAnsi="宋体" w:cs="宋体"/>
          <w:color w:val="auto"/>
          <w:sz w:val="24"/>
          <w:highlight w:val="none"/>
          <w:u w:val="dotted"/>
        </w:rPr>
      </w:pPr>
    </w:p>
    <w:p w14:paraId="09A6C7C2">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709400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09DA41">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C0E4A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1FB956D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236764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06F85F">
      <w:pPr>
        <w:adjustRightInd w:val="0"/>
        <w:snapToGrid w:val="0"/>
        <w:spacing w:line="360" w:lineRule="auto"/>
        <w:rPr>
          <w:rFonts w:ascii="宋体" w:hAnsi="宋体" w:cs="宋体"/>
          <w:color w:val="auto"/>
          <w:sz w:val="32"/>
          <w:szCs w:val="32"/>
          <w:highlight w:val="none"/>
        </w:rPr>
      </w:pPr>
    </w:p>
    <w:p w14:paraId="717AD1B5">
      <w:pPr>
        <w:adjustRightInd w:val="0"/>
        <w:snapToGrid w:val="0"/>
        <w:spacing w:line="360" w:lineRule="auto"/>
        <w:rPr>
          <w:rFonts w:ascii="宋体" w:hAnsi="宋体" w:cs="宋体"/>
          <w:b/>
          <w:color w:val="auto"/>
          <w:sz w:val="32"/>
          <w:szCs w:val="32"/>
          <w:highlight w:val="none"/>
        </w:rPr>
      </w:pPr>
    </w:p>
    <w:p w14:paraId="50C8805D">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AC5A27B">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color w:val="auto"/>
          <w:spacing w:val="-6"/>
          <w:sz w:val="24"/>
          <w:highlight w:val="none"/>
        </w:rPr>
      </w:pPr>
      <w:r>
        <w:rPr>
          <w:rFonts w:hint="eastAsia" w:ascii="宋体" w:hAnsi="宋体" w:cs="宋体"/>
          <w:b/>
          <w:color w:val="auto"/>
          <w:spacing w:val="-6"/>
          <w:sz w:val="24"/>
          <w:highlight w:val="none"/>
        </w:rPr>
        <w:t>响应文件由资格审查、商务技术文件、价格响应文件、电子版响应文件四</w:t>
      </w:r>
      <w:r>
        <w:rPr>
          <w:rFonts w:hint="eastAsia" w:ascii="宋体" w:hAnsi="宋体" w:cs="宋体"/>
          <w:b/>
          <w:color w:val="auto"/>
          <w:sz w:val="24"/>
          <w:highlight w:val="none"/>
        </w:rPr>
        <w:t>部分组成</w:t>
      </w:r>
      <w:r>
        <w:rPr>
          <w:rFonts w:hint="eastAsia" w:ascii="宋体" w:hAnsi="宋体" w:cs="宋体"/>
          <w:b/>
          <w:color w:val="auto"/>
          <w:spacing w:val="-6"/>
          <w:sz w:val="24"/>
          <w:highlight w:val="none"/>
        </w:rPr>
        <w:t>。</w:t>
      </w:r>
    </w:p>
    <w:p w14:paraId="3F704D21">
      <w:pPr>
        <w:snapToGrid w:val="0"/>
        <w:spacing w:line="44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4.《中小企业声明函》等原件（如有）</w:t>
      </w:r>
      <w:r>
        <w:rPr>
          <w:rFonts w:hint="eastAsia" w:ascii="宋体" w:hAnsi="宋体" w:cs="宋体"/>
          <w:color w:val="auto"/>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5.供应商基本情况表及按竞争性磋商公告资格要求提供相应的佐证材料（以下材料均须提供复印件（或扫描件）并加盖公章）；</w:t>
      </w:r>
    </w:p>
    <w:p w14:paraId="0558DF19">
      <w:pPr>
        <w:tabs>
          <w:tab w:val="left" w:pos="3375"/>
        </w:tabs>
        <w:autoSpaceDE w:val="0"/>
        <w:autoSpaceDN w:val="0"/>
        <w:adjustRightInd w:val="0"/>
        <w:snapToGrid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企业法人营业执照或事业单位法人登记证明或社会组织或其他组织或自然人证明材料；</w:t>
      </w:r>
    </w:p>
    <w:p w14:paraId="3D9C237D">
      <w:pPr>
        <w:tabs>
          <w:tab w:val="left" w:pos="3375"/>
        </w:tabs>
        <w:autoSpaceDE w:val="0"/>
        <w:autoSpaceDN w:val="0"/>
        <w:adjustRightInd w:val="0"/>
        <w:snapToGrid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项目负责人职称证书；</w:t>
      </w:r>
    </w:p>
    <w:p w14:paraId="3E74E751">
      <w:pPr>
        <w:tabs>
          <w:tab w:val="left" w:pos="3375"/>
        </w:tabs>
        <w:autoSpaceDE w:val="0"/>
        <w:autoSpaceDN w:val="0"/>
        <w:adjustRightInd w:val="0"/>
        <w:snapToGrid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（3）项目负责人社保证明材料；</w:t>
      </w:r>
    </w:p>
    <w:p w14:paraId="7F67DD36">
      <w:pPr>
        <w:tabs>
          <w:tab w:val="left" w:pos="3375"/>
        </w:tabs>
        <w:autoSpaceDE w:val="0"/>
        <w:autoSpaceDN w:val="0"/>
        <w:adjustRightInd w:val="0"/>
        <w:snapToGrid w:val="0"/>
        <w:spacing w:line="44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拟分包项目情况表；</w:t>
      </w:r>
    </w:p>
    <w:p w14:paraId="57B6D236">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.其它需要提交的资格审查材料。</w:t>
      </w:r>
    </w:p>
    <w:p w14:paraId="0244F575">
      <w:pPr>
        <w:snapToGrid w:val="0"/>
        <w:spacing w:line="44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二、商务技术文件</w:t>
      </w:r>
    </w:p>
    <w:p w14:paraId="635B1FB7">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1.竞争性磋商响应函；</w:t>
      </w:r>
    </w:p>
    <w:p w14:paraId="2990DDFE">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2.评标办法中所涉及的事项需提供的所有资料；</w:t>
      </w:r>
    </w:p>
    <w:p w14:paraId="77378D4A">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三、价格响应文件</w:t>
      </w:r>
    </w:p>
    <w:p w14:paraId="06BDD6CF">
      <w:pPr>
        <w:pStyle w:val="30"/>
        <w:adjustRightInd w:val="0"/>
        <w:snapToGrid w:val="0"/>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2.分项报价明细表。</w:t>
      </w:r>
    </w:p>
    <w:p w14:paraId="571EBF24">
      <w:pPr>
        <w:adjustRightInd w:val="0"/>
        <w:snapToGrid w:val="0"/>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电子版响应文件（</w:t>
      </w:r>
      <w:r>
        <w:rPr>
          <w:rFonts w:hint="eastAsia" w:ascii="宋体" w:hAnsi="宋体" w:cs="宋体"/>
          <w:b/>
          <w:bCs/>
          <w:color w:val="auto"/>
          <w:sz w:val="24"/>
          <w:highlight w:val="none"/>
        </w:rPr>
        <w:t>按“第二部分 磋商须知”中电子版响应文件要求</w:t>
      </w:r>
      <w:r>
        <w:rPr>
          <w:rFonts w:hint="eastAsia" w:ascii="宋体" w:hAnsi="宋体" w:cs="宋体"/>
          <w:b/>
          <w:bCs/>
          <w:color w:val="auto"/>
          <w:sz w:val="24"/>
          <w:highlight w:val="none"/>
          <w:lang w:val="zh-CN"/>
        </w:rPr>
        <w:t>提供</w:t>
      </w:r>
      <w:r>
        <w:rPr>
          <w:rFonts w:hint="eastAsia" w:ascii="宋体" w:hAnsi="宋体" w:cs="宋体"/>
          <w:b/>
          <w:color w:val="auto"/>
          <w:sz w:val="24"/>
          <w:highlight w:val="none"/>
        </w:rPr>
        <w:t>）</w:t>
      </w:r>
      <w:r>
        <w:rPr>
          <w:rFonts w:hint="eastAsia" w:ascii="宋体" w:hAnsi="宋体" w:cs="宋体"/>
          <w:color w:val="auto"/>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color w:val="auto"/>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第一部分格式：</w:t>
      </w:r>
    </w:p>
    <w:p w14:paraId="65F9C77C">
      <w:pPr>
        <w:tabs>
          <w:tab w:val="left" w:pos="159"/>
        </w:tabs>
        <w:rPr>
          <w:rFonts w:ascii="宋体" w:hAnsi="宋体" w:cs="宋体"/>
          <w:color w:val="auto"/>
          <w:sz w:val="28"/>
          <w:szCs w:val="28"/>
          <w:highlight w:val="none"/>
        </w:rPr>
      </w:pPr>
    </w:p>
    <w:p w14:paraId="08C8551D">
      <w:pPr>
        <w:snapToGrid w:val="0"/>
        <w:spacing w:line="300" w:lineRule="auto"/>
        <w:ind w:firstLine="906" w:firstLineChars="206"/>
        <w:contextualSpacing/>
        <w:rPr>
          <w:rFonts w:ascii="宋体" w:hAnsi="宋体" w:cs="宋体"/>
          <w:color w:val="auto"/>
          <w:sz w:val="44"/>
          <w:szCs w:val="44"/>
          <w:highlight w:val="none"/>
        </w:rPr>
      </w:pPr>
    </w:p>
    <w:p w14:paraId="44DB7AAB">
      <w:pPr>
        <w:autoSpaceDE w:val="0"/>
        <w:autoSpaceDN w:val="0"/>
        <w:adjustRightIn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2025年度南通市公路事业发展中心应急演练项目</w:t>
      </w:r>
    </w:p>
    <w:p w14:paraId="6345EF61">
      <w:pPr>
        <w:tabs>
          <w:tab w:val="left" w:pos="6300"/>
        </w:tabs>
        <w:snapToGrid w:val="0"/>
        <w:spacing w:line="300" w:lineRule="auto"/>
        <w:jc w:val="center"/>
        <w:rPr>
          <w:rFonts w:hint="eastAsia" w:ascii="宋体" w:hAnsi="宋体" w:cs="宋体"/>
          <w:b/>
          <w:color w:val="auto"/>
          <w:w w:val="80"/>
          <w:sz w:val="32"/>
          <w:szCs w:val="32"/>
          <w:highlight w:val="none"/>
        </w:rPr>
      </w:pPr>
    </w:p>
    <w:p w14:paraId="726CC66B">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2025YJYLZX</w:t>
      </w:r>
    </w:p>
    <w:p w14:paraId="6F0A63C8">
      <w:pPr>
        <w:tabs>
          <w:tab w:val="left" w:pos="6300"/>
        </w:tabs>
        <w:snapToGrid w:val="0"/>
        <w:spacing w:line="300" w:lineRule="auto"/>
        <w:ind w:firstLine="3087" w:firstLineChars="1200"/>
        <w:jc w:val="both"/>
        <w:rPr>
          <w:rFonts w:hint="default" w:ascii="宋体" w:hAnsi="宋体" w:cs="宋体"/>
          <w:b/>
          <w:color w:val="auto"/>
          <w:w w:val="80"/>
          <w:sz w:val="32"/>
          <w:szCs w:val="32"/>
          <w:highlight w:val="none"/>
          <w:lang w:val="en-US" w:eastAsia="zh-CN"/>
        </w:rPr>
      </w:pPr>
      <w:r>
        <w:rPr>
          <w:rFonts w:hint="eastAsia" w:ascii="宋体" w:hAnsi="宋体" w:cs="宋体"/>
          <w:b/>
          <w:color w:val="auto"/>
          <w:w w:val="80"/>
          <w:sz w:val="32"/>
          <w:szCs w:val="32"/>
          <w:highlight w:val="none"/>
        </w:rPr>
        <w:t>档案编号：2025</w:t>
      </w:r>
      <w:r>
        <w:rPr>
          <w:rFonts w:hint="eastAsia" w:ascii="宋体" w:hAnsi="宋体" w:cs="宋体"/>
          <w:b/>
          <w:color w:val="auto"/>
          <w:w w:val="80"/>
          <w:sz w:val="32"/>
          <w:szCs w:val="32"/>
          <w:highlight w:val="none"/>
          <w:lang w:val="en-US" w:eastAsia="zh-CN"/>
        </w:rPr>
        <w:t>1901</w:t>
      </w:r>
    </w:p>
    <w:p w14:paraId="426730EF">
      <w:pPr>
        <w:tabs>
          <w:tab w:val="left" w:pos="6300"/>
        </w:tabs>
        <w:snapToGrid w:val="0"/>
        <w:spacing w:line="300" w:lineRule="auto"/>
        <w:jc w:val="center"/>
        <w:rPr>
          <w:rFonts w:ascii="宋体" w:hAnsi="宋体" w:cs="宋体"/>
          <w:b/>
          <w:color w:val="auto"/>
          <w:w w:val="80"/>
          <w:sz w:val="32"/>
          <w:szCs w:val="32"/>
          <w:highlight w:val="none"/>
        </w:rPr>
      </w:pPr>
    </w:p>
    <w:p w14:paraId="58D714E8">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424EBD9B">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（资格审查文件）</w:t>
      </w:r>
    </w:p>
    <w:p w14:paraId="73DB14C4">
      <w:pPr>
        <w:spacing w:after="60"/>
        <w:jc w:val="center"/>
        <w:rPr>
          <w:rFonts w:ascii="宋体" w:hAnsi="宋体" w:cs="宋体"/>
          <w:b/>
          <w:bCs/>
          <w:color w:val="auto"/>
          <w:sz w:val="72"/>
          <w:szCs w:val="72"/>
          <w:highlight w:val="none"/>
        </w:rPr>
      </w:pPr>
    </w:p>
    <w:p w14:paraId="20D79FC4">
      <w:pPr>
        <w:spacing w:after="60"/>
        <w:jc w:val="center"/>
        <w:rPr>
          <w:rFonts w:ascii="宋体" w:hAnsi="宋体" w:cs="宋体"/>
          <w:b/>
          <w:bCs/>
          <w:color w:val="auto"/>
          <w:sz w:val="72"/>
          <w:szCs w:val="72"/>
          <w:highlight w:val="none"/>
        </w:rPr>
      </w:pPr>
    </w:p>
    <w:p w14:paraId="6A3CB1C7">
      <w:pPr>
        <w:spacing w:after="60"/>
        <w:jc w:val="center"/>
        <w:rPr>
          <w:rFonts w:ascii="宋体" w:hAnsi="宋体" w:cs="宋体"/>
          <w:b/>
          <w:bCs/>
          <w:color w:val="auto"/>
          <w:sz w:val="72"/>
          <w:szCs w:val="72"/>
          <w:highlight w:val="none"/>
        </w:rPr>
      </w:pPr>
    </w:p>
    <w:p w14:paraId="2DF8F8DD">
      <w:pPr>
        <w:spacing w:after="60"/>
        <w:jc w:val="center"/>
        <w:rPr>
          <w:rFonts w:ascii="宋体" w:hAnsi="宋体" w:cs="宋体"/>
          <w:b/>
          <w:bCs/>
          <w:color w:val="auto"/>
          <w:sz w:val="72"/>
          <w:szCs w:val="72"/>
          <w:highlight w:val="none"/>
        </w:rPr>
      </w:pPr>
    </w:p>
    <w:p w14:paraId="0E91FAFD">
      <w:pPr>
        <w:pStyle w:val="2"/>
        <w:ind w:left="0" w:leftChars="0" w:firstLine="0" w:firstLineChars="0"/>
        <w:rPr>
          <w:rFonts w:ascii="宋体" w:hAnsi="宋体" w:cs="宋体"/>
          <w:b/>
          <w:bCs/>
          <w:color w:val="auto"/>
          <w:sz w:val="72"/>
          <w:szCs w:val="72"/>
          <w:highlight w:val="none"/>
        </w:rPr>
      </w:pPr>
    </w:p>
    <w:p w14:paraId="01CFA4BE">
      <w:pPr>
        <w:spacing w:after="60"/>
        <w:jc w:val="center"/>
        <w:rPr>
          <w:rFonts w:ascii="宋体" w:hAnsi="宋体" w:cs="宋体"/>
          <w:b/>
          <w:bCs/>
          <w:color w:val="auto"/>
          <w:sz w:val="72"/>
          <w:szCs w:val="72"/>
          <w:highlight w:val="none"/>
        </w:rPr>
      </w:pPr>
    </w:p>
    <w:p w14:paraId="7093FD5A">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供应商（盖公章）：</w:t>
      </w:r>
      <w:r>
        <w:rPr>
          <w:rFonts w:hint="eastAsia" w:ascii="宋体" w:hAnsi="宋体" w:cs="宋体"/>
          <w:b/>
          <w:color w:val="auto"/>
          <w:sz w:val="24"/>
          <w:highlight w:val="none"/>
          <w:u w:val="single"/>
        </w:rPr>
        <w:t xml:space="preserve">                            </w:t>
      </w:r>
    </w:p>
    <w:p w14:paraId="622156F9">
      <w:pPr>
        <w:spacing w:line="48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法定代表人（或其委托代理人）（签字或盖章）：</w:t>
      </w:r>
      <w:r>
        <w:rPr>
          <w:rFonts w:hint="eastAsia" w:ascii="宋体" w:hAnsi="宋体" w:cs="宋体"/>
          <w:b/>
          <w:color w:val="auto"/>
          <w:sz w:val="24"/>
          <w:highlight w:val="none"/>
          <w:u w:val="single"/>
        </w:rPr>
        <w:t xml:space="preserve">                  </w:t>
      </w:r>
    </w:p>
    <w:p w14:paraId="02847B11">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    期：</w:t>
      </w:r>
      <w:r>
        <w:rPr>
          <w:rFonts w:hint="eastAsia" w:ascii="宋体" w:hAnsi="宋体" w:cs="宋体"/>
          <w:b/>
          <w:color w:val="auto"/>
          <w:sz w:val="24"/>
          <w:highlight w:val="none"/>
          <w:u w:val="single"/>
        </w:rPr>
        <w:t xml:space="preserve">                                                  </w:t>
      </w:r>
    </w:p>
    <w:p w14:paraId="1768455F">
      <w:pPr>
        <w:snapToGrid w:val="0"/>
        <w:spacing w:line="360" w:lineRule="auto"/>
        <w:contextualSpacing/>
        <w:jc w:val="left"/>
        <w:rPr>
          <w:rFonts w:ascii="宋体" w:hAnsi="宋体" w:cs="宋体"/>
          <w:color w:val="auto"/>
          <w:sz w:val="24"/>
          <w:highlight w:val="none"/>
        </w:rPr>
      </w:pPr>
      <w:r>
        <w:rPr>
          <w:rFonts w:hint="eastAsia" w:ascii="宋体" w:hAnsi="宋体" w:cs="宋体"/>
          <w:color w:val="auto"/>
          <w:sz w:val="28"/>
          <w:szCs w:val="28"/>
          <w:highlight w:val="none"/>
        </w:rPr>
        <w:t>（一）资格审查文件</w:t>
      </w:r>
    </w:p>
    <w:p w14:paraId="540C570A">
      <w:pPr>
        <w:snapToGrid w:val="0"/>
        <w:spacing w:line="360" w:lineRule="auto"/>
        <w:contextualSpacing/>
        <w:jc w:val="left"/>
        <w:rPr>
          <w:rFonts w:ascii="宋体" w:hAnsi="宋体" w:cs="宋体"/>
          <w:color w:val="auto"/>
          <w:sz w:val="28"/>
          <w:szCs w:val="28"/>
          <w:highlight w:val="none"/>
        </w:rPr>
      </w:pPr>
      <w:r>
        <w:rPr>
          <w:rFonts w:hint="eastAsia" w:ascii="宋体" w:hAnsi="宋体" w:cs="宋体"/>
          <w:color w:val="auto"/>
          <w:sz w:val="28"/>
          <w:szCs w:val="28"/>
          <w:highlight w:val="none"/>
        </w:rPr>
        <w:t>附件1：</w:t>
      </w:r>
    </w:p>
    <w:p w14:paraId="51498120">
      <w:pPr>
        <w:snapToGrid w:val="0"/>
        <w:spacing w:line="30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4EAB5712">
      <w:pPr>
        <w:spacing w:line="360" w:lineRule="auto"/>
        <w:jc w:val="center"/>
        <w:rPr>
          <w:rFonts w:ascii="宋体" w:hAnsi="宋体" w:cs="宋体"/>
          <w:b/>
          <w:color w:val="auto"/>
          <w:sz w:val="24"/>
          <w:highlight w:val="none"/>
        </w:rPr>
      </w:pPr>
    </w:p>
    <w:p w14:paraId="7EF2F00A">
      <w:pPr>
        <w:snapToGrid w:val="0"/>
        <w:spacing w:line="300" w:lineRule="auto"/>
        <w:contextualSpacing/>
        <w:rPr>
          <w:rFonts w:ascii="宋体" w:hAnsi="宋体" w:cs="宋体"/>
          <w:b/>
          <w:color w:val="auto"/>
          <w:sz w:val="24"/>
          <w:highlight w:val="none"/>
        </w:rPr>
      </w:pPr>
      <w:r>
        <w:rPr>
          <w:rFonts w:hint="eastAsia" w:ascii="宋体" w:hAnsi="宋体" w:cs="宋体"/>
          <w:b/>
          <w:color w:val="auto"/>
          <w:sz w:val="24"/>
          <w:highlight w:val="none"/>
          <w:u w:val="single"/>
        </w:rPr>
        <w:t>南通市公路事业发展中心</w:t>
      </w:r>
      <w:r>
        <w:rPr>
          <w:rFonts w:hint="eastAsia" w:ascii="宋体" w:hAnsi="宋体" w:cs="宋体"/>
          <w:b/>
          <w:color w:val="auto"/>
          <w:sz w:val="24"/>
          <w:highlight w:val="none"/>
        </w:rPr>
        <w:t>：</w:t>
      </w:r>
    </w:p>
    <w:p w14:paraId="29F6B4DA">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w:t>
      </w:r>
      <w:r>
        <w:rPr>
          <w:rFonts w:hint="eastAsia" w:ascii="宋体" w:hAnsi="宋体" w:cs="宋体"/>
          <w:color w:val="auto"/>
          <w:spacing w:val="-5"/>
          <w:sz w:val="24"/>
          <w:highlight w:val="none"/>
        </w:rPr>
        <w:t>（单位名称）</w:t>
      </w:r>
      <w:r>
        <w:rPr>
          <w:rFonts w:hint="eastAsia" w:ascii="宋体" w:hAnsi="宋体" w:cs="宋体"/>
          <w:color w:val="auto"/>
          <w:sz w:val="24"/>
          <w:highlight w:val="none"/>
        </w:rPr>
        <w:t>认真对照</w:t>
      </w:r>
      <w:r>
        <w:rPr>
          <w:rFonts w:hint="eastAsia" w:ascii="宋体" w:hAnsi="宋体" w:cs="宋体"/>
          <w:color w:val="auto"/>
          <w:sz w:val="24"/>
          <w:highlight w:val="none"/>
          <w:u w:val="single"/>
        </w:rPr>
        <w:t xml:space="preserve">     （项目名称）                   项目</w:t>
      </w:r>
      <w:r>
        <w:rPr>
          <w:rFonts w:hint="eastAsia" w:ascii="宋体" w:hAnsi="宋体" w:cs="宋体"/>
          <w:color w:val="auto"/>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我单位具有独立承担民事责任的能力；</w:t>
      </w:r>
    </w:p>
    <w:p w14:paraId="3BB65C71">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我单位参加政府采购活动前3年内在经营活动中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color w:val="auto"/>
          <w:sz w:val="28"/>
          <w:szCs w:val="28"/>
          <w:highlight w:val="none"/>
        </w:rPr>
      </w:pPr>
    </w:p>
    <w:p w14:paraId="062FFC60">
      <w:pPr>
        <w:snapToGrid w:val="0"/>
        <w:spacing w:line="360" w:lineRule="auto"/>
        <w:ind w:firstLine="4440" w:firstLineChars="1850"/>
        <w:contextualSpacing/>
        <w:rPr>
          <w:rFonts w:ascii="宋体" w:hAnsi="宋体" w:cs="宋体"/>
          <w:color w:val="auto"/>
          <w:sz w:val="24"/>
          <w:highlight w:val="none"/>
        </w:rPr>
      </w:pPr>
    </w:p>
    <w:p w14:paraId="3BA0D7D5">
      <w:pPr>
        <w:snapToGrid w:val="0"/>
        <w:spacing w:line="360" w:lineRule="auto"/>
        <w:ind w:firstLine="4440" w:firstLineChars="1850"/>
        <w:contextualSpacing/>
        <w:rPr>
          <w:rFonts w:ascii="宋体" w:hAnsi="宋体" w:cs="宋体"/>
          <w:color w:val="auto"/>
          <w:sz w:val="24"/>
          <w:highlight w:val="none"/>
        </w:rPr>
      </w:pPr>
    </w:p>
    <w:p w14:paraId="70CFEBA5">
      <w:pPr>
        <w:snapToGrid w:val="0"/>
        <w:spacing w:line="360" w:lineRule="auto"/>
        <w:ind w:firstLine="4440" w:firstLineChars="1850"/>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70D23496">
      <w:pPr>
        <w:snapToGrid w:val="0"/>
        <w:spacing w:line="360" w:lineRule="auto"/>
        <w:contextualSpacing/>
        <w:rPr>
          <w:rFonts w:ascii="宋体" w:hAnsi="宋体" w:cs="宋体"/>
          <w:color w:val="auto"/>
          <w:sz w:val="24"/>
          <w:highlight w:val="none"/>
        </w:rPr>
      </w:pPr>
    </w:p>
    <w:p w14:paraId="5A117E3C">
      <w:pPr>
        <w:snapToGrid w:val="0"/>
        <w:spacing w:line="360" w:lineRule="auto"/>
        <w:ind w:firstLine="4440" w:firstLineChars="1850"/>
        <w:contextualSpacing/>
        <w:rPr>
          <w:rFonts w:ascii="宋体" w:hAnsi="宋体" w:cs="宋体"/>
          <w:bCs/>
          <w:color w:val="auto"/>
          <w:sz w:val="24"/>
          <w:highlight w:val="none"/>
        </w:rPr>
      </w:pPr>
      <w:r>
        <w:rPr>
          <w:rFonts w:hint="eastAsia" w:ascii="宋体" w:hAnsi="宋体" w:cs="宋体"/>
          <w:bCs/>
          <w:color w:val="auto"/>
          <w:sz w:val="24"/>
          <w:highlight w:val="none"/>
        </w:rPr>
        <w:t>年    月    日</w:t>
      </w:r>
    </w:p>
    <w:p w14:paraId="0DE399C1">
      <w:pPr>
        <w:spacing w:line="600" w:lineRule="exact"/>
        <w:ind w:firstLine="576" w:firstLineChars="206"/>
        <w:rPr>
          <w:rFonts w:ascii="宋体" w:hAnsi="宋体" w:cs="宋体"/>
          <w:color w:val="auto"/>
          <w:sz w:val="28"/>
          <w:szCs w:val="28"/>
          <w:highlight w:val="none"/>
        </w:rPr>
      </w:pPr>
    </w:p>
    <w:p w14:paraId="7F266861">
      <w:pPr>
        <w:spacing w:line="600" w:lineRule="exact"/>
        <w:ind w:firstLine="576" w:firstLineChars="206"/>
        <w:rPr>
          <w:rFonts w:ascii="宋体" w:hAnsi="宋体" w:cs="宋体"/>
          <w:color w:val="auto"/>
          <w:sz w:val="28"/>
          <w:szCs w:val="28"/>
          <w:highlight w:val="none"/>
        </w:rPr>
      </w:pPr>
    </w:p>
    <w:p w14:paraId="558B3F4A">
      <w:pPr>
        <w:spacing w:line="600" w:lineRule="exact"/>
        <w:ind w:firstLine="576" w:firstLineChars="206"/>
        <w:rPr>
          <w:rFonts w:ascii="宋体" w:hAnsi="宋体" w:cs="宋体"/>
          <w:color w:val="auto"/>
          <w:sz w:val="28"/>
          <w:szCs w:val="28"/>
          <w:highlight w:val="none"/>
        </w:rPr>
      </w:pPr>
    </w:p>
    <w:p w14:paraId="126B5AAF">
      <w:pPr>
        <w:spacing w:line="600" w:lineRule="exact"/>
        <w:ind w:firstLine="576" w:firstLineChars="206"/>
        <w:rPr>
          <w:rFonts w:ascii="宋体" w:hAnsi="宋体" w:cs="宋体"/>
          <w:color w:val="auto"/>
          <w:sz w:val="28"/>
          <w:szCs w:val="28"/>
          <w:highlight w:val="none"/>
        </w:rPr>
      </w:pPr>
    </w:p>
    <w:p w14:paraId="5C4927C7">
      <w:pPr>
        <w:snapToGrid w:val="0"/>
        <w:spacing w:line="300" w:lineRule="auto"/>
        <w:contextualSpacing/>
        <w:rPr>
          <w:rFonts w:ascii="宋体" w:hAnsi="宋体" w:cs="宋体"/>
          <w:color w:val="auto"/>
          <w:sz w:val="28"/>
          <w:szCs w:val="28"/>
          <w:highlight w:val="none"/>
        </w:rPr>
      </w:pPr>
      <w:r>
        <w:rPr>
          <w:rFonts w:hint="eastAsia" w:ascii="宋体" w:hAnsi="宋体" w:cs="宋体"/>
          <w:b/>
          <w:bCs/>
          <w:color w:val="auto"/>
          <w:sz w:val="72"/>
          <w:szCs w:val="72"/>
          <w:highlight w:val="none"/>
        </w:rPr>
        <w:br w:type="page"/>
      </w:r>
      <w:r>
        <w:rPr>
          <w:rFonts w:hint="eastAsia" w:ascii="宋体" w:hAnsi="宋体" w:cs="宋体"/>
          <w:color w:val="auto"/>
          <w:sz w:val="28"/>
          <w:szCs w:val="28"/>
          <w:highlight w:val="none"/>
        </w:rPr>
        <w:t>附件2：</w:t>
      </w:r>
    </w:p>
    <w:p w14:paraId="73465D66">
      <w:pPr>
        <w:spacing w:before="120" w:beforeLines="50" w:after="120" w:afterLines="50"/>
        <w:jc w:val="center"/>
        <w:rPr>
          <w:rFonts w:ascii="宋体" w:hAnsi="宋体" w:cs="宋体"/>
          <w:color w:val="auto"/>
          <w:sz w:val="28"/>
          <w:szCs w:val="28"/>
          <w:highlight w:val="none"/>
        </w:rPr>
      </w:pPr>
      <w:r>
        <w:rPr>
          <w:rFonts w:hint="eastAsia" w:ascii="宋体" w:hAnsi="宋体" w:cs="宋体"/>
          <w:color w:val="auto"/>
          <w:sz w:val="28"/>
          <w:szCs w:val="28"/>
          <w:highlight w:val="none"/>
        </w:rPr>
        <w:t>授权委托书或法定代表人身份证明</w:t>
      </w:r>
    </w:p>
    <w:p w14:paraId="500C9ADB">
      <w:pPr>
        <w:topLinePunct/>
        <w:spacing w:before="120" w:beforeLines="50" w:after="12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（一）授权委托书</w:t>
      </w:r>
    </w:p>
    <w:p w14:paraId="2051E2BD">
      <w:pPr>
        <w:topLinePunct/>
        <w:spacing w:before="120" w:beforeLines="50" w:line="400" w:lineRule="exact"/>
        <w:ind w:firstLine="561"/>
        <w:rPr>
          <w:rFonts w:ascii="宋体" w:hAnsi="宋体" w:cs="宋体"/>
          <w:color w:val="auto"/>
          <w:sz w:val="24"/>
          <w:highlight w:val="none"/>
          <w:u w:val="singl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的法定代表人，现委托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为我方代理人。代理人根据授权，以我方名义签署、澄清、说明、补正、递交、撤回、修改</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响应文件、签订合同和处理有关事宜，其法律后果由我方承担。</w:t>
      </w:r>
    </w:p>
    <w:p w14:paraId="3FE83F64">
      <w:pPr>
        <w:topLinePunct/>
        <w:spacing w:line="400" w:lineRule="exact"/>
        <w:rPr>
          <w:rFonts w:ascii="宋体" w:hAnsi="宋体" w:cs="宋体"/>
          <w:color w:val="auto"/>
          <w:sz w:val="24"/>
          <w:highlight w:val="none"/>
        </w:rPr>
      </w:pPr>
    </w:p>
    <w:p w14:paraId="6AF11E1E">
      <w:pPr>
        <w:topLinePunct/>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委托期限：自本委托书签署之日起至投标有效期期满。</w:t>
      </w:r>
    </w:p>
    <w:p w14:paraId="0AAB4B21">
      <w:pPr>
        <w:topLinePunct/>
        <w:spacing w:line="400" w:lineRule="exact"/>
        <w:rPr>
          <w:rFonts w:ascii="宋体" w:hAnsi="宋体" w:cs="宋体"/>
          <w:color w:val="auto"/>
          <w:sz w:val="24"/>
          <w:highlight w:val="none"/>
        </w:rPr>
      </w:pPr>
    </w:p>
    <w:p w14:paraId="55E27778">
      <w:pPr>
        <w:topLinePunct/>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2977EC87">
      <w:pPr>
        <w:topLinePunct/>
        <w:spacing w:line="400" w:lineRule="exact"/>
        <w:rPr>
          <w:rFonts w:ascii="宋体" w:hAnsi="宋体" w:cs="宋体"/>
          <w:color w:val="auto"/>
          <w:sz w:val="24"/>
          <w:highlight w:val="none"/>
        </w:rPr>
      </w:pPr>
    </w:p>
    <w:p w14:paraId="3F1614A4">
      <w:pPr>
        <w:topLinePunct/>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附：法定代表人身份证明及委托代理人身份证复印件。</w:t>
      </w:r>
    </w:p>
    <w:p w14:paraId="53C88416">
      <w:pPr>
        <w:topLinePunct/>
        <w:ind w:firstLine="480" w:firstLineChars="200"/>
        <w:rPr>
          <w:rFonts w:ascii="宋体" w:hAnsi="宋体" w:cs="宋体"/>
          <w:color w:val="auto"/>
          <w:sz w:val="24"/>
          <w:highlight w:val="none"/>
        </w:rPr>
      </w:pPr>
    </w:p>
    <w:p w14:paraId="15D954D9">
      <w:pPr>
        <w:topLinePunct/>
        <w:rPr>
          <w:rFonts w:ascii="宋体" w:hAnsi="宋体" w:cs="宋体"/>
          <w:color w:val="auto"/>
          <w:sz w:val="24"/>
          <w:highlight w:val="none"/>
        </w:rPr>
      </w:pPr>
    </w:p>
    <w:p w14:paraId="4403F0DD">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9686AF9">
      <w:pPr>
        <w:topLinePunct/>
        <w:rPr>
          <w:rFonts w:ascii="宋体" w:hAnsi="宋体" w:cs="宋体"/>
          <w:color w:val="auto"/>
          <w:sz w:val="24"/>
          <w:highlight w:val="none"/>
        </w:rPr>
      </w:pPr>
    </w:p>
    <w:p w14:paraId="62D9AF9B">
      <w:pPr>
        <w:wordWrap w:val="0"/>
        <w:topLinePunc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(签字或盖章)</w:t>
      </w:r>
      <w:r>
        <w:rPr>
          <w:rFonts w:hint="eastAsia" w:ascii="宋体" w:hAnsi="宋体" w:cs="宋体"/>
          <w:color w:val="auto"/>
          <w:sz w:val="24"/>
          <w:highlight w:val="none"/>
        </w:rPr>
        <w:t>：</w:t>
      </w:r>
    </w:p>
    <w:p w14:paraId="13F9E344">
      <w:pPr>
        <w:topLinePunct/>
        <w:rPr>
          <w:rFonts w:ascii="宋体" w:hAnsi="宋体" w:cs="宋体"/>
          <w:color w:val="auto"/>
          <w:sz w:val="24"/>
          <w:highlight w:val="none"/>
        </w:rPr>
      </w:pPr>
    </w:p>
    <w:p w14:paraId="29B71D83">
      <w:pPr>
        <w:wordWrap w:val="0"/>
        <w:topLinePunct/>
        <w:rPr>
          <w:rFonts w:ascii="宋体" w:hAnsi="宋体" w:cs="宋体"/>
          <w:color w:val="auto"/>
          <w:sz w:val="24"/>
          <w:highlight w:val="none"/>
          <w:u w:val="single"/>
        </w:rPr>
      </w:pPr>
      <w:r>
        <w:rPr>
          <w:rFonts w:hint="eastAsia" w:ascii="宋体" w:hAnsi="宋体" w:cs="宋体"/>
          <w:color w:val="auto"/>
          <w:sz w:val="24"/>
          <w:highlight w:val="none"/>
        </w:rPr>
        <w:t>身份证号码：</w:t>
      </w:r>
    </w:p>
    <w:p w14:paraId="283FC2D2">
      <w:pPr>
        <w:topLinePunct/>
        <w:rPr>
          <w:rFonts w:ascii="宋体" w:hAnsi="宋体" w:cs="宋体"/>
          <w:color w:val="auto"/>
          <w:sz w:val="24"/>
          <w:highlight w:val="none"/>
        </w:rPr>
      </w:pPr>
    </w:p>
    <w:p w14:paraId="44B77A7D">
      <w:pPr>
        <w:topLinePunct/>
        <w:jc w:val="lef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(签字或盖章)</w:t>
      </w:r>
      <w:r>
        <w:rPr>
          <w:rFonts w:hint="eastAsia" w:ascii="宋体" w:hAnsi="宋体" w:cs="宋体"/>
          <w:color w:val="auto"/>
          <w:sz w:val="24"/>
          <w:highlight w:val="none"/>
        </w:rPr>
        <w:t>：</w:t>
      </w:r>
    </w:p>
    <w:p w14:paraId="69F7789A">
      <w:pPr>
        <w:topLinePunct/>
        <w:rPr>
          <w:rFonts w:ascii="宋体" w:hAnsi="宋体" w:cs="宋体"/>
          <w:color w:val="auto"/>
          <w:sz w:val="24"/>
          <w:highlight w:val="none"/>
        </w:rPr>
      </w:pPr>
    </w:p>
    <w:p w14:paraId="17A99D31">
      <w:pPr>
        <w:wordWrap w:val="0"/>
        <w:topLinePunct/>
        <w:rPr>
          <w:rFonts w:ascii="宋体" w:hAnsi="宋体" w:cs="宋体"/>
          <w:color w:val="auto"/>
          <w:sz w:val="24"/>
          <w:highlight w:val="none"/>
        </w:rPr>
      </w:pPr>
      <w:r>
        <w:rPr>
          <w:rFonts w:hint="eastAsia" w:ascii="宋体" w:hAnsi="宋体" w:cs="宋体"/>
          <w:color w:val="auto"/>
          <w:sz w:val="24"/>
          <w:highlight w:val="none"/>
        </w:rPr>
        <w:t>身份证号码：</w:t>
      </w:r>
    </w:p>
    <w:p w14:paraId="200E2EA4">
      <w:pPr>
        <w:topLinePunct/>
        <w:spacing w:before="120" w:beforeLines="50" w:after="120" w:afterLines="5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E4400ED">
      <w:pPr>
        <w:topLinePunct/>
        <w:spacing w:before="120" w:beforeLines="50" w:after="120" w:afterLines="50"/>
        <w:jc w:val="center"/>
        <w:rPr>
          <w:rFonts w:ascii="宋体" w:hAnsi="宋体" w:cs="宋体"/>
          <w:color w:val="auto"/>
          <w:sz w:val="36"/>
          <w:szCs w:val="36"/>
          <w:highlight w:val="none"/>
        </w:rPr>
      </w:pPr>
    </w:p>
    <w:p w14:paraId="69119EE6">
      <w:pPr>
        <w:topLinePunct/>
        <w:spacing w:line="400" w:lineRule="exact"/>
        <w:ind w:firstLine="560" w:firstLineChars="200"/>
        <w:rPr>
          <w:rFonts w:ascii="宋体" w:hAnsi="宋体" w:cs="宋体"/>
          <w:color w:val="auto"/>
          <w:sz w:val="28"/>
          <w:szCs w:val="28"/>
          <w:highlight w:val="none"/>
        </w:rPr>
      </w:pPr>
    </w:p>
    <w:p w14:paraId="0FC872FB">
      <w:pPr>
        <w:topLinePunct/>
        <w:spacing w:line="400" w:lineRule="exact"/>
        <w:ind w:firstLine="560" w:firstLineChars="200"/>
        <w:rPr>
          <w:rFonts w:ascii="宋体" w:hAnsi="宋体" w:cs="宋体"/>
          <w:color w:val="auto"/>
          <w:sz w:val="28"/>
          <w:szCs w:val="28"/>
          <w:highlight w:val="none"/>
        </w:rPr>
      </w:pPr>
    </w:p>
    <w:p w14:paraId="730E6B39">
      <w:pPr>
        <w:topLinePunct/>
        <w:spacing w:line="400" w:lineRule="exact"/>
        <w:ind w:firstLine="560" w:firstLineChars="200"/>
        <w:rPr>
          <w:rFonts w:ascii="宋体" w:hAnsi="宋体" w:cs="宋体"/>
          <w:color w:val="auto"/>
          <w:sz w:val="28"/>
          <w:szCs w:val="28"/>
          <w:highlight w:val="none"/>
        </w:rPr>
      </w:pPr>
    </w:p>
    <w:p w14:paraId="4AF4C5D8">
      <w:pPr>
        <w:topLinePunct/>
        <w:spacing w:line="400" w:lineRule="exact"/>
        <w:ind w:firstLine="560" w:firstLineChars="200"/>
        <w:rPr>
          <w:rFonts w:ascii="宋体" w:hAnsi="宋体" w:cs="宋体"/>
          <w:color w:val="auto"/>
          <w:sz w:val="28"/>
          <w:szCs w:val="28"/>
          <w:highlight w:val="none"/>
        </w:rPr>
      </w:pPr>
    </w:p>
    <w:p w14:paraId="4445ED3C">
      <w:pPr>
        <w:topLinePunct/>
        <w:spacing w:line="400" w:lineRule="exact"/>
        <w:ind w:firstLine="560" w:firstLineChars="200"/>
        <w:rPr>
          <w:rFonts w:ascii="宋体" w:hAnsi="宋体" w:cs="宋体"/>
          <w:color w:val="auto"/>
          <w:sz w:val="28"/>
          <w:szCs w:val="28"/>
          <w:highlight w:val="none"/>
        </w:rPr>
      </w:pPr>
    </w:p>
    <w:p w14:paraId="39DD2CEB">
      <w:pPr>
        <w:spacing w:before="120" w:beforeLines="50" w:after="120" w:afterLines="50"/>
        <w:jc w:val="left"/>
        <w:rPr>
          <w:rFonts w:ascii="宋体" w:hAnsi="宋体" w:cs="宋体"/>
          <w:b/>
          <w:bCs/>
          <w:color w:val="auto"/>
          <w:highlight w:val="none"/>
        </w:rPr>
      </w:pPr>
      <w:r>
        <w:rPr>
          <w:rFonts w:hint="eastAsia" w:ascii="宋体" w:hAnsi="宋体" w:cs="宋体"/>
          <w:b/>
          <w:bCs/>
          <w:color w:val="auto"/>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color w:val="auto"/>
          <w:sz w:val="28"/>
          <w:szCs w:val="28"/>
          <w:highlight w:val="none"/>
        </w:rPr>
      </w:pPr>
      <w:r>
        <w:rPr>
          <w:rFonts w:hint="eastAsia" w:ascii="宋体" w:hAnsi="宋体" w:cs="宋体"/>
          <w:color w:val="auto"/>
          <w:sz w:val="27"/>
          <w:szCs w:val="27"/>
          <w:highlight w:val="none"/>
        </w:rPr>
        <w:br w:type="page"/>
      </w:r>
    </w:p>
    <w:p w14:paraId="74D15E5E">
      <w:pPr>
        <w:topLinePunct/>
        <w:spacing w:before="120" w:beforeLines="50" w:after="12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lang w:eastAsia="zh-CN"/>
        </w:rPr>
        <w:t>（二）</w:t>
      </w:r>
      <w:r>
        <w:rPr>
          <w:rFonts w:hint="eastAsia" w:ascii="宋体" w:hAnsi="宋体" w:cs="宋体"/>
          <w:b/>
          <w:color w:val="auto"/>
          <w:sz w:val="28"/>
          <w:szCs w:val="28"/>
          <w:highlight w:val="none"/>
        </w:rPr>
        <w:t>法定代表人身份证明</w:t>
      </w:r>
    </w:p>
    <w:p w14:paraId="349AAEAA">
      <w:pPr>
        <w:topLinePunct/>
        <w:rPr>
          <w:rFonts w:ascii="宋体" w:hAnsi="宋体" w:cs="宋体"/>
          <w:color w:val="auto"/>
          <w:sz w:val="28"/>
          <w:szCs w:val="28"/>
          <w:highlight w:val="none"/>
        </w:rPr>
      </w:pPr>
    </w:p>
    <w:p w14:paraId="78B9AFB4">
      <w:pPr>
        <w:topLinePunct/>
        <w:rPr>
          <w:rFonts w:ascii="宋体" w:hAnsi="宋体" w:cs="宋体"/>
          <w:color w:val="auto"/>
          <w:sz w:val="28"/>
          <w:szCs w:val="28"/>
          <w:highlight w:val="none"/>
        </w:rPr>
      </w:pPr>
    </w:p>
    <w:p w14:paraId="463CF6E4">
      <w:pPr>
        <w:topLinePunct/>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65F71BA">
      <w:pPr>
        <w:topLinePunct/>
        <w:rPr>
          <w:rFonts w:ascii="宋体" w:hAnsi="宋体" w:cs="宋体"/>
          <w:color w:val="auto"/>
          <w:sz w:val="24"/>
          <w:highlight w:val="none"/>
        </w:rPr>
      </w:pPr>
    </w:p>
    <w:p w14:paraId="751029A7">
      <w:pPr>
        <w:topLinePunct/>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FFE5FAC">
      <w:pPr>
        <w:topLinePunct/>
        <w:rPr>
          <w:rFonts w:ascii="宋体" w:hAnsi="宋体" w:cs="宋体"/>
          <w:color w:val="auto"/>
          <w:sz w:val="24"/>
          <w:highlight w:val="none"/>
        </w:rPr>
      </w:pPr>
    </w:p>
    <w:p w14:paraId="63C4CE57">
      <w:pPr>
        <w:topLinePunct/>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(供应商名称)           </w:t>
      </w:r>
      <w:r>
        <w:rPr>
          <w:rFonts w:hint="eastAsia" w:ascii="宋体" w:hAnsi="宋体" w:cs="宋体"/>
          <w:color w:val="auto"/>
          <w:sz w:val="24"/>
          <w:highlight w:val="none"/>
        </w:rPr>
        <w:t>的法定代表人。</w:t>
      </w:r>
    </w:p>
    <w:p w14:paraId="6C61C0B9">
      <w:pPr>
        <w:topLinePunct/>
        <w:rPr>
          <w:rFonts w:ascii="宋体" w:hAnsi="宋体" w:cs="宋体"/>
          <w:color w:val="auto"/>
          <w:sz w:val="24"/>
          <w:highlight w:val="none"/>
        </w:rPr>
      </w:pPr>
    </w:p>
    <w:p w14:paraId="47FEB164">
      <w:pPr>
        <w:topLinePunct/>
        <w:rPr>
          <w:rFonts w:ascii="宋体" w:hAnsi="宋体" w:cs="宋体"/>
          <w:color w:val="auto"/>
          <w:sz w:val="24"/>
          <w:highlight w:val="none"/>
        </w:rPr>
      </w:pPr>
      <w:r>
        <w:rPr>
          <w:rFonts w:hint="eastAsia" w:ascii="宋体" w:hAnsi="宋体" w:cs="宋体"/>
          <w:color w:val="auto"/>
          <w:sz w:val="24"/>
          <w:highlight w:val="none"/>
        </w:rPr>
        <w:t>特此证明。</w:t>
      </w:r>
    </w:p>
    <w:p w14:paraId="44CEFAD1">
      <w:pPr>
        <w:topLinePunct/>
        <w:rPr>
          <w:rFonts w:ascii="宋体" w:hAnsi="宋体" w:cs="宋体"/>
          <w:color w:val="auto"/>
          <w:sz w:val="24"/>
          <w:highlight w:val="none"/>
        </w:rPr>
      </w:pPr>
    </w:p>
    <w:p w14:paraId="71192E46">
      <w:pPr>
        <w:topLinePunct/>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3DF098D4">
      <w:pPr>
        <w:topLinePunct/>
        <w:rPr>
          <w:rFonts w:ascii="宋体" w:hAnsi="宋体" w:cs="宋体"/>
          <w:color w:val="auto"/>
          <w:sz w:val="24"/>
          <w:highlight w:val="none"/>
        </w:rPr>
      </w:pPr>
    </w:p>
    <w:p w14:paraId="69A88E8F">
      <w:pPr>
        <w:topLinePunct/>
        <w:rPr>
          <w:rFonts w:ascii="宋体" w:hAnsi="宋体" w:cs="宋体"/>
          <w:color w:val="auto"/>
          <w:sz w:val="24"/>
          <w:highlight w:val="none"/>
        </w:rPr>
      </w:pPr>
    </w:p>
    <w:p w14:paraId="1728441B">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46898CF1">
      <w:pPr>
        <w:spacing w:line="360" w:lineRule="auto"/>
        <w:rPr>
          <w:rFonts w:ascii="宋体" w:hAnsi="宋体" w:cs="宋体"/>
          <w:color w:val="auto"/>
          <w:sz w:val="24"/>
          <w:highlight w:val="none"/>
        </w:rPr>
      </w:pPr>
      <w:r>
        <w:rPr>
          <w:rFonts w:hint="eastAsia" w:ascii="宋体" w:hAnsi="宋体" w:cs="宋体"/>
          <w:color w:val="auto"/>
          <w:sz w:val="24"/>
          <w:highlight w:val="none"/>
        </w:rPr>
        <w:t>日期：   年   月   日</w:t>
      </w:r>
    </w:p>
    <w:p w14:paraId="4B6851AB">
      <w:pPr>
        <w:topLinePunct/>
        <w:rPr>
          <w:rFonts w:ascii="宋体" w:hAnsi="宋体" w:cs="宋体"/>
          <w:color w:val="auto"/>
          <w:sz w:val="28"/>
          <w:szCs w:val="28"/>
          <w:highlight w:val="none"/>
        </w:rPr>
      </w:pPr>
    </w:p>
    <w:p w14:paraId="0FC59CFC">
      <w:pPr>
        <w:topLinePunct/>
        <w:rPr>
          <w:rFonts w:ascii="宋体" w:hAnsi="宋体" w:cs="宋体"/>
          <w:color w:val="auto"/>
          <w:sz w:val="28"/>
          <w:szCs w:val="28"/>
          <w:highlight w:val="none"/>
        </w:rPr>
      </w:pPr>
    </w:p>
    <w:p w14:paraId="74EBD28A">
      <w:pPr>
        <w:topLinePunct/>
        <w:rPr>
          <w:rFonts w:ascii="宋体" w:hAnsi="宋体" w:cs="宋体"/>
          <w:color w:val="auto"/>
          <w:sz w:val="28"/>
          <w:szCs w:val="28"/>
          <w:highlight w:val="none"/>
        </w:rPr>
      </w:pPr>
    </w:p>
    <w:p w14:paraId="20BC9C1C">
      <w:pPr>
        <w:rPr>
          <w:rFonts w:ascii="宋体" w:hAnsi="宋体" w:cs="宋体"/>
          <w:b/>
          <w:bCs/>
          <w:color w:val="auto"/>
          <w:highlight w:val="none"/>
        </w:rPr>
      </w:pPr>
    </w:p>
    <w:p w14:paraId="3BE799B5">
      <w:pPr>
        <w:spacing w:before="120" w:beforeLines="50" w:after="120" w:afterLines="50"/>
        <w:jc w:val="center"/>
        <w:rPr>
          <w:rFonts w:ascii="宋体" w:hAnsi="宋体" w:cs="宋体"/>
          <w:b/>
          <w:bCs/>
          <w:color w:val="auto"/>
          <w:highlight w:val="none"/>
        </w:rPr>
      </w:pPr>
    </w:p>
    <w:p w14:paraId="14D3EFCB">
      <w:pPr>
        <w:spacing w:before="120" w:beforeLines="50" w:after="120" w:afterLines="50"/>
        <w:jc w:val="center"/>
        <w:rPr>
          <w:rFonts w:ascii="宋体" w:hAnsi="宋体" w:cs="宋体"/>
          <w:b/>
          <w:bCs/>
          <w:color w:val="auto"/>
          <w:highlight w:val="none"/>
        </w:rPr>
      </w:pPr>
    </w:p>
    <w:p w14:paraId="15BA7C91">
      <w:pPr>
        <w:spacing w:before="120" w:beforeLines="50" w:after="120" w:afterLines="50"/>
        <w:jc w:val="center"/>
        <w:rPr>
          <w:rFonts w:ascii="宋体" w:hAnsi="宋体" w:cs="宋体"/>
          <w:b/>
          <w:bCs/>
          <w:color w:val="auto"/>
          <w:highlight w:val="none"/>
        </w:rPr>
      </w:pPr>
    </w:p>
    <w:p w14:paraId="2C487367">
      <w:pPr>
        <w:spacing w:before="120" w:beforeLines="50" w:after="120" w:afterLines="50"/>
        <w:jc w:val="center"/>
        <w:rPr>
          <w:rFonts w:ascii="宋体" w:hAnsi="宋体" w:cs="宋体"/>
          <w:b/>
          <w:bCs/>
          <w:color w:val="auto"/>
          <w:highlight w:val="none"/>
        </w:rPr>
      </w:pPr>
    </w:p>
    <w:p w14:paraId="73F3B0EE">
      <w:pPr>
        <w:spacing w:before="120" w:beforeLines="50" w:after="120" w:afterLines="50"/>
        <w:jc w:val="center"/>
        <w:rPr>
          <w:rFonts w:ascii="宋体" w:hAnsi="宋体" w:cs="宋体"/>
          <w:b/>
          <w:bCs/>
          <w:color w:val="auto"/>
          <w:highlight w:val="none"/>
        </w:rPr>
      </w:pPr>
    </w:p>
    <w:p w14:paraId="6653063B">
      <w:pPr>
        <w:snapToGrid w:val="0"/>
        <w:spacing w:line="300" w:lineRule="auto"/>
        <w:ind w:firstLine="420"/>
        <w:contextualSpacing/>
        <w:rPr>
          <w:rFonts w:ascii="宋体" w:hAnsi="宋体" w:cs="宋体"/>
          <w:b/>
          <w:color w:val="auto"/>
          <w:sz w:val="28"/>
          <w:szCs w:val="28"/>
          <w:highlight w:val="none"/>
        </w:rPr>
      </w:pPr>
    </w:p>
    <w:p w14:paraId="5EAE621D">
      <w:pPr>
        <w:spacing w:before="120" w:beforeLines="50" w:after="120" w:afterLines="50"/>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1DA273C">
      <w:pPr>
        <w:pStyle w:val="2"/>
        <w:rPr>
          <w:rFonts w:ascii="宋体" w:hAnsi="宋体" w:cs="宋体"/>
          <w:color w:val="auto"/>
          <w:highlight w:val="none"/>
        </w:rPr>
      </w:pPr>
    </w:p>
    <w:p w14:paraId="20777AA5">
      <w:pPr>
        <w:pStyle w:val="2"/>
        <w:rPr>
          <w:rFonts w:ascii="宋体" w:hAnsi="宋体" w:cs="宋体"/>
          <w:color w:val="auto"/>
          <w:highlight w:val="none"/>
        </w:rPr>
      </w:pPr>
    </w:p>
    <w:p w14:paraId="2573E62B">
      <w:pPr>
        <w:pStyle w:val="2"/>
        <w:rPr>
          <w:rFonts w:ascii="宋体" w:hAnsi="宋体" w:cs="宋体"/>
          <w:color w:val="auto"/>
          <w:highlight w:val="none"/>
        </w:rPr>
      </w:pPr>
    </w:p>
    <w:p w14:paraId="3ACCFFDA">
      <w:pPr>
        <w:pStyle w:val="2"/>
        <w:rPr>
          <w:rFonts w:ascii="宋体" w:hAnsi="宋体" w:cs="宋体"/>
          <w:color w:val="auto"/>
          <w:highlight w:val="none"/>
        </w:rPr>
      </w:pPr>
    </w:p>
    <w:p w14:paraId="515F1EB4">
      <w:pPr>
        <w:pStyle w:val="2"/>
        <w:rPr>
          <w:rFonts w:ascii="宋体" w:hAnsi="宋体" w:cs="宋体"/>
          <w:color w:val="auto"/>
          <w:highlight w:val="none"/>
        </w:rPr>
      </w:pPr>
    </w:p>
    <w:p w14:paraId="26F6ED67">
      <w:pPr>
        <w:pStyle w:val="2"/>
        <w:rPr>
          <w:rFonts w:ascii="宋体" w:hAnsi="宋体" w:cs="宋体"/>
          <w:color w:val="auto"/>
          <w:highlight w:val="none"/>
        </w:rPr>
      </w:pPr>
    </w:p>
    <w:p w14:paraId="35E233A1">
      <w:pPr>
        <w:pStyle w:val="2"/>
        <w:rPr>
          <w:rFonts w:ascii="宋体" w:hAnsi="宋体" w:cs="宋体"/>
          <w:color w:val="auto"/>
          <w:highlight w:val="none"/>
        </w:rPr>
      </w:pPr>
    </w:p>
    <w:p w14:paraId="3200E786">
      <w:pPr>
        <w:pStyle w:val="2"/>
        <w:rPr>
          <w:rFonts w:ascii="宋体" w:hAnsi="宋体" w:cs="宋体"/>
          <w:color w:val="auto"/>
          <w:highlight w:val="none"/>
        </w:rPr>
      </w:pPr>
    </w:p>
    <w:p w14:paraId="3ABCC569">
      <w:pPr>
        <w:pStyle w:val="31"/>
        <w:spacing w:before="120" w:beforeLines="50" w:after="120" w:afterLines="50" w:line="360" w:lineRule="auto"/>
        <w:jc w:val="left"/>
        <w:rPr>
          <w:rFonts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附件3：                </w:t>
      </w:r>
    </w:p>
    <w:p w14:paraId="39870565">
      <w:pPr>
        <w:pStyle w:val="31"/>
        <w:spacing w:before="120" w:beforeLines="50" w:after="120" w:afterLines="5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供应商信用承诺书</w:t>
      </w:r>
    </w:p>
    <w:p w14:paraId="522BB162">
      <w:pPr>
        <w:spacing w:line="560" w:lineRule="exact"/>
        <w:rPr>
          <w:rFonts w:ascii="宋体" w:hAnsi="宋体" w:cs="宋体"/>
          <w:color w:val="auto"/>
          <w:spacing w:val="-5"/>
          <w:sz w:val="24"/>
          <w:highlight w:val="none"/>
        </w:rPr>
      </w:pPr>
      <w:r>
        <w:rPr>
          <w:rFonts w:hint="eastAsia" w:ascii="宋体" w:hAnsi="宋体" w:cs="宋体"/>
          <w:color w:val="auto"/>
          <w:spacing w:val="-5"/>
          <w:sz w:val="24"/>
          <w:highlight w:val="none"/>
        </w:rPr>
        <w:t>致：</w:t>
      </w:r>
      <w:r>
        <w:rPr>
          <w:rFonts w:hint="eastAsia" w:ascii="宋体" w:hAnsi="宋体" w:cs="宋体"/>
          <w:color w:val="auto"/>
          <w:sz w:val="24"/>
          <w:highlight w:val="none"/>
          <w:u w:val="single"/>
        </w:rPr>
        <w:t>南通市公路事业发展中心</w:t>
      </w:r>
    </w:p>
    <w:p w14:paraId="3A0CC22C">
      <w:pPr>
        <w:spacing w:line="560" w:lineRule="exact"/>
        <w:ind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 xml:space="preserve">我单位 </w:t>
      </w: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rPr>
        <w:t>（单位名称）自愿参加</w:t>
      </w: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rPr>
        <w:t xml:space="preserve"> </w:t>
      </w:r>
    </w:p>
    <w:p w14:paraId="1EFF762C">
      <w:pPr>
        <w:spacing w:line="560" w:lineRule="exact"/>
        <w:rPr>
          <w:rFonts w:ascii="宋体" w:hAnsi="宋体" w:cs="宋体"/>
          <w:color w:val="auto"/>
          <w:spacing w:val="-5"/>
          <w:sz w:val="24"/>
          <w:highlight w:val="none"/>
        </w:rPr>
      </w:pP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rPr>
        <w:t>项目投标活动，并郑重承诺：</w:t>
      </w:r>
    </w:p>
    <w:p w14:paraId="28D1D983">
      <w:pPr>
        <w:numPr>
          <w:ilvl w:val="0"/>
          <w:numId w:val="3"/>
        </w:numPr>
        <w:spacing w:line="560" w:lineRule="exact"/>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在本项目的投标活动中遵守国家法律法规和有关规定，遵循公开、公平、公正和诚信原则。</w:t>
      </w:r>
    </w:p>
    <w:p w14:paraId="495A5362">
      <w:pPr>
        <w:numPr>
          <w:ilvl w:val="0"/>
          <w:numId w:val="3"/>
        </w:numPr>
        <w:spacing w:line="560" w:lineRule="exact"/>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响应文件中所有内容均为我单位真实意愿表达，相关信息真实有效。</w:t>
      </w:r>
    </w:p>
    <w:p w14:paraId="4487092C">
      <w:pPr>
        <w:numPr>
          <w:ilvl w:val="0"/>
          <w:numId w:val="3"/>
        </w:numPr>
        <w:spacing w:line="560" w:lineRule="exact"/>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无弄虚作假，无围标串标行为。</w:t>
      </w:r>
    </w:p>
    <w:p w14:paraId="315FCF4B">
      <w:pPr>
        <w:numPr>
          <w:ilvl w:val="0"/>
          <w:numId w:val="3"/>
        </w:numPr>
        <w:spacing w:line="560" w:lineRule="exact"/>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若我方成交，在合同履行过程中严格执行有关</w:t>
      </w:r>
      <w:r>
        <w:rPr>
          <w:rFonts w:hint="eastAsia" w:ascii="宋体" w:hAnsi="宋体" w:cs="宋体"/>
          <w:color w:val="auto"/>
          <w:spacing w:val="-5"/>
          <w:sz w:val="24"/>
          <w:highlight w:val="none"/>
          <w:lang w:eastAsia="zh-CN"/>
        </w:rPr>
        <w:t>法律法规</w:t>
      </w:r>
      <w:r>
        <w:rPr>
          <w:rFonts w:hint="eastAsia" w:ascii="宋体" w:hAnsi="宋体" w:cs="宋体"/>
          <w:color w:val="auto"/>
          <w:spacing w:val="-5"/>
          <w:sz w:val="24"/>
          <w:highlight w:val="none"/>
        </w:rPr>
        <w:t>、规章和规范性文件的规定，不转包和违法分包。</w:t>
      </w:r>
    </w:p>
    <w:p w14:paraId="5273F39D">
      <w:pPr>
        <w:numPr>
          <w:ilvl w:val="0"/>
          <w:numId w:val="3"/>
        </w:numPr>
        <w:spacing w:line="560" w:lineRule="exact"/>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color w:val="auto"/>
          <w:spacing w:val="-5"/>
          <w:sz w:val="24"/>
          <w:highlight w:val="none"/>
        </w:rPr>
      </w:pPr>
    </w:p>
    <w:p w14:paraId="1D5178FE">
      <w:pPr>
        <w:spacing w:line="360" w:lineRule="auto"/>
        <w:rPr>
          <w:rFonts w:ascii="宋体" w:hAnsi="宋体" w:cs="宋体"/>
          <w:color w:val="auto"/>
          <w:sz w:val="24"/>
          <w:highlight w:val="none"/>
        </w:rPr>
      </w:pPr>
      <w:r>
        <w:rPr>
          <w:rFonts w:hint="eastAsia" w:ascii="宋体" w:hAnsi="宋体" w:cs="宋体"/>
          <w:color w:val="auto"/>
          <w:sz w:val="24"/>
          <w:highlight w:val="none"/>
        </w:rPr>
        <w:t>响应供应商：</w:t>
      </w:r>
      <w:r>
        <w:rPr>
          <w:rFonts w:hint="eastAsia" w:ascii="宋体" w:hAnsi="宋体" w:cs="宋体"/>
          <w:b/>
          <w:color w:val="auto"/>
          <w:spacing w:val="-2"/>
          <w:sz w:val="24"/>
          <w:highlight w:val="none"/>
          <w:u w:val="single"/>
        </w:rPr>
        <w:t>（盖单位章）</w:t>
      </w:r>
    </w:p>
    <w:p w14:paraId="218A6E04">
      <w:pPr>
        <w:kinsoku w:val="0"/>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5DDD23D5">
      <w:pPr>
        <w:spacing w:line="360" w:lineRule="auto"/>
        <w:ind w:firstLine="3675"/>
        <w:rPr>
          <w:rFonts w:ascii="宋体" w:hAnsi="宋体" w:cs="宋体"/>
          <w:color w:val="auto"/>
          <w:sz w:val="24"/>
          <w:highlight w:val="none"/>
        </w:rPr>
      </w:pPr>
      <w:r>
        <w:rPr>
          <w:rFonts w:hint="eastAsia" w:ascii="宋体" w:hAnsi="宋体" w:cs="宋体"/>
          <w:color w:val="auto"/>
          <w:sz w:val="24"/>
          <w:highlight w:val="none"/>
        </w:rPr>
        <w:t>日期：   年   月   日</w:t>
      </w:r>
    </w:p>
    <w:p w14:paraId="3F3C5ED1">
      <w:pPr>
        <w:rPr>
          <w:rFonts w:ascii="宋体" w:hAnsi="宋体" w:cs="宋体"/>
          <w:color w:val="auto"/>
          <w:sz w:val="28"/>
          <w:szCs w:val="28"/>
          <w:highlight w:val="none"/>
        </w:rPr>
      </w:pPr>
      <w:r>
        <w:rPr>
          <w:rFonts w:hint="eastAsia" w:ascii="宋体" w:hAnsi="宋体" w:cs="宋体"/>
          <w:color w:val="auto"/>
          <w:sz w:val="24"/>
          <w:highlight w:val="none"/>
        </w:rPr>
        <w:br w:type="page"/>
      </w:r>
    </w:p>
    <w:p w14:paraId="5EFC28D9">
      <w:pPr>
        <w:widowControl/>
        <w:spacing w:line="360" w:lineRule="auto"/>
        <w:jc w:val="left"/>
        <w:rPr>
          <w:rFonts w:ascii="宋体" w:hAnsi="宋体" w:cs="宋体"/>
          <w:color w:val="auto"/>
          <w:sz w:val="28"/>
          <w:szCs w:val="28"/>
          <w:highlight w:val="none"/>
        </w:rPr>
      </w:pPr>
      <w:r>
        <w:rPr>
          <w:rFonts w:hint="eastAsia" w:ascii="宋体" w:hAnsi="宋体" w:cs="宋体"/>
          <w:color w:val="auto"/>
          <w:sz w:val="32"/>
          <w:szCs w:val="32"/>
          <w:highlight w:val="none"/>
        </w:rPr>
        <w:t>附件4：</w:t>
      </w:r>
      <w:r>
        <w:rPr>
          <w:rFonts w:hint="eastAsia" w:ascii="宋体" w:hAnsi="宋体" w:cs="宋体"/>
          <w:color w:val="auto"/>
          <w:sz w:val="28"/>
          <w:szCs w:val="28"/>
          <w:highlight w:val="none"/>
        </w:rPr>
        <w:t>《中小企业声明函》等（如有）</w:t>
      </w:r>
    </w:p>
    <w:p w14:paraId="02C5757D">
      <w:pPr>
        <w:snapToGrid w:val="0"/>
        <w:spacing w:line="300" w:lineRule="auto"/>
        <w:outlineLvl w:val="0"/>
        <w:rPr>
          <w:rFonts w:ascii="宋体" w:hAnsi="宋体" w:cs="宋体"/>
          <w:color w:val="auto"/>
          <w:sz w:val="28"/>
          <w:szCs w:val="28"/>
          <w:highlight w:val="none"/>
        </w:rPr>
      </w:pPr>
    </w:p>
    <w:p w14:paraId="144E734A">
      <w:pPr>
        <w:spacing w:before="120" w:beforeLines="50" w:after="120" w:afterLines="50" w:line="300" w:lineRule="auto"/>
        <w:jc w:val="center"/>
        <w:outlineLvl w:val="0"/>
        <w:rPr>
          <w:rFonts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bidi="zh-CN"/>
        </w:rPr>
        <w:t>（单位名称）</w:t>
      </w:r>
      <w:r>
        <w:rPr>
          <w:rFonts w:hint="eastAsia" w:ascii="宋体" w:hAnsi="宋体" w:cs="宋体"/>
          <w:color w:val="auto"/>
          <w:sz w:val="24"/>
          <w:highlight w:val="none"/>
          <w:lang w:bidi="zh-CN"/>
        </w:rPr>
        <w:t>的</w:t>
      </w:r>
      <w:r>
        <w:rPr>
          <w:rFonts w:hint="eastAsia" w:ascii="宋体" w:hAnsi="宋体" w:cs="宋体"/>
          <w:color w:val="auto"/>
          <w:sz w:val="24"/>
          <w:highlight w:val="none"/>
          <w:u w:val="single"/>
          <w:lang w:bidi="zh-CN"/>
        </w:rPr>
        <w:t>（项目名称）</w:t>
      </w:r>
      <w:r>
        <w:rPr>
          <w:rFonts w:hint="eastAsia" w:ascii="宋体" w:hAnsi="宋体" w:cs="宋体"/>
          <w:color w:val="auto"/>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1.</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50865520">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2.</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0A31F9AA">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w:t>
      </w:r>
    </w:p>
    <w:p w14:paraId="0FD91030">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color w:val="auto"/>
          <w:sz w:val="24"/>
          <w:highlight w:val="none"/>
          <w:lang w:bidi="zh-CN"/>
        </w:rPr>
      </w:pPr>
    </w:p>
    <w:p w14:paraId="7F17A0E4">
      <w:pPr>
        <w:adjustRightInd w:val="0"/>
        <w:snapToGrid w:val="0"/>
        <w:spacing w:line="360" w:lineRule="auto"/>
        <w:outlineLvl w:val="0"/>
        <w:rPr>
          <w:rFonts w:ascii="宋体" w:hAnsi="宋体" w:cs="宋体"/>
          <w:color w:val="auto"/>
          <w:sz w:val="24"/>
          <w:highlight w:val="none"/>
          <w:lang w:bidi="zh-CN"/>
        </w:rPr>
      </w:pPr>
    </w:p>
    <w:p w14:paraId="73125B34">
      <w:pPr>
        <w:adjustRightInd w:val="0"/>
        <w:snapToGrid w:val="0"/>
        <w:spacing w:line="36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企业名称（盖章）：</w:t>
      </w:r>
    </w:p>
    <w:p w14:paraId="6AE79DAB">
      <w:pPr>
        <w:spacing w:line="30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日期：</w:t>
      </w:r>
    </w:p>
    <w:p w14:paraId="2DD13304">
      <w:pPr>
        <w:spacing w:line="560" w:lineRule="exact"/>
        <w:ind w:firstLine="240" w:firstLineChars="100"/>
        <w:rPr>
          <w:rFonts w:ascii="宋体" w:hAnsi="宋体" w:cs="宋体"/>
          <w:color w:val="auto"/>
          <w:sz w:val="24"/>
          <w:highlight w:val="none"/>
        </w:rPr>
      </w:pPr>
    </w:p>
    <w:p w14:paraId="3B824D4E">
      <w:pPr>
        <w:spacing w:line="300" w:lineRule="auto"/>
        <w:contextualSpacing/>
        <w:rPr>
          <w:rFonts w:ascii="宋体" w:hAnsi="宋体" w:cs="宋体"/>
          <w:color w:val="auto"/>
          <w:sz w:val="24"/>
          <w:highlight w:val="none"/>
        </w:rPr>
      </w:pPr>
    </w:p>
    <w:p w14:paraId="6B042A3A">
      <w:pPr>
        <w:spacing w:line="6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残疾人福利性单位声明函</w:t>
      </w:r>
    </w:p>
    <w:p w14:paraId="33A6651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D9FFED">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76E409C7">
      <w:pPr>
        <w:spacing w:line="588" w:lineRule="exact"/>
        <w:ind w:firstLine="1440" w:firstLineChars="600"/>
        <w:rPr>
          <w:rFonts w:ascii="宋体" w:hAnsi="宋体" w:cs="宋体"/>
          <w:color w:val="auto"/>
          <w:sz w:val="24"/>
          <w:highlight w:val="none"/>
        </w:rPr>
      </w:pPr>
      <w:r>
        <w:rPr>
          <w:rFonts w:hint="eastAsia" w:ascii="宋体" w:hAnsi="宋体" w:cs="宋体"/>
          <w:color w:val="auto"/>
          <w:sz w:val="24"/>
          <w:highlight w:val="none"/>
          <w:lang w:eastAsia="zh-CN"/>
        </w:rPr>
        <w:t>2.</w:t>
      </w:r>
      <w:r>
        <w:rPr>
          <w:rFonts w:hint="eastAsia" w:ascii="宋体" w:hAnsi="宋体" w:cs="宋体"/>
          <w:color w:val="auto"/>
          <w:sz w:val="24"/>
          <w:highlight w:val="none"/>
        </w:rPr>
        <w:t>中标或成交供应商为残疾人福利单位的，此声明函将随中标或成交结果同时公告，接受社会监督）</w:t>
      </w:r>
    </w:p>
    <w:p w14:paraId="2B64C386">
      <w:pPr>
        <w:spacing w:line="588" w:lineRule="exact"/>
        <w:ind w:firstLine="480" w:firstLineChars="200"/>
        <w:rPr>
          <w:rFonts w:ascii="宋体" w:hAnsi="宋体" w:cs="宋体"/>
          <w:color w:val="auto"/>
          <w:sz w:val="24"/>
          <w:highlight w:val="none"/>
        </w:rPr>
      </w:pPr>
    </w:p>
    <w:p w14:paraId="68CF0AD0">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877FEB8">
      <w:pPr>
        <w:spacing w:line="420" w:lineRule="exact"/>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监狱和戒毒企业证明材料</w:t>
      </w:r>
    </w:p>
    <w:p w14:paraId="05D3168D">
      <w:pPr>
        <w:spacing w:line="420" w:lineRule="exact"/>
        <w:ind w:firstLine="495" w:firstLineChars="177"/>
        <w:rPr>
          <w:rFonts w:ascii="宋体" w:hAnsi="宋体" w:cs="宋体"/>
          <w:color w:val="auto"/>
          <w:sz w:val="28"/>
          <w:szCs w:val="28"/>
          <w:highlight w:val="none"/>
        </w:rPr>
      </w:pPr>
    </w:p>
    <w:p w14:paraId="7E280453">
      <w:pPr>
        <w:spacing w:line="420" w:lineRule="exact"/>
        <w:ind w:firstLine="426" w:firstLineChars="177"/>
        <w:jc w:val="center"/>
        <w:rPr>
          <w:rFonts w:ascii="宋体" w:hAnsi="宋体" w:cs="宋体"/>
          <w:b/>
          <w:color w:val="auto"/>
          <w:sz w:val="24"/>
          <w:highlight w:val="none"/>
        </w:rPr>
      </w:pPr>
      <w:r>
        <w:rPr>
          <w:rFonts w:hint="eastAsia" w:ascii="宋体" w:hAnsi="宋体" w:cs="宋体"/>
          <w:b/>
          <w:color w:val="auto"/>
          <w:sz w:val="24"/>
          <w:highlight w:val="none"/>
        </w:rPr>
        <w:t>（格式自拟）</w:t>
      </w:r>
    </w:p>
    <w:p w14:paraId="1942C201">
      <w:pPr>
        <w:spacing w:line="420" w:lineRule="exact"/>
        <w:ind w:firstLine="424" w:firstLineChars="177"/>
        <w:rPr>
          <w:rFonts w:ascii="宋体" w:hAnsi="宋体" w:cs="宋体"/>
          <w:color w:val="auto"/>
          <w:sz w:val="24"/>
          <w:highlight w:val="none"/>
        </w:rPr>
      </w:pPr>
    </w:p>
    <w:p w14:paraId="122223EF">
      <w:pPr>
        <w:spacing w:line="42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color w:val="auto"/>
          <w:sz w:val="24"/>
          <w:highlight w:val="none"/>
        </w:rPr>
      </w:pPr>
    </w:p>
    <w:p w14:paraId="3FA980CE">
      <w:pPr>
        <w:kinsoku w:val="0"/>
        <w:topLinePunct/>
        <w:spacing w:line="420" w:lineRule="exact"/>
        <w:jc w:val="center"/>
        <w:rPr>
          <w:rFonts w:ascii="宋体" w:hAnsi="宋体" w:cs="宋体"/>
          <w:color w:val="auto"/>
          <w:sz w:val="24"/>
          <w:highlight w:val="none"/>
        </w:rPr>
      </w:pPr>
    </w:p>
    <w:p w14:paraId="57591BD3">
      <w:pPr>
        <w:adjustRightInd w:val="0"/>
        <w:snapToGrid w:val="0"/>
        <w:spacing w:line="360" w:lineRule="auto"/>
        <w:jc w:val="left"/>
        <w:rPr>
          <w:rFonts w:ascii="宋体" w:hAnsi="宋体" w:cs="宋体"/>
          <w:color w:val="auto"/>
          <w:sz w:val="24"/>
          <w:highlight w:val="none"/>
        </w:rPr>
      </w:pPr>
    </w:p>
    <w:p w14:paraId="6F4D2CC8">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1735AFA5">
      <w:pPr>
        <w:rPr>
          <w:rFonts w:ascii="宋体" w:hAnsi="宋体" w:cs="宋体"/>
          <w:color w:val="auto"/>
          <w:sz w:val="28"/>
          <w:szCs w:val="28"/>
          <w:highlight w:val="none"/>
        </w:rPr>
      </w:pPr>
      <w:r>
        <w:rPr>
          <w:rFonts w:hint="eastAsia" w:ascii="宋体" w:hAnsi="宋体" w:cs="宋体"/>
          <w:color w:val="auto"/>
          <w:sz w:val="28"/>
          <w:szCs w:val="28"/>
          <w:highlight w:val="none"/>
        </w:rPr>
        <w:t>附件5：</w:t>
      </w:r>
    </w:p>
    <w:p w14:paraId="63B21D57">
      <w:pPr>
        <w:snapToGrid w:val="0"/>
        <w:spacing w:line="520" w:lineRule="exact"/>
        <w:jc w:val="center"/>
        <w:outlineLvl w:val="2"/>
        <w:rPr>
          <w:rFonts w:ascii="宋体" w:hAnsi="宋体" w:cs="宋体"/>
          <w:color w:val="auto"/>
          <w:highlight w:val="none"/>
        </w:rPr>
      </w:pPr>
      <w:r>
        <w:rPr>
          <w:rFonts w:hint="eastAsia" w:ascii="宋体" w:hAnsi="宋体" w:cs="宋体"/>
          <w:b/>
          <w:bCs/>
          <w:color w:val="auto"/>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color w:val="auto"/>
                <w:sz w:val="24"/>
                <w:highlight w:val="none"/>
              </w:rPr>
            </w:pPr>
            <w:r>
              <w:rPr>
                <w:rFonts w:hint="eastAsia" w:ascii="宋体" w:hAnsi="宋体" w:cs="宋体"/>
                <w:color w:val="auto"/>
                <w:sz w:val="24"/>
                <w:highlight w:val="none"/>
              </w:rPr>
              <w:t>供应商全称</w:t>
            </w:r>
          </w:p>
        </w:tc>
        <w:tc>
          <w:tcPr>
            <w:tcW w:w="6859" w:type="dxa"/>
            <w:gridSpan w:val="3"/>
            <w:vAlign w:val="center"/>
          </w:tcPr>
          <w:p w14:paraId="692AEDC9">
            <w:pPr>
              <w:jc w:val="center"/>
              <w:rPr>
                <w:rFonts w:ascii="宋体" w:hAnsi="宋体" w:cs="宋体"/>
                <w:b/>
                <w:color w:val="auto"/>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color w:val="auto"/>
                <w:sz w:val="24"/>
                <w:highlight w:val="none"/>
              </w:rPr>
            </w:pPr>
            <w:r>
              <w:rPr>
                <w:rFonts w:hint="eastAsia" w:ascii="宋体" w:hAnsi="宋体" w:cs="宋体"/>
                <w:color w:val="auto"/>
                <w:sz w:val="24"/>
                <w:highlight w:val="none"/>
              </w:rPr>
              <w:t>主要业务范围</w:t>
            </w:r>
          </w:p>
        </w:tc>
        <w:tc>
          <w:tcPr>
            <w:tcW w:w="6859" w:type="dxa"/>
            <w:gridSpan w:val="3"/>
            <w:vAlign w:val="center"/>
          </w:tcPr>
          <w:p w14:paraId="6AD96CE9">
            <w:pPr>
              <w:jc w:val="center"/>
              <w:rPr>
                <w:rFonts w:ascii="宋体" w:hAnsi="宋体" w:cs="宋体"/>
                <w:b/>
                <w:color w:val="auto"/>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color w:val="auto"/>
                <w:sz w:val="24"/>
                <w:highlight w:val="none"/>
              </w:rPr>
            </w:pPr>
            <w:r>
              <w:rPr>
                <w:rFonts w:hint="eastAsia" w:ascii="宋体" w:hAnsi="宋体" w:cs="宋体"/>
                <w:color w:val="auto"/>
                <w:sz w:val="24"/>
                <w:highlight w:val="none"/>
              </w:rPr>
              <w:t>法定代表人姓名</w:t>
            </w:r>
          </w:p>
        </w:tc>
        <w:tc>
          <w:tcPr>
            <w:tcW w:w="3036" w:type="dxa"/>
            <w:vAlign w:val="center"/>
          </w:tcPr>
          <w:p w14:paraId="6561FAF6">
            <w:pPr>
              <w:jc w:val="center"/>
              <w:rPr>
                <w:rFonts w:ascii="宋体" w:hAnsi="宋体" w:cs="宋体"/>
                <w:b/>
                <w:color w:val="auto"/>
                <w:sz w:val="24"/>
                <w:highlight w:val="none"/>
              </w:rPr>
            </w:pPr>
          </w:p>
        </w:tc>
        <w:tc>
          <w:tcPr>
            <w:tcW w:w="1536" w:type="dxa"/>
            <w:vAlign w:val="center"/>
          </w:tcPr>
          <w:p w14:paraId="43DBDDE1">
            <w:pPr>
              <w:jc w:val="center"/>
              <w:rPr>
                <w:rFonts w:ascii="宋体" w:hAnsi="宋体" w:cs="宋体"/>
                <w:color w:val="auto"/>
                <w:sz w:val="24"/>
                <w:highlight w:val="none"/>
              </w:rPr>
            </w:pPr>
            <w:r>
              <w:rPr>
                <w:rFonts w:hint="eastAsia" w:ascii="宋体" w:hAnsi="宋体" w:cs="宋体"/>
                <w:color w:val="auto"/>
                <w:sz w:val="24"/>
                <w:highlight w:val="none"/>
              </w:rPr>
              <w:t>职    务</w:t>
            </w:r>
          </w:p>
        </w:tc>
        <w:tc>
          <w:tcPr>
            <w:tcW w:w="2287" w:type="dxa"/>
          </w:tcPr>
          <w:p w14:paraId="3A9BBA5F">
            <w:pPr>
              <w:rPr>
                <w:rFonts w:ascii="宋体" w:hAnsi="宋体" w:cs="宋体"/>
                <w:b/>
                <w:color w:val="auto"/>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color w:val="auto"/>
                <w:sz w:val="24"/>
                <w:highlight w:val="none"/>
              </w:rPr>
            </w:pPr>
            <w:r>
              <w:rPr>
                <w:rFonts w:hint="eastAsia" w:ascii="宋体" w:hAnsi="宋体" w:cs="宋体"/>
                <w:color w:val="auto"/>
                <w:sz w:val="24"/>
                <w:highlight w:val="none"/>
              </w:rPr>
              <w:t>供应商地址</w:t>
            </w:r>
          </w:p>
        </w:tc>
        <w:tc>
          <w:tcPr>
            <w:tcW w:w="3036" w:type="dxa"/>
            <w:vAlign w:val="center"/>
          </w:tcPr>
          <w:p w14:paraId="1C173A93">
            <w:pPr>
              <w:jc w:val="center"/>
              <w:rPr>
                <w:rFonts w:ascii="宋体" w:hAnsi="宋体" w:cs="宋体"/>
                <w:b/>
                <w:color w:val="auto"/>
                <w:sz w:val="24"/>
                <w:highlight w:val="none"/>
              </w:rPr>
            </w:pPr>
          </w:p>
        </w:tc>
        <w:tc>
          <w:tcPr>
            <w:tcW w:w="1536" w:type="dxa"/>
            <w:vAlign w:val="center"/>
          </w:tcPr>
          <w:p w14:paraId="18665DEB">
            <w:pPr>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287" w:type="dxa"/>
          </w:tcPr>
          <w:p w14:paraId="68FF2FB4">
            <w:pPr>
              <w:rPr>
                <w:rFonts w:ascii="宋体" w:hAnsi="宋体" w:cs="宋体"/>
                <w:b/>
                <w:color w:val="auto"/>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color w:val="auto"/>
                <w:sz w:val="24"/>
                <w:highlight w:val="none"/>
              </w:rPr>
            </w:pPr>
            <w:r>
              <w:rPr>
                <w:rFonts w:hint="eastAsia" w:ascii="宋体" w:hAnsi="宋体" w:cs="宋体"/>
                <w:color w:val="auto"/>
                <w:sz w:val="24"/>
                <w:highlight w:val="none"/>
              </w:rPr>
              <w:t>电       话</w:t>
            </w:r>
          </w:p>
        </w:tc>
        <w:tc>
          <w:tcPr>
            <w:tcW w:w="3036" w:type="dxa"/>
            <w:vAlign w:val="center"/>
          </w:tcPr>
          <w:p w14:paraId="389EC93A">
            <w:pPr>
              <w:jc w:val="center"/>
              <w:rPr>
                <w:rFonts w:ascii="宋体" w:hAnsi="宋体" w:cs="宋体"/>
                <w:b/>
                <w:color w:val="auto"/>
                <w:sz w:val="24"/>
                <w:highlight w:val="none"/>
              </w:rPr>
            </w:pPr>
          </w:p>
        </w:tc>
        <w:tc>
          <w:tcPr>
            <w:tcW w:w="1536" w:type="dxa"/>
            <w:vAlign w:val="center"/>
          </w:tcPr>
          <w:p w14:paraId="7D3DC02B">
            <w:pPr>
              <w:jc w:val="center"/>
              <w:rPr>
                <w:rFonts w:ascii="宋体" w:hAnsi="宋体" w:cs="宋体"/>
                <w:color w:val="auto"/>
                <w:sz w:val="24"/>
                <w:highlight w:val="none"/>
              </w:rPr>
            </w:pPr>
            <w:r>
              <w:rPr>
                <w:rFonts w:hint="eastAsia" w:ascii="宋体" w:hAnsi="宋体" w:cs="宋体"/>
                <w:color w:val="auto"/>
                <w:sz w:val="24"/>
                <w:highlight w:val="none"/>
              </w:rPr>
              <w:t>传   真</w:t>
            </w:r>
          </w:p>
        </w:tc>
        <w:tc>
          <w:tcPr>
            <w:tcW w:w="2287" w:type="dxa"/>
          </w:tcPr>
          <w:p w14:paraId="4FBAC2F5">
            <w:pPr>
              <w:rPr>
                <w:rFonts w:ascii="宋体" w:hAnsi="宋体" w:cs="宋体"/>
                <w:b/>
                <w:color w:val="auto"/>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color w:val="auto"/>
                <w:sz w:val="24"/>
                <w:highlight w:val="none"/>
              </w:rPr>
            </w:pPr>
            <w:r>
              <w:rPr>
                <w:rFonts w:hint="eastAsia" w:ascii="宋体" w:hAnsi="宋体" w:cs="宋体"/>
                <w:color w:val="auto"/>
                <w:sz w:val="24"/>
                <w:highlight w:val="none"/>
              </w:rPr>
              <w:t>成立日期</w:t>
            </w:r>
          </w:p>
        </w:tc>
        <w:tc>
          <w:tcPr>
            <w:tcW w:w="3036" w:type="dxa"/>
            <w:vAlign w:val="center"/>
          </w:tcPr>
          <w:p w14:paraId="06ECFDFF">
            <w:pPr>
              <w:jc w:val="center"/>
              <w:rPr>
                <w:rFonts w:ascii="宋体" w:hAnsi="宋体" w:cs="宋体"/>
                <w:b/>
                <w:color w:val="auto"/>
                <w:sz w:val="24"/>
                <w:highlight w:val="none"/>
              </w:rPr>
            </w:pPr>
          </w:p>
        </w:tc>
        <w:tc>
          <w:tcPr>
            <w:tcW w:w="1536" w:type="dxa"/>
            <w:vAlign w:val="center"/>
          </w:tcPr>
          <w:p w14:paraId="387EE434">
            <w:pPr>
              <w:jc w:val="center"/>
              <w:rPr>
                <w:rFonts w:ascii="宋体" w:hAnsi="宋体" w:cs="宋体"/>
                <w:color w:val="auto"/>
                <w:sz w:val="24"/>
                <w:highlight w:val="none"/>
              </w:rPr>
            </w:pPr>
            <w:r>
              <w:rPr>
                <w:rFonts w:hint="eastAsia" w:ascii="宋体" w:hAnsi="宋体" w:cs="宋体"/>
                <w:color w:val="auto"/>
                <w:sz w:val="24"/>
                <w:highlight w:val="none"/>
              </w:rPr>
              <w:t>现 有 职</w:t>
            </w:r>
          </w:p>
          <w:p w14:paraId="1887DD88">
            <w:pPr>
              <w:jc w:val="center"/>
              <w:rPr>
                <w:rFonts w:ascii="宋体" w:hAnsi="宋体" w:cs="宋体"/>
                <w:color w:val="auto"/>
                <w:sz w:val="24"/>
                <w:highlight w:val="none"/>
              </w:rPr>
            </w:pPr>
            <w:r>
              <w:rPr>
                <w:rFonts w:hint="eastAsia" w:ascii="宋体" w:hAnsi="宋体" w:cs="宋体"/>
                <w:color w:val="auto"/>
                <w:sz w:val="24"/>
                <w:highlight w:val="none"/>
              </w:rPr>
              <w:t>工 人 数</w:t>
            </w:r>
          </w:p>
        </w:tc>
        <w:tc>
          <w:tcPr>
            <w:tcW w:w="2287" w:type="dxa"/>
          </w:tcPr>
          <w:p w14:paraId="0377C597">
            <w:pPr>
              <w:rPr>
                <w:rFonts w:ascii="宋体" w:hAnsi="宋体" w:cs="宋体"/>
                <w:b/>
                <w:color w:val="auto"/>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3"/>
              <w:jc w:val="center"/>
              <w:rPr>
                <w:rFonts w:ascii="宋体" w:hAnsi="宋体" w:cs="宋体"/>
                <w:color w:val="auto"/>
                <w:sz w:val="24"/>
                <w:szCs w:val="24"/>
                <w:highlight w:val="none"/>
              </w:rPr>
            </w:pPr>
            <w:r>
              <w:rPr>
                <w:rFonts w:hint="eastAsia" w:ascii="宋体" w:hAnsi="宋体" w:cs="宋体"/>
                <w:color w:val="auto"/>
                <w:sz w:val="24"/>
                <w:szCs w:val="24"/>
                <w:highlight w:val="none"/>
              </w:rPr>
              <w:t>资质等级证书（如有）</w:t>
            </w:r>
          </w:p>
        </w:tc>
        <w:tc>
          <w:tcPr>
            <w:tcW w:w="6859" w:type="dxa"/>
            <w:gridSpan w:val="3"/>
          </w:tcPr>
          <w:p w14:paraId="3ED1FACF">
            <w:pPr>
              <w:rPr>
                <w:rFonts w:ascii="宋体" w:hAnsi="宋体" w:cs="宋体"/>
                <w:b/>
                <w:color w:val="auto"/>
                <w:sz w:val="24"/>
                <w:highlight w:val="none"/>
              </w:rPr>
            </w:pPr>
          </w:p>
          <w:p w14:paraId="79B95B26">
            <w:pPr>
              <w:rPr>
                <w:rFonts w:ascii="宋体" w:hAnsi="宋体" w:cs="宋体"/>
                <w:color w:val="auto"/>
                <w:sz w:val="24"/>
                <w:highlight w:val="none"/>
              </w:rPr>
            </w:pPr>
            <w:r>
              <w:rPr>
                <w:rFonts w:hint="eastAsia" w:ascii="宋体" w:hAnsi="宋体" w:cs="宋体"/>
                <w:color w:val="auto"/>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color w:val="auto"/>
                <w:sz w:val="24"/>
                <w:highlight w:val="none"/>
              </w:rPr>
            </w:pPr>
            <w:r>
              <w:rPr>
                <w:rFonts w:hint="eastAsia" w:ascii="宋体" w:hAnsi="宋体" w:cs="宋体"/>
                <w:color w:val="auto"/>
                <w:sz w:val="24"/>
                <w:highlight w:val="none"/>
              </w:rPr>
              <w:t>单位简介：</w:t>
            </w:r>
          </w:p>
          <w:p w14:paraId="0F101F82">
            <w:pPr>
              <w:rPr>
                <w:rFonts w:ascii="宋体" w:hAnsi="宋体" w:cs="宋体"/>
                <w:color w:val="auto"/>
                <w:sz w:val="24"/>
                <w:highlight w:val="none"/>
              </w:rPr>
            </w:pPr>
            <w:r>
              <w:rPr>
                <w:rFonts w:hint="eastAsia" w:ascii="宋体" w:hAnsi="宋体" w:cs="宋体"/>
                <w:color w:val="auto"/>
                <w:sz w:val="24"/>
                <w:highlight w:val="none"/>
              </w:rPr>
              <w:t xml:space="preserve">技术人员总数：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w:t>
            </w:r>
          </w:p>
        </w:tc>
      </w:tr>
    </w:tbl>
    <w:p w14:paraId="061BF2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供应商（盖单位公章）：</w:t>
      </w:r>
      <w:r>
        <w:rPr>
          <w:rFonts w:hint="eastAsia" w:ascii="宋体" w:hAnsi="宋体" w:cs="宋体"/>
          <w:color w:val="auto"/>
          <w:sz w:val="24"/>
          <w:highlight w:val="none"/>
          <w:u w:val="single"/>
        </w:rPr>
        <w:t xml:space="preserve">                    </w:t>
      </w:r>
    </w:p>
    <w:p w14:paraId="1F642AA6">
      <w:pPr>
        <w:kinsoku w:val="0"/>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208F9A7B">
      <w:pPr>
        <w:snapToGrid w:val="0"/>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年    月    日</w:t>
      </w:r>
    </w:p>
    <w:p w14:paraId="48677746">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5D5EDDB5">
      <w:pPr>
        <w:tabs>
          <w:tab w:val="left" w:pos="3375"/>
        </w:tabs>
        <w:autoSpaceDE w:val="0"/>
        <w:autoSpaceDN w:val="0"/>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注：本表后附竞争性磋商公告资格要求提供相应的佐证材料（以下材料均须提供复印件（或扫描件）并加盖公章）；</w:t>
      </w:r>
    </w:p>
    <w:p w14:paraId="7CC377AA">
      <w:pPr>
        <w:tabs>
          <w:tab w:val="left" w:pos="3375"/>
        </w:tabs>
        <w:autoSpaceDE w:val="0"/>
        <w:autoSpaceDN w:val="0"/>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企业法人营业执照或事业单位法人登记证明或社会组织或其他组织或自然人证明材料；</w:t>
      </w:r>
    </w:p>
    <w:p w14:paraId="10A91B3B">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（2）项目负责人职称证书；</w:t>
      </w:r>
    </w:p>
    <w:p w14:paraId="0DB11E04">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（3）项目负责人社保证明材料；</w:t>
      </w:r>
    </w:p>
    <w:p w14:paraId="53B027D9">
      <w:pPr>
        <w:tabs>
          <w:tab w:val="left" w:pos="3375"/>
        </w:tabs>
        <w:autoSpaceDE w:val="0"/>
        <w:autoSpaceDN w:val="0"/>
        <w:adjustRightInd w:val="0"/>
        <w:snapToGrid w:val="0"/>
        <w:spacing w:line="440" w:lineRule="exact"/>
        <w:ind w:firstLine="480" w:firstLineChars="200"/>
        <w:rPr>
          <w:rFonts w:hint="default" w:ascii="宋体" w:hAnsi="宋体" w:cs="宋体"/>
          <w:color w:val="auto"/>
          <w:sz w:val="24"/>
          <w:highlight w:val="none"/>
          <w:lang w:val="en-US" w:eastAsia="zh-CN"/>
        </w:rPr>
      </w:pPr>
    </w:p>
    <w:p w14:paraId="56B7F498">
      <w:pPr>
        <w:spacing w:line="300" w:lineRule="auto"/>
        <w:jc w:val="center"/>
        <w:rPr>
          <w:rFonts w:hint="eastAsia" w:ascii="宋体" w:hAnsi="宋体"/>
          <w:bCs/>
          <w:color w:val="auto"/>
          <w:sz w:val="32"/>
          <w:szCs w:val="32"/>
          <w:highlight w:val="none"/>
        </w:rPr>
      </w:pPr>
    </w:p>
    <w:p w14:paraId="23781883">
      <w:pPr>
        <w:spacing w:line="300" w:lineRule="auto"/>
        <w:jc w:val="center"/>
        <w:rPr>
          <w:rFonts w:hint="eastAsia" w:ascii="宋体" w:hAnsi="宋体"/>
          <w:bCs/>
          <w:color w:val="auto"/>
          <w:sz w:val="32"/>
          <w:szCs w:val="32"/>
          <w:highlight w:val="none"/>
        </w:rPr>
      </w:pPr>
    </w:p>
    <w:p w14:paraId="0E8DE7AA">
      <w:pPr>
        <w:spacing w:line="300" w:lineRule="auto"/>
        <w:jc w:val="center"/>
        <w:rPr>
          <w:rFonts w:hint="eastAsia" w:ascii="宋体" w:hAnsi="宋体"/>
          <w:bCs/>
          <w:color w:val="auto"/>
          <w:sz w:val="32"/>
          <w:szCs w:val="32"/>
          <w:highlight w:val="none"/>
        </w:rPr>
      </w:pPr>
    </w:p>
    <w:p w14:paraId="77D0F714">
      <w:pPr>
        <w:spacing w:line="300" w:lineRule="auto"/>
        <w:jc w:val="center"/>
        <w:rPr>
          <w:rFonts w:hint="eastAsia" w:ascii="宋体" w:hAnsi="宋体"/>
          <w:bCs/>
          <w:color w:val="auto"/>
          <w:sz w:val="32"/>
          <w:szCs w:val="32"/>
          <w:highlight w:val="none"/>
        </w:rPr>
      </w:pPr>
    </w:p>
    <w:p w14:paraId="6BF69A5A">
      <w:pPr>
        <w:spacing w:line="300" w:lineRule="auto"/>
        <w:jc w:val="center"/>
        <w:rPr>
          <w:rFonts w:hint="eastAsia" w:ascii="宋体" w:hAnsi="宋体"/>
          <w:bCs/>
          <w:color w:val="auto"/>
          <w:sz w:val="32"/>
          <w:szCs w:val="32"/>
          <w:highlight w:val="none"/>
        </w:rPr>
      </w:pPr>
    </w:p>
    <w:p w14:paraId="04B2930E">
      <w:pPr>
        <w:rPr>
          <w:rFonts w:hint="eastAsia" w:ascii="宋体" w:hAnsi="宋体"/>
          <w:bCs/>
          <w:color w:val="auto"/>
          <w:sz w:val="32"/>
          <w:szCs w:val="32"/>
          <w:highlight w:val="none"/>
        </w:rPr>
      </w:pPr>
      <w:r>
        <w:rPr>
          <w:rFonts w:hint="eastAsia" w:ascii="宋体" w:hAnsi="宋体"/>
          <w:bCs/>
          <w:color w:val="auto"/>
          <w:sz w:val="32"/>
          <w:szCs w:val="32"/>
          <w:highlight w:val="none"/>
        </w:rPr>
        <w:br w:type="page"/>
      </w:r>
    </w:p>
    <w:p w14:paraId="5C1413AC">
      <w:pPr>
        <w:spacing w:line="300" w:lineRule="auto"/>
        <w:jc w:val="both"/>
        <w:rPr>
          <w:rFonts w:hint="eastAsia" w:ascii="宋体" w:hAnsi="宋体"/>
          <w:bCs/>
          <w:color w:val="auto"/>
          <w:sz w:val="32"/>
          <w:szCs w:val="32"/>
          <w:highlight w:val="none"/>
          <w:lang w:val="en-US" w:eastAsia="zh-CN"/>
        </w:rPr>
      </w:pPr>
      <w:r>
        <w:rPr>
          <w:rFonts w:hint="eastAsia" w:ascii="宋体" w:hAnsi="宋体" w:cs="宋体"/>
          <w:color w:val="auto"/>
          <w:sz w:val="28"/>
          <w:szCs w:val="28"/>
          <w:highlight w:val="none"/>
        </w:rPr>
        <w:t>附件6：</w:t>
      </w:r>
    </w:p>
    <w:p w14:paraId="01E3DDA7">
      <w:pPr>
        <w:topLinePunct/>
        <w:spacing w:beforeLines="50" w:afterLines="50"/>
        <w:jc w:val="center"/>
        <w:rPr>
          <w:rFonts w:ascii="宋体" w:hAnsi="宋体" w:cs="黑体"/>
          <w:color w:val="auto"/>
          <w:sz w:val="36"/>
          <w:szCs w:val="36"/>
          <w:highlight w:val="none"/>
        </w:rPr>
      </w:pPr>
      <w:r>
        <w:rPr>
          <w:rFonts w:hint="eastAsia" w:ascii="宋体" w:hAnsi="宋体" w:cs="黑体"/>
          <w:color w:val="auto"/>
          <w:sz w:val="36"/>
          <w:szCs w:val="36"/>
          <w:highlight w:val="none"/>
        </w:rPr>
        <w:t>拟分包项目情况表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5"/>
        <w:gridCol w:w="2134"/>
      </w:tblGrid>
      <w:tr w14:paraId="3442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1937B8B">
            <w:pPr>
              <w:jc w:val="center"/>
              <w:rPr>
                <w:rFonts w:ascii="宋体" w:hAnsi="宋体"/>
                <w:color w:val="auto"/>
                <w:sz w:val="24"/>
                <w:highlight w:val="none"/>
              </w:rPr>
            </w:pPr>
            <w:r>
              <w:rPr>
                <w:rFonts w:hint="eastAsia" w:ascii="宋体" w:hAnsi="宋体" w:cs="宋体"/>
                <w:color w:val="auto"/>
                <w:sz w:val="24"/>
                <w:highlight w:val="none"/>
              </w:rPr>
              <w:t>分包的工程项目</w:t>
            </w:r>
          </w:p>
        </w:tc>
        <w:tc>
          <w:tcPr>
            <w:tcW w:w="1283" w:type="pct"/>
            <w:vAlign w:val="center"/>
          </w:tcPr>
          <w:p w14:paraId="769D7A9A">
            <w:pPr>
              <w:jc w:val="center"/>
              <w:rPr>
                <w:rFonts w:ascii="宋体" w:hAnsi="宋体"/>
                <w:color w:val="auto"/>
                <w:sz w:val="24"/>
                <w:highlight w:val="none"/>
              </w:rPr>
            </w:pPr>
            <w:r>
              <w:rPr>
                <w:rFonts w:hint="eastAsia" w:ascii="宋体" w:hAnsi="宋体" w:cs="宋体"/>
                <w:color w:val="auto"/>
                <w:sz w:val="24"/>
                <w:highlight w:val="none"/>
              </w:rPr>
              <w:t>主要工程内容</w:t>
            </w:r>
          </w:p>
        </w:tc>
        <w:tc>
          <w:tcPr>
            <w:tcW w:w="1282" w:type="pct"/>
            <w:vAlign w:val="center"/>
          </w:tcPr>
          <w:p w14:paraId="77E1140E">
            <w:pPr>
              <w:jc w:val="center"/>
              <w:rPr>
                <w:rFonts w:ascii="宋体" w:hAnsi="宋体"/>
                <w:color w:val="auto"/>
                <w:sz w:val="24"/>
                <w:highlight w:val="none"/>
              </w:rPr>
            </w:pPr>
            <w:r>
              <w:rPr>
                <w:rFonts w:hint="eastAsia" w:ascii="宋体" w:hAnsi="宋体" w:cs="宋体"/>
                <w:color w:val="auto"/>
                <w:sz w:val="24"/>
                <w:highlight w:val="none"/>
              </w:rPr>
              <w:t>预计造价（万元）</w:t>
            </w:r>
          </w:p>
        </w:tc>
        <w:tc>
          <w:tcPr>
            <w:tcW w:w="1152" w:type="pct"/>
            <w:vMerge w:val="restart"/>
            <w:vAlign w:val="center"/>
          </w:tcPr>
          <w:p w14:paraId="3E5FD2D7">
            <w:pPr>
              <w:widowControl/>
              <w:rPr>
                <w:rFonts w:ascii="宋体" w:hAnsi="宋体"/>
                <w:color w:val="auto"/>
                <w:kern w:val="0"/>
                <w:sz w:val="24"/>
                <w:highlight w:val="none"/>
              </w:rPr>
            </w:pPr>
            <w:r>
              <w:rPr>
                <w:rFonts w:hint="eastAsia" w:ascii="宋体" w:hAnsi="宋体" w:cs="宋体"/>
                <w:color w:val="auto"/>
                <w:kern w:val="0"/>
                <w:sz w:val="24"/>
                <w:highlight w:val="none"/>
              </w:rPr>
              <w:t>注：若无分包计划，则投标人应在本表填写“无”</w:t>
            </w:r>
          </w:p>
        </w:tc>
      </w:tr>
      <w:tr w14:paraId="22EE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FBE134E">
            <w:pPr>
              <w:widowControl/>
              <w:ind w:firstLine="960" w:firstLineChars="400"/>
              <w:rPr>
                <w:rFonts w:ascii="宋体" w:hAnsi="宋体"/>
                <w:color w:val="auto"/>
                <w:kern w:val="0"/>
                <w:sz w:val="24"/>
                <w:highlight w:val="none"/>
              </w:rPr>
            </w:pPr>
          </w:p>
        </w:tc>
        <w:tc>
          <w:tcPr>
            <w:tcW w:w="1283" w:type="pct"/>
            <w:vAlign w:val="center"/>
          </w:tcPr>
          <w:p w14:paraId="2536F011">
            <w:pPr>
              <w:widowControl/>
              <w:rPr>
                <w:rFonts w:ascii="宋体" w:hAnsi="宋体"/>
                <w:color w:val="auto"/>
                <w:kern w:val="0"/>
                <w:sz w:val="24"/>
                <w:highlight w:val="none"/>
              </w:rPr>
            </w:pPr>
          </w:p>
        </w:tc>
        <w:tc>
          <w:tcPr>
            <w:tcW w:w="1282" w:type="pct"/>
            <w:vAlign w:val="center"/>
          </w:tcPr>
          <w:p w14:paraId="5CFE0BD4">
            <w:pPr>
              <w:widowControl/>
              <w:rPr>
                <w:rFonts w:ascii="宋体" w:hAnsi="宋体"/>
                <w:color w:val="auto"/>
                <w:kern w:val="0"/>
                <w:sz w:val="24"/>
                <w:highlight w:val="none"/>
              </w:rPr>
            </w:pPr>
          </w:p>
        </w:tc>
        <w:tc>
          <w:tcPr>
            <w:tcW w:w="1152" w:type="pct"/>
            <w:vMerge w:val="continue"/>
            <w:vAlign w:val="center"/>
          </w:tcPr>
          <w:p w14:paraId="71C53865">
            <w:pPr>
              <w:widowControl/>
              <w:rPr>
                <w:rFonts w:ascii="宋体" w:hAnsi="宋体"/>
                <w:color w:val="auto"/>
                <w:kern w:val="0"/>
                <w:sz w:val="24"/>
                <w:highlight w:val="none"/>
              </w:rPr>
            </w:pPr>
          </w:p>
        </w:tc>
      </w:tr>
      <w:tr w14:paraId="6FA2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28B3531">
            <w:pPr>
              <w:widowControl/>
              <w:rPr>
                <w:rFonts w:ascii="宋体" w:hAnsi="宋体"/>
                <w:color w:val="auto"/>
                <w:kern w:val="0"/>
                <w:sz w:val="24"/>
                <w:highlight w:val="none"/>
              </w:rPr>
            </w:pPr>
          </w:p>
        </w:tc>
        <w:tc>
          <w:tcPr>
            <w:tcW w:w="1283" w:type="pct"/>
            <w:vAlign w:val="center"/>
          </w:tcPr>
          <w:p w14:paraId="6791AF2D">
            <w:pPr>
              <w:widowControl/>
              <w:rPr>
                <w:rFonts w:ascii="宋体" w:hAnsi="宋体"/>
                <w:color w:val="auto"/>
                <w:kern w:val="0"/>
                <w:sz w:val="24"/>
                <w:highlight w:val="none"/>
              </w:rPr>
            </w:pPr>
          </w:p>
        </w:tc>
        <w:tc>
          <w:tcPr>
            <w:tcW w:w="1282" w:type="pct"/>
            <w:vAlign w:val="center"/>
          </w:tcPr>
          <w:p w14:paraId="122403CF">
            <w:pPr>
              <w:widowControl/>
              <w:rPr>
                <w:rFonts w:ascii="宋体" w:hAnsi="宋体"/>
                <w:color w:val="auto"/>
                <w:kern w:val="0"/>
                <w:sz w:val="24"/>
                <w:highlight w:val="none"/>
              </w:rPr>
            </w:pPr>
          </w:p>
        </w:tc>
        <w:tc>
          <w:tcPr>
            <w:tcW w:w="1152" w:type="pct"/>
            <w:vMerge w:val="continue"/>
            <w:vAlign w:val="center"/>
          </w:tcPr>
          <w:p w14:paraId="1BA5805E">
            <w:pPr>
              <w:widowControl/>
              <w:rPr>
                <w:rFonts w:ascii="宋体" w:hAnsi="宋体"/>
                <w:color w:val="auto"/>
                <w:kern w:val="0"/>
                <w:sz w:val="24"/>
                <w:highlight w:val="none"/>
              </w:rPr>
            </w:pPr>
          </w:p>
        </w:tc>
      </w:tr>
      <w:tr w14:paraId="583E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0311196">
            <w:pPr>
              <w:widowControl/>
              <w:rPr>
                <w:rFonts w:ascii="宋体" w:hAnsi="宋体"/>
                <w:color w:val="auto"/>
                <w:kern w:val="0"/>
                <w:sz w:val="24"/>
                <w:highlight w:val="none"/>
              </w:rPr>
            </w:pPr>
          </w:p>
        </w:tc>
        <w:tc>
          <w:tcPr>
            <w:tcW w:w="1283" w:type="pct"/>
            <w:vAlign w:val="center"/>
          </w:tcPr>
          <w:p w14:paraId="08B26453">
            <w:pPr>
              <w:widowControl/>
              <w:rPr>
                <w:rFonts w:ascii="宋体" w:hAnsi="宋体"/>
                <w:color w:val="auto"/>
                <w:kern w:val="0"/>
                <w:sz w:val="24"/>
                <w:highlight w:val="none"/>
              </w:rPr>
            </w:pPr>
          </w:p>
        </w:tc>
        <w:tc>
          <w:tcPr>
            <w:tcW w:w="1282" w:type="pct"/>
            <w:vAlign w:val="center"/>
          </w:tcPr>
          <w:p w14:paraId="28CAE69D">
            <w:pPr>
              <w:widowControl/>
              <w:rPr>
                <w:rFonts w:ascii="宋体" w:hAnsi="宋体"/>
                <w:color w:val="auto"/>
                <w:kern w:val="0"/>
                <w:sz w:val="24"/>
                <w:highlight w:val="none"/>
              </w:rPr>
            </w:pPr>
          </w:p>
        </w:tc>
        <w:tc>
          <w:tcPr>
            <w:tcW w:w="1152" w:type="pct"/>
            <w:vMerge w:val="continue"/>
            <w:vAlign w:val="center"/>
          </w:tcPr>
          <w:p w14:paraId="47D4C8F0">
            <w:pPr>
              <w:widowControl/>
              <w:rPr>
                <w:rFonts w:ascii="宋体" w:hAnsi="宋体"/>
                <w:color w:val="auto"/>
                <w:kern w:val="0"/>
                <w:sz w:val="24"/>
                <w:highlight w:val="none"/>
              </w:rPr>
            </w:pPr>
          </w:p>
        </w:tc>
      </w:tr>
      <w:tr w14:paraId="4146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41DB2EF7">
            <w:pPr>
              <w:widowControl/>
              <w:rPr>
                <w:rFonts w:ascii="宋体" w:hAnsi="宋体"/>
                <w:color w:val="auto"/>
                <w:kern w:val="0"/>
                <w:sz w:val="24"/>
                <w:highlight w:val="none"/>
              </w:rPr>
            </w:pPr>
          </w:p>
        </w:tc>
        <w:tc>
          <w:tcPr>
            <w:tcW w:w="1283" w:type="pct"/>
            <w:vAlign w:val="center"/>
          </w:tcPr>
          <w:p w14:paraId="3A494D14">
            <w:pPr>
              <w:widowControl/>
              <w:rPr>
                <w:rFonts w:ascii="宋体" w:hAnsi="宋体"/>
                <w:color w:val="auto"/>
                <w:kern w:val="0"/>
                <w:sz w:val="24"/>
                <w:highlight w:val="none"/>
              </w:rPr>
            </w:pPr>
          </w:p>
        </w:tc>
        <w:tc>
          <w:tcPr>
            <w:tcW w:w="1282" w:type="pct"/>
          </w:tcPr>
          <w:p w14:paraId="0AC55986">
            <w:pPr>
              <w:widowControl/>
              <w:rPr>
                <w:rFonts w:ascii="宋体" w:hAnsi="宋体"/>
                <w:color w:val="auto"/>
                <w:kern w:val="0"/>
                <w:sz w:val="24"/>
                <w:highlight w:val="none"/>
              </w:rPr>
            </w:pPr>
          </w:p>
        </w:tc>
        <w:tc>
          <w:tcPr>
            <w:tcW w:w="1152" w:type="pct"/>
            <w:vMerge w:val="continue"/>
          </w:tcPr>
          <w:p w14:paraId="3278B505">
            <w:pPr>
              <w:widowControl/>
              <w:ind w:firstLine="360" w:firstLineChars="150"/>
              <w:rPr>
                <w:rFonts w:ascii="宋体" w:hAnsi="宋体"/>
                <w:color w:val="auto"/>
                <w:kern w:val="0"/>
                <w:sz w:val="24"/>
                <w:highlight w:val="none"/>
              </w:rPr>
            </w:pPr>
          </w:p>
        </w:tc>
      </w:tr>
      <w:tr w14:paraId="5A46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78ED3327">
            <w:pPr>
              <w:widowControl/>
              <w:rPr>
                <w:rFonts w:ascii="宋体" w:hAnsi="宋体"/>
                <w:color w:val="auto"/>
                <w:kern w:val="0"/>
                <w:sz w:val="24"/>
                <w:highlight w:val="none"/>
              </w:rPr>
            </w:pPr>
          </w:p>
        </w:tc>
        <w:tc>
          <w:tcPr>
            <w:tcW w:w="1283" w:type="pct"/>
            <w:vAlign w:val="center"/>
          </w:tcPr>
          <w:p w14:paraId="26FA9EAD">
            <w:pPr>
              <w:widowControl/>
              <w:rPr>
                <w:rFonts w:ascii="宋体" w:hAnsi="宋体"/>
                <w:color w:val="auto"/>
                <w:kern w:val="0"/>
                <w:sz w:val="24"/>
                <w:highlight w:val="none"/>
              </w:rPr>
            </w:pPr>
          </w:p>
        </w:tc>
        <w:tc>
          <w:tcPr>
            <w:tcW w:w="1282" w:type="pct"/>
          </w:tcPr>
          <w:p w14:paraId="33E729B8">
            <w:pPr>
              <w:widowControl/>
              <w:rPr>
                <w:rFonts w:ascii="宋体" w:hAnsi="宋体"/>
                <w:color w:val="auto"/>
                <w:kern w:val="0"/>
                <w:sz w:val="24"/>
                <w:highlight w:val="none"/>
              </w:rPr>
            </w:pPr>
          </w:p>
        </w:tc>
        <w:tc>
          <w:tcPr>
            <w:tcW w:w="1152" w:type="pct"/>
            <w:vMerge w:val="continue"/>
          </w:tcPr>
          <w:p w14:paraId="1373BA3B">
            <w:pPr>
              <w:widowControl/>
              <w:rPr>
                <w:rFonts w:ascii="宋体" w:hAnsi="宋体"/>
                <w:color w:val="auto"/>
                <w:kern w:val="0"/>
                <w:sz w:val="24"/>
                <w:highlight w:val="none"/>
              </w:rPr>
            </w:pPr>
          </w:p>
        </w:tc>
      </w:tr>
      <w:tr w14:paraId="176F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07E14A99">
            <w:pPr>
              <w:widowControl/>
              <w:rPr>
                <w:rFonts w:ascii="宋体" w:hAnsi="宋体"/>
                <w:color w:val="auto"/>
                <w:kern w:val="0"/>
                <w:sz w:val="24"/>
                <w:highlight w:val="none"/>
              </w:rPr>
            </w:pPr>
          </w:p>
        </w:tc>
        <w:tc>
          <w:tcPr>
            <w:tcW w:w="1283" w:type="pct"/>
            <w:vAlign w:val="center"/>
          </w:tcPr>
          <w:p w14:paraId="06363D83">
            <w:pPr>
              <w:widowControl/>
              <w:rPr>
                <w:rFonts w:ascii="宋体" w:hAnsi="宋体"/>
                <w:color w:val="auto"/>
                <w:kern w:val="0"/>
                <w:sz w:val="24"/>
                <w:highlight w:val="none"/>
              </w:rPr>
            </w:pPr>
          </w:p>
        </w:tc>
        <w:tc>
          <w:tcPr>
            <w:tcW w:w="1282" w:type="pct"/>
          </w:tcPr>
          <w:p w14:paraId="21D4B488">
            <w:pPr>
              <w:widowControl/>
              <w:rPr>
                <w:rFonts w:ascii="宋体" w:hAnsi="宋体"/>
                <w:color w:val="auto"/>
                <w:kern w:val="0"/>
                <w:sz w:val="24"/>
                <w:highlight w:val="none"/>
              </w:rPr>
            </w:pPr>
          </w:p>
        </w:tc>
        <w:tc>
          <w:tcPr>
            <w:tcW w:w="1152" w:type="pct"/>
            <w:vMerge w:val="continue"/>
          </w:tcPr>
          <w:p w14:paraId="7DB14BD0">
            <w:pPr>
              <w:widowControl/>
              <w:rPr>
                <w:rFonts w:ascii="宋体" w:hAnsi="宋体"/>
                <w:color w:val="auto"/>
                <w:kern w:val="0"/>
                <w:sz w:val="24"/>
                <w:highlight w:val="none"/>
              </w:rPr>
            </w:pPr>
          </w:p>
        </w:tc>
      </w:tr>
      <w:tr w14:paraId="52BF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7EFBD4D8">
            <w:pPr>
              <w:widowControl/>
              <w:rPr>
                <w:rFonts w:ascii="宋体" w:hAnsi="宋体"/>
                <w:color w:val="auto"/>
                <w:kern w:val="0"/>
                <w:sz w:val="24"/>
                <w:highlight w:val="none"/>
              </w:rPr>
            </w:pPr>
          </w:p>
        </w:tc>
        <w:tc>
          <w:tcPr>
            <w:tcW w:w="1283" w:type="pct"/>
            <w:vAlign w:val="center"/>
          </w:tcPr>
          <w:p w14:paraId="6B73C6EA">
            <w:pPr>
              <w:widowControl/>
              <w:rPr>
                <w:rFonts w:ascii="宋体" w:hAnsi="宋体"/>
                <w:color w:val="auto"/>
                <w:kern w:val="0"/>
                <w:sz w:val="24"/>
                <w:highlight w:val="none"/>
              </w:rPr>
            </w:pPr>
          </w:p>
        </w:tc>
        <w:tc>
          <w:tcPr>
            <w:tcW w:w="1282" w:type="pct"/>
          </w:tcPr>
          <w:p w14:paraId="14F62DED">
            <w:pPr>
              <w:widowControl/>
              <w:rPr>
                <w:rFonts w:ascii="宋体" w:hAnsi="宋体"/>
                <w:color w:val="auto"/>
                <w:kern w:val="0"/>
                <w:sz w:val="24"/>
                <w:highlight w:val="none"/>
              </w:rPr>
            </w:pPr>
          </w:p>
        </w:tc>
        <w:tc>
          <w:tcPr>
            <w:tcW w:w="1152" w:type="pct"/>
            <w:vMerge w:val="continue"/>
          </w:tcPr>
          <w:p w14:paraId="4E89BCCE">
            <w:pPr>
              <w:widowControl/>
              <w:rPr>
                <w:rFonts w:ascii="宋体" w:hAnsi="宋体"/>
                <w:color w:val="auto"/>
                <w:kern w:val="0"/>
                <w:sz w:val="24"/>
                <w:highlight w:val="none"/>
              </w:rPr>
            </w:pPr>
          </w:p>
        </w:tc>
      </w:tr>
      <w:tr w14:paraId="259C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2A0300B7">
            <w:pPr>
              <w:widowControl/>
              <w:rPr>
                <w:rFonts w:ascii="宋体" w:hAnsi="宋体"/>
                <w:color w:val="auto"/>
                <w:kern w:val="0"/>
                <w:sz w:val="24"/>
                <w:highlight w:val="none"/>
              </w:rPr>
            </w:pPr>
          </w:p>
        </w:tc>
        <w:tc>
          <w:tcPr>
            <w:tcW w:w="1283" w:type="pct"/>
            <w:vAlign w:val="center"/>
          </w:tcPr>
          <w:p w14:paraId="2D60C0E9">
            <w:pPr>
              <w:widowControl/>
              <w:rPr>
                <w:rFonts w:ascii="宋体" w:hAnsi="宋体"/>
                <w:color w:val="auto"/>
                <w:kern w:val="0"/>
                <w:sz w:val="24"/>
                <w:highlight w:val="none"/>
              </w:rPr>
            </w:pPr>
          </w:p>
        </w:tc>
        <w:tc>
          <w:tcPr>
            <w:tcW w:w="1282" w:type="pct"/>
          </w:tcPr>
          <w:p w14:paraId="754068D6">
            <w:pPr>
              <w:widowControl/>
              <w:rPr>
                <w:rFonts w:ascii="宋体" w:hAnsi="宋体"/>
                <w:color w:val="auto"/>
                <w:kern w:val="0"/>
                <w:sz w:val="24"/>
                <w:highlight w:val="none"/>
              </w:rPr>
            </w:pPr>
          </w:p>
        </w:tc>
        <w:tc>
          <w:tcPr>
            <w:tcW w:w="1152" w:type="pct"/>
            <w:vMerge w:val="continue"/>
          </w:tcPr>
          <w:p w14:paraId="30BF73BD">
            <w:pPr>
              <w:widowControl/>
              <w:rPr>
                <w:rFonts w:ascii="宋体" w:hAnsi="宋体"/>
                <w:color w:val="auto"/>
                <w:kern w:val="0"/>
                <w:sz w:val="24"/>
                <w:highlight w:val="none"/>
              </w:rPr>
            </w:pPr>
          </w:p>
        </w:tc>
      </w:tr>
      <w:tr w14:paraId="706D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36DA1B7F">
            <w:pPr>
              <w:widowControl/>
              <w:rPr>
                <w:rFonts w:ascii="宋体" w:hAnsi="宋体"/>
                <w:color w:val="auto"/>
                <w:kern w:val="0"/>
                <w:sz w:val="24"/>
                <w:highlight w:val="none"/>
              </w:rPr>
            </w:pPr>
          </w:p>
        </w:tc>
        <w:tc>
          <w:tcPr>
            <w:tcW w:w="1283" w:type="pct"/>
            <w:vAlign w:val="center"/>
          </w:tcPr>
          <w:p w14:paraId="4B0DE9CE">
            <w:pPr>
              <w:widowControl/>
              <w:rPr>
                <w:rFonts w:ascii="宋体" w:hAnsi="宋体"/>
                <w:color w:val="auto"/>
                <w:kern w:val="0"/>
                <w:sz w:val="24"/>
                <w:highlight w:val="none"/>
              </w:rPr>
            </w:pPr>
          </w:p>
        </w:tc>
        <w:tc>
          <w:tcPr>
            <w:tcW w:w="1282" w:type="pct"/>
          </w:tcPr>
          <w:p w14:paraId="3E5BBCE7">
            <w:pPr>
              <w:widowControl/>
              <w:rPr>
                <w:rFonts w:ascii="宋体" w:hAnsi="宋体"/>
                <w:color w:val="auto"/>
                <w:kern w:val="0"/>
                <w:sz w:val="24"/>
                <w:highlight w:val="none"/>
              </w:rPr>
            </w:pPr>
          </w:p>
        </w:tc>
        <w:tc>
          <w:tcPr>
            <w:tcW w:w="1152" w:type="pct"/>
            <w:vMerge w:val="continue"/>
          </w:tcPr>
          <w:p w14:paraId="129ED12E">
            <w:pPr>
              <w:widowControl/>
              <w:rPr>
                <w:rFonts w:ascii="宋体" w:hAnsi="宋体"/>
                <w:color w:val="auto"/>
                <w:kern w:val="0"/>
                <w:sz w:val="24"/>
                <w:highlight w:val="none"/>
              </w:rPr>
            </w:pPr>
          </w:p>
        </w:tc>
      </w:tr>
      <w:tr w14:paraId="0421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6C09FDC3">
            <w:pPr>
              <w:spacing w:after="120"/>
              <w:ind w:firstLine="602"/>
              <w:rPr>
                <w:rFonts w:ascii="宋体" w:hAnsi="宋体"/>
                <w:b/>
                <w:bCs/>
                <w:color w:val="auto"/>
                <w:sz w:val="24"/>
                <w:highlight w:val="none"/>
              </w:rPr>
            </w:pPr>
          </w:p>
        </w:tc>
        <w:tc>
          <w:tcPr>
            <w:tcW w:w="1283" w:type="pct"/>
            <w:vAlign w:val="center"/>
          </w:tcPr>
          <w:p w14:paraId="32F41B3D">
            <w:pPr>
              <w:spacing w:after="120"/>
              <w:ind w:firstLine="602"/>
              <w:rPr>
                <w:rFonts w:ascii="宋体" w:hAnsi="宋体"/>
                <w:b/>
                <w:bCs/>
                <w:color w:val="auto"/>
                <w:sz w:val="24"/>
                <w:highlight w:val="none"/>
              </w:rPr>
            </w:pPr>
          </w:p>
        </w:tc>
        <w:tc>
          <w:tcPr>
            <w:tcW w:w="1282" w:type="pct"/>
          </w:tcPr>
          <w:p w14:paraId="002961C8">
            <w:pPr>
              <w:spacing w:after="120"/>
              <w:ind w:firstLine="602"/>
              <w:rPr>
                <w:rFonts w:ascii="宋体" w:hAnsi="宋体"/>
                <w:b/>
                <w:bCs/>
                <w:color w:val="auto"/>
                <w:sz w:val="24"/>
                <w:highlight w:val="none"/>
              </w:rPr>
            </w:pPr>
          </w:p>
        </w:tc>
        <w:tc>
          <w:tcPr>
            <w:tcW w:w="1152" w:type="pct"/>
            <w:vMerge w:val="continue"/>
          </w:tcPr>
          <w:p w14:paraId="5EBCB187">
            <w:pPr>
              <w:spacing w:after="120"/>
              <w:ind w:firstLine="602"/>
              <w:rPr>
                <w:rFonts w:ascii="宋体" w:hAnsi="宋体"/>
                <w:b/>
                <w:bCs/>
                <w:color w:val="auto"/>
                <w:sz w:val="24"/>
                <w:highlight w:val="none"/>
              </w:rPr>
            </w:pPr>
          </w:p>
        </w:tc>
      </w:tr>
      <w:tr w14:paraId="6F97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22612AF1">
            <w:pPr>
              <w:spacing w:after="120"/>
              <w:ind w:firstLine="602"/>
              <w:rPr>
                <w:rFonts w:ascii="宋体" w:hAnsi="宋体"/>
                <w:b/>
                <w:bCs/>
                <w:color w:val="auto"/>
                <w:sz w:val="24"/>
                <w:highlight w:val="none"/>
              </w:rPr>
            </w:pPr>
          </w:p>
        </w:tc>
        <w:tc>
          <w:tcPr>
            <w:tcW w:w="1283" w:type="pct"/>
            <w:vAlign w:val="center"/>
          </w:tcPr>
          <w:p w14:paraId="1899CE10">
            <w:pPr>
              <w:spacing w:after="120"/>
              <w:ind w:firstLine="602"/>
              <w:rPr>
                <w:rFonts w:ascii="宋体" w:hAnsi="宋体"/>
                <w:b/>
                <w:bCs/>
                <w:color w:val="auto"/>
                <w:sz w:val="24"/>
                <w:highlight w:val="none"/>
              </w:rPr>
            </w:pPr>
          </w:p>
        </w:tc>
        <w:tc>
          <w:tcPr>
            <w:tcW w:w="1282" w:type="pct"/>
          </w:tcPr>
          <w:p w14:paraId="253BDF74">
            <w:pPr>
              <w:spacing w:after="120"/>
              <w:ind w:firstLine="602"/>
              <w:rPr>
                <w:rFonts w:ascii="宋体" w:hAnsi="宋体"/>
                <w:b/>
                <w:bCs/>
                <w:color w:val="auto"/>
                <w:sz w:val="24"/>
                <w:highlight w:val="none"/>
              </w:rPr>
            </w:pPr>
          </w:p>
        </w:tc>
        <w:tc>
          <w:tcPr>
            <w:tcW w:w="1152" w:type="pct"/>
            <w:vMerge w:val="continue"/>
          </w:tcPr>
          <w:p w14:paraId="3088D4A5">
            <w:pPr>
              <w:spacing w:after="120"/>
              <w:ind w:firstLine="602"/>
              <w:rPr>
                <w:rFonts w:ascii="宋体" w:hAnsi="宋体"/>
                <w:b/>
                <w:bCs/>
                <w:color w:val="auto"/>
                <w:sz w:val="24"/>
                <w:highlight w:val="none"/>
              </w:rPr>
            </w:pPr>
          </w:p>
        </w:tc>
      </w:tr>
      <w:tr w14:paraId="65D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FA941C6">
            <w:pPr>
              <w:spacing w:after="120"/>
              <w:ind w:firstLine="602"/>
              <w:rPr>
                <w:rFonts w:ascii="宋体" w:hAnsi="宋体"/>
                <w:b/>
                <w:bCs/>
                <w:color w:val="auto"/>
                <w:sz w:val="24"/>
                <w:highlight w:val="none"/>
              </w:rPr>
            </w:pPr>
          </w:p>
        </w:tc>
        <w:tc>
          <w:tcPr>
            <w:tcW w:w="1283" w:type="pct"/>
            <w:vAlign w:val="center"/>
          </w:tcPr>
          <w:p w14:paraId="2A5DFEEC">
            <w:pPr>
              <w:spacing w:after="120"/>
              <w:ind w:firstLine="602"/>
              <w:rPr>
                <w:rFonts w:ascii="宋体" w:hAnsi="宋体"/>
                <w:b/>
                <w:bCs/>
                <w:color w:val="auto"/>
                <w:sz w:val="24"/>
                <w:highlight w:val="none"/>
              </w:rPr>
            </w:pPr>
          </w:p>
        </w:tc>
        <w:tc>
          <w:tcPr>
            <w:tcW w:w="1282" w:type="pct"/>
          </w:tcPr>
          <w:p w14:paraId="48D48EC0">
            <w:pPr>
              <w:spacing w:after="120"/>
              <w:ind w:firstLine="602"/>
              <w:rPr>
                <w:rFonts w:ascii="宋体" w:hAnsi="宋体"/>
                <w:b/>
                <w:bCs/>
                <w:color w:val="auto"/>
                <w:sz w:val="24"/>
                <w:highlight w:val="none"/>
              </w:rPr>
            </w:pPr>
          </w:p>
        </w:tc>
        <w:tc>
          <w:tcPr>
            <w:tcW w:w="1152" w:type="pct"/>
            <w:vMerge w:val="continue"/>
          </w:tcPr>
          <w:p w14:paraId="38CA886E">
            <w:pPr>
              <w:spacing w:after="120"/>
              <w:ind w:firstLine="602"/>
              <w:rPr>
                <w:rFonts w:ascii="宋体" w:hAnsi="宋体"/>
                <w:b/>
                <w:bCs/>
                <w:color w:val="auto"/>
                <w:sz w:val="24"/>
                <w:highlight w:val="none"/>
              </w:rPr>
            </w:pPr>
          </w:p>
        </w:tc>
      </w:tr>
      <w:tr w14:paraId="35A5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0A24E577">
            <w:pPr>
              <w:spacing w:after="120"/>
              <w:ind w:firstLine="602"/>
              <w:rPr>
                <w:rFonts w:ascii="宋体" w:hAnsi="宋体"/>
                <w:b/>
                <w:bCs/>
                <w:color w:val="auto"/>
                <w:sz w:val="24"/>
                <w:highlight w:val="none"/>
              </w:rPr>
            </w:pPr>
          </w:p>
        </w:tc>
        <w:tc>
          <w:tcPr>
            <w:tcW w:w="1283" w:type="pct"/>
            <w:vAlign w:val="center"/>
          </w:tcPr>
          <w:p w14:paraId="357191E2">
            <w:pPr>
              <w:spacing w:after="120"/>
              <w:ind w:firstLine="602"/>
              <w:rPr>
                <w:rFonts w:ascii="宋体" w:hAnsi="宋体"/>
                <w:b/>
                <w:bCs/>
                <w:color w:val="auto"/>
                <w:sz w:val="24"/>
                <w:highlight w:val="none"/>
              </w:rPr>
            </w:pPr>
          </w:p>
        </w:tc>
        <w:tc>
          <w:tcPr>
            <w:tcW w:w="1282" w:type="pct"/>
          </w:tcPr>
          <w:p w14:paraId="1C46F8BE">
            <w:pPr>
              <w:spacing w:after="120"/>
              <w:ind w:firstLine="602"/>
              <w:rPr>
                <w:rFonts w:ascii="宋体" w:hAnsi="宋体"/>
                <w:b/>
                <w:bCs/>
                <w:color w:val="auto"/>
                <w:sz w:val="24"/>
                <w:highlight w:val="none"/>
              </w:rPr>
            </w:pPr>
          </w:p>
        </w:tc>
        <w:tc>
          <w:tcPr>
            <w:tcW w:w="1152" w:type="pct"/>
            <w:vMerge w:val="continue"/>
          </w:tcPr>
          <w:p w14:paraId="0A77EB8F">
            <w:pPr>
              <w:spacing w:after="120"/>
              <w:ind w:firstLine="602"/>
              <w:rPr>
                <w:rFonts w:ascii="宋体" w:hAnsi="宋体"/>
                <w:b/>
                <w:bCs/>
                <w:color w:val="auto"/>
                <w:sz w:val="24"/>
                <w:highlight w:val="none"/>
              </w:rPr>
            </w:pPr>
          </w:p>
        </w:tc>
      </w:tr>
      <w:tr w14:paraId="032B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03C53AA7">
            <w:pPr>
              <w:spacing w:after="120"/>
              <w:ind w:firstLine="602"/>
              <w:rPr>
                <w:rFonts w:ascii="宋体" w:hAnsi="宋体"/>
                <w:b/>
                <w:bCs/>
                <w:color w:val="auto"/>
                <w:sz w:val="24"/>
                <w:highlight w:val="none"/>
              </w:rPr>
            </w:pPr>
          </w:p>
        </w:tc>
        <w:tc>
          <w:tcPr>
            <w:tcW w:w="1283" w:type="pct"/>
            <w:vAlign w:val="center"/>
          </w:tcPr>
          <w:p w14:paraId="09EF42C9">
            <w:pPr>
              <w:spacing w:after="120"/>
              <w:ind w:firstLine="602"/>
              <w:rPr>
                <w:rFonts w:ascii="宋体" w:hAnsi="宋体"/>
                <w:b/>
                <w:bCs/>
                <w:color w:val="auto"/>
                <w:sz w:val="24"/>
                <w:highlight w:val="none"/>
              </w:rPr>
            </w:pPr>
          </w:p>
        </w:tc>
        <w:tc>
          <w:tcPr>
            <w:tcW w:w="1282" w:type="pct"/>
          </w:tcPr>
          <w:p w14:paraId="7505F4C1">
            <w:pPr>
              <w:spacing w:after="120"/>
              <w:ind w:firstLine="602"/>
              <w:rPr>
                <w:rFonts w:ascii="宋体" w:hAnsi="宋体"/>
                <w:b/>
                <w:bCs/>
                <w:color w:val="auto"/>
                <w:sz w:val="24"/>
                <w:highlight w:val="none"/>
              </w:rPr>
            </w:pPr>
          </w:p>
        </w:tc>
        <w:tc>
          <w:tcPr>
            <w:tcW w:w="1152" w:type="pct"/>
            <w:vMerge w:val="continue"/>
          </w:tcPr>
          <w:p w14:paraId="2823BD85">
            <w:pPr>
              <w:spacing w:after="120"/>
              <w:ind w:firstLine="602"/>
              <w:rPr>
                <w:rFonts w:ascii="宋体" w:hAnsi="宋体"/>
                <w:b/>
                <w:bCs/>
                <w:color w:val="auto"/>
                <w:sz w:val="24"/>
                <w:highlight w:val="none"/>
              </w:rPr>
            </w:pPr>
          </w:p>
        </w:tc>
      </w:tr>
      <w:tr w14:paraId="539D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54EF7B7F">
            <w:pPr>
              <w:spacing w:after="120"/>
              <w:ind w:firstLine="602"/>
              <w:rPr>
                <w:rFonts w:ascii="宋体" w:hAnsi="宋体"/>
                <w:b/>
                <w:bCs/>
                <w:color w:val="auto"/>
                <w:sz w:val="24"/>
                <w:highlight w:val="none"/>
              </w:rPr>
            </w:pPr>
          </w:p>
        </w:tc>
        <w:tc>
          <w:tcPr>
            <w:tcW w:w="1283" w:type="pct"/>
            <w:vAlign w:val="center"/>
          </w:tcPr>
          <w:p w14:paraId="30FB2D42">
            <w:pPr>
              <w:spacing w:after="120"/>
              <w:ind w:firstLine="602"/>
              <w:rPr>
                <w:rFonts w:ascii="宋体" w:hAnsi="宋体"/>
                <w:b/>
                <w:bCs/>
                <w:color w:val="auto"/>
                <w:sz w:val="24"/>
                <w:highlight w:val="none"/>
              </w:rPr>
            </w:pPr>
          </w:p>
        </w:tc>
        <w:tc>
          <w:tcPr>
            <w:tcW w:w="1282" w:type="pct"/>
          </w:tcPr>
          <w:p w14:paraId="3DC6BE9A">
            <w:pPr>
              <w:spacing w:after="120"/>
              <w:ind w:firstLine="602"/>
              <w:rPr>
                <w:rFonts w:ascii="宋体" w:hAnsi="宋体"/>
                <w:b/>
                <w:bCs/>
                <w:color w:val="auto"/>
                <w:sz w:val="24"/>
                <w:highlight w:val="none"/>
              </w:rPr>
            </w:pPr>
          </w:p>
        </w:tc>
        <w:tc>
          <w:tcPr>
            <w:tcW w:w="1152" w:type="pct"/>
            <w:vMerge w:val="continue"/>
          </w:tcPr>
          <w:p w14:paraId="2D388A88">
            <w:pPr>
              <w:spacing w:after="120"/>
              <w:ind w:firstLine="602"/>
              <w:rPr>
                <w:rFonts w:ascii="宋体" w:hAnsi="宋体"/>
                <w:b/>
                <w:bCs/>
                <w:color w:val="auto"/>
                <w:sz w:val="24"/>
                <w:highlight w:val="none"/>
              </w:rPr>
            </w:pPr>
          </w:p>
        </w:tc>
      </w:tr>
      <w:tr w14:paraId="622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pct"/>
            <w:vAlign w:val="center"/>
          </w:tcPr>
          <w:p w14:paraId="2D2A101A">
            <w:pPr>
              <w:spacing w:after="120"/>
              <w:ind w:firstLine="602"/>
              <w:rPr>
                <w:rFonts w:ascii="宋体" w:hAnsi="宋体"/>
                <w:b/>
                <w:bCs/>
                <w:color w:val="auto"/>
                <w:sz w:val="24"/>
                <w:highlight w:val="none"/>
              </w:rPr>
            </w:pPr>
          </w:p>
        </w:tc>
        <w:tc>
          <w:tcPr>
            <w:tcW w:w="1283" w:type="pct"/>
            <w:vAlign w:val="center"/>
          </w:tcPr>
          <w:p w14:paraId="3F0D881C">
            <w:pPr>
              <w:spacing w:after="120"/>
              <w:ind w:firstLine="602"/>
              <w:rPr>
                <w:rFonts w:ascii="宋体" w:hAnsi="宋体"/>
                <w:b/>
                <w:bCs/>
                <w:color w:val="auto"/>
                <w:sz w:val="24"/>
                <w:highlight w:val="none"/>
              </w:rPr>
            </w:pPr>
          </w:p>
        </w:tc>
        <w:tc>
          <w:tcPr>
            <w:tcW w:w="1282" w:type="pct"/>
          </w:tcPr>
          <w:p w14:paraId="3E3099FF">
            <w:pPr>
              <w:spacing w:after="120"/>
              <w:ind w:firstLine="602"/>
              <w:rPr>
                <w:rFonts w:ascii="宋体" w:hAnsi="宋体"/>
                <w:b/>
                <w:bCs/>
                <w:color w:val="auto"/>
                <w:sz w:val="24"/>
                <w:highlight w:val="none"/>
              </w:rPr>
            </w:pPr>
          </w:p>
        </w:tc>
        <w:tc>
          <w:tcPr>
            <w:tcW w:w="1152" w:type="pct"/>
            <w:vMerge w:val="continue"/>
          </w:tcPr>
          <w:p w14:paraId="13A11C4C">
            <w:pPr>
              <w:spacing w:after="120"/>
              <w:ind w:firstLine="602"/>
              <w:rPr>
                <w:rFonts w:ascii="宋体" w:hAnsi="宋体"/>
                <w:b/>
                <w:bCs/>
                <w:color w:val="auto"/>
                <w:sz w:val="24"/>
                <w:highlight w:val="none"/>
              </w:rPr>
            </w:pPr>
          </w:p>
        </w:tc>
      </w:tr>
      <w:tr w14:paraId="63D9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6" w:type="pct"/>
            <w:gridSpan w:val="2"/>
            <w:vAlign w:val="center"/>
          </w:tcPr>
          <w:p w14:paraId="2CF18B40">
            <w:pPr>
              <w:widowControl/>
              <w:rPr>
                <w:rFonts w:ascii="宋体" w:hAnsi="宋体"/>
                <w:color w:val="auto"/>
                <w:kern w:val="0"/>
                <w:sz w:val="24"/>
                <w:highlight w:val="none"/>
              </w:rPr>
            </w:pPr>
            <w:r>
              <w:rPr>
                <w:rFonts w:hint="eastAsia" w:ascii="宋体" w:hAnsi="宋体" w:cs="宋体"/>
                <w:color w:val="auto"/>
                <w:kern w:val="0"/>
                <w:sz w:val="24"/>
                <w:highlight w:val="none"/>
              </w:rPr>
              <w:t>拟分包工程造价合计（万元）</w:t>
            </w:r>
          </w:p>
        </w:tc>
        <w:tc>
          <w:tcPr>
            <w:tcW w:w="1282" w:type="pct"/>
          </w:tcPr>
          <w:p w14:paraId="57D909DF">
            <w:pPr>
              <w:spacing w:after="120"/>
              <w:ind w:firstLine="602"/>
              <w:rPr>
                <w:rFonts w:ascii="宋体" w:hAnsi="宋体"/>
                <w:b/>
                <w:bCs/>
                <w:color w:val="auto"/>
                <w:sz w:val="24"/>
                <w:highlight w:val="none"/>
              </w:rPr>
            </w:pPr>
          </w:p>
        </w:tc>
        <w:tc>
          <w:tcPr>
            <w:tcW w:w="1152" w:type="pct"/>
            <w:vMerge w:val="continue"/>
          </w:tcPr>
          <w:p w14:paraId="231AD0A7">
            <w:pPr>
              <w:spacing w:after="120"/>
              <w:ind w:firstLine="602"/>
              <w:rPr>
                <w:rFonts w:ascii="宋体" w:hAnsi="宋体"/>
                <w:b/>
                <w:bCs/>
                <w:color w:val="auto"/>
                <w:sz w:val="24"/>
                <w:highlight w:val="none"/>
              </w:rPr>
            </w:pPr>
          </w:p>
        </w:tc>
      </w:tr>
    </w:tbl>
    <w:p w14:paraId="38B5E733">
      <w:pPr>
        <w:rPr>
          <w:rFonts w:ascii="宋体" w:hAnsi="宋体"/>
          <w:color w:val="auto"/>
          <w:szCs w:val="22"/>
          <w:highlight w:val="none"/>
        </w:rPr>
      </w:pPr>
      <w:r>
        <w:rPr>
          <w:rFonts w:hint="eastAsia" w:ascii="宋体" w:hAnsi="宋体"/>
          <w:color w:val="auto"/>
          <w:szCs w:val="22"/>
          <w:highlight w:val="none"/>
        </w:rPr>
        <w:t>注：1、如无分包人，则投标供应商应填写“无”，但不能缺省本表。</w:t>
      </w:r>
    </w:p>
    <w:p w14:paraId="3E70D951">
      <w:pPr>
        <w:rPr>
          <w:rFonts w:ascii="宋体" w:hAnsi="宋体"/>
          <w:color w:val="auto"/>
          <w:szCs w:val="22"/>
          <w:highlight w:val="none"/>
        </w:rPr>
      </w:pPr>
      <w:r>
        <w:rPr>
          <w:rFonts w:hint="eastAsia" w:ascii="宋体" w:hAnsi="宋体"/>
          <w:color w:val="auto"/>
          <w:szCs w:val="22"/>
          <w:highlight w:val="none"/>
        </w:rPr>
        <w:t xml:space="preserve">    </w:t>
      </w:r>
      <w:r>
        <w:rPr>
          <w:rFonts w:hint="eastAsia" w:ascii="宋体" w:hAnsi="宋体"/>
          <w:color w:val="auto"/>
          <w:szCs w:val="22"/>
          <w:highlight w:val="none"/>
          <w:lang w:eastAsia="zh-CN"/>
        </w:rPr>
        <w:t>2.</w:t>
      </w:r>
      <w:r>
        <w:rPr>
          <w:rFonts w:hint="eastAsia" w:ascii="宋体" w:hAnsi="宋体"/>
          <w:color w:val="auto"/>
          <w:szCs w:val="22"/>
          <w:highlight w:val="none"/>
        </w:rPr>
        <w:t>本项目允许对摄影、摄像、场地布置工作分包</w:t>
      </w:r>
      <w:r>
        <w:rPr>
          <w:rFonts w:hint="eastAsia" w:ascii="宋体" w:hAnsi="宋体" w:cs="宋体"/>
          <w:color w:val="auto"/>
          <w:kern w:val="0"/>
          <w:sz w:val="24"/>
          <w:highlight w:val="none"/>
        </w:rPr>
        <w:t>。</w:t>
      </w:r>
    </w:p>
    <w:p w14:paraId="5F308BDD">
      <w:pPr>
        <w:pStyle w:val="2"/>
        <w:rPr>
          <w:color w:val="auto"/>
          <w:highlight w:val="none"/>
        </w:rPr>
      </w:pPr>
      <w:r>
        <w:rPr>
          <w:color w:val="auto"/>
          <w:highlight w:val="none"/>
        </w:rPr>
        <w:br w:type="page"/>
      </w:r>
    </w:p>
    <w:p w14:paraId="12E723E6">
      <w:pPr>
        <w:pStyle w:val="2"/>
        <w:rPr>
          <w:rFonts w:ascii="宋体" w:hAnsi="宋体" w:cs="宋体"/>
          <w:color w:val="auto"/>
          <w:highlight w:val="none"/>
        </w:rPr>
      </w:pPr>
    </w:p>
    <w:p w14:paraId="1C7065BA">
      <w:pPr>
        <w:tabs>
          <w:tab w:val="left" w:pos="3375"/>
        </w:tabs>
        <w:spacing w:line="360" w:lineRule="auto"/>
        <w:rPr>
          <w:rFonts w:ascii="宋体" w:hAnsi="宋体" w:cs="宋体"/>
          <w:color w:val="auto"/>
          <w:sz w:val="24"/>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宋体"/>
          <w:color w:val="auto"/>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color w:val="auto"/>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①其他</w:t>
      </w:r>
    </w:p>
    <w:p w14:paraId="67E900A3">
      <w:pPr>
        <w:pStyle w:val="2"/>
        <w:ind w:firstLine="48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color w:val="auto"/>
          <w:sz w:val="28"/>
          <w:szCs w:val="28"/>
          <w:highlight w:val="none"/>
        </w:rPr>
      </w:pPr>
      <w:r>
        <w:rPr>
          <w:rFonts w:hint="eastAsia" w:ascii="宋体" w:hAnsi="宋体" w:cs="宋体"/>
          <w:color w:val="auto"/>
          <w:sz w:val="28"/>
          <w:szCs w:val="28"/>
          <w:highlight w:val="none"/>
        </w:rPr>
        <w:t>第二部分格式：</w:t>
      </w:r>
    </w:p>
    <w:p w14:paraId="00D13311">
      <w:pPr>
        <w:snapToGrid w:val="0"/>
        <w:spacing w:line="300" w:lineRule="auto"/>
        <w:contextualSpacing/>
        <w:rPr>
          <w:rFonts w:ascii="宋体" w:hAnsi="宋体" w:cs="宋体"/>
          <w:color w:val="auto"/>
          <w:sz w:val="32"/>
          <w:szCs w:val="32"/>
          <w:highlight w:val="none"/>
        </w:rPr>
      </w:pPr>
    </w:p>
    <w:p w14:paraId="55F87B2C">
      <w:pPr>
        <w:autoSpaceDE w:val="0"/>
        <w:autoSpaceDN w:val="0"/>
        <w:adjustRightInd w:val="0"/>
        <w:jc w:val="center"/>
        <w:rPr>
          <w:rFonts w:ascii="宋体" w:hAnsi="宋体" w:cs="宋体"/>
          <w:b/>
          <w:color w:val="auto"/>
          <w:sz w:val="32"/>
          <w:szCs w:val="32"/>
          <w:highlight w:val="none"/>
        </w:rPr>
      </w:pPr>
    </w:p>
    <w:p w14:paraId="686303D0">
      <w:pPr>
        <w:autoSpaceDE w:val="0"/>
        <w:autoSpaceDN w:val="0"/>
        <w:adjustRightIn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2025年度南通市公路事业发展中心应急演练项目</w:t>
      </w:r>
    </w:p>
    <w:p w14:paraId="432CEB63">
      <w:pPr>
        <w:pStyle w:val="2"/>
        <w:rPr>
          <w:rFonts w:ascii="宋体" w:hAnsi="宋体" w:cs="宋体"/>
          <w:color w:val="auto"/>
          <w:highlight w:val="none"/>
        </w:rPr>
      </w:pPr>
    </w:p>
    <w:p w14:paraId="6F0E1CD3">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2025YJYLZX</w:t>
      </w:r>
    </w:p>
    <w:p w14:paraId="368FFF67">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rPr>
      </w:pPr>
      <w:r>
        <w:rPr>
          <w:rFonts w:hint="eastAsia" w:ascii="宋体" w:hAnsi="宋体" w:cs="宋体"/>
          <w:b/>
          <w:color w:val="auto"/>
          <w:w w:val="80"/>
          <w:sz w:val="32"/>
          <w:szCs w:val="32"/>
          <w:highlight w:val="none"/>
        </w:rPr>
        <w:t>档案编号：</w:t>
      </w:r>
      <w:r>
        <w:rPr>
          <w:rFonts w:hint="eastAsia" w:ascii="宋体" w:hAnsi="宋体" w:cs="宋体"/>
          <w:b/>
          <w:color w:val="auto"/>
          <w:w w:val="80"/>
          <w:sz w:val="32"/>
          <w:szCs w:val="32"/>
          <w:highlight w:val="none"/>
          <w:lang w:val="en-US" w:eastAsia="zh-CN"/>
        </w:rPr>
        <w:t>20251901</w:t>
      </w:r>
    </w:p>
    <w:p w14:paraId="5AE94D09">
      <w:pPr>
        <w:tabs>
          <w:tab w:val="left" w:pos="6300"/>
        </w:tabs>
        <w:snapToGrid w:val="0"/>
        <w:spacing w:line="300" w:lineRule="auto"/>
        <w:jc w:val="center"/>
        <w:rPr>
          <w:rFonts w:ascii="宋体" w:hAnsi="宋体" w:cs="宋体"/>
          <w:b/>
          <w:color w:val="auto"/>
          <w:w w:val="80"/>
          <w:sz w:val="32"/>
          <w:szCs w:val="32"/>
          <w:highlight w:val="none"/>
        </w:rPr>
      </w:pPr>
    </w:p>
    <w:p w14:paraId="50E0002A">
      <w:pPr>
        <w:tabs>
          <w:tab w:val="left" w:pos="6300"/>
        </w:tabs>
        <w:snapToGrid w:val="0"/>
        <w:spacing w:line="300" w:lineRule="auto"/>
        <w:jc w:val="center"/>
        <w:rPr>
          <w:rFonts w:ascii="宋体" w:hAnsi="宋体" w:cs="宋体"/>
          <w:b/>
          <w:color w:val="auto"/>
          <w:w w:val="80"/>
          <w:sz w:val="32"/>
          <w:szCs w:val="32"/>
          <w:highlight w:val="none"/>
        </w:rPr>
      </w:pPr>
    </w:p>
    <w:p w14:paraId="4D56E3C1">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5040DFFC">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（商务技术响应文件）</w:t>
      </w:r>
    </w:p>
    <w:p w14:paraId="26368725">
      <w:pPr>
        <w:spacing w:after="60"/>
        <w:jc w:val="center"/>
        <w:rPr>
          <w:rFonts w:ascii="宋体" w:hAnsi="宋体" w:cs="宋体"/>
          <w:b/>
          <w:bCs/>
          <w:color w:val="auto"/>
          <w:sz w:val="72"/>
          <w:szCs w:val="72"/>
          <w:highlight w:val="none"/>
        </w:rPr>
      </w:pPr>
    </w:p>
    <w:p w14:paraId="75F168A4">
      <w:pPr>
        <w:spacing w:after="60"/>
        <w:jc w:val="center"/>
        <w:rPr>
          <w:rFonts w:ascii="宋体" w:hAnsi="宋体" w:cs="宋体"/>
          <w:b/>
          <w:bCs/>
          <w:color w:val="auto"/>
          <w:sz w:val="72"/>
          <w:szCs w:val="72"/>
          <w:highlight w:val="none"/>
        </w:rPr>
      </w:pPr>
    </w:p>
    <w:p w14:paraId="0993526D">
      <w:pPr>
        <w:spacing w:after="60"/>
        <w:jc w:val="center"/>
        <w:rPr>
          <w:rFonts w:ascii="宋体" w:hAnsi="宋体" w:cs="宋体"/>
          <w:b/>
          <w:bCs/>
          <w:color w:val="auto"/>
          <w:sz w:val="72"/>
          <w:szCs w:val="72"/>
          <w:highlight w:val="none"/>
        </w:rPr>
      </w:pPr>
    </w:p>
    <w:p w14:paraId="6A2D5C90">
      <w:pPr>
        <w:spacing w:after="60"/>
        <w:jc w:val="center"/>
        <w:rPr>
          <w:rFonts w:ascii="宋体" w:hAnsi="宋体" w:cs="宋体"/>
          <w:b/>
          <w:bCs/>
          <w:color w:val="auto"/>
          <w:sz w:val="72"/>
          <w:szCs w:val="72"/>
          <w:highlight w:val="none"/>
        </w:rPr>
      </w:pPr>
    </w:p>
    <w:p w14:paraId="7BBB8BBE">
      <w:pPr>
        <w:pStyle w:val="2"/>
        <w:ind w:left="0" w:leftChars="0" w:firstLine="0" w:firstLineChars="0"/>
        <w:rPr>
          <w:rFonts w:ascii="宋体" w:hAnsi="宋体" w:cs="宋体"/>
          <w:b/>
          <w:bCs/>
          <w:color w:val="auto"/>
          <w:sz w:val="72"/>
          <w:szCs w:val="72"/>
          <w:highlight w:val="none"/>
        </w:rPr>
      </w:pPr>
    </w:p>
    <w:p w14:paraId="53BD3E34">
      <w:pPr>
        <w:spacing w:after="60"/>
        <w:jc w:val="center"/>
        <w:rPr>
          <w:rFonts w:ascii="宋体" w:hAnsi="宋体" w:cs="宋体"/>
          <w:b/>
          <w:bCs/>
          <w:color w:val="auto"/>
          <w:sz w:val="72"/>
          <w:szCs w:val="72"/>
          <w:highlight w:val="none"/>
        </w:rPr>
      </w:pPr>
    </w:p>
    <w:p w14:paraId="212346BD">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供应商（盖公章）：</w:t>
      </w:r>
      <w:r>
        <w:rPr>
          <w:rFonts w:hint="eastAsia" w:ascii="宋体" w:hAnsi="宋体" w:cs="宋体"/>
          <w:b/>
          <w:color w:val="auto"/>
          <w:sz w:val="24"/>
          <w:highlight w:val="none"/>
          <w:u w:val="single"/>
        </w:rPr>
        <w:t xml:space="preserve">                            </w:t>
      </w:r>
    </w:p>
    <w:p w14:paraId="292CC5B0">
      <w:pPr>
        <w:spacing w:line="48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法定代表人（或其委托代理人）（签字或盖章）：</w:t>
      </w:r>
      <w:r>
        <w:rPr>
          <w:rFonts w:hint="eastAsia" w:ascii="宋体" w:hAnsi="宋体" w:cs="宋体"/>
          <w:b/>
          <w:color w:val="auto"/>
          <w:sz w:val="24"/>
          <w:highlight w:val="none"/>
          <w:u w:val="single"/>
        </w:rPr>
        <w:t xml:space="preserve">                  </w:t>
      </w:r>
    </w:p>
    <w:p w14:paraId="25806FF5">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    期：</w:t>
      </w:r>
      <w:r>
        <w:rPr>
          <w:rFonts w:hint="eastAsia" w:ascii="宋体" w:hAnsi="宋体" w:cs="宋体"/>
          <w:b/>
          <w:color w:val="auto"/>
          <w:sz w:val="24"/>
          <w:highlight w:val="none"/>
          <w:u w:val="single"/>
        </w:rPr>
        <w:t xml:space="preserve">                                                  </w:t>
      </w:r>
    </w:p>
    <w:p w14:paraId="3FEE9100">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1.竞争性磋商响应函；</w:t>
      </w:r>
    </w:p>
    <w:p w14:paraId="6AF4708F">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2.评标办法中所涉及的事项需提供的所有资料；</w:t>
      </w:r>
    </w:p>
    <w:p w14:paraId="3709AF7B">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color w:val="auto"/>
          <w:sz w:val="24"/>
          <w:szCs w:val="24"/>
          <w:highlight w:val="none"/>
        </w:rPr>
      </w:pPr>
      <w:r>
        <w:rPr>
          <w:rFonts w:hint="eastAsia" w:ascii="宋体" w:eastAsia="宋体" w:cs="宋体"/>
          <w:color w:val="auto"/>
          <w:sz w:val="24"/>
          <w:szCs w:val="24"/>
          <w:highlight w:val="none"/>
        </w:rPr>
        <w:t>4.竞争性磋商文件中要求提供的其他材料。</w:t>
      </w:r>
    </w:p>
    <w:p w14:paraId="54B0CECD">
      <w:pPr>
        <w:snapToGrid w:val="0"/>
        <w:spacing w:line="300" w:lineRule="auto"/>
        <w:contextualSpacing/>
        <w:rPr>
          <w:rFonts w:ascii="宋体" w:hAnsi="宋体" w:cs="宋体"/>
          <w:color w:val="auto"/>
          <w:sz w:val="32"/>
          <w:szCs w:val="32"/>
          <w:highlight w:val="none"/>
        </w:rPr>
      </w:pPr>
    </w:p>
    <w:p w14:paraId="349141CC">
      <w:pPr>
        <w:pStyle w:val="2"/>
        <w:rPr>
          <w:rFonts w:ascii="宋体" w:hAnsi="宋体" w:cs="宋体"/>
          <w:color w:val="auto"/>
          <w:highlight w:val="none"/>
        </w:rPr>
      </w:pPr>
    </w:p>
    <w:p w14:paraId="774E3306">
      <w:pPr>
        <w:pStyle w:val="2"/>
        <w:rPr>
          <w:rFonts w:ascii="宋体" w:hAnsi="宋体" w:cs="宋体"/>
          <w:color w:val="auto"/>
          <w:highlight w:val="none"/>
        </w:rPr>
      </w:pPr>
    </w:p>
    <w:p w14:paraId="16C7A245">
      <w:pPr>
        <w:pStyle w:val="2"/>
        <w:rPr>
          <w:rFonts w:ascii="宋体" w:hAnsi="宋体" w:cs="宋体"/>
          <w:color w:val="auto"/>
          <w:highlight w:val="none"/>
        </w:rPr>
      </w:pPr>
    </w:p>
    <w:p w14:paraId="3E466012">
      <w:pPr>
        <w:pStyle w:val="2"/>
        <w:rPr>
          <w:rFonts w:ascii="宋体" w:hAnsi="宋体" w:cs="宋体"/>
          <w:color w:val="auto"/>
          <w:highlight w:val="none"/>
        </w:rPr>
      </w:pPr>
    </w:p>
    <w:p w14:paraId="62AD001F">
      <w:pPr>
        <w:pStyle w:val="2"/>
        <w:rPr>
          <w:rFonts w:ascii="宋体" w:hAnsi="宋体" w:cs="宋体"/>
          <w:color w:val="auto"/>
          <w:highlight w:val="none"/>
        </w:rPr>
      </w:pPr>
    </w:p>
    <w:p w14:paraId="49A38269">
      <w:pPr>
        <w:pStyle w:val="2"/>
        <w:rPr>
          <w:rFonts w:ascii="宋体" w:hAnsi="宋体" w:cs="宋体"/>
          <w:color w:val="auto"/>
          <w:highlight w:val="none"/>
        </w:rPr>
      </w:pPr>
    </w:p>
    <w:p w14:paraId="43574BE9">
      <w:pPr>
        <w:pStyle w:val="2"/>
        <w:rPr>
          <w:rFonts w:ascii="宋体" w:hAnsi="宋体" w:cs="宋体"/>
          <w:color w:val="auto"/>
          <w:highlight w:val="none"/>
        </w:rPr>
      </w:pPr>
    </w:p>
    <w:p w14:paraId="6B6B478E">
      <w:pPr>
        <w:pStyle w:val="2"/>
        <w:rPr>
          <w:rFonts w:ascii="宋体" w:hAnsi="宋体" w:cs="宋体"/>
          <w:color w:val="auto"/>
          <w:highlight w:val="none"/>
        </w:rPr>
      </w:pPr>
    </w:p>
    <w:p w14:paraId="6265097C">
      <w:pPr>
        <w:pStyle w:val="2"/>
        <w:rPr>
          <w:rFonts w:ascii="宋体" w:hAnsi="宋体" w:cs="宋体"/>
          <w:color w:val="auto"/>
          <w:highlight w:val="none"/>
        </w:rPr>
      </w:pPr>
    </w:p>
    <w:p w14:paraId="344A71CF">
      <w:pPr>
        <w:pStyle w:val="2"/>
        <w:rPr>
          <w:rFonts w:ascii="宋体" w:hAnsi="宋体" w:cs="宋体"/>
          <w:color w:val="auto"/>
          <w:highlight w:val="none"/>
        </w:rPr>
      </w:pPr>
    </w:p>
    <w:p w14:paraId="5F428BC6">
      <w:pPr>
        <w:pStyle w:val="2"/>
        <w:rPr>
          <w:rFonts w:ascii="宋体" w:hAnsi="宋体" w:cs="宋体"/>
          <w:color w:val="auto"/>
          <w:highlight w:val="none"/>
        </w:rPr>
      </w:pPr>
    </w:p>
    <w:p w14:paraId="1B635154">
      <w:pPr>
        <w:pStyle w:val="2"/>
        <w:rPr>
          <w:rFonts w:ascii="宋体" w:hAnsi="宋体" w:cs="宋体"/>
          <w:color w:val="auto"/>
          <w:highlight w:val="none"/>
        </w:rPr>
      </w:pPr>
    </w:p>
    <w:p w14:paraId="35EF952F">
      <w:pPr>
        <w:pStyle w:val="2"/>
        <w:rPr>
          <w:rFonts w:ascii="宋体" w:hAnsi="宋体" w:cs="宋体"/>
          <w:color w:val="auto"/>
          <w:highlight w:val="none"/>
        </w:rPr>
      </w:pPr>
    </w:p>
    <w:p w14:paraId="1F6B212F">
      <w:pPr>
        <w:pStyle w:val="2"/>
        <w:rPr>
          <w:rFonts w:ascii="宋体" w:hAnsi="宋体" w:cs="宋体"/>
          <w:color w:val="auto"/>
          <w:highlight w:val="none"/>
        </w:rPr>
      </w:pPr>
    </w:p>
    <w:p w14:paraId="5B25AA4D">
      <w:pPr>
        <w:pStyle w:val="2"/>
        <w:rPr>
          <w:rFonts w:ascii="宋体" w:hAnsi="宋体" w:cs="宋体"/>
          <w:color w:val="auto"/>
          <w:highlight w:val="none"/>
        </w:rPr>
      </w:pPr>
    </w:p>
    <w:p w14:paraId="7A03BD38">
      <w:pPr>
        <w:pStyle w:val="2"/>
        <w:rPr>
          <w:rFonts w:ascii="宋体" w:hAnsi="宋体" w:cs="宋体"/>
          <w:color w:val="auto"/>
          <w:highlight w:val="none"/>
        </w:rPr>
      </w:pPr>
    </w:p>
    <w:p w14:paraId="1BCF1DC6">
      <w:pPr>
        <w:pStyle w:val="2"/>
        <w:rPr>
          <w:rFonts w:ascii="宋体" w:hAnsi="宋体" w:cs="宋体"/>
          <w:color w:val="auto"/>
          <w:highlight w:val="none"/>
        </w:rPr>
      </w:pPr>
    </w:p>
    <w:p w14:paraId="75F5DBB2">
      <w:pPr>
        <w:pStyle w:val="2"/>
        <w:rPr>
          <w:rFonts w:ascii="宋体" w:hAnsi="宋体" w:cs="宋体"/>
          <w:color w:val="auto"/>
          <w:highlight w:val="none"/>
        </w:rPr>
      </w:pPr>
    </w:p>
    <w:p w14:paraId="7DD77D8B">
      <w:pPr>
        <w:pStyle w:val="2"/>
        <w:rPr>
          <w:rFonts w:ascii="宋体" w:hAnsi="宋体" w:cs="宋体"/>
          <w:color w:val="auto"/>
          <w:highlight w:val="none"/>
        </w:rPr>
      </w:pPr>
    </w:p>
    <w:p w14:paraId="371C4640">
      <w:pPr>
        <w:pStyle w:val="2"/>
        <w:rPr>
          <w:rFonts w:ascii="宋体" w:hAnsi="宋体" w:cs="宋体"/>
          <w:color w:val="auto"/>
          <w:highlight w:val="none"/>
        </w:rPr>
      </w:pPr>
    </w:p>
    <w:p w14:paraId="6FEDB210">
      <w:pPr>
        <w:pStyle w:val="2"/>
        <w:rPr>
          <w:rFonts w:ascii="宋体" w:hAnsi="宋体" w:cs="宋体"/>
          <w:color w:val="auto"/>
          <w:highlight w:val="none"/>
        </w:rPr>
      </w:pPr>
    </w:p>
    <w:p w14:paraId="13FD169A">
      <w:pPr>
        <w:pStyle w:val="2"/>
        <w:rPr>
          <w:rFonts w:ascii="宋体" w:hAnsi="宋体" w:cs="宋体"/>
          <w:color w:val="auto"/>
          <w:highlight w:val="none"/>
        </w:rPr>
      </w:pPr>
    </w:p>
    <w:p w14:paraId="5B1BE06B">
      <w:pPr>
        <w:pStyle w:val="2"/>
        <w:rPr>
          <w:rFonts w:ascii="宋体" w:hAnsi="宋体" w:cs="宋体"/>
          <w:color w:val="auto"/>
          <w:highlight w:val="none"/>
        </w:rPr>
      </w:pPr>
    </w:p>
    <w:p w14:paraId="2FA39E3E">
      <w:pPr>
        <w:pStyle w:val="2"/>
        <w:rPr>
          <w:rFonts w:ascii="宋体" w:hAnsi="宋体" w:cs="宋体"/>
          <w:color w:val="auto"/>
          <w:highlight w:val="none"/>
        </w:rPr>
      </w:pPr>
    </w:p>
    <w:p w14:paraId="161D1E15">
      <w:pPr>
        <w:pStyle w:val="2"/>
        <w:rPr>
          <w:rFonts w:ascii="宋体" w:hAnsi="宋体" w:cs="宋体"/>
          <w:color w:val="auto"/>
          <w:highlight w:val="none"/>
        </w:rPr>
      </w:pPr>
    </w:p>
    <w:p w14:paraId="1BBE5FC8">
      <w:pPr>
        <w:pStyle w:val="2"/>
        <w:rPr>
          <w:rFonts w:ascii="宋体" w:hAnsi="宋体" w:cs="宋体"/>
          <w:color w:val="auto"/>
          <w:highlight w:val="none"/>
        </w:rPr>
      </w:pPr>
    </w:p>
    <w:p w14:paraId="325BAA22">
      <w:pPr>
        <w:pStyle w:val="2"/>
        <w:rPr>
          <w:rFonts w:ascii="宋体" w:hAnsi="宋体" w:cs="宋体"/>
          <w:color w:val="auto"/>
          <w:highlight w:val="none"/>
        </w:rPr>
      </w:pPr>
    </w:p>
    <w:p w14:paraId="60791313">
      <w:pPr>
        <w:snapToGrid w:val="0"/>
        <w:spacing w:line="360" w:lineRule="auto"/>
        <w:jc w:val="center"/>
        <w:outlineLvl w:val="3"/>
        <w:rPr>
          <w:rFonts w:ascii="宋体" w:hAnsi="宋体" w:cs="宋体"/>
          <w:bCs/>
          <w:color w:val="auto"/>
          <w:sz w:val="28"/>
          <w:szCs w:val="28"/>
          <w:highlight w:val="none"/>
        </w:rPr>
      </w:pPr>
      <w:r>
        <w:rPr>
          <w:rFonts w:hint="eastAsia" w:ascii="宋体" w:hAnsi="宋体" w:cs="宋体"/>
          <w:bCs/>
          <w:color w:val="auto"/>
          <w:sz w:val="28"/>
          <w:szCs w:val="28"/>
          <w:highlight w:val="none"/>
        </w:rPr>
        <w:t>竞争性磋商响应函</w:t>
      </w:r>
    </w:p>
    <w:p w14:paraId="1141DF4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w:t>
      </w:r>
    </w:p>
    <w:p w14:paraId="76A944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依据贵单位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（项目名称)项目竞争性磋商的邀请，我方授权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（1）我方愿意按照磋商文件的一切要求，提供完成该项目的全部内容</w:t>
      </w:r>
      <w:r>
        <w:rPr>
          <w:rFonts w:hint="eastAsia" w:ascii="宋体" w:hAnsi="宋体" w:cs="宋体"/>
          <w:color w:val="auto"/>
          <w:sz w:val="24"/>
          <w:highlight w:val="none"/>
          <w:lang w:val="zh-CN"/>
        </w:rPr>
        <w:t>。</w:t>
      </w:r>
    </w:p>
    <w:p w14:paraId="4165CB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（4）我方愿意提供采购人在磋商文件中要求的所有资料。</w:t>
      </w:r>
    </w:p>
    <w:p w14:paraId="188102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color w:val="auto"/>
          <w:sz w:val="24"/>
          <w:highlight w:val="none"/>
        </w:rPr>
      </w:pPr>
      <w:r>
        <w:rPr>
          <w:rFonts w:hint="eastAsia" w:ascii="宋体" w:hAnsi="宋体" w:cs="宋体"/>
          <w:color w:val="auto"/>
          <w:sz w:val="24"/>
          <w:highlight w:val="none"/>
        </w:rPr>
        <w:t>磋商响应供应商：（盖</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公章）</w:t>
      </w:r>
    </w:p>
    <w:p w14:paraId="5CD45BDB">
      <w:pPr>
        <w:snapToGrid w:val="0"/>
        <w:spacing w:line="360" w:lineRule="auto"/>
        <w:ind w:firstLine="2400" w:firstLineChars="1000"/>
        <w:jc w:val="right"/>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签字或盖章</w:t>
      </w:r>
      <w:r>
        <w:rPr>
          <w:rFonts w:hint="eastAsia" w:ascii="宋体" w:hAnsi="宋体" w:cs="宋体"/>
          <w:bCs/>
          <w:color w:val="auto"/>
          <w:sz w:val="24"/>
          <w:highlight w:val="none"/>
        </w:rPr>
        <w:t>）</w:t>
      </w:r>
    </w:p>
    <w:p w14:paraId="09F4E31F">
      <w:pPr>
        <w:snapToGrid w:val="0"/>
        <w:spacing w:line="360" w:lineRule="auto"/>
        <w:ind w:firstLine="2400" w:firstLineChars="10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74EE0DEA">
      <w:pPr>
        <w:pStyle w:val="2"/>
        <w:rPr>
          <w:rFonts w:ascii="宋体" w:hAnsi="宋体" w:cs="宋体"/>
          <w:color w:val="auto"/>
          <w:highlight w:val="none"/>
        </w:rPr>
      </w:pPr>
    </w:p>
    <w:p w14:paraId="27846D6D">
      <w:pPr>
        <w:widowControl/>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color w:val="auto"/>
          <w:sz w:val="28"/>
          <w:szCs w:val="28"/>
          <w:highlight w:val="none"/>
        </w:rPr>
      </w:pPr>
      <w:r>
        <w:rPr>
          <w:rFonts w:hint="eastAsia" w:ascii="宋体" w:hAnsi="宋体" w:cs="宋体"/>
          <w:color w:val="auto"/>
          <w:sz w:val="28"/>
          <w:szCs w:val="28"/>
          <w:highlight w:val="none"/>
        </w:rPr>
        <w:t>第三部分格式：</w:t>
      </w:r>
    </w:p>
    <w:p w14:paraId="71B52CC3">
      <w:pPr>
        <w:snapToGrid w:val="0"/>
        <w:spacing w:line="300" w:lineRule="auto"/>
        <w:contextualSpacing/>
        <w:rPr>
          <w:rFonts w:ascii="宋体" w:hAnsi="宋体" w:cs="宋体"/>
          <w:color w:val="auto"/>
          <w:sz w:val="32"/>
          <w:szCs w:val="32"/>
          <w:highlight w:val="none"/>
        </w:rPr>
      </w:pPr>
    </w:p>
    <w:p w14:paraId="61C545AD">
      <w:pPr>
        <w:autoSpaceDE w:val="0"/>
        <w:autoSpaceDN w:val="0"/>
        <w:adjustRightInd w:val="0"/>
        <w:jc w:val="center"/>
        <w:rPr>
          <w:rFonts w:ascii="宋体" w:hAnsi="宋体" w:cs="宋体"/>
          <w:b/>
          <w:color w:val="auto"/>
          <w:sz w:val="32"/>
          <w:szCs w:val="32"/>
          <w:highlight w:val="none"/>
        </w:rPr>
      </w:pPr>
    </w:p>
    <w:p w14:paraId="5E354D33">
      <w:pPr>
        <w:autoSpaceDE w:val="0"/>
        <w:autoSpaceDN w:val="0"/>
        <w:adjustRightIn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2025年度南通市公路事业发展中心应急演练项目</w:t>
      </w:r>
    </w:p>
    <w:p w14:paraId="3FD3934F">
      <w:pPr>
        <w:pStyle w:val="2"/>
        <w:rPr>
          <w:rFonts w:ascii="宋体" w:hAnsi="宋体" w:cs="宋体"/>
          <w:color w:val="auto"/>
          <w:highlight w:val="none"/>
        </w:rPr>
      </w:pPr>
    </w:p>
    <w:p w14:paraId="0FE7457D">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2025YJYLZX</w:t>
      </w:r>
    </w:p>
    <w:p w14:paraId="7D850102">
      <w:pPr>
        <w:tabs>
          <w:tab w:val="left" w:pos="6300"/>
        </w:tabs>
        <w:snapToGrid w:val="0"/>
        <w:spacing w:line="300" w:lineRule="auto"/>
        <w:ind w:firstLine="3087" w:firstLineChars="1200"/>
        <w:jc w:val="both"/>
        <w:rPr>
          <w:rFonts w:hint="eastAsia" w:ascii="宋体" w:hAnsi="宋体" w:cs="宋体"/>
          <w:b/>
          <w:color w:val="auto"/>
          <w:w w:val="80"/>
          <w:sz w:val="32"/>
          <w:szCs w:val="32"/>
          <w:highlight w:val="none"/>
        </w:rPr>
      </w:pPr>
      <w:r>
        <w:rPr>
          <w:rFonts w:hint="eastAsia" w:ascii="宋体" w:hAnsi="宋体" w:cs="宋体"/>
          <w:b/>
          <w:color w:val="auto"/>
          <w:w w:val="80"/>
          <w:sz w:val="32"/>
          <w:szCs w:val="32"/>
          <w:highlight w:val="none"/>
        </w:rPr>
        <w:t>档案编号：</w:t>
      </w:r>
      <w:r>
        <w:rPr>
          <w:rFonts w:hint="eastAsia" w:ascii="宋体" w:hAnsi="宋体" w:cs="宋体"/>
          <w:b/>
          <w:color w:val="auto"/>
          <w:w w:val="80"/>
          <w:sz w:val="32"/>
          <w:szCs w:val="32"/>
          <w:highlight w:val="none"/>
          <w:lang w:val="en-US" w:eastAsia="zh-CN"/>
        </w:rPr>
        <w:t>20251901</w:t>
      </w:r>
    </w:p>
    <w:p w14:paraId="1D230B55">
      <w:pPr>
        <w:tabs>
          <w:tab w:val="left" w:pos="6300"/>
        </w:tabs>
        <w:snapToGrid w:val="0"/>
        <w:spacing w:line="300" w:lineRule="auto"/>
        <w:jc w:val="center"/>
        <w:rPr>
          <w:rFonts w:ascii="宋体" w:hAnsi="宋体" w:cs="宋体"/>
          <w:b/>
          <w:color w:val="auto"/>
          <w:w w:val="80"/>
          <w:sz w:val="32"/>
          <w:szCs w:val="32"/>
          <w:highlight w:val="none"/>
        </w:rPr>
      </w:pPr>
    </w:p>
    <w:p w14:paraId="095C33E7">
      <w:pPr>
        <w:tabs>
          <w:tab w:val="left" w:pos="6300"/>
        </w:tabs>
        <w:snapToGrid w:val="0"/>
        <w:spacing w:line="300" w:lineRule="auto"/>
        <w:jc w:val="center"/>
        <w:rPr>
          <w:rFonts w:ascii="宋体" w:hAnsi="宋体" w:cs="宋体"/>
          <w:b/>
          <w:color w:val="auto"/>
          <w:w w:val="80"/>
          <w:sz w:val="32"/>
          <w:szCs w:val="32"/>
          <w:highlight w:val="none"/>
        </w:rPr>
      </w:pPr>
    </w:p>
    <w:p w14:paraId="4660CE92">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1A90E388">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（价格响应文件）</w:t>
      </w:r>
    </w:p>
    <w:p w14:paraId="4215A6B4">
      <w:pPr>
        <w:spacing w:after="60"/>
        <w:jc w:val="center"/>
        <w:rPr>
          <w:rFonts w:ascii="宋体" w:hAnsi="宋体" w:cs="宋体"/>
          <w:b/>
          <w:bCs/>
          <w:color w:val="auto"/>
          <w:sz w:val="72"/>
          <w:szCs w:val="72"/>
          <w:highlight w:val="none"/>
        </w:rPr>
      </w:pPr>
    </w:p>
    <w:p w14:paraId="1E181A60">
      <w:pPr>
        <w:spacing w:after="60"/>
        <w:jc w:val="center"/>
        <w:rPr>
          <w:rFonts w:ascii="宋体" w:hAnsi="宋体" w:cs="宋体"/>
          <w:b/>
          <w:bCs/>
          <w:color w:val="auto"/>
          <w:sz w:val="72"/>
          <w:szCs w:val="72"/>
          <w:highlight w:val="none"/>
        </w:rPr>
      </w:pPr>
    </w:p>
    <w:p w14:paraId="140985A3">
      <w:pPr>
        <w:spacing w:after="60"/>
        <w:jc w:val="center"/>
        <w:rPr>
          <w:rFonts w:ascii="宋体" w:hAnsi="宋体" w:cs="宋体"/>
          <w:b/>
          <w:bCs/>
          <w:color w:val="auto"/>
          <w:sz w:val="72"/>
          <w:szCs w:val="72"/>
          <w:highlight w:val="none"/>
        </w:rPr>
      </w:pPr>
    </w:p>
    <w:p w14:paraId="05A0DCE0">
      <w:pPr>
        <w:spacing w:after="60"/>
        <w:jc w:val="center"/>
        <w:rPr>
          <w:rFonts w:ascii="宋体" w:hAnsi="宋体" w:cs="宋体"/>
          <w:b/>
          <w:bCs/>
          <w:color w:val="auto"/>
          <w:sz w:val="72"/>
          <w:szCs w:val="72"/>
          <w:highlight w:val="none"/>
        </w:rPr>
      </w:pPr>
    </w:p>
    <w:p w14:paraId="2E1BEAFE">
      <w:pPr>
        <w:pStyle w:val="2"/>
        <w:ind w:left="0" w:leftChars="0" w:firstLine="0" w:firstLineChars="0"/>
        <w:rPr>
          <w:rFonts w:ascii="宋体" w:hAnsi="宋体" w:cs="宋体"/>
          <w:b/>
          <w:bCs/>
          <w:color w:val="auto"/>
          <w:sz w:val="72"/>
          <w:szCs w:val="72"/>
          <w:highlight w:val="none"/>
        </w:rPr>
      </w:pPr>
    </w:p>
    <w:p w14:paraId="481FEC02">
      <w:pPr>
        <w:spacing w:after="60"/>
        <w:jc w:val="center"/>
        <w:rPr>
          <w:rFonts w:ascii="宋体" w:hAnsi="宋体" w:cs="宋体"/>
          <w:b/>
          <w:bCs/>
          <w:color w:val="auto"/>
          <w:sz w:val="72"/>
          <w:szCs w:val="72"/>
          <w:highlight w:val="none"/>
        </w:rPr>
      </w:pPr>
    </w:p>
    <w:p w14:paraId="6286CFE5">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供应商（盖公章）：</w:t>
      </w:r>
      <w:r>
        <w:rPr>
          <w:rFonts w:hint="eastAsia" w:ascii="宋体" w:hAnsi="宋体" w:cs="宋体"/>
          <w:b/>
          <w:color w:val="auto"/>
          <w:sz w:val="24"/>
          <w:highlight w:val="none"/>
          <w:u w:val="single"/>
        </w:rPr>
        <w:t xml:space="preserve">                            </w:t>
      </w:r>
    </w:p>
    <w:p w14:paraId="0239B32A">
      <w:pPr>
        <w:spacing w:line="48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法定代表人（或其委托代理人）（签字或盖章）：</w:t>
      </w:r>
      <w:r>
        <w:rPr>
          <w:rFonts w:hint="eastAsia" w:ascii="宋体" w:hAnsi="宋体" w:cs="宋体"/>
          <w:b/>
          <w:color w:val="auto"/>
          <w:sz w:val="24"/>
          <w:highlight w:val="none"/>
          <w:u w:val="single"/>
        </w:rPr>
        <w:t xml:space="preserve">                  </w:t>
      </w:r>
    </w:p>
    <w:p w14:paraId="14235010">
      <w:pPr>
        <w:spacing w:line="48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    期：</w:t>
      </w:r>
      <w:r>
        <w:rPr>
          <w:rFonts w:hint="eastAsia" w:ascii="宋体" w:hAnsi="宋体" w:cs="宋体"/>
          <w:b/>
          <w:color w:val="auto"/>
          <w:sz w:val="24"/>
          <w:highlight w:val="none"/>
          <w:u w:val="single"/>
        </w:rPr>
        <w:t xml:space="preserve">                                                  </w:t>
      </w:r>
    </w:p>
    <w:p w14:paraId="50B60366">
      <w:pPr>
        <w:widowControl/>
        <w:jc w:val="left"/>
        <w:rPr>
          <w:rFonts w:ascii="宋体" w:hAnsi="宋体" w:cs="宋体"/>
          <w:color w:val="auto"/>
          <w:sz w:val="32"/>
          <w:szCs w:val="32"/>
          <w:highlight w:val="none"/>
        </w:rPr>
      </w:pPr>
    </w:p>
    <w:p w14:paraId="2F28F77B">
      <w:pPr>
        <w:snapToGrid w:val="0"/>
        <w:spacing w:line="300" w:lineRule="auto"/>
        <w:contextualSpacing/>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61C888BD">
      <w:pPr>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color w:val="auto"/>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color w:val="auto"/>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color w:val="auto"/>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color w:val="auto"/>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color w:val="auto"/>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color w:val="auto"/>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color w:val="auto"/>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小写：</w:t>
            </w:r>
          </w:p>
        </w:tc>
      </w:tr>
    </w:tbl>
    <w:p w14:paraId="36349554">
      <w:pPr>
        <w:snapToGrid w:val="0"/>
        <w:spacing w:line="360" w:lineRule="auto"/>
        <w:ind w:firstLine="480" w:firstLineChars="200"/>
        <w:contextualSpacing/>
        <w:jc w:val="left"/>
        <w:rPr>
          <w:rFonts w:ascii="宋体" w:hAnsi="宋体" w:cs="宋体"/>
          <w:color w:val="auto"/>
          <w:sz w:val="24"/>
          <w:highlight w:val="none"/>
        </w:rPr>
      </w:pPr>
    </w:p>
    <w:p w14:paraId="135446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供应商（盖单位公章）：</w:t>
      </w:r>
      <w:r>
        <w:rPr>
          <w:rFonts w:hint="eastAsia" w:ascii="宋体" w:hAnsi="宋体" w:cs="宋体"/>
          <w:color w:val="auto"/>
          <w:sz w:val="24"/>
          <w:highlight w:val="none"/>
          <w:u w:val="single"/>
        </w:rPr>
        <w:t xml:space="preserve">                    </w:t>
      </w:r>
    </w:p>
    <w:p w14:paraId="4E058263">
      <w:pPr>
        <w:kinsoku w:val="0"/>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0B9B1AE8">
      <w:pPr>
        <w:snapToGrid w:val="0"/>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年    月    日</w:t>
      </w:r>
    </w:p>
    <w:p w14:paraId="25C16B2D">
      <w:pPr>
        <w:snapToGrid w:val="0"/>
        <w:spacing w:line="360" w:lineRule="auto"/>
        <w:ind w:firstLine="480" w:firstLineChars="200"/>
        <w:contextualSpacing/>
        <w:jc w:val="left"/>
        <w:rPr>
          <w:rFonts w:ascii="宋体" w:hAnsi="宋体" w:cs="宋体"/>
          <w:color w:val="auto"/>
          <w:sz w:val="24"/>
          <w:highlight w:val="none"/>
        </w:rPr>
      </w:pPr>
    </w:p>
    <w:p w14:paraId="6FBA55E6">
      <w:pPr>
        <w:pStyle w:val="2"/>
        <w:rPr>
          <w:rFonts w:ascii="宋体" w:hAnsi="宋体" w:cs="宋体"/>
          <w:color w:val="auto"/>
          <w:highlight w:val="none"/>
        </w:rPr>
      </w:pPr>
    </w:p>
    <w:p w14:paraId="3D43B531">
      <w:pPr>
        <w:pStyle w:val="2"/>
        <w:rPr>
          <w:rFonts w:ascii="宋体" w:hAnsi="宋体" w:cs="宋体"/>
          <w:color w:val="auto"/>
          <w:highlight w:val="none"/>
        </w:rPr>
      </w:pPr>
    </w:p>
    <w:p w14:paraId="39653581">
      <w:pPr>
        <w:pStyle w:val="2"/>
        <w:rPr>
          <w:rFonts w:ascii="宋体" w:hAnsi="宋体" w:cs="宋体"/>
          <w:color w:val="auto"/>
          <w:highlight w:val="none"/>
        </w:rPr>
      </w:pPr>
    </w:p>
    <w:p w14:paraId="7E8B7B14">
      <w:pPr>
        <w:pStyle w:val="2"/>
        <w:rPr>
          <w:rFonts w:ascii="宋体" w:hAnsi="宋体" w:cs="宋体"/>
          <w:color w:val="auto"/>
          <w:highlight w:val="none"/>
        </w:rPr>
      </w:pPr>
    </w:p>
    <w:p w14:paraId="5421458A">
      <w:pPr>
        <w:snapToGrid w:val="0"/>
        <w:spacing w:line="360" w:lineRule="auto"/>
        <w:ind w:firstLine="482" w:firstLineChars="200"/>
        <w:contextualSpacing/>
        <w:jc w:val="left"/>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color w:val="auto"/>
          <w:kern w:val="0"/>
          <w:sz w:val="24"/>
          <w:highlight w:val="none"/>
        </w:rPr>
        <w:t>供应商此表为首轮报价，最终报价在磋商现场填写</w:t>
      </w:r>
      <w:r>
        <w:rPr>
          <w:rFonts w:hint="eastAsia" w:ascii="宋体" w:hAnsi="宋体" w:cs="宋体"/>
          <w:color w:val="auto"/>
          <w:sz w:val="24"/>
          <w:highlight w:val="none"/>
        </w:rPr>
        <w:t>。</w:t>
      </w:r>
      <w:r>
        <w:rPr>
          <w:rFonts w:hint="eastAsia" w:ascii="宋体" w:hAnsi="宋体" w:cs="宋体"/>
          <w:b/>
          <w:color w:val="auto"/>
          <w:kern w:val="0"/>
          <w:sz w:val="24"/>
          <w:highlight w:val="none"/>
        </w:rPr>
        <w:t>响应文件密封提交时只需填写磋商报价总计（首次）的报价。</w:t>
      </w:r>
    </w:p>
    <w:p w14:paraId="131111BD">
      <w:pPr>
        <w:widowControl/>
        <w:jc w:val="left"/>
        <w:rPr>
          <w:rFonts w:ascii="宋体" w:hAnsi="宋体" w:cs="宋体"/>
          <w:color w:val="auto"/>
          <w:highlight w:val="none"/>
        </w:rPr>
      </w:pPr>
    </w:p>
    <w:p w14:paraId="3578BFB8">
      <w:pPr>
        <w:pStyle w:val="2"/>
        <w:rPr>
          <w:rFonts w:ascii="宋体" w:hAnsi="宋体" w:cs="宋体"/>
          <w:color w:val="auto"/>
          <w:highlight w:val="none"/>
        </w:rPr>
        <w:sectPr>
          <w:footerReference r:id="rId5" w:type="default"/>
          <w:pgSz w:w="11905" w:h="16838"/>
          <w:pgMar w:top="1429" w:right="1429" w:bottom="1429" w:left="1429" w:header="850" w:footer="992" w:gutter="0"/>
          <w:cols w:space="0" w:num="1"/>
          <w:rtlGutter w:val="0"/>
          <w:docGrid w:linePitch="286" w:charSpace="0"/>
        </w:sectPr>
      </w:pPr>
      <w:r>
        <w:rPr>
          <w:rFonts w:hint="eastAsia" w:ascii="宋体" w:hAnsi="宋体" w:cs="宋体"/>
          <w:color w:val="auto"/>
          <w:highlight w:val="none"/>
        </w:rPr>
        <w:br w:type="page"/>
      </w:r>
    </w:p>
    <w:p w14:paraId="29F30DA1">
      <w:pPr>
        <w:widowControl/>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附件2：</w:t>
      </w:r>
      <w:bookmarkStart w:id="8" w:name="_Toc217446086"/>
    </w:p>
    <w:bookmarkEnd w:id="8"/>
    <w:p w14:paraId="3943BD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分项报价明细表</w:t>
      </w:r>
    </w:p>
    <w:p w14:paraId="773D60B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项目名称：</w:t>
      </w:r>
    </w:p>
    <w:tbl>
      <w:tblPr>
        <w:tblStyle w:val="19"/>
        <w:tblW w:w="0" w:type="auto"/>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4"/>
        <w:gridCol w:w="2084"/>
        <w:gridCol w:w="1176"/>
        <w:gridCol w:w="1276"/>
        <w:gridCol w:w="1559"/>
        <w:gridCol w:w="1050"/>
      </w:tblGrid>
      <w:tr w14:paraId="155752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08FABB55">
            <w:pPr>
              <w:pStyle w:val="2"/>
              <w:ind w:left="0" w:leftChars="0" w:firstLine="0" w:firstLineChars="0"/>
              <w:jc w:val="center"/>
              <w:rPr>
                <w:color w:val="auto"/>
                <w:highlight w:val="none"/>
              </w:rPr>
            </w:pPr>
            <w:r>
              <w:rPr>
                <w:color w:val="auto"/>
                <w:highlight w:val="none"/>
              </w:rPr>
              <w:t>序号</w:t>
            </w:r>
          </w:p>
        </w:tc>
        <w:tc>
          <w:tcPr>
            <w:tcW w:w="2084" w:type="dxa"/>
            <w:vAlign w:val="center"/>
          </w:tcPr>
          <w:p w14:paraId="56D81826">
            <w:pPr>
              <w:pStyle w:val="2"/>
              <w:ind w:left="0" w:leftChars="0" w:firstLine="0" w:firstLineChars="0"/>
              <w:jc w:val="center"/>
              <w:rPr>
                <w:color w:val="auto"/>
                <w:highlight w:val="none"/>
              </w:rPr>
            </w:pPr>
            <w:r>
              <w:rPr>
                <w:color w:val="auto"/>
                <w:highlight w:val="none"/>
              </w:rPr>
              <w:t>项目名称</w:t>
            </w:r>
          </w:p>
        </w:tc>
        <w:tc>
          <w:tcPr>
            <w:tcW w:w="1176" w:type="dxa"/>
            <w:tcBorders>
              <w:right w:val="single" w:color="auto" w:sz="4" w:space="0"/>
            </w:tcBorders>
            <w:vAlign w:val="center"/>
          </w:tcPr>
          <w:p w14:paraId="45AFAC0F">
            <w:pPr>
              <w:pStyle w:val="2"/>
              <w:ind w:left="0" w:leftChars="0" w:firstLine="0" w:firstLineChars="0"/>
              <w:jc w:val="center"/>
              <w:rPr>
                <w:color w:val="auto"/>
                <w:highlight w:val="none"/>
              </w:rPr>
            </w:pPr>
            <w:r>
              <w:rPr>
                <w:color w:val="auto"/>
                <w:highlight w:val="none"/>
              </w:rPr>
              <w:t>数量</w:t>
            </w:r>
          </w:p>
        </w:tc>
        <w:tc>
          <w:tcPr>
            <w:tcW w:w="1276" w:type="dxa"/>
            <w:tcBorders>
              <w:left w:val="single" w:color="auto" w:sz="4" w:space="0"/>
            </w:tcBorders>
            <w:vAlign w:val="center"/>
          </w:tcPr>
          <w:p w14:paraId="71158FDD">
            <w:pPr>
              <w:pStyle w:val="2"/>
              <w:ind w:left="0" w:leftChars="0" w:firstLine="0" w:firstLineChars="0"/>
              <w:jc w:val="center"/>
              <w:rPr>
                <w:color w:val="auto"/>
                <w:highlight w:val="none"/>
              </w:rPr>
            </w:pPr>
            <w:r>
              <w:rPr>
                <w:color w:val="auto"/>
                <w:highlight w:val="none"/>
              </w:rPr>
              <w:t>单价</w:t>
            </w:r>
            <w:r>
              <w:rPr>
                <w:rFonts w:hint="eastAsia"/>
                <w:color w:val="auto"/>
                <w:highlight w:val="none"/>
              </w:rPr>
              <w:t>（元）</w:t>
            </w:r>
          </w:p>
        </w:tc>
        <w:tc>
          <w:tcPr>
            <w:tcW w:w="1559" w:type="dxa"/>
            <w:vAlign w:val="center"/>
          </w:tcPr>
          <w:p w14:paraId="1F5B84E4">
            <w:pPr>
              <w:pStyle w:val="2"/>
              <w:ind w:left="0" w:leftChars="0" w:firstLine="0" w:firstLineChars="0"/>
              <w:jc w:val="center"/>
              <w:rPr>
                <w:color w:val="auto"/>
                <w:highlight w:val="none"/>
              </w:rPr>
            </w:pPr>
            <w:r>
              <w:rPr>
                <w:color w:val="auto"/>
                <w:highlight w:val="none"/>
              </w:rPr>
              <w:t>小计</w:t>
            </w:r>
            <w:r>
              <w:rPr>
                <w:rFonts w:hint="eastAsia"/>
                <w:color w:val="auto"/>
                <w:highlight w:val="none"/>
              </w:rPr>
              <w:t>（元）</w:t>
            </w:r>
          </w:p>
        </w:tc>
        <w:tc>
          <w:tcPr>
            <w:tcW w:w="1050" w:type="dxa"/>
            <w:vAlign w:val="center"/>
          </w:tcPr>
          <w:p w14:paraId="1525F442">
            <w:pPr>
              <w:pStyle w:val="2"/>
              <w:ind w:left="0" w:leftChars="0" w:firstLine="0" w:firstLineChars="0"/>
              <w:jc w:val="center"/>
              <w:rPr>
                <w:color w:val="auto"/>
                <w:highlight w:val="none"/>
              </w:rPr>
            </w:pPr>
            <w:r>
              <w:rPr>
                <w:color w:val="auto"/>
                <w:highlight w:val="none"/>
              </w:rPr>
              <w:t>备注</w:t>
            </w:r>
          </w:p>
        </w:tc>
      </w:tr>
      <w:tr w14:paraId="59F567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3F0C47E7">
            <w:pPr>
              <w:pStyle w:val="2"/>
              <w:ind w:left="0" w:leftChars="0" w:firstLine="0" w:firstLineChars="0"/>
              <w:jc w:val="center"/>
              <w:rPr>
                <w:color w:val="auto"/>
                <w:highlight w:val="none"/>
              </w:rPr>
            </w:pPr>
            <w:r>
              <w:rPr>
                <w:rFonts w:hint="eastAsia"/>
                <w:color w:val="auto"/>
                <w:highlight w:val="none"/>
              </w:rPr>
              <w:t>1</w:t>
            </w:r>
          </w:p>
        </w:tc>
        <w:tc>
          <w:tcPr>
            <w:tcW w:w="7145" w:type="dxa"/>
            <w:gridSpan w:val="5"/>
            <w:vAlign w:val="center"/>
          </w:tcPr>
          <w:p w14:paraId="634A968E">
            <w:pPr>
              <w:pStyle w:val="2"/>
              <w:ind w:left="0" w:leftChars="0" w:firstLine="0" w:firstLineChars="0"/>
              <w:rPr>
                <w:color w:val="auto"/>
                <w:highlight w:val="none"/>
              </w:rPr>
            </w:pPr>
          </w:p>
        </w:tc>
      </w:tr>
      <w:tr w14:paraId="1C1E2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19CB9991">
            <w:pPr>
              <w:pStyle w:val="2"/>
              <w:ind w:left="0" w:leftChars="0" w:firstLine="0" w:firstLineChars="0"/>
              <w:jc w:val="center"/>
              <w:rPr>
                <w:color w:val="auto"/>
                <w:highlight w:val="none"/>
              </w:rPr>
            </w:pPr>
            <w:r>
              <w:rPr>
                <w:rFonts w:hint="eastAsia"/>
                <w:color w:val="auto"/>
                <w:highlight w:val="none"/>
              </w:rPr>
              <w:t>1.1</w:t>
            </w:r>
          </w:p>
        </w:tc>
        <w:tc>
          <w:tcPr>
            <w:tcW w:w="2084" w:type="dxa"/>
            <w:vAlign w:val="center"/>
          </w:tcPr>
          <w:p w14:paraId="51E6E84C">
            <w:pPr>
              <w:pStyle w:val="2"/>
              <w:ind w:left="0" w:leftChars="0" w:firstLine="0" w:firstLineChars="0"/>
              <w:jc w:val="center"/>
              <w:rPr>
                <w:color w:val="auto"/>
                <w:highlight w:val="none"/>
              </w:rPr>
            </w:pPr>
          </w:p>
        </w:tc>
        <w:tc>
          <w:tcPr>
            <w:tcW w:w="1176" w:type="dxa"/>
            <w:tcBorders>
              <w:right w:val="single" w:color="auto" w:sz="4" w:space="0"/>
            </w:tcBorders>
          </w:tcPr>
          <w:p w14:paraId="5986CE32">
            <w:pPr>
              <w:pStyle w:val="2"/>
              <w:ind w:left="0" w:leftChars="0" w:firstLine="0" w:firstLineChars="0"/>
              <w:rPr>
                <w:color w:val="auto"/>
                <w:highlight w:val="none"/>
              </w:rPr>
            </w:pPr>
          </w:p>
        </w:tc>
        <w:tc>
          <w:tcPr>
            <w:tcW w:w="1276" w:type="dxa"/>
            <w:tcBorders>
              <w:left w:val="single" w:color="auto" w:sz="4" w:space="0"/>
            </w:tcBorders>
          </w:tcPr>
          <w:p w14:paraId="7E50D620">
            <w:pPr>
              <w:pStyle w:val="2"/>
              <w:ind w:left="0" w:leftChars="0" w:firstLine="0" w:firstLineChars="0"/>
              <w:rPr>
                <w:color w:val="auto"/>
                <w:highlight w:val="none"/>
              </w:rPr>
            </w:pPr>
          </w:p>
        </w:tc>
        <w:tc>
          <w:tcPr>
            <w:tcW w:w="1559" w:type="dxa"/>
          </w:tcPr>
          <w:p w14:paraId="607A37B4">
            <w:pPr>
              <w:pStyle w:val="2"/>
              <w:ind w:left="0" w:leftChars="0" w:firstLine="0" w:firstLineChars="0"/>
              <w:rPr>
                <w:color w:val="auto"/>
                <w:highlight w:val="none"/>
              </w:rPr>
            </w:pPr>
          </w:p>
        </w:tc>
        <w:tc>
          <w:tcPr>
            <w:tcW w:w="1050" w:type="dxa"/>
          </w:tcPr>
          <w:p w14:paraId="509DFE09">
            <w:pPr>
              <w:pStyle w:val="2"/>
              <w:ind w:left="0" w:leftChars="0" w:firstLine="0" w:firstLineChars="0"/>
              <w:rPr>
                <w:color w:val="auto"/>
                <w:highlight w:val="none"/>
              </w:rPr>
            </w:pPr>
          </w:p>
        </w:tc>
      </w:tr>
      <w:tr w14:paraId="3738E3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2EC12C56">
            <w:pPr>
              <w:pStyle w:val="2"/>
              <w:ind w:left="0" w:leftChars="0" w:firstLine="0" w:firstLineChars="0"/>
              <w:jc w:val="center"/>
              <w:rPr>
                <w:color w:val="auto"/>
                <w:highlight w:val="none"/>
              </w:rPr>
            </w:pPr>
            <w:r>
              <w:rPr>
                <w:color w:val="auto"/>
                <w:highlight w:val="none"/>
              </w:rPr>
              <w:t>……</w:t>
            </w:r>
          </w:p>
        </w:tc>
        <w:tc>
          <w:tcPr>
            <w:tcW w:w="2084" w:type="dxa"/>
            <w:vAlign w:val="center"/>
          </w:tcPr>
          <w:p w14:paraId="2492BDD3">
            <w:pPr>
              <w:pStyle w:val="2"/>
              <w:ind w:left="0" w:leftChars="0" w:firstLine="0" w:firstLineChars="0"/>
              <w:jc w:val="center"/>
              <w:rPr>
                <w:color w:val="auto"/>
                <w:highlight w:val="none"/>
              </w:rPr>
            </w:pPr>
          </w:p>
        </w:tc>
        <w:tc>
          <w:tcPr>
            <w:tcW w:w="1176" w:type="dxa"/>
            <w:tcBorders>
              <w:right w:val="single" w:color="auto" w:sz="4" w:space="0"/>
            </w:tcBorders>
          </w:tcPr>
          <w:p w14:paraId="15A10B06">
            <w:pPr>
              <w:pStyle w:val="2"/>
              <w:ind w:left="0" w:leftChars="0" w:firstLine="0" w:firstLineChars="0"/>
              <w:rPr>
                <w:color w:val="auto"/>
                <w:highlight w:val="none"/>
              </w:rPr>
            </w:pPr>
          </w:p>
        </w:tc>
        <w:tc>
          <w:tcPr>
            <w:tcW w:w="1276" w:type="dxa"/>
            <w:tcBorders>
              <w:left w:val="single" w:color="auto" w:sz="4" w:space="0"/>
            </w:tcBorders>
          </w:tcPr>
          <w:p w14:paraId="7CAB9011">
            <w:pPr>
              <w:pStyle w:val="2"/>
              <w:ind w:left="0" w:leftChars="0" w:firstLine="0" w:firstLineChars="0"/>
              <w:rPr>
                <w:color w:val="auto"/>
                <w:highlight w:val="none"/>
              </w:rPr>
            </w:pPr>
          </w:p>
        </w:tc>
        <w:tc>
          <w:tcPr>
            <w:tcW w:w="1559" w:type="dxa"/>
          </w:tcPr>
          <w:p w14:paraId="5601F561">
            <w:pPr>
              <w:pStyle w:val="2"/>
              <w:ind w:left="0" w:leftChars="0" w:firstLine="0" w:firstLineChars="0"/>
              <w:rPr>
                <w:color w:val="auto"/>
                <w:highlight w:val="none"/>
              </w:rPr>
            </w:pPr>
          </w:p>
        </w:tc>
        <w:tc>
          <w:tcPr>
            <w:tcW w:w="1050" w:type="dxa"/>
          </w:tcPr>
          <w:p w14:paraId="4BE61BF3">
            <w:pPr>
              <w:pStyle w:val="2"/>
              <w:ind w:left="0" w:leftChars="0" w:firstLine="0" w:firstLineChars="0"/>
              <w:rPr>
                <w:color w:val="auto"/>
                <w:highlight w:val="none"/>
              </w:rPr>
            </w:pPr>
          </w:p>
        </w:tc>
      </w:tr>
      <w:tr w14:paraId="3A6B35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26734056">
            <w:pPr>
              <w:pStyle w:val="2"/>
              <w:ind w:left="0" w:leftChars="0" w:firstLine="0" w:firstLineChars="0"/>
              <w:jc w:val="center"/>
              <w:rPr>
                <w:color w:val="auto"/>
                <w:highlight w:val="none"/>
              </w:rPr>
            </w:pPr>
            <w:r>
              <w:rPr>
                <w:rFonts w:hint="eastAsia"/>
                <w:color w:val="auto"/>
                <w:highlight w:val="none"/>
              </w:rPr>
              <w:t>2</w:t>
            </w:r>
          </w:p>
        </w:tc>
        <w:tc>
          <w:tcPr>
            <w:tcW w:w="7145" w:type="dxa"/>
            <w:gridSpan w:val="5"/>
            <w:vAlign w:val="center"/>
          </w:tcPr>
          <w:p w14:paraId="7DBACD92">
            <w:pPr>
              <w:pStyle w:val="2"/>
              <w:ind w:left="0" w:leftChars="0" w:firstLine="0" w:firstLineChars="0"/>
              <w:rPr>
                <w:color w:val="auto"/>
                <w:highlight w:val="none"/>
              </w:rPr>
            </w:pPr>
          </w:p>
        </w:tc>
      </w:tr>
      <w:tr w14:paraId="742EEA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408572D2">
            <w:pPr>
              <w:pStyle w:val="2"/>
              <w:ind w:left="0" w:leftChars="0" w:firstLine="0" w:firstLineChars="0"/>
              <w:jc w:val="center"/>
              <w:rPr>
                <w:color w:val="auto"/>
                <w:highlight w:val="none"/>
              </w:rPr>
            </w:pPr>
            <w:r>
              <w:rPr>
                <w:rFonts w:hint="eastAsia"/>
                <w:color w:val="auto"/>
                <w:highlight w:val="none"/>
              </w:rPr>
              <w:t>2.1</w:t>
            </w:r>
          </w:p>
        </w:tc>
        <w:tc>
          <w:tcPr>
            <w:tcW w:w="2084" w:type="dxa"/>
            <w:vAlign w:val="center"/>
          </w:tcPr>
          <w:p w14:paraId="4DF5378E">
            <w:pPr>
              <w:pStyle w:val="2"/>
              <w:ind w:left="0" w:leftChars="0" w:firstLine="0" w:firstLineChars="0"/>
              <w:jc w:val="center"/>
              <w:rPr>
                <w:color w:val="auto"/>
                <w:highlight w:val="none"/>
              </w:rPr>
            </w:pPr>
          </w:p>
        </w:tc>
        <w:tc>
          <w:tcPr>
            <w:tcW w:w="1176" w:type="dxa"/>
            <w:tcBorders>
              <w:right w:val="single" w:color="auto" w:sz="4" w:space="0"/>
            </w:tcBorders>
          </w:tcPr>
          <w:p w14:paraId="027073EA">
            <w:pPr>
              <w:pStyle w:val="2"/>
              <w:ind w:left="0" w:leftChars="0" w:firstLine="0" w:firstLineChars="0"/>
              <w:rPr>
                <w:color w:val="auto"/>
                <w:highlight w:val="none"/>
              </w:rPr>
            </w:pPr>
          </w:p>
        </w:tc>
        <w:tc>
          <w:tcPr>
            <w:tcW w:w="1276" w:type="dxa"/>
            <w:tcBorders>
              <w:left w:val="single" w:color="auto" w:sz="4" w:space="0"/>
            </w:tcBorders>
          </w:tcPr>
          <w:p w14:paraId="17078AB6">
            <w:pPr>
              <w:pStyle w:val="2"/>
              <w:ind w:left="0" w:leftChars="0" w:firstLine="0" w:firstLineChars="0"/>
              <w:rPr>
                <w:color w:val="auto"/>
                <w:highlight w:val="none"/>
              </w:rPr>
            </w:pPr>
          </w:p>
        </w:tc>
        <w:tc>
          <w:tcPr>
            <w:tcW w:w="1559" w:type="dxa"/>
          </w:tcPr>
          <w:p w14:paraId="3E2A52E6">
            <w:pPr>
              <w:pStyle w:val="2"/>
              <w:ind w:left="0" w:leftChars="0" w:firstLine="0" w:firstLineChars="0"/>
              <w:rPr>
                <w:color w:val="auto"/>
                <w:highlight w:val="none"/>
              </w:rPr>
            </w:pPr>
          </w:p>
        </w:tc>
        <w:tc>
          <w:tcPr>
            <w:tcW w:w="1050" w:type="dxa"/>
          </w:tcPr>
          <w:p w14:paraId="77DED4BC">
            <w:pPr>
              <w:pStyle w:val="2"/>
              <w:ind w:left="0" w:leftChars="0" w:firstLine="0" w:firstLineChars="0"/>
              <w:rPr>
                <w:color w:val="auto"/>
                <w:highlight w:val="none"/>
              </w:rPr>
            </w:pPr>
          </w:p>
        </w:tc>
      </w:tr>
      <w:tr w14:paraId="7590A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2C8DED34">
            <w:pPr>
              <w:pStyle w:val="2"/>
              <w:ind w:left="0" w:leftChars="0" w:firstLine="0" w:firstLineChars="0"/>
              <w:jc w:val="center"/>
              <w:rPr>
                <w:color w:val="auto"/>
                <w:highlight w:val="none"/>
              </w:rPr>
            </w:pPr>
            <w:r>
              <w:rPr>
                <w:color w:val="auto"/>
                <w:highlight w:val="none"/>
              </w:rPr>
              <w:t>……</w:t>
            </w:r>
          </w:p>
        </w:tc>
        <w:tc>
          <w:tcPr>
            <w:tcW w:w="2084" w:type="dxa"/>
            <w:vAlign w:val="center"/>
          </w:tcPr>
          <w:p w14:paraId="1F93ED7F">
            <w:pPr>
              <w:pStyle w:val="2"/>
              <w:ind w:left="0" w:leftChars="0" w:firstLine="0" w:firstLineChars="0"/>
              <w:jc w:val="center"/>
              <w:rPr>
                <w:color w:val="auto"/>
                <w:highlight w:val="none"/>
              </w:rPr>
            </w:pPr>
          </w:p>
        </w:tc>
        <w:tc>
          <w:tcPr>
            <w:tcW w:w="1176" w:type="dxa"/>
            <w:tcBorders>
              <w:right w:val="single" w:color="auto" w:sz="4" w:space="0"/>
            </w:tcBorders>
          </w:tcPr>
          <w:p w14:paraId="583519BE">
            <w:pPr>
              <w:pStyle w:val="2"/>
              <w:ind w:left="0" w:leftChars="0" w:firstLine="0" w:firstLineChars="0"/>
              <w:rPr>
                <w:color w:val="auto"/>
                <w:highlight w:val="none"/>
              </w:rPr>
            </w:pPr>
          </w:p>
        </w:tc>
        <w:tc>
          <w:tcPr>
            <w:tcW w:w="1276" w:type="dxa"/>
            <w:tcBorders>
              <w:left w:val="single" w:color="auto" w:sz="4" w:space="0"/>
            </w:tcBorders>
          </w:tcPr>
          <w:p w14:paraId="276BD7BD">
            <w:pPr>
              <w:pStyle w:val="2"/>
              <w:ind w:left="0" w:leftChars="0" w:firstLine="0" w:firstLineChars="0"/>
              <w:rPr>
                <w:color w:val="auto"/>
                <w:highlight w:val="none"/>
              </w:rPr>
            </w:pPr>
          </w:p>
        </w:tc>
        <w:tc>
          <w:tcPr>
            <w:tcW w:w="1559" w:type="dxa"/>
          </w:tcPr>
          <w:p w14:paraId="57EDA2E4">
            <w:pPr>
              <w:pStyle w:val="2"/>
              <w:ind w:left="0" w:leftChars="0" w:firstLine="0" w:firstLineChars="0"/>
              <w:rPr>
                <w:color w:val="auto"/>
                <w:highlight w:val="none"/>
              </w:rPr>
            </w:pPr>
          </w:p>
        </w:tc>
        <w:tc>
          <w:tcPr>
            <w:tcW w:w="1050" w:type="dxa"/>
          </w:tcPr>
          <w:p w14:paraId="57421587">
            <w:pPr>
              <w:pStyle w:val="2"/>
              <w:ind w:left="0" w:leftChars="0" w:firstLine="0" w:firstLineChars="0"/>
              <w:rPr>
                <w:color w:val="auto"/>
                <w:highlight w:val="none"/>
              </w:rPr>
            </w:pPr>
          </w:p>
        </w:tc>
      </w:tr>
      <w:tr w14:paraId="090B6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428EE217">
            <w:pPr>
              <w:pStyle w:val="2"/>
              <w:ind w:left="0" w:leftChars="0" w:firstLine="0" w:firstLineChars="0"/>
              <w:jc w:val="center"/>
              <w:rPr>
                <w:color w:val="auto"/>
                <w:highlight w:val="none"/>
              </w:rPr>
            </w:pPr>
          </w:p>
        </w:tc>
        <w:tc>
          <w:tcPr>
            <w:tcW w:w="7145" w:type="dxa"/>
            <w:gridSpan w:val="5"/>
            <w:vAlign w:val="center"/>
          </w:tcPr>
          <w:p w14:paraId="2E4DD023">
            <w:pPr>
              <w:pStyle w:val="2"/>
              <w:ind w:left="0" w:leftChars="0" w:firstLine="0" w:firstLineChars="0"/>
              <w:rPr>
                <w:color w:val="auto"/>
                <w:highlight w:val="none"/>
              </w:rPr>
            </w:pPr>
          </w:p>
        </w:tc>
      </w:tr>
      <w:tr w14:paraId="7FFD3F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2CF29FBB">
            <w:pPr>
              <w:pStyle w:val="2"/>
              <w:ind w:left="0" w:leftChars="0" w:firstLine="0" w:firstLineChars="0"/>
              <w:jc w:val="center"/>
              <w:rPr>
                <w:color w:val="auto"/>
                <w:highlight w:val="none"/>
              </w:rPr>
            </w:pPr>
          </w:p>
        </w:tc>
        <w:tc>
          <w:tcPr>
            <w:tcW w:w="2084" w:type="dxa"/>
            <w:vAlign w:val="center"/>
          </w:tcPr>
          <w:p w14:paraId="29EEFA6D">
            <w:pPr>
              <w:pStyle w:val="2"/>
              <w:ind w:left="0" w:leftChars="0" w:firstLine="0" w:firstLineChars="0"/>
              <w:jc w:val="center"/>
              <w:rPr>
                <w:color w:val="auto"/>
                <w:highlight w:val="none"/>
              </w:rPr>
            </w:pPr>
          </w:p>
        </w:tc>
        <w:tc>
          <w:tcPr>
            <w:tcW w:w="1176" w:type="dxa"/>
            <w:tcBorders>
              <w:right w:val="single" w:color="auto" w:sz="4" w:space="0"/>
            </w:tcBorders>
          </w:tcPr>
          <w:p w14:paraId="5AA7BAB1">
            <w:pPr>
              <w:pStyle w:val="2"/>
              <w:ind w:left="0" w:leftChars="0" w:firstLine="0" w:firstLineChars="0"/>
              <w:rPr>
                <w:color w:val="auto"/>
                <w:highlight w:val="none"/>
              </w:rPr>
            </w:pPr>
          </w:p>
        </w:tc>
        <w:tc>
          <w:tcPr>
            <w:tcW w:w="1276" w:type="dxa"/>
            <w:tcBorders>
              <w:left w:val="single" w:color="auto" w:sz="4" w:space="0"/>
            </w:tcBorders>
          </w:tcPr>
          <w:p w14:paraId="6F4FFFEC">
            <w:pPr>
              <w:pStyle w:val="2"/>
              <w:ind w:left="0" w:leftChars="0" w:firstLine="0" w:firstLineChars="0"/>
              <w:rPr>
                <w:color w:val="auto"/>
                <w:highlight w:val="none"/>
              </w:rPr>
            </w:pPr>
          </w:p>
        </w:tc>
        <w:tc>
          <w:tcPr>
            <w:tcW w:w="1559" w:type="dxa"/>
          </w:tcPr>
          <w:p w14:paraId="0E3E754C">
            <w:pPr>
              <w:pStyle w:val="2"/>
              <w:ind w:left="0" w:leftChars="0" w:firstLine="0" w:firstLineChars="0"/>
              <w:rPr>
                <w:color w:val="auto"/>
                <w:highlight w:val="none"/>
              </w:rPr>
            </w:pPr>
          </w:p>
        </w:tc>
        <w:tc>
          <w:tcPr>
            <w:tcW w:w="1050" w:type="dxa"/>
          </w:tcPr>
          <w:p w14:paraId="713FFD46">
            <w:pPr>
              <w:pStyle w:val="2"/>
              <w:ind w:left="0" w:leftChars="0" w:firstLine="0" w:firstLineChars="0"/>
              <w:rPr>
                <w:color w:val="auto"/>
                <w:highlight w:val="none"/>
              </w:rPr>
            </w:pPr>
          </w:p>
        </w:tc>
      </w:tr>
      <w:tr w14:paraId="6B5471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2DF52B66">
            <w:pPr>
              <w:pStyle w:val="2"/>
              <w:ind w:left="0" w:leftChars="0" w:firstLine="0" w:firstLineChars="0"/>
              <w:jc w:val="center"/>
              <w:rPr>
                <w:color w:val="auto"/>
                <w:highlight w:val="none"/>
              </w:rPr>
            </w:pPr>
          </w:p>
        </w:tc>
        <w:tc>
          <w:tcPr>
            <w:tcW w:w="2084" w:type="dxa"/>
            <w:vAlign w:val="center"/>
          </w:tcPr>
          <w:p w14:paraId="6C3C5951">
            <w:pPr>
              <w:pStyle w:val="2"/>
              <w:ind w:left="0" w:leftChars="0" w:firstLine="0" w:firstLineChars="0"/>
              <w:jc w:val="center"/>
              <w:rPr>
                <w:color w:val="auto"/>
                <w:highlight w:val="none"/>
              </w:rPr>
            </w:pPr>
          </w:p>
        </w:tc>
        <w:tc>
          <w:tcPr>
            <w:tcW w:w="1176" w:type="dxa"/>
            <w:tcBorders>
              <w:right w:val="single" w:color="auto" w:sz="4" w:space="0"/>
            </w:tcBorders>
          </w:tcPr>
          <w:p w14:paraId="169D0515">
            <w:pPr>
              <w:pStyle w:val="2"/>
              <w:ind w:left="0" w:leftChars="0" w:firstLine="0" w:firstLineChars="0"/>
              <w:rPr>
                <w:color w:val="auto"/>
                <w:highlight w:val="none"/>
              </w:rPr>
            </w:pPr>
          </w:p>
        </w:tc>
        <w:tc>
          <w:tcPr>
            <w:tcW w:w="1276" w:type="dxa"/>
            <w:tcBorders>
              <w:left w:val="single" w:color="auto" w:sz="4" w:space="0"/>
            </w:tcBorders>
          </w:tcPr>
          <w:p w14:paraId="52B367B1">
            <w:pPr>
              <w:pStyle w:val="2"/>
              <w:ind w:left="0" w:leftChars="0" w:firstLine="0" w:firstLineChars="0"/>
              <w:rPr>
                <w:color w:val="auto"/>
                <w:highlight w:val="none"/>
              </w:rPr>
            </w:pPr>
          </w:p>
        </w:tc>
        <w:tc>
          <w:tcPr>
            <w:tcW w:w="1559" w:type="dxa"/>
          </w:tcPr>
          <w:p w14:paraId="138B9926">
            <w:pPr>
              <w:pStyle w:val="2"/>
              <w:ind w:left="0" w:leftChars="0" w:firstLine="0" w:firstLineChars="0"/>
              <w:rPr>
                <w:color w:val="auto"/>
                <w:highlight w:val="none"/>
              </w:rPr>
            </w:pPr>
          </w:p>
        </w:tc>
        <w:tc>
          <w:tcPr>
            <w:tcW w:w="1050" w:type="dxa"/>
          </w:tcPr>
          <w:p w14:paraId="0269882D">
            <w:pPr>
              <w:pStyle w:val="2"/>
              <w:ind w:left="0" w:leftChars="0" w:firstLine="0" w:firstLineChars="0"/>
              <w:rPr>
                <w:color w:val="auto"/>
                <w:highlight w:val="none"/>
              </w:rPr>
            </w:pPr>
          </w:p>
        </w:tc>
      </w:tr>
      <w:tr w14:paraId="22D385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0C93CA71">
            <w:pPr>
              <w:pStyle w:val="2"/>
              <w:ind w:left="0" w:leftChars="0" w:firstLine="0" w:firstLineChars="0"/>
              <w:jc w:val="center"/>
              <w:rPr>
                <w:color w:val="auto"/>
                <w:highlight w:val="none"/>
              </w:rPr>
            </w:pPr>
          </w:p>
        </w:tc>
        <w:tc>
          <w:tcPr>
            <w:tcW w:w="7145" w:type="dxa"/>
            <w:gridSpan w:val="5"/>
            <w:vAlign w:val="center"/>
          </w:tcPr>
          <w:p w14:paraId="188DD23F">
            <w:pPr>
              <w:pStyle w:val="2"/>
              <w:ind w:left="0" w:leftChars="0" w:firstLine="0" w:firstLineChars="0"/>
              <w:rPr>
                <w:color w:val="auto"/>
                <w:highlight w:val="none"/>
              </w:rPr>
            </w:pPr>
          </w:p>
        </w:tc>
      </w:tr>
      <w:tr w14:paraId="43BB7D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5D1053CE">
            <w:pPr>
              <w:pStyle w:val="2"/>
              <w:ind w:left="0" w:leftChars="0" w:firstLine="0" w:firstLineChars="0"/>
              <w:jc w:val="center"/>
              <w:rPr>
                <w:color w:val="auto"/>
                <w:highlight w:val="none"/>
              </w:rPr>
            </w:pPr>
          </w:p>
        </w:tc>
        <w:tc>
          <w:tcPr>
            <w:tcW w:w="2084" w:type="dxa"/>
            <w:vAlign w:val="center"/>
          </w:tcPr>
          <w:p w14:paraId="2B26FAD0">
            <w:pPr>
              <w:pStyle w:val="2"/>
              <w:ind w:left="0" w:leftChars="0" w:firstLine="0" w:firstLineChars="0"/>
              <w:jc w:val="center"/>
              <w:rPr>
                <w:color w:val="auto"/>
                <w:highlight w:val="none"/>
              </w:rPr>
            </w:pPr>
          </w:p>
        </w:tc>
        <w:tc>
          <w:tcPr>
            <w:tcW w:w="1176" w:type="dxa"/>
            <w:tcBorders>
              <w:right w:val="single" w:color="auto" w:sz="4" w:space="0"/>
            </w:tcBorders>
          </w:tcPr>
          <w:p w14:paraId="27BB0C5C">
            <w:pPr>
              <w:pStyle w:val="2"/>
              <w:ind w:left="0" w:leftChars="0" w:firstLine="0" w:firstLineChars="0"/>
              <w:rPr>
                <w:color w:val="auto"/>
                <w:highlight w:val="none"/>
              </w:rPr>
            </w:pPr>
          </w:p>
        </w:tc>
        <w:tc>
          <w:tcPr>
            <w:tcW w:w="1276" w:type="dxa"/>
            <w:tcBorders>
              <w:left w:val="single" w:color="auto" w:sz="4" w:space="0"/>
            </w:tcBorders>
          </w:tcPr>
          <w:p w14:paraId="07EAE975">
            <w:pPr>
              <w:pStyle w:val="2"/>
              <w:ind w:left="0" w:leftChars="0" w:firstLine="0" w:firstLineChars="0"/>
              <w:rPr>
                <w:color w:val="auto"/>
                <w:highlight w:val="none"/>
              </w:rPr>
            </w:pPr>
          </w:p>
        </w:tc>
        <w:tc>
          <w:tcPr>
            <w:tcW w:w="1559" w:type="dxa"/>
          </w:tcPr>
          <w:p w14:paraId="0B0DF53A">
            <w:pPr>
              <w:pStyle w:val="2"/>
              <w:ind w:left="0" w:leftChars="0" w:firstLine="0" w:firstLineChars="0"/>
              <w:rPr>
                <w:color w:val="auto"/>
                <w:highlight w:val="none"/>
              </w:rPr>
            </w:pPr>
          </w:p>
        </w:tc>
        <w:tc>
          <w:tcPr>
            <w:tcW w:w="1050" w:type="dxa"/>
          </w:tcPr>
          <w:p w14:paraId="52625E9B">
            <w:pPr>
              <w:pStyle w:val="2"/>
              <w:ind w:left="0" w:leftChars="0" w:firstLine="0" w:firstLineChars="0"/>
              <w:rPr>
                <w:color w:val="auto"/>
                <w:highlight w:val="none"/>
              </w:rPr>
            </w:pPr>
          </w:p>
        </w:tc>
      </w:tr>
      <w:tr w14:paraId="46D51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132B034A">
            <w:pPr>
              <w:pStyle w:val="2"/>
              <w:ind w:left="0" w:leftChars="0" w:firstLine="0" w:firstLineChars="0"/>
              <w:jc w:val="center"/>
              <w:rPr>
                <w:color w:val="auto"/>
                <w:highlight w:val="none"/>
              </w:rPr>
            </w:pPr>
          </w:p>
        </w:tc>
        <w:tc>
          <w:tcPr>
            <w:tcW w:w="2084" w:type="dxa"/>
            <w:vAlign w:val="center"/>
          </w:tcPr>
          <w:p w14:paraId="2CBEB3F6">
            <w:pPr>
              <w:pStyle w:val="2"/>
              <w:ind w:left="0" w:leftChars="0" w:firstLine="0" w:firstLineChars="0"/>
              <w:jc w:val="center"/>
              <w:rPr>
                <w:color w:val="auto"/>
                <w:highlight w:val="none"/>
              </w:rPr>
            </w:pPr>
          </w:p>
        </w:tc>
        <w:tc>
          <w:tcPr>
            <w:tcW w:w="1176" w:type="dxa"/>
            <w:tcBorders>
              <w:right w:val="single" w:color="auto" w:sz="4" w:space="0"/>
            </w:tcBorders>
          </w:tcPr>
          <w:p w14:paraId="4113D7AA">
            <w:pPr>
              <w:pStyle w:val="2"/>
              <w:ind w:left="0" w:leftChars="0" w:firstLine="0" w:firstLineChars="0"/>
              <w:rPr>
                <w:color w:val="auto"/>
                <w:highlight w:val="none"/>
              </w:rPr>
            </w:pPr>
          </w:p>
        </w:tc>
        <w:tc>
          <w:tcPr>
            <w:tcW w:w="1276" w:type="dxa"/>
            <w:tcBorders>
              <w:left w:val="single" w:color="auto" w:sz="4" w:space="0"/>
            </w:tcBorders>
          </w:tcPr>
          <w:p w14:paraId="758D23BA">
            <w:pPr>
              <w:pStyle w:val="2"/>
              <w:ind w:left="0" w:leftChars="0" w:firstLine="0" w:firstLineChars="0"/>
              <w:rPr>
                <w:color w:val="auto"/>
                <w:highlight w:val="none"/>
              </w:rPr>
            </w:pPr>
          </w:p>
        </w:tc>
        <w:tc>
          <w:tcPr>
            <w:tcW w:w="1559" w:type="dxa"/>
          </w:tcPr>
          <w:p w14:paraId="1CF99839">
            <w:pPr>
              <w:pStyle w:val="2"/>
              <w:ind w:left="0" w:leftChars="0" w:firstLine="0" w:firstLineChars="0"/>
              <w:rPr>
                <w:color w:val="auto"/>
                <w:highlight w:val="none"/>
              </w:rPr>
            </w:pPr>
          </w:p>
        </w:tc>
        <w:tc>
          <w:tcPr>
            <w:tcW w:w="1050" w:type="dxa"/>
          </w:tcPr>
          <w:p w14:paraId="67CCC6B7">
            <w:pPr>
              <w:pStyle w:val="2"/>
              <w:ind w:left="0" w:leftChars="0" w:firstLine="0" w:firstLineChars="0"/>
              <w:rPr>
                <w:color w:val="auto"/>
                <w:highlight w:val="none"/>
              </w:rPr>
            </w:pPr>
          </w:p>
        </w:tc>
      </w:tr>
      <w:tr w14:paraId="11DCBF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4" w:type="dxa"/>
            <w:vAlign w:val="center"/>
          </w:tcPr>
          <w:p w14:paraId="38803911">
            <w:pPr>
              <w:pStyle w:val="2"/>
              <w:ind w:left="0" w:leftChars="0" w:firstLine="0" w:firstLineChars="0"/>
              <w:jc w:val="center"/>
              <w:rPr>
                <w:color w:val="auto"/>
                <w:highlight w:val="none"/>
              </w:rPr>
            </w:pPr>
          </w:p>
        </w:tc>
        <w:tc>
          <w:tcPr>
            <w:tcW w:w="2084" w:type="dxa"/>
            <w:vAlign w:val="center"/>
          </w:tcPr>
          <w:p w14:paraId="0F2AB527">
            <w:pPr>
              <w:pStyle w:val="2"/>
              <w:ind w:left="0" w:leftChars="0" w:firstLine="0" w:firstLineChars="0"/>
              <w:jc w:val="center"/>
              <w:rPr>
                <w:color w:val="auto"/>
                <w:highlight w:val="none"/>
              </w:rPr>
            </w:pPr>
            <w:r>
              <w:rPr>
                <w:rFonts w:hint="eastAsia"/>
                <w:color w:val="auto"/>
                <w:highlight w:val="none"/>
              </w:rPr>
              <w:t>合计</w:t>
            </w:r>
          </w:p>
        </w:tc>
        <w:tc>
          <w:tcPr>
            <w:tcW w:w="5061" w:type="dxa"/>
            <w:gridSpan w:val="4"/>
          </w:tcPr>
          <w:p w14:paraId="19A92F6A">
            <w:pPr>
              <w:pStyle w:val="2"/>
              <w:ind w:left="0" w:leftChars="0" w:firstLine="0" w:firstLineChars="0"/>
              <w:rPr>
                <w:color w:val="auto"/>
                <w:highlight w:val="none"/>
              </w:rPr>
            </w:pPr>
          </w:p>
        </w:tc>
      </w:tr>
    </w:tbl>
    <w:p w14:paraId="2D8C284D">
      <w:pPr>
        <w:snapToGrid w:val="0"/>
        <w:spacing w:line="360" w:lineRule="auto"/>
        <w:outlineLvl w:val="0"/>
        <w:rPr>
          <w:rFonts w:ascii="宋体" w:hAnsi="宋体" w:cs="宋体"/>
          <w:color w:val="auto"/>
          <w:sz w:val="24"/>
          <w:highlight w:val="none"/>
        </w:rPr>
      </w:pPr>
    </w:p>
    <w:p w14:paraId="580718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供应商（盖单位公章）：</w:t>
      </w:r>
    </w:p>
    <w:p w14:paraId="070759CD">
      <w:pPr>
        <w:kinsoku w:val="0"/>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lang w:val="en-US" w:eastAsia="zh-CN"/>
        </w:rPr>
        <w:t>签字或盖章</w:t>
      </w:r>
      <w:r>
        <w:rPr>
          <w:rFonts w:hint="eastAsia" w:ascii="宋体" w:hAnsi="宋体" w:cs="宋体"/>
          <w:color w:val="auto"/>
          <w:sz w:val="24"/>
          <w:highlight w:val="none"/>
        </w:rPr>
        <w:t>）：</w:t>
      </w:r>
    </w:p>
    <w:p w14:paraId="7692FB23">
      <w:pPr>
        <w:snapToGrid w:val="0"/>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年    月    日</w:t>
      </w:r>
    </w:p>
    <w:p w14:paraId="4DF12981">
      <w:pPr>
        <w:snapToGrid w:val="0"/>
        <w:spacing w:line="360" w:lineRule="auto"/>
        <w:outlineLvl w:val="0"/>
        <w:rPr>
          <w:rFonts w:ascii="宋体" w:hAnsi="宋体" w:cs="宋体"/>
          <w:color w:val="auto"/>
          <w:sz w:val="24"/>
          <w:highlight w:val="none"/>
        </w:rPr>
      </w:pPr>
    </w:p>
    <w:p w14:paraId="58F8F750">
      <w:pPr>
        <w:snapToGrid w:val="0"/>
        <w:spacing w:line="360" w:lineRule="auto"/>
        <w:outlineLvl w:val="0"/>
        <w:rPr>
          <w:rFonts w:ascii="宋体" w:hAnsi="宋体" w:cs="宋体"/>
          <w:color w:val="auto"/>
          <w:sz w:val="24"/>
          <w:highlight w:val="none"/>
        </w:rPr>
      </w:pPr>
    </w:p>
    <w:p w14:paraId="20220CF3">
      <w:pPr>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注：供应商必须详细报出本项目投标总报价各个组成部分的报价。且</w:t>
      </w:r>
      <w:r>
        <w:rPr>
          <w:rFonts w:hint="eastAsia" w:ascii="宋体" w:hAnsi="宋体" w:cs="宋体"/>
          <w:b/>
          <w:bCs/>
          <w:color w:val="auto"/>
          <w:sz w:val="24"/>
          <w:highlight w:val="none"/>
        </w:rPr>
        <w:t>本表各分项报价合计应当与</w:t>
      </w:r>
      <w:r>
        <w:rPr>
          <w:rFonts w:hint="eastAsia" w:ascii="宋体" w:hAnsi="宋体" w:cs="宋体"/>
          <w:b/>
          <w:color w:val="auto"/>
          <w:kern w:val="0"/>
          <w:sz w:val="24"/>
          <w:highlight w:val="none"/>
          <w:lang w:val="zh-CN"/>
        </w:rPr>
        <w:t>磋商报价总表</w:t>
      </w:r>
      <w:r>
        <w:rPr>
          <w:rFonts w:hint="eastAsia" w:ascii="宋体" w:hAnsi="宋体" w:cs="宋体"/>
          <w:b/>
          <w:bCs/>
          <w:color w:val="auto"/>
          <w:sz w:val="24"/>
          <w:highlight w:val="none"/>
        </w:rPr>
        <w:t>报价合计相等。</w:t>
      </w:r>
    </w:p>
    <w:p w14:paraId="56B0C308">
      <w:pPr>
        <w:rPr>
          <w:rFonts w:ascii="宋体" w:hAnsi="宋体" w:cs="宋体"/>
          <w:b/>
          <w:bCs/>
          <w:color w:val="auto"/>
          <w:sz w:val="24"/>
          <w:highlight w:val="none"/>
        </w:rPr>
      </w:pPr>
    </w:p>
    <w:sectPr>
      <w:pgSz w:w="11905" w:h="16838"/>
      <w:pgMar w:top="1429" w:right="1429" w:bottom="1429" w:left="1429" w:header="850" w:footer="992"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4"/>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4"/>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9"/>
                    </w:pPr>
                  </w:p>
                </w:txbxContent>
              </v:textbox>
            </v:shape>
          </w:pict>
        </mc:Fallback>
      </mc:AlternateContent>
    </w:r>
  </w:p>
  <w:p w14:paraId="0C27AA4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4"/>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4"/>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4"/>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9"/>
                    </w:pPr>
                  </w:p>
                </w:txbxContent>
              </v:textbox>
            </v:shape>
          </w:pict>
        </mc:Fallback>
      </mc:AlternateContent>
    </w:r>
  </w:p>
  <w:p w14:paraId="49EC431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1">
    <w:nsid w:val="7476764F"/>
    <w:multiLevelType w:val="singleLevel"/>
    <w:tmpl w:val="7476764F"/>
    <w:lvl w:ilvl="0" w:tentative="0">
      <w:start w:val="1"/>
      <w:numFmt w:val="chineseCounting"/>
      <w:suff w:val="nothing"/>
      <w:lvlText w:val="%1、"/>
      <w:lvlJc w:val="left"/>
      <w:rPr>
        <w:rFonts w:hint="eastAsia" w:cs="Times New Roman"/>
      </w:rPr>
    </w:lvl>
  </w:abstractNum>
  <w:abstractNum w:abstractNumId="2">
    <w:nsid w:val="7C30D000"/>
    <w:multiLevelType w:val="singleLevel"/>
    <w:tmpl w:val="7C30D000"/>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6871428"/>
    <w:rsid w:val="07A16AD8"/>
    <w:rsid w:val="08362309"/>
    <w:rsid w:val="099217C1"/>
    <w:rsid w:val="0A5E0C59"/>
    <w:rsid w:val="0AAC3FD4"/>
    <w:rsid w:val="0BA26B08"/>
    <w:rsid w:val="0C3A32A1"/>
    <w:rsid w:val="0C9D4705"/>
    <w:rsid w:val="0C9E28EC"/>
    <w:rsid w:val="0D7313F8"/>
    <w:rsid w:val="0EE3398A"/>
    <w:rsid w:val="0F396B61"/>
    <w:rsid w:val="0FCB26F9"/>
    <w:rsid w:val="104246CD"/>
    <w:rsid w:val="10BF4F03"/>
    <w:rsid w:val="120D40DA"/>
    <w:rsid w:val="1283614B"/>
    <w:rsid w:val="13400FC0"/>
    <w:rsid w:val="13A02D2C"/>
    <w:rsid w:val="146137CF"/>
    <w:rsid w:val="14AD65E3"/>
    <w:rsid w:val="15DE716E"/>
    <w:rsid w:val="162E0984"/>
    <w:rsid w:val="188B4CDC"/>
    <w:rsid w:val="19A30C3C"/>
    <w:rsid w:val="1B5C578B"/>
    <w:rsid w:val="1C53479C"/>
    <w:rsid w:val="1D3249F5"/>
    <w:rsid w:val="1EDF44F4"/>
    <w:rsid w:val="1F9F2DD9"/>
    <w:rsid w:val="201872BC"/>
    <w:rsid w:val="2483022C"/>
    <w:rsid w:val="24B67467"/>
    <w:rsid w:val="256A70DF"/>
    <w:rsid w:val="27A97396"/>
    <w:rsid w:val="27C33364"/>
    <w:rsid w:val="287E31E4"/>
    <w:rsid w:val="294A5C4F"/>
    <w:rsid w:val="29770441"/>
    <w:rsid w:val="2BE9306B"/>
    <w:rsid w:val="2C391C60"/>
    <w:rsid w:val="2CAE1922"/>
    <w:rsid w:val="2CD722CC"/>
    <w:rsid w:val="2F0D7070"/>
    <w:rsid w:val="3098637C"/>
    <w:rsid w:val="30CD4226"/>
    <w:rsid w:val="313244EC"/>
    <w:rsid w:val="31BF2A03"/>
    <w:rsid w:val="32380C07"/>
    <w:rsid w:val="331C0D46"/>
    <w:rsid w:val="33202078"/>
    <w:rsid w:val="349124F1"/>
    <w:rsid w:val="34A75F46"/>
    <w:rsid w:val="361231BE"/>
    <w:rsid w:val="364079A0"/>
    <w:rsid w:val="36603F29"/>
    <w:rsid w:val="36B93A98"/>
    <w:rsid w:val="36F37731"/>
    <w:rsid w:val="37D0630C"/>
    <w:rsid w:val="384462A9"/>
    <w:rsid w:val="38481C7E"/>
    <w:rsid w:val="3848736B"/>
    <w:rsid w:val="38E47094"/>
    <w:rsid w:val="39512A22"/>
    <w:rsid w:val="39747F9D"/>
    <w:rsid w:val="3B0A5163"/>
    <w:rsid w:val="3C3E5289"/>
    <w:rsid w:val="3CCC7501"/>
    <w:rsid w:val="3D536049"/>
    <w:rsid w:val="3E886BC8"/>
    <w:rsid w:val="425A2175"/>
    <w:rsid w:val="42704534"/>
    <w:rsid w:val="42D24401"/>
    <w:rsid w:val="430A1C61"/>
    <w:rsid w:val="433E3844"/>
    <w:rsid w:val="434370AD"/>
    <w:rsid w:val="44F109D5"/>
    <w:rsid w:val="4554492E"/>
    <w:rsid w:val="45647A48"/>
    <w:rsid w:val="457F1EF2"/>
    <w:rsid w:val="459B6D55"/>
    <w:rsid w:val="45CF4C28"/>
    <w:rsid w:val="46DF28B7"/>
    <w:rsid w:val="470A303D"/>
    <w:rsid w:val="477E4B57"/>
    <w:rsid w:val="47E759F0"/>
    <w:rsid w:val="482D025C"/>
    <w:rsid w:val="4947569E"/>
    <w:rsid w:val="49757894"/>
    <w:rsid w:val="4A840191"/>
    <w:rsid w:val="4BB55C79"/>
    <w:rsid w:val="4E3F014B"/>
    <w:rsid w:val="4EC15329"/>
    <w:rsid w:val="4F457D08"/>
    <w:rsid w:val="4F7853F7"/>
    <w:rsid w:val="519B00B4"/>
    <w:rsid w:val="51DD6BC9"/>
    <w:rsid w:val="527B72D6"/>
    <w:rsid w:val="52BC29D7"/>
    <w:rsid w:val="53067DC6"/>
    <w:rsid w:val="53CF7776"/>
    <w:rsid w:val="53F43EF1"/>
    <w:rsid w:val="54091C4C"/>
    <w:rsid w:val="56AD4788"/>
    <w:rsid w:val="572834F8"/>
    <w:rsid w:val="57AA1988"/>
    <w:rsid w:val="57E80E47"/>
    <w:rsid w:val="59D55610"/>
    <w:rsid w:val="5A4540E7"/>
    <w:rsid w:val="5A854500"/>
    <w:rsid w:val="5BF62AB6"/>
    <w:rsid w:val="5D641CA2"/>
    <w:rsid w:val="5DDD4037"/>
    <w:rsid w:val="5E0758EE"/>
    <w:rsid w:val="5FA212DE"/>
    <w:rsid w:val="5FC85532"/>
    <w:rsid w:val="5FD17AC2"/>
    <w:rsid w:val="60026A52"/>
    <w:rsid w:val="625B20CE"/>
    <w:rsid w:val="63337B03"/>
    <w:rsid w:val="63412E7D"/>
    <w:rsid w:val="640A23EA"/>
    <w:rsid w:val="65586327"/>
    <w:rsid w:val="6841330B"/>
    <w:rsid w:val="68E85E7D"/>
    <w:rsid w:val="6A372C18"/>
    <w:rsid w:val="6B575EFD"/>
    <w:rsid w:val="6BB34520"/>
    <w:rsid w:val="6BF15CBC"/>
    <w:rsid w:val="6C712D2B"/>
    <w:rsid w:val="6E81013B"/>
    <w:rsid w:val="6EC00D66"/>
    <w:rsid w:val="70D67B33"/>
    <w:rsid w:val="70F64FF1"/>
    <w:rsid w:val="710F25AA"/>
    <w:rsid w:val="71104394"/>
    <w:rsid w:val="71235CA4"/>
    <w:rsid w:val="71991A38"/>
    <w:rsid w:val="71CC633B"/>
    <w:rsid w:val="72CD4767"/>
    <w:rsid w:val="72F21378"/>
    <w:rsid w:val="75362644"/>
    <w:rsid w:val="758955BC"/>
    <w:rsid w:val="75C83CC5"/>
    <w:rsid w:val="76DE56C7"/>
    <w:rsid w:val="78D945F3"/>
    <w:rsid w:val="7CB64B7A"/>
    <w:rsid w:val="7DF85FEB"/>
    <w:rsid w:val="7EC24B05"/>
    <w:rsid w:val="7F863357"/>
    <w:rsid w:val="7F961011"/>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unhideWhenUsed/>
    <w:qFormat/>
    <w:uiPriority w:val="99"/>
    <w:pPr>
      <w:ind w:firstLine="420" w:firstLineChars="200"/>
    </w:pPr>
  </w:style>
  <w:style w:type="paragraph" w:styleId="3">
    <w:name w:val="Body Text Indent"/>
    <w:basedOn w:val="1"/>
    <w:next w:val="4"/>
    <w:link w:val="23"/>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Normal Indent"/>
    <w:basedOn w:val="1"/>
    <w:link w:val="26"/>
    <w:qFormat/>
    <w:uiPriority w:val="0"/>
    <w:pPr>
      <w:ind w:firstLine="420"/>
    </w:pPr>
    <w:rPr>
      <w:szCs w:val="20"/>
    </w:rPr>
  </w:style>
  <w:style w:type="paragraph" w:styleId="7">
    <w:name w:val="annotation text"/>
    <w:basedOn w:val="1"/>
    <w:link w:val="42"/>
    <w:semiHidden/>
    <w:unhideWhenUsed/>
    <w:qFormat/>
    <w:uiPriority w:val="99"/>
    <w:pPr>
      <w:jc w:val="left"/>
    </w:pPr>
  </w:style>
  <w:style w:type="paragraph" w:styleId="8">
    <w:name w:val="Body Text 3"/>
    <w:basedOn w:val="1"/>
    <w:link w:val="52"/>
    <w:semiHidden/>
    <w:unhideWhenUsed/>
    <w:qFormat/>
    <w:uiPriority w:val="99"/>
    <w:pPr>
      <w:spacing w:after="120"/>
    </w:pPr>
    <w:rPr>
      <w:sz w:val="16"/>
      <w:szCs w:val="16"/>
    </w:rPr>
  </w:style>
  <w:style w:type="paragraph" w:styleId="9">
    <w:name w:val="Body Text"/>
    <w:basedOn w:val="1"/>
    <w:next w:val="1"/>
    <w:qFormat/>
    <w:uiPriority w:val="0"/>
    <w:pPr>
      <w:spacing w:after="120"/>
    </w:pPr>
  </w:style>
  <w:style w:type="paragraph" w:styleId="10">
    <w:name w:val="index 4"/>
    <w:basedOn w:val="1"/>
    <w:next w:val="1"/>
    <w:qFormat/>
    <w:uiPriority w:val="99"/>
    <w:pPr>
      <w:ind w:left="600" w:leftChars="600"/>
    </w:pPr>
  </w:style>
  <w:style w:type="paragraph" w:styleId="11">
    <w:name w:val="toc 3"/>
    <w:basedOn w:val="1"/>
    <w:next w:val="1"/>
    <w:qFormat/>
    <w:uiPriority w:val="0"/>
    <w:pPr>
      <w:ind w:left="840" w:leftChars="400"/>
    </w:pPr>
  </w:style>
  <w:style w:type="paragraph" w:styleId="12">
    <w:name w:val="Plain Text"/>
    <w:basedOn w:val="1"/>
    <w:link w:val="50"/>
    <w:qFormat/>
    <w:uiPriority w:val="0"/>
    <w:rPr>
      <w:rFonts w:ascii="宋体" w:hAnsi="Courier New"/>
    </w:rPr>
  </w:style>
  <w:style w:type="paragraph" w:styleId="13">
    <w:name w:val="Balloon Text"/>
    <w:basedOn w:val="1"/>
    <w:link w:val="27"/>
    <w:qFormat/>
    <w:uiPriority w:val="0"/>
    <w:rPr>
      <w:sz w:val="18"/>
      <w:szCs w:val="18"/>
    </w:rPr>
  </w:style>
  <w:style w:type="paragraph" w:styleId="14">
    <w:name w:val="footer"/>
    <w:basedOn w:val="1"/>
    <w:link w:val="28"/>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annotation subject"/>
    <w:basedOn w:val="7"/>
    <w:next w:val="7"/>
    <w:link w:val="43"/>
    <w:semiHidden/>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3"/>
    <w:semiHidden/>
    <w:qFormat/>
    <w:uiPriority w:val="99"/>
    <w:rPr>
      <w:rFonts w:ascii="Times New Roman" w:hAnsi="Times New Roman" w:eastAsia="宋体" w:cs="Times New Roman"/>
      <w:szCs w:val="24"/>
    </w:rPr>
  </w:style>
  <w:style w:type="character" w:customStyle="1" w:styleId="24">
    <w:name w:val="正文首行缩进 2 Char1"/>
    <w:basedOn w:val="23"/>
    <w:link w:val="2"/>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6"/>
    <w:qFormat/>
    <w:uiPriority w:val="0"/>
    <w:rPr>
      <w:rFonts w:ascii="Times New Roman" w:hAnsi="Times New Roman" w:eastAsia="宋体" w:cs="Times New Roman"/>
      <w:szCs w:val="20"/>
    </w:rPr>
  </w:style>
  <w:style w:type="character" w:customStyle="1" w:styleId="27">
    <w:name w:val="批注框文本 Char"/>
    <w:basedOn w:val="20"/>
    <w:link w:val="13"/>
    <w:qFormat/>
    <w:uiPriority w:val="0"/>
    <w:rPr>
      <w:rFonts w:ascii="Times New Roman" w:hAnsi="Times New Roman" w:eastAsia="宋体" w:cs="Times New Roman"/>
      <w:sz w:val="18"/>
      <w:szCs w:val="18"/>
    </w:rPr>
  </w:style>
  <w:style w:type="character" w:customStyle="1" w:styleId="28">
    <w:name w:val="页脚 Char"/>
    <w:basedOn w:val="20"/>
    <w:link w:val="14"/>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5"/>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7"/>
    <w:semiHidden/>
    <w:qFormat/>
    <w:uiPriority w:val="99"/>
    <w:rPr>
      <w:kern w:val="2"/>
      <w:sz w:val="21"/>
      <w:szCs w:val="24"/>
    </w:rPr>
  </w:style>
  <w:style w:type="character" w:customStyle="1" w:styleId="43">
    <w:name w:val="批注主题 Char"/>
    <w:basedOn w:val="42"/>
    <w:link w:val="17"/>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3"/>
    <w:next w:val="2"/>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2"/>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8"/>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 w:type="character" w:customStyle="1" w:styleId="61">
    <w:name w:val="font21"/>
    <w:basedOn w:val="20"/>
    <w:qFormat/>
    <w:uiPriority w:val="0"/>
    <w:rPr>
      <w:rFonts w:hint="default" w:ascii="仿宋_GB2312" w:eastAsia="仿宋_GB2312" w:cs="仿宋_GB2312"/>
      <w:color w:val="000000"/>
      <w:sz w:val="24"/>
      <w:szCs w:val="24"/>
      <w:u w:val="none"/>
    </w:rPr>
  </w:style>
  <w:style w:type="character" w:customStyle="1" w:styleId="62">
    <w:name w:val="font81"/>
    <w:basedOn w:val="20"/>
    <w:qFormat/>
    <w:uiPriority w:val="0"/>
    <w:rPr>
      <w:rFonts w:hint="default" w:ascii="Times New Roman" w:hAnsi="Times New Roman" w:cs="Times New Roman"/>
      <w:color w:val="000000"/>
      <w:sz w:val="22"/>
      <w:szCs w:val="22"/>
      <w:u w:val="none"/>
    </w:rPr>
  </w:style>
  <w:style w:type="character" w:customStyle="1" w:styleId="63">
    <w:name w:val="font51"/>
    <w:basedOn w:val="20"/>
    <w:qFormat/>
    <w:uiPriority w:val="0"/>
    <w:rPr>
      <w:rFonts w:hint="eastAsia" w:ascii="宋体" w:hAnsi="宋体" w:eastAsia="宋体" w:cs="宋体"/>
      <w:color w:val="000000"/>
      <w:sz w:val="24"/>
      <w:szCs w:val="24"/>
      <w:u w:val="none"/>
    </w:rPr>
  </w:style>
  <w:style w:type="paragraph" w:styleId="64">
    <w:name w:val="No Spacing"/>
    <w:qFormat/>
    <w:uiPriority w:val="1"/>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11324</Words>
  <Characters>11747</Characters>
  <Lines>253</Lines>
  <Paragraphs>71</Paragraphs>
  <TotalTime>11</TotalTime>
  <ScaleCrop>false</ScaleCrop>
  <LinksUpToDate>false</LinksUpToDate>
  <CharactersWithSpaces>11849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2025-08-19T05:53:07Z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