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540B4">
      <w:pPr>
        <w:tabs>
          <w:tab w:val="left" w:pos="7655"/>
        </w:tabs>
        <w:ind w:right="-1291" w:rightChars="-615"/>
        <w:jc w:val="center"/>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ab/>
      </w:r>
    </w:p>
    <w:p w14:paraId="7307E6AE">
      <w:pPr>
        <w:jc w:val="center"/>
        <w:rPr>
          <w:rFonts w:hint="eastAsia" w:ascii="宋体" w:hAnsi="宋体" w:eastAsia="宋体" w:cs="宋体"/>
          <w:b/>
          <w:bCs/>
          <w:color w:val="auto"/>
          <w:sz w:val="36"/>
          <w:szCs w:val="36"/>
          <w:highlight w:val="none"/>
        </w:rPr>
      </w:pPr>
    </w:p>
    <w:p w14:paraId="2E6F3E25">
      <w:pPr>
        <w:tabs>
          <w:tab w:val="left" w:pos="8088"/>
        </w:tabs>
        <w:jc w:val="center"/>
        <w:rPr>
          <w:rFonts w:hint="eastAsia" w:ascii="宋体" w:hAnsi="宋体" w:eastAsia="宋体" w:cs="宋体"/>
          <w:color w:val="auto"/>
          <w:spacing w:val="60"/>
          <w:sz w:val="84"/>
          <w:szCs w:val="84"/>
          <w:highlight w:val="none"/>
          <w:lang w:val="en-US" w:eastAsia="zh-CN"/>
        </w:rPr>
      </w:pPr>
      <w:r>
        <w:rPr>
          <w:rFonts w:hint="eastAsia" w:ascii="宋体" w:hAnsi="宋体" w:eastAsia="宋体" w:cs="宋体"/>
          <w:b/>
          <w:bCs/>
          <w:color w:val="auto"/>
          <w:sz w:val="36"/>
          <w:szCs w:val="36"/>
          <w:highlight w:val="none"/>
          <w:lang w:eastAsia="zh-CN"/>
        </w:rPr>
        <w:t>如皋辖区航标设施及基础维护工程</w:t>
      </w:r>
    </w:p>
    <w:p w14:paraId="0D2A75E8">
      <w:pPr>
        <w:pStyle w:val="20"/>
        <w:rPr>
          <w:rFonts w:hint="eastAsia" w:ascii="宋体" w:hAnsi="宋体" w:eastAsia="宋体" w:cs="宋体"/>
          <w:color w:val="auto"/>
          <w:highlight w:val="none"/>
        </w:rPr>
      </w:pPr>
    </w:p>
    <w:p w14:paraId="43A6CCCD">
      <w:pPr>
        <w:pStyle w:val="20"/>
        <w:rPr>
          <w:rFonts w:hint="eastAsia" w:ascii="宋体" w:hAnsi="宋体" w:eastAsia="宋体" w:cs="宋体"/>
          <w:color w:val="auto"/>
          <w:highlight w:val="none"/>
        </w:rPr>
      </w:pPr>
    </w:p>
    <w:p w14:paraId="6D791E53">
      <w:pPr>
        <w:rPr>
          <w:rFonts w:hint="eastAsia" w:ascii="宋体" w:hAnsi="宋体" w:eastAsia="宋体" w:cs="宋体"/>
          <w:color w:val="auto"/>
          <w:highlight w:val="none"/>
        </w:rPr>
      </w:pPr>
    </w:p>
    <w:p w14:paraId="6DDCEE0C">
      <w:pPr>
        <w:pStyle w:val="20"/>
        <w:rPr>
          <w:rFonts w:hint="eastAsia" w:ascii="宋体" w:hAnsi="宋体" w:eastAsia="宋体" w:cs="宋体"/>
          <w:color w:val="auto"/>
          <w:highlight w:val="none"/>
        </w:rPr>
      </w:pPr>
    </w:p>
    <w:p w14:paraId="18D2738F">
      <w:pPr>
        <w:rPr>
          <w:rFonts w:hint="eastAsia" w:ascii="宋体" w:hAnsi="宋体" w:eastAsia="宋体" w:cs="宋体"/>
          <w:color w:val="auto"/>
          <w:highlight w:val="none"/>
        </w:rPr>
      </w:pPr>
    </w:p>
    <w:p w14:paraId="712F8D09">
      <w:pPr>
        <w:pStyle w:val="20"/>
        <w:rPr>
          <w:rFonts w:hint="eastAsia" w:ascii="宋体" w:hAnsi="宋体" w:eastAsia="宋体" w:cs="宋体"/>
          <w:color w:val="auto"/>
          <w:highlight w:val="none"/>
        </w:rPr>
      </w:pPr>
    </w:p>
    <w:p w14:paraId="57261290">
      <w:pPr>
        <w:rPr>
          <w:rFonts w:hint="eastAsia" w:ascii="宋体" w:hAnsi="宋体" w:eastAsia="宋体" w:cs="宋体"/>
          <w:color w:val="auto"/>
          <w:highlight w:val="none"/>
        </w:rPr>
      </w:pPr>
    </w:p>
    <w:p w14:paraId="14FC25BE">
      <w:pPr>
        <w:jc w:val="center"/>
        <w:rPr>
          <w:rFonts w:hint="eastAsia" w:ascii="宋体" w:hAnsi="宋体" w:eastAsia="宋体" w:cs="宋体"/>
          <w:color w:val="auto"/>
          <w:spacing w:val="60"/>
          <w:sz w:val="84"/>
          <w:szCs w:val="84"/>
          <w:highlight w:val="none"/>
        </w:rPr>
      </w:pPr>
      <w:r>
        <w:rPr>
          <w:rFonts w:hint="eastAsia" w:ascii="宋体" w:hAnsi="宋体" w:eastAsia="宋体" w:cs="宋体"/>
          <w:color w:val="auto"/>
          <w:spacing w:val="60"/>
          <w:sz w:val="84"/>
          <w:szCs w:val="84"/>
          <w:highlight w:val="none"/>
        </w:rPr>
        <w:t>招标文件</w:t>
      </w:r>
    </w:p>
    <w:p w14:paraId="2F06D805">
      <w:pPr>
        <w:pStyle w:val="20"/>
        <w:rPr>
          <w:rFonts w:hint="eastAsia" w:ascii="宋体" w:hAnsi="宋体" w:eastAsia="宋体" w:cs="宋体"/>
          <w:color w:val="auto"/>
          <w:highlight w:val="none"/>
        </w:rPr>
      </w:pPr>
    </w:p>
    <w:p w14:paraId="7BCE4D0C">
      <w:pPr>
        <w:pStyle w:val="20"/>
        <w:rPr>
          <w:rFonts w:hint="eastAsia" w:ascii="宋体" w:hAnsi="宋体" w:eastAsia="宋体" w:cs="宋体"/>
          <w:color w:val="auto"/>
          <w:highlight w:val="none"/>
        </w:rPr>
      </w:pPr>
    </w:p>
    <w:p w14:paraId="6B0DA9FE">
      <w:pPr>
        <w:rPr>
          <w:rFonts w:hint="eastAsia" w:ascii="宋体" w:hAnsi="宋体" w:eastAsia="宋体" w:cs="宋体"/>
          <w:color w:val="auto"/>
          <w:highlight w:val="none"/>
        </w:rPr>
      </w:pPr>
    </w:p>
    <w:p w14:paraId="6DA36E24">
      <w:pPr>
        <w:pStyle w:val="20"/>
        <w:rPr>
          <w:rFonts w:hint="eastAsia" w:ascii="宋体" w:hAnsi="宋体" w:eastAsia="宋体" w:cs="宋体"/>
          <w:color w:val="auto"/>
          <w:highlight w:val="none"/>
        </w:rPr>
      </w:pPr>
    </w:p>
    <w:p w14:paraId="7A271C8D">
      <w:pPr>
        <w:rPr>
          <w:rFonts w:hint="eastAsia" w:ascii="宋体" w:hAnsi="宋体" w:eastAsia="宋体" w:cs="宋体"/>
          <w:color w:val="auto"/>
          <w:highlight w:val="none"/>
        </w:rPr>
      </w:pPr>
    </w:p>
    <w:p w14:paraId="666A9680">
      <w:pPr>
        <w:pStyle w:val="20"/>
        <w:rPr>
          <w:rFonts w:hint="eastAsia" w:ascii="宋体" w:hAnsi="宋体" w:eastAsia="宋体" w:cs="宋体"/>
          <w:color w:val="auto"/>
          <w:highlight w:val="none"/>
        </w:rPr>
      </w:pPr>
    </w:p>
    <w:p w14:paraId="3DDB31B4">
      <w:pPr>
        <w:rPr>
          <w:rFonts w:hint="eastAsia" w:ascii="宋体" w:hAnsi="宋体" w:eastAsia="宋体" w:cs="宋体"/>
          <w:color w:val="auto"/>
          <w:highlight w:val="none"/>
        </w:rPr>
      </w:pPr>
    </w:p>
    <w:p w14:paraId="60563EEA">
      <w:pPr>
        <w:pStyle w:val="20"/>
        <w:rPr>
          <w:rFonts w:hint="eastAsia" w:ascii="宋体" w:hAnsi="宋体" w:eastAsia="宋体" w:cs="宋体"/>
          <w:color w:val="auto"/>
          <w:highlight w:val="none"/>
        </w:rPr>
      </w:pPr>
    </w:p>
    <w:p w14:paraId="674B7A5B">
      <w:pPr>
        <w:rPr>
          <w:rFonts w:hint="eastAsia" w:ascii="宋体" w:hAnsi="宋体" w:eastAsia="宋体" w:cs="宋体"/>
          <w:color w:val="auto"/>
          <w:highlight w:val="none"/>
        </w:rPr>
      </w:pPr>
    </w:p>
    <w:p w14:paraId="0A477DCB">
      <w:pPr>
        <w:rPr>
          <w:rFonts w:hint="eastAsia" w:ascii="宋体" w:hAnsi="宋体" w:eastAsia="宋体" w:cs="宋体"/>
          <w:color w:val="auto"/>
          <w:highlight w:val="none"/>
        </w:rPr>
      </w:pPr>
    </w:p>
    <w:p w14:paraId="7C23B6B4">
      <w:pPr>
        <w:pStyle w:val="20"/>
        <w:rPr>
          <w:rFonts w:hint="eastAsia" w:ascii="宋体" w:hAnsi="宋体" w:eastAsia="宋体" w:cs="宋体"/>
          <w:color w:val="auto"/>
          <w:highlight w:val="none"/>
        </w:rPr>
      </w:pPr>
    </w:p>
    <w:p w14:paraId="2316E41E">
      <w:pPr>
        <w:pStyle w:val="20"/>
        <w:rPr>
          <w:rFonts w:hint="eastAsia" w:ascii="宋体" w:hAnsi="宋体" w:eastAsia="宋体" w:cs="宋体"/>
          <w:color w:val="auto"/>
          <w:highlight w:val="none"/>
        </w:rPr>
      </w:pPr>
    </w:p>
    <w:p w14:paraId="2A31B265">
      <w:pPr>
        <w:pStyle w:val="20"/>
        <w:rPr>
          <w:rFonts w:hint="eastAsia" w:ascii="宋体" w:hAnsi="宋体" w:eastAsia="宋体" w:cs="宋体"/>
          <w:color w:val="auto"/>
          <w:highlight w:val="none"/>
        </w:rPr>
      </w:pPr>
    </w:p>
    <w:p w14:paraId="7FF4FA7C">
      <w:pPr>
        <w:pStyle w:val="20"/>
        <w:rPr>
          <w:rFonts w:hint="eastAsia" w:ascii="宋体" w:hAnsi="宋体" w:eastAsia="宋体" w:cs="宋体"/>
          <w:color w:val="auto"/>
          <w:highlight w:val="none"/>
        </w:rPr>
      </w:pPr>
    </w:p>
    <w:tbl>
      <w:tblPr>
        <w:tblStyle w:val="52"/>
        <w:tblW w:w="8830" w:type="dxa"/>
        <w:jc w:val="center"/>
        <w:tblLayout w:type="fixed"/>
        <w:tblCellMar>
          <w:top w:w="0" w:type="dxa"/>
          <w:left w:w="108" w:type="dxa"/>
          <w:bottom w:w="0" w:type="dxa"/>
          <w:right w:w="108" w:type="dxa"/>
        </w:tblCellMar>
      </w:tblPr>
      <w:tblGrid>
        <w:gridCol w:w="2011"/>
        <w:gridCol w:w="6819"/>
      </w:tblGrid>
      <w:tr w14:paraId="763D49E0">
        <w:tblPrEx>
          <w:tblCellMar>
            <w:top w:w="0" w:type="dxa"/>
            <w:left w:w="108" w:type="dxa"/>
            <w:bottom w:w="0" w:type="dxa"/>
            <w:right w:w="108" w:type="dxa"/>
          </w:tblCellMar>
        </w:tblPrEx>
        <w:trPr>
          <w:trHeight w:val="566" w:hRule="atLeast"/>
          <w:jc w:val="center"/>
        </w:trPr>
        <w:tc>
          <w:tcPr>
            <w:tcW w:w="2011" w:type="dxa"/>
            <w:vAlign w:val="center"/>
          </w:tcPr>
          <w:p w14:paraId="072FEA4D">
            <w:pPr>
              <w:jc w:val="distribute"/>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招标人：</w:t>
            </w:r>
          </w:p>
        </w:tc>
        <w:tc>
          <w:tcPr>
            <w:tcW w:w="6819" w:type="dxa"/>
            <w:vAlign w:val="center"/>
          </w:tcPr>
          <w:p w14:paraId="4F8FDD15">
            <w:pPr>
              <w:jc w:val="distribute"/>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南通市港航事业发展中心</w:t>
            </w:r>
          </w:p>
        </w:tc>
      </w:tr>
      <w:tr w14:paraId="7AE76354">
        <w:tblPrEx>
          <w:tblCellMar>
            <w:top w:w="0" w:type="dxa"/>
            <w:left w:w="108" w:type="dxa"/>
            <w:bottom w:w="0" w:type="dxa"/>
            <w:right w:w="108" w:type="dxa"/>
          </w:tblCellMar>
        </w:tblPrEx>
        <w:trPr>
          <w:trHeight w:val="610" w:hRule="atLeast"/>
          <w:jc w:val="center"/>
        </w:trPr>
        <w:tc>
          <w:tcPr>
            <w:tcW w:w="2011" w:type="dxa"/>
            <w:vAlign w:val="bottom"/>
          </w:tcPr>
          <w:p w14:paraId="0F7DE406">
            <w:pPr>
              <w:jc w:val="distribute"/>
              <w:rPr>
                <w:rFonts w:hint="eastAsia" w:ascii="宋体" w:hAnsi="宋体" w:eastAsia="宋体" w:cs="宋体"/>
                <w:b/>
                <w:bCs/>
                <w:color w:val="auto"/>
                <w:kern w:val="0"/>
                <w:sz w:val="36"/>
                <w:szCs w:val="36"/>
                <w:highlight w:val="none"/>
              </w:rPr>
            </w:pPr>
            <w:bookmarkStart w:id="0" w:name="_Hlk141379063"/>
            <w:r>
              <w:rPr>
                <w:rFonts w:hint="eastAsia" w:ascii="宋体" w:hAnsi="宋体" w:eastAsia="宋体" w:cs="宋体"/>
                <w:b/>
                <w:bCs/>
                <w:color w:val="auto"/>
                <w:kern w:val="0"/>
                <w:sz w:val="36"/>
                <w:szCs w:val="36"/>
                <w:highlight w:val="none"/>
              </w:rPr>
              <w:t>招标代理：</w:t>
            </w:r>
          </w:p>
        </w:tc>
        <w:tc>
          <w:tcPr>
            <w:tcW w:w="6819" w:type="dxa"/>
            <w:vAlign w:val="bottom"/>
          </w:tcPr>
          <w:p w14:paraId="602E4559">
            <w:pPr>
              <w:jc w:val="distribute"/>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江苏睿致诚工程咨询有限公司</w:t>
            </w:r>
          </w:p>
        </w:tc>
      </w:tr>
      <w:bookmarkEnd w:id="0"/>
    </w:tbl>
    <w:p w14:paraId="4ED2C522">
      <w:pPr>
        <w:spacing w:before="120" w:beforeLines="50"/>
        <w:jc w:val="center"/>
        <w:rPr>
          <w:rFonts w:hint="eastAsia" w:ascii="宋体" w:hAnsi="宋体" w:eastAsia="宋体" w:cs="宋体"/>
          <w:b/>
          <w:bCs/>
          <w:color w:val="auto"/>
          <w:spacing w:val="40"/>
          <w:sz w:val="36"/>
          <w:szCs w:val="36"/>
          <w:highlight w:val="none"/>
        </w:rPr>
      </w:pPr>
      <w:r>
        <w:rPr>
          <w:rFonts w:hint="eastAsia" w:ascii="宋体" w:hAnsi="宋体" w:eastAsia="宋体" w:cs="宋体"/>
          <w:b/>
          <w:bCs/>
          <w:color w:val="auto"/>
          <w:spacing w:val="40"/>
          <w:sz w:val="36"/>
          <w:szCs w:val="36"/>
          <w:highlight w:val="none"/>
        </w:rPr>
        <w:t>二〇二四年</w:t>
      </w:r>
      <w:r>
        <w:rPr>
          <w:rFonts w:hint="eastAsia" w:ascii="宋体" w:hAnsi="宋体" w:cs="宋体"/>
          <w:b/>
          <w:bCs/>
          <w:color w:val="auto"/>
          <w:spacing w:val="40"/>
          <w:sz w:val="36"/>
          <w:szCs w:val="36"/>
          <w:highlight w:val="none"/>
          <w:lang w:val="en-US" w:eastAsia="zh-CN"/>
        </w:rPr>
        <w:t>十</w:t>
      </w:r>
      <w:r>
        <w:rPr>
          <w:rFonts w:hint="eastAsia" w:ascii="宋体" w:hAnsi="宋体" w:eastAsia="宋体" w:cs="宋体"/>
          <w:b/>
          <w:bCs/>
          <w:color w:val="auto"/>
          <w:spacing w:val="40"/>
          <w:sz w:val="36"/>
          <w:szCs w:val="36"/>
          <w:highlight w:val="none"/>
        </w:rPr>
        <w:t>月</w:t>
      </w:r>
    </w:p>
    <w:p w14:paraId="39DA8B5D">
      <w:pPr>
        <w:widowControl/>
        <w:jc w:val="center"/>
        <w:rPr>
          <w:rFonts w:hint="eastAsia" w:ascii="宋体" w:hAnsi="宋体" w:eastAsia="宋体" w:cs="宋体"/>
          <w:color w:val="auto"/>
          <w:sz w:val="32"/>
          <w:szCs w:val="32"/>
          <w:highlight w:val="none"/>
        </w:rPr>
        <w:sectPr>
          <w:type w:val="continuous"/>
          <w:pgSz w:w="11905" w:h="16838"/>
          <w:pgMar w:top="1077" w:right="1134" w:bottom="1077" w:left="1134" w:header="850" w:footer="992" w:gutter="0"/>
          <w:cols w:space="0" w:num="1"/>
          <w:docGrid w:linePitch="312" w:charSpace="0"/>
        </w:sectPr>
      </w:pPr>
    </w:p>
    <w:p w14:paraId="27AC3A9A">
      <w:pPr>
        <w:widowControl/>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319655EB">
      <w:pPr>
        <w:widowControl/>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第一章招标公告</w:t>
      </w:r>
    </w:p>
    <w:p w14:paraId="01D208E4">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如皋辖区航标设施及基础维护工程</w:t>
      </w:r>
    </w:p>
    <w:p w14:paraId="03BB683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招标公告</w:t>
      </w:r>
    </w:p>
    <w:p w14:paraId="134FAE3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招标条件</w:t>
      </w:r>
    </w:p>
    <w:p w14:paraId="4849681F">
      <w:pPr>
        <w:pStyle w:val="20"/>
        <w:spacing w:after="0" w:line="360" w:lineRule="auto"/>
        <w:ind w:firstLine="488" w:firstLineChars="200"/>
        <w:rPr>
          <w:rFonts w:hint="eastAsia" w:ascii="宋体" w:hAnsi="宋体" w:eastAsia="宋体" w:cs="宋体"/>
          <w:color w:val="auto"/>
          <w:highlight w:val="none"/>
        </w:rPr>
      </w:pPr>
      <w:bookmarkStart w:id="1" w:name="_Hlk141379251"/>
      <w:r>
        <w:rPr>
          <w:rFonts w:hint="eastAsia" w:ascii="宋体" w:hAnsi="宋体" w:eastAsia="宋体" w:cs="宋体"/>
          <w:color w:val="auto"/>
          <w:spacing w:val="2"/>
          <w:sz w:val="24"/>
          <w:szCs w:val="24"/>
          <w:highlight w:val="none"/>
        </w:rPr>
        <w:t>本招标项</w:t>
      </w:r>
      <w:r>
        <w:rPr>
          <w:rFonts w:hint="eastAsia" w:ascii="宋体" w:hAnsi="宋体" w:eastAsia="宋体" w:cs="宋体"/>
          <w:color w:val="auto"/>
          <w:spacing w:val="1"/>
          <w:sz w:val="24"/>
          <w:szCs w:val="24"/>
          <w:highlight w:val="none"/>
        </w:rPr>
        <w:t>目</w:t>
      </w:r>
      <w:bookmarkEnd w:id="1"/>
      <w:r>
        <w:rPr>
          <w:rFonts w:hint="eastAsia" w:ascii="宋体" w:hAnsi="宋体" w:eastAsia="宋体" w:cs="宋体"/>
          <w:color w:val="auto"/>
          <w:sz w:val="24"/>
          <w:szCs w:val="24"/>
          <w:highlight w:val="none"/>
          <w:u w:val="single"/>
          <w:lang w:eastAsia="zh-CN"/>
        </w:rPr>
        <w:t>如皋辖区航标设施及基础维护工程</w:t>
      </w:r>
      <w:r>
        <w:rPr>
          <w:rFonts w:hint="eastAsia" w:ascii="宋体" w:hAnsi="宋体" w:eastAsia="宋体" w:cs="宋体"/>
          <w:color w:val="auto"/>
          <w:sz w:val="24"/>
          <w:szCs w:val="24"/>
          <w:highlight w:val="none"/>
          <w:u w:val="none"/>
        </w:rPr>
        <w:t>已批准建设，项目业主为</w:t>
      </w:r>
      <w:r>
        <w:rPr>
          <w:rFonts w:hint="eastAsia" w:ascii="宋体" w:hAnsi="宋体" w:eastAsia="宋体" w:cs="宋体"/>
          <w:color w:val="auto"/>
          <w:sz w:val="24"/>
          <w:szCs w:val="24"/>
          <w:highlight w:val="none"/>
          <w:u w:val="single"/>
        </w:rPr>
        <w:t>南通市港航事业发展中心</w:t>
      </w:r>
      <w:r>
        <w:rPr>
          <w:rFonts w:hint="eastAsia" w:ascii="宋体" w:hAnsi="宋体" w:eastAsia="宋体" w:cs="宋体"/>
          <w:color w:val="auto"/>
          <w:sz w:val="24"/>
          <w:szCs w:val="24"/>
          <w:highlight w:val="none"/>
          <w:u w:val="none"/>
        </w:rPr>
        <w:t>，建设资金</w:t>
      </w:r>
      <w:r>
        <w:rPr>
          <w:rFonts w:hint="eastAsia" w:ascii="宋体" w:hAnsi="宋体" w:eastAsia="宋体" w:cs="宋体"/>
          <w:color w:val="auto"/>
          <w:sz w:val="24"/>
          <w:szCs w:val="24"/>
          <w:highlight w:val="none"/>
          <w:u w:val="none"/>
          <w:lang w:val="en-US" w:eastAsia="zh-CN"/>
        </w:rPr>
        <w:t>已落实</w:t>
      </w:r>
      <w:r>
        <w:rPr>
          <w:rFonts w:hint="eastAsia" w:ascii="宋体" w:hAnsi="宋体" w:eastAsia="宋体" w:cs="宋体"/>
          <w:color w:val="auto"/>
          <w:sz w:val="24"/>
          <w:szCs w:val="24"/>
          <w:highlight w:val="none"/>
          <w:u w:val="none"/>
        </w:rPr>
        <w:t>，招标人为</w:t>
      </w:r>
      <w:r>
        <w:rPr>
          <w:rFonts w:hint="eastAsia" w:ascii="宋体" w:hAnsi="宋体" w:eastAsia="宋体" w:cs="宋体"/>
          <w:color w:val="auto"/>
          <w:sz w:val="24"/>
          <w:szCs w:val="24"/>
          <w:highlight w:val="none"/>
          <w:u w:val="single"/>
        </w:rPr>
        <w:t>南通市港航事业发展中心</w:t>
      </w:r>
      <w:r>
        <w:rPr>
          <w:rFonts w:hint="eastAsia" w:ascii="宋体" w:hAnsi="宋体" w:eastAsia="宋体" w:cs="宋体"/>
          <w:color w:val="auto"/>
          <w:sz w:val="24"/>
          <w:szCs w:val="24"/>
          <w:highlight w:val="none"/>
          <w:u w:val="none"/>
        </w:rPr>
        <w:t>。项目已具备招标条件，现对该项目的施工进行公开招标。</w:t>
      </w:r>
    </w:p>
    <w:p w14:paraId="56ABA8E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项目概况与招标范围</w:t>
      </w:r>
    </w:p>
    <w:p w14:paraId="0265347F">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项目概况：</w:t>
      </w:r>
    </w:p>
    <w:p w14:paraId="45EF1871">
      <w:pPr>
        <w:spacing w:line="360" w:lineRule="auto"/>
        <w:ind w:firstLine="480" w:firstLineChars="200"/>
        <w:rPr>
          <w:rFonts w:hint="eastAsia" w:ascii="宋体" w:hAnsi="宋体" w:eastAsia="宋体" w:cs="宋体"/>
          <w:color w:val="auto"/>
          <w:sz w:val="24"/>
          <w:szCs w:val="24"/>
          <w:highlight w:val="none"/>
        </w:rPr>
      </w:pPr>
      <w:bookmarkStart w:id="2" w:name="_Hlk141379315"/>
      <w:r>
        <w:rPr>
          <w:rFonts w:hint="eastAsia" w:ascii="宋体" w:hAnsi="宋体" w:eastAsia="宋体" w:cs="宋体"/>
          <w:color w:val="auto"/>
          <w:sz w:val="24"/>
          <w:szCs w:val="24"/>
          <w:highlight w:val="none"/>
          <w:lang w:val="en-US" w:eastAsia="zh-CN"/>
        </w:rPr>
        <w:t>如皋辖区航标设施及基础维护工程一共包括丁堡河左右通航标、碾砣港示位标、提水引河示位标，共为3座航标。由于现状航标运行时间长、结构简单、高度偏低、景观效果差，且与周围环境不匹配等问题，急需对此3座航标进行改造设计。</w:t>
      </w:r>
    </w:p>
    <w:bookmarkEnd w:id="2"/>
    <w:p w14:paraId="14FAFB69">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2.2.招标范围与内容：</w:t>
      </w:r>
    </w:p>
    <w:p w14:paraId="15D89774">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本项目共设一个标段，招标范围与内容为如皋辖区航标设施及基础维护工程施工图范围内的丁堡河左右通航标、碾砣港示位标及提水引河示位标维护改造。</w:t>
      </w:r>
    </w:p>
    <w:p w14:paraId="2C1C04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计划工期：</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val="en-US" w:eastAsia="zh-CN"/>
        </w:rPr>
        <w:t>日历天</w:t>
      </w:r>
      <w:r>
        <w:rPr>
          <w:rFonts w:hint="eastAsia" w:ascii="宋体" w:hAnsi="宋体" w:eastAsia="宋体" w:cs="宋体"/>
          <w:color w:val="auto"/>
          <w:sz w:val="24"/>
          <w:szCs w:val="24"/>
          <w:highlight w:val="none"/>
        </w:rPr>
        <w:t>。计划开工日期：2024年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月，计划完工日期：2024年</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具体开工日期以监理签发的开工令为准。</w:t>
      </w:r>
    </w:p>
    <w:p w14:paraId="44FFEF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缺陷责任期：12个月（自通过</w:t>
      </w:r>
      <w:r>
        <w:rPr>
          <w:rFonts w:hint="eastAsia" w:ascii="宋体" w:hAnsi="宋体" w:eastAsia="宋体" w:cs="宋体"/>
          <w:color w:val="auto"/>
          <w:sz w:val="24"/>
          <w:szCs w:val="24"/>
          <w:highlight w:val="none"/>
          <w:lang w:val="en-US" w:eastAsia="zh-CN"/>
        </w:rPr>
        <w:t>交（</w:t>
      </w:r>
      <w:r>
        <w:rPr>
          <w:rFonts w:hint="eastAsia" w:ascii="宋体" w:hAnsi="宋体" w:eastAsia="宋体" w:cs="宋体"/>
          <w:color w:val="auto"/>
          <w:sz w:val="24"/>
          <w:szCs w:val="24"/>
          <w:highlight w:val="none"/>
        </w:rPr>
        <w:t>竣</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工验收之日起计算）。</w:t>
      </w:r>
    </w:p>
    <w:p w14:paraId="1332E4F5">
      <w:pPr>
        <w:spacing w:line="360" w:lineRule="auto"/>
        <w:ind w:firstLine="484" w:firstLineChars="200"/>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2.</w:t>
      </w:r>
      <w:r>
        <w:rPr>
          <w:rFonts w:hint="eastAsia" w:ascii="宋体" w:hAnsi="宋体" w:eastAsia="宋体" w:cs="宋体"/>
          <w:color w:val="auto"/>
          <w:spacing w:val="1"/>
          <w:sz w:val="24"/>
          <w:szCs w:val="24"/>
          <w:highlight w:val="none"/>
          <w:lang w:val="en-US" w:eastAsia="zh-CN"/>
        </w:rPr>
        <w:t>4</w:t>
      </w:r>
      <w:r>
        <w:rPr>
          <w:rFonts w:hint="eastAsia" w:ascii="宋体" w:hAnsi="宋体" w:eastAsia="宋体" w:cs="宋体"/>
          <w:color w:val="auto"/>
          <w:spacing w:val="1"/>
          <w:sz w:val="24"/>
          <w:szCs w:val="24"/>
          <w:highlight w:val="none"/>
        </w:rPr>
        <w:t>质量要求：达到交通运输部发布的《水运工程质量检验标准》合格等级，且达到江苏省市场监督管理局发布的《内河航道维护技术及质量评定规范》优良等级。</w:t>
      </w:r>
    </w:p>
    <w:p w14:paraId="2E85ADCE">
      <w:pPr>
        <w:spacing w:line="360" w:lineRule="auto"/>
        <w:ind w:firstLine="484" w:firstLineChars="200"/>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2.</w:t>
      </w:r>
      <w:r>
        <w:rPr>
          <w:rFonts w:hint="eastAsia" w:ascii="宋体" w:hAnsi="宋体" w:eastAsia="宋体" w:cs="宋体"/>
          <w:color w:val="auto"/>
          <w:spacing w:val="1"/>
          <w:sz w:val="24"/>
          <w:szCs w:val="24"/>
          <w:highlight w:val="none"/>
          <w:lang w:val="en-US" w:eastAsia="zh-CN"/>
        </w:rPr>
        <w:t>5</w:t>
      </w:r>
      <w:r>
        <w:rPr>
          <w:rFonts w:hint="eastAsia" w:ascii="宋体" w:hAnsi="宋体" w:eastAsia="宋体" w:cs="宋体"/>
          <w:color w:val="auto"/>
          <w:spacing w:val="1"/>
          <w:sz w:val="24"/>
          <w:szCs w:val="24"/>
          <w:highlight w:val="none"/>
        </w:rPr>
        <w:t>安全目标：</w:t>
      </w:r>
      <w:r>
        <w:rPr>
          <w:rFonts w:hint="eastAsia" w:ascii="宋体" w:hAnsi="宋体" w:eastAsia="宋体" w:cs="宋体"/>
          <w:color w:val="auto"/>
          <w:kern w:val="0"/>
          <w:sz w:val="24"/>
          <w:szCs w:val="24"/>
          <w:highlight w:val="none"/>
        </w:rPr>
        <w:t>无一般及以上安全生产事故，</w:t>
      </w:r>
      <w:r>
        <w:rPr>
          <w:rFonts w:hint="eastAsia" w:ascii="宋体" w:hAnsi="宋体" w:eastAsia="宋体" w:cs="宋体"/>
          <w:color w:val="auto"/>
          <w:kern w:val="0"/>
          <w:sz w:val="24"/>
          <w:szCs w:val="24"/>
          <w:highlight w:val="none"/>
          <w:lang w:val="en-US" w:eastAsia="zh-CN"/>
        </w:rPr>
        <w:t>确保</w:t>
      </w:r>
      <w:r>
        <w:rPr>
          <w:rFonts w:hint="eastAsia" w:ascii="宋体" w:hAnsi="宋体" w:eastAsia="宋体" w:cs="宋体"/>
          <w:color w:val="auto"/>
          <w:kern w:val="0"/>
          <w:sz w:val="24"/>
          <w:szCs w:val="24"/>
          <w:highlight w:val="none"/>
        </w:rPr>
        <w:t>安全生产无责任事故。</w:t>
      </w:r>
    </w:p>
    <w:p w14:paraId="79EAC33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投标人资格要求</w:t>
      </w:r>
    </w:p>
    <w:p w14:paraId="59BFBFB0">
      <w:pPr>
        <w:adjustRightInd w:val="0"/>
        <w:snapToGrid w:val="0"/>
        <w:spacing w:line="360" w:lineRule="auto"/>
        <w:ind w:firstLine="480" w:firstLineChars="200"/>
        <w:jc w:val="left"/>
        <w:rPr>
          <w:rFonts w:hint="eastAsia" w:ascii="宋体" w:hAnsi="宋体" w:eastAsia="宋体" w:cs="宋体"/>
          <w:color w:val="auto"/>
          <w:sz w:val="24"/>
          <w:szCs w:val="24"/>
          <w:highlight w:val="none"/>
        </w:rPr>
      </w:pPr>
      <w:bookmarkStart w:id="3" w:name="_Hlk44357884"/>
      <w:r>
        <w:rPr>
          <w:rFonts w:hint="eastAsia" w:ascii="宋体" w:hAnsi="宋体" w:eastAsia="宋体" w:cs="宋体"/>
          <w:color w:val="auto"/>
          <w:sz w:val="24"/>
          <w:szCs w:val="24"/>
          <w:highlight w:val="none"/>
        </w:rPr>
        <w:t>3.1投标人应具备的承担本次招标项目的资质条件、能力和信誉要求为：</w:t>
      </w:r>
    </w:p>
    <w:p w14:paraId="6B3C8FFD">
      <w:pPr>
        <w:adjustRightInd w:val="0"/>
        <w:snapToGrid w:val="0"/>
        <w:spacing w:line="360" w:lineRule="auto"/>
        <w:ind w:firstLine="480" w:firstLineChars="200"/>
        <w:jc w:val="left"/>
        <w:rPr>
          <w:rFonts w:hint="eastAsia" w:ascii="宋体" w:hAnsi="宋体" w:eastAsia="宋体" w:cs="宋体"/>
          <w:color w:val="auto"/>
          <w:sz w:val="24"/>
          <w:szCs w:val="24"/>
          <w:highlight w:val="none"/>
        </w:rPr>
      </w:pPr>
      <w:bookmarkStart w:id="4" w:name="_Hlk141379472"/>
      <w:r>
        <w:rPr>
          <w:rFonts w:hint="eastAsia" w:ascii="宋体" w:hAnsi="宋体" w:eastAsia="宋体" w:cs="宋体"/>
          <w:color w:val="auto"/>
          <w:sz w:val="24"/>
          <w:szCs w:val="24"/>
          <w:highlight w:val="none"/>
        </w:rPr>
        <w:t>(1)资质条件：</w:t>
      </w:r>
    </w:p>
    <w:p w14:paraId="794ECDB2">
      <w:pPr>
        <w:adjustRightInd w:val="0"/>
        <w:snapToGrid w:val="0"/>
        <w:spacing w:line="360" w:lineRule="auto"/>
        <w:ind w:firstLine="48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A、</w:t>
      </w:r>
      <w:r>
        <w:rPr>
          <w:rFonts w:hint="eastAsia" w:ascii="宋体" w:hAnsi="宋体" w:eastAsia="宋体" w:cs="宋体"/>
          <w:color w:val="auto"/>
          <w:sz w:val="24"/>
          <w:szCs w:val="24"/>
          <w:highlight w:val="none"/>
        </w:rPr>
        <w:t>投标人应为独立法人，具备有效的企业基本账户开户许可证或企业基本存款账户信息；</w:t>
      </w:r>
    </w:p>
    <w:p w14:paraId="77998541">
      <w:pPr>
        <w:adjustRightInd w:val="0"/>
        <w:snapToGrid w:val="0"/>
        <w:spacing w:line="360" w:lineRule="auto"/>
        <w:ind w:firstLine="48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B、</w:t>
      </w:r>
      <w:r>
        <w:rPr>
          <w:rFonts w:hint="eastAsia" w:ascii="宋体" w:hAnsi="宋体" w:eastAsia="宋体" w:cs="宋体"/>
          <w:color w:val="auto"/>
          <w:sz w:val="24"/>
          <w:szCs w:val="24"/>
          <w:highlight w:val="none"/>
        </w:rPr>
        <w:t>投标人应具有有效的省级及以上相关部门核发的《安全生产许可证》；</w:t>
      </w:r>
    </w:p>
    <w:p w14:paraId="4302595F">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C、投标人应具有有效的港口与航道工程施工总承包三级（及以上）资质或航道工程专业承包三级（及以上）资质。</w:t>
      </w:r>
    </w:p>
    <w:p w14:paraId="75AED45F">
      <w:pPr>
        <w:adjustRightInd w:val="0"/>
        <w:snapToGrid w:val="0"/>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(2)业绩要求：</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2019年1月1日以来（以</w:t>
      </w:r>
      <w:r>
        <w:rPr>
          <w:rFonts w:hint="eastAsia" w:ascii="宋体" w:hAnsi="宋体" w:eastAsia="宋体" w:cs="宋体"/>
          <w:color w:val="auto"/>
          <w:sz w:val="24"/>
          <w:szCs w:val="24"/>
          <w:highlight w:val="none"/>
          <w:lang w:val="en-US" w:eastAsia="zh-CN"/>
        </w:rPr>
        <w:t>合同签订</w:t>
      </w:r>
      <w:r>
        <w:rPr>
          <w:rFonts w:hint="eastAsia" w:ascii="宋体" w:hAnsi="宋体" w:eastAsia="宋体" w:cs="宋体"/>
          <w:color w:val="auto"/>
          <w:sz w:val="24"/>
          <w:szCs w:val="24"/>
          <w:highlight w:val="none"/>
        </w:rPr>
        <w:t>时间为准），投标人</w:t>
      </w:r>
      <w:r>
        <w:rPr>
          <w:rFonts w:hint="eastAsia" w:ascii="宋体" w:hAnsi="宋体" w:eastAsia="宋体" w:cs="宋体"/>
          <w:color w:val="auto"/>
          <w:sz w:val="24"/>
          <w:szCs w:val="24"/>
          <w:highlight w:val="none"/>
          <w:lang w:val="en-US" w:eastAsia="zh-CN"/>
        </w:rPr>
        <w:t>承担</w:t>
      </w:r>
      <w:r>
        <w:rPr>
          <w:rFonts w:hint="eastAsia" w:ascii="宋体" w:hAnsi="宋体" w:eastAsia="宋体" w:cs="宋体"/>
          <w:color w:val="auto"/>
          <w:sz w:val="24"/>
          <w:szCs w:val="24"/>
          <w:highlight w:val="none"/>
        </w:rPr>
        <w:t>过</w:t>
      </w:r>
      <w:r>
        <w:rPr>
          <w:rFonts w:hint="eastAsia" w:ascii="宋体" w:hAnsi="宋体" w:eastAsia="宋体" w:cs="宋体"/>
          <w:color w:val="auto"/>
          <w:sz w:val="24"/>
          <w:szCs w:val="24"/>
          <w:highlight w:val="none"/>
          <w:lang w:val="en-US" w:eastAsia="zh-CN"/>
        </w:rPr>
        <w:t>助航设施（航行标志）施工或维护改造</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eastAsia="zh-CN"/>
        </w:rPr>
        <w:t>。</w:t>
      </w:r>
    </w:p>
    <w:p w14:paraId="75B206B4">
      <w:pPr>
        <w:numPr>
          <w:ilvl w:val="255"/>
          <w:numId w:val="0"/>
        </w:numPr>
        <w:adjustRightInd w:val="0"/>
        <w:snapToGrid w:val="0"/>
        <w:spacing w:line="360" w:lineRule="auto"/>
        <w:ind w:firstLine="480" w:firstLineChars="200"/>
        <w:jc w:val="left"/>
        <w:rPr>
          <w:rFonts w:hint="eastAsia" w:ascii="宋体" w:hAnsi="宋体" w:eastAsia="宋体" w:cs="宋体"/>
          <w:color w:val="auto"/>
          <w:spacing w:val="1"/>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pacing w:val="1"/>
          <w:sz w:val="24"/>
          <w:szCs w:val="24"/>
          <w:highlight w:val="none"/>
        </w:rPr>
        <w:t>信誉要求：</w:t>
      </w:r>
    </w:p>
    <w:p w14:paraId="1E001D37">
      <w:pPr>
        <w:numPr>
          <w:ilvl w:val="255"/>
          <w:numId w:val="0"/>
        </w:numPr>
        <w:adjustRightInd w:val="0"/>
        <w:snapToGrid w:val="0"/>
        <w:spacing w:line="360" w:lineRule="auto"/>
        <w:ind w:firstLine="48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A、</w:t>
      </w:r>
      <w:r>
        <w:rPr>
          <w:rFonts w:hint="eastAsia" w:ascii="宋体" w:hAnsi="宋体" w:eastAsia="宋体" w:cs="宋体"/>
          <w:color w:val="auto"/>
          <w:sz w:val="24"/>
          <w:szCs w:val="24"/>
          <w:highlight w:val="none"/>
        </w:rPr>
        <w:t>投标文件递交截止日当天，投标人在最近一期江苏省公路水路建设市场从业单位信用评定结果中的信用等级被评为C级或以上级别（信用类别：施工）；</w:t>
      </w:r>
    </w:p>
    <w:p w14:paraId="613387BC">
      <w:pPr>
        <w:numPr>
          <w:ilvl w:val="255"/>
          <w:numId w:val="0"/>
        </w:numPr>
        <w:adjustRightInd w:val="0"/>
        <w:snapToGrid w:val="0"/>
        <w:spacing w:line="360" w:lineRule="auto"/>
        <w:ind w:firstLine="48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B、</w:t>
      </w:r>
      <w:r>
        <w:rPr>
          <w:rFonts w:hint="eastAsia" w:ascii="宋体" w:hAnsi="宋体" w:eastAsia="宋体" w:cs="宋体"/>
          <w:color w:val="auto"/>
          <w:sz w:val="24"/>
          <w:szCs w:val="24"/>
          <w:highlight w:val="none"/>
        </w:rPr>
        <w:t>投标文件递交截止日当天，投标人未在“信用中国”网站（http://www.creditchina.gov.cn/）中被列入失信被执行人名单；</w:t>
      </w:r>
    </w:p>
    <w:p w14:paraId="746B6266">
      <w:pPr>
        <w:numPr>
          <w:ilvl w:val="255"/>
          <w:numId w:val="0"/>
        </w:num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C、投标文件递交截止日当天，投标人未在国家企业信用信息公示系统（http://www.gsxt.gov.cn/）中被列入严重违法失信企业名单；</w:t>
      </w:r>
    </w:p>
    <w:p w14:paraId="47EDE02B">
      <w:pPr>
        <w:widowControl/>
        <w:adjustRightInd w:val="0"/>
        <w:snapToGrid w:val="0"/>
        <w:spacing w:line="360" w:lineRule="auto"/>
        <w:ind w:firstLine="48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D、</w:t>
      </w:r>
      <w:r>
        <w:rPr>
          <w:rFonts w:hint="eastAsia" w:ascii="宋体" w:hAnsi="宋体" w:eastAsia="宋体" w:cs="宋体"/>
          <w:color w:val="auto"/>
          <w:sz w:val="24"/>
          <w:szCs w:val="24"/>
          <w:highlight w:val="none"/>
        </w:rPr>
        <w:t>投标文件递交截止日当天，投标人未被列入“信用交通江苏”网站公布的“江苏省交通运输失信联合惩戒对象名单”（黑名单）。</w:t>
      </w:r>
    </w:p>
    <w:p w14:paraId="6D8681D9">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pacing w:val="1"/>
          <w:sz w:val="24"/>
          <w:szCs w:val="24"/>
          <w:highlight w:val="none"/>
        </w:rPr>
        <w:t>项目经理和项目总工要求：</w:t>
      </w:r>
    </w:p>
    <w:p w14:paraId="3F98813F">
      <w:pPr>
        <w:spacing w:line="360" w:lineRule="auto"/>
        <w:ind w:firstLine="484" w:firstLineChars="200"/>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A、项目经理：</w:t>
      </w:r>
    </w:p>
    <w:p w14:paraId="5CC81C09">
      <w:pPr>
        <w:adjustRightInd w:val="0"/>
        <w:snapToGrid w:val="0"/>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a、</w:t>
      </w:r>
      <w:r>
        <w:rPr>
          <w:rFonts w:hint="eastAsia" w:ascii="宋体" w:hAnsi="宋体" w:eastAsia="宋体" w:cs="宋体"/>
          <w:color w:val="auto"/>
          <w:sz w:val="24"/>
          <w:szCs w:val="24"/>
          <w:highlight w:val="none"/>
        </w:rPr>
        <w:t>拟派的项目经理具有有效的港口与航道工程专业一级注册建造师或水利水电工程专业二级（及以上）注册建造师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有交通行政主管部门核发的有效的《公路水运工程施工单位主要负责人、项目负责人和专职安全生产管理人员安全生产考核合格证书》（B证）或《公路水运工程施工企业主要负责人和安全生产管理人员安全生产考核合格证书》(B证)</w:t>
      </w:r>
      <w:r>
        <w:rPr>
          <w:rFonts w:hint="eastAsia" w:ascii="宋体" w:hAnsi="宋体" w:eastAsia="宋体" w:cs="宋体"/>
          <w:color w:val="auto"/>
          <w:sz w:val="24"/>
          <w:szCs w:val="24"/>
          <w:highlight w:val="none"/>
          <w:lang w:eastAsia="zh-CN"/>
        </w:rPr>
        <w:t>；</w:t>
      </w:r>
    </w:p>
    <w:p w14:paraId="7FCA8A16">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b</w:t>
      </w:r>
      <w:r>
        <w:rPr>
          <w:rFonts w:hint="eastAsia" w:ascii="宋体" w:hAnsi="宋体" w:eastAsia="宋体" w:cs="宋体"/>
          <w:color w:val="auto"/>
          <w:sz w:val="24"/>
          <w:szCs w:val="24"/>
          <w:highlight w:val="none"/>
        </w:rPr>
        <w:t>、拟派的项目经理担任过</w:t>
      </w:r>
      <w:r>
        <w:rPr>
          <w:rFonts w:hint="eastAsia" w:ascii="宋体" w:hAnsi="宋体" w:eastAsia="宋体" w:cs="宋体"/>
          <w:color w:val="auto"/>
          <w:sz w:val="24"/>
          <w:szCs w:val="24"/>
          <w:highlight w:val="none"/>
          <w:lang w:val="en-US" w:eastAsia="zh-CN"/>
        </w:rPr>
        <w:t>助航设施（航行标志）施工或维护改造</w:t>
      </w:r>
      <w:r>
        <w:rPr>
          <w:rFonts w:hint="eastAsia" w:ascii="宋体" w:hAnsi="宋体" w:eastAsia="宋体" w:cs="宋体"/>
          <w:color w:val="auto"/>
          <w:sz w:val="24"/>
          <w:szCs w:val="24"/>
          <w:highlight w:val="none"/>
        </w:rPr>
        <w:t>项目的项目经理（或项目副经理或项目总工）。</w:t>
      </w:r>
    </w:p>
    <w:p w14:paraId="0DC79285">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住房和城乡建设部办公厅关于全面实行一级建造师电子注册证书的通知》建办市〔2021〕40号文件规定：自2022年1月1日起，一级建造师统一使用电子证书，纸质注册证书作废；2022年1月1日起，一级建造师应重新刻制执业印章，并使用电子证书上的注册编号（注册编号的数字编码是16位）。本项目投标人拟投入项目负责人为一级建造师的，应在投标截止时间前更换好电子注册证书，并在投标截止时间前在江苏省交通运输招标投标信息管理系统中将项目负责人建造师电子注册证书信息进行备案。</w:t>
      </w:r>
    </w:p>
    <w:p w14:paraId="1B1722BC">
      <w:pPr>
        <w:spacing w:line="360" w:lineRule="auto"/>
        <w:ind w:firstLine="484" w:firstLineChars="200"/>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B、项目总工：</w:t>
      </w:r>
    </w:p>
    <w:p w14:paraId="32946F5C">
      <w:pPr>
        <w:spacing w:line="360" w:lineRule="auto"/>
        <w:ind w:firstLine="480" w:firstLineChars="200"/>
        <w:rPr>
          <w:rFonts w:hint="eastAsia" w:ascii="宋体" w:hAnsi="宋体" w:eastAsia="宋体" w:cs="宋体"/>
          <w:color w:val="auto"/>
          <w:spacing w:val="1"/>
          <w:sz w:val="24"/>
          <w:szCs w:val="24"/>
          <w:highlight w:val="none"/>
        </w:rPr>
      </w:pPr>
      <w:r>
        <w:rPr>
          <w:rFonts w:hint="eastAsia" w:ascii="宋体" w:hAnsi="宋体" w:eastAsia="宋体" w:cs="宋体"/>
          <w:color w:val="auto"/>
          <w:sz w:val="24"/>
          <w:szCs w:val="24"/>
          <w:highlight w:val="none"/>
        </w:rPr>
        <w:t>拟派的</w:t>
      </w:r>
      <w:r>
        <w:rPr>
          <w:rFonts w:hint="eastAsia" w:ascii="宋体" w:hAnsi="宋体" w:eastAsia="宋体" w:cs="宋体"/>
          <w:color w:val="auto"/>
          <w:spacing w:val="1"/>
          <w:sz w:val="24"/>
          <w:szCs w:val="24"/>
          <w:highlight w:val="none"/>
        </w:rPr>
        <w:t>项目总工具有工程师（或以上）技术职称。</w:t>
      </w:r>
    </w:p>
    <w:p w14:paraId="35E8D866">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C、拟派的项目经理、项目总工必须为投标单位正式人员，出具投标人为其缴纳的最近3个月（</w:t>
      </w:r>
      <w:bookmarkStart w:id="5" w:name="_Hlk172058700"/>
      <w:r>
        <w:rPr>
          <w:rFonts w:hint="eastAsia" w:ascii="宋体" w:hAnsi="宋体" w:eastAsia="宋体" w:cs="宋体"/>
          <w:color w:val="auto"/>
          <w:sz w:val="24"/>
          <w:szCs w:val="24"/>
          <w:highlight w:val="none"/>
        </w:rPr>
        <w:t>2024年6月~2024年8月</w:t>
      </w:r>
      <w:bookmarkEnd w:id="5"/>
      <w:r>
        <w:rPr>
          <w:rFonts w:hint="eastAsia" w:ascii="宋体" w:hAnsi="宋体" w:eastAsia="宋体" w:cs="宋体"/>
          <w:color w:val="auto"/>
          <w:sz w:val="24"/>
          <w:szCs w:val="24"/>
          <w:highlight w:val="none"/>
        </w:rPr>
        <w:t>或2024年</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月~2024年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月或</w:t>
      </w:r>
      <w:bookmarkStart w:id="6" w:name="_Hlk170289111"/>
      <w:bookmarkStart w:id="7" w:name="_Hlk168064706"/>
      <w:r>
        <w:rPr>
          <w:rFonts w:hint="eastAsia" w:ascii="宋体" w:hAnsi="宋体" w:eastAsia="宋体" w:cs="宋体"/>
          <w:color w:val="auto"/>
          <w:sz w:val="24"/>
          <w:szCs w:val="24"/>
          <w:highlight w:val="none"/>
        </w:rPr>
        <w:t>2024年</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月~2024年</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月</w:t>
      </w:r>
      <w:bookmarkEnd w:id="6"/>
      <w:bookmarkEnd w:id="7"/>
      <w:r>
        <w:rPr>
          <w:rFonts w:hint="eastAsia" w:ascii="宋体" w:hAnsi="宋体" w:eastAsia="宋体" w:cs="宋体"/>
          <w:color w:val="auto"/>
          <w:sz w:val="24"/>
          <w:szCs w:val="24"/>
          <w:highlight w:val="none"/>
        </w:rPr>
        <w:t>）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043BFAF1">
      <w:pPr>
        <w:spacing w:line="360" w:lineRule="auto"/>
        <w:ind w:firstLine="484" w:firstLineChars="200"/>
        <w:jc w:val="left"/>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D、项目经理、项目总工均无在岗项目（指目前未在其他项目上任职，或虽在其他项目上任职但本项目中标后能够从该项目撤离）。投标人应在投标文件中提供中标后可以到岗的承诺书。</w:t>
      </w:r>
    </w:p>
    <w:p w14:paraId="7CDAFF2E">
      <w:pPr>
        <w:spacing w:line="360" w:lineRule="auto"/>
        <w:ind w:firstLine="484" w:firstLineChars="200"/>
        <w:jc w:val="left"/>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注：投标人拟投入的主要人员（项目经理、施工负责人和施工项目总工），有无在岗项目情况，按照下列原则认定：</w:t>
      </w:r>
    </w:p>
    <w:p w14:paraId="487A0B90">
      <w:pPr>
        <w:numPr>
          <w:ilvl w:val="0"/>
          <w:numId w:val="1"/>
        </w:numPr>
        <w:spacing w:line="360" w:lineRule="auto"/>
        <w:ind w:firstLine="484" w:firstLineChars="200"/>
        <w:jc w:val="left"/>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未在其他项目上作为主要人员（指施工项目的项目经理和项目总工，或设计施工总承包项目的项目经理、施工负责人和施工项目总工。下同）任职，或虽在其他项目上作为主要人员任职（包括在招标项目投标截止时间之前，投标人拟投入的主要人员在已发出的中标通知书或者签定合约的其他项目中作为主要人员的情况）、但在投标文件中提供了拟投入本项目中的主要人员在中标后可以从其他项目撤离的书面承诺，视为无在岗项目；</w:t>
      </w:r>
    </w:p>
    <w:p w14:paraId="0A6C91AC">
      <w:pPr>
        <w:spacing w:line="360" w:lineRule="auto"/>
        <w:ind w:firstLine="484" w:firstLineChars="200"/>
        <w:jc w:val="left"/>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B.投标人拟投入的主要人员在其他项目上作为主要人员任职，虽然项目尚未交工但符合下列情形之一、并在投标文件中提供一旦中标可以从其他项目上撤离的书面承诺，视为无在岗项目：</w:t>
      </w:r>
    </w:p>
    <w:p w14:paraId="06C74F0D">
      <w:pPr>
        <w:spacing w:line="360" w:lineRule="auto"/>
        <w:ind w:firstLine="484" w:firstLineChars="200"/>
        <w:jc w:val="left"/>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t>a.工程已经完工，经项目质量监督机构核验合格，主要人员基本完成职责，非投标人原因尚未进行交工验收的；</w:t>
      </w:r>
    </w:p>
    <w:p w14:paraId="0DC419AF">
      <w:pPr>
        <w:spacing w:line="360" w:lineRule="auto"/>
        <w:ind w:firstLine="48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b.工程中标后半年内非中标人原因无法开工或停工半年以上无法复工等情况。</w:t>
      </w:r>
    </w:p>
    <w:p w14:paraId="3A6EB935">
      <w:pPr>
        <w:numPr>
          <w:ilvl w:val="255"/>
          <w:numId w:val="0"/>
        </w:num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（5）专职安全员要求：</w:t>
      </w:r>
    </w:p>
    <w:p w14:paraId="2C205CEF">
      <w:pPr>
        <w:numPr>
          <w:ilvl w:val="255"/>
          <w:numId w:val="0"/>
        </w:num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投入本项目专职安全员不少于1人，专职安全员具有交通运输主管部门核发的有效的《公路水运工程施工单位主要负责人、项目负责人和专职安全生产管理人员安全生产考核合格证书》(C证)或《公路水运工程施工企业主要负责人和安全生产管理人员安全生产考核合格证书》(C证)。</w:t>
      </w:r>
    </w:p>
    <w:p w14:paraId="0E734439">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拟投入本项目的专职安全员必须为投标单位自有人员，出具投标人为其缴纳的最近3个月（2024年6月~2024年8月或2024年</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月~2024年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月或2024年</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月~2024年</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月）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66BE0353">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本次招标不接受联合体投标。</w:t>
      </w:r>
      <w:r>
        <w:rPr>
          <w:rFonts w:hint="eastAsia" w:ascii="宋体" w:hAnsi="宋体" w:eastAsia="宋体" w:cs="宋体"/>
          <w:color w:val="auto"/>
          <w:sz w:val="24"/>
          <w:szCs w:val="24"/>
          <w:highlight w:val="none"/>
        </w:rPr>
        <w:tab/>
      </w:r>
    </w:p>
    <w:p w14:paraId="4BD8BBA1">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3.3与招标人存在利害关系可能影响招标公正性的单位，不得参加投标。单位负责人为同一人或存在控股、管理关系的不同单位，不得参加同一标段投标，否则，相关投标均无效。</w:t>
      </w:r>
    </w:p>
    <w:bookmarkEnd w:id="3"/>
    <w:bookmarkEnd w:id="4"/>
    <w:p w14:paraId="2BE059F1">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4.招标文件的获取</w:t>
      </w:r>
    </w:p>
    <w:p w14:paraId="643CA1F0">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4.1申请</w:t>
      </w:r>
    </w:p>
    <w:p w14:paraId="5F2728A5">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申请时间：自本公告上网发布之日起至2024年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日，每日工作时间：上午9:00至11:30整，下午13:30至17:30整（北京时间，双休、节假日除外）。</w:t>
      </w:r>
    </w:p>
    <w:p w14:paraId="5ACFC27D">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申请方式：凡符合资格要求并有意愿参加本项目的投标人，请如实填写《申请函》（格式见本项目公告附件）并加盖公章，发彩色扫描件至邮箱（jsrzcnt@126.com）中，并致电招标代理确认邮件送达，确认申请是否成功，并在开标现场将申请函原件同响应文件一并递交。</w:t>
      </w:r>
    </w:p>
    <w:p w14:paraId="0817BC18">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招标代理联系人：赵工，联系电话：15851317775。</w:t>
      </w:r>
    </w:p>
    <w:p w14:paraId="1A2811C6">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获取招标文件</w:t>
      </w:r>
    </w:p>
    <w:p w14:paraId="7C907064">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各申请人到招标代理单位自行领取纸质招标文件或由招标代理单位邮寄纸质文件给各申请人。</w:t>
      </w:r>
    </w:p>
    <w:p w14:paraId="5809E69C">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招标文件每套售价300元，售后不退。</w:t>
      </w:r>
    </w:p>
    <w:p w14:paraId="646F5CE4">
      <w:pPr>
        <w:tabs>
          <w:tab w:val="left" w:pos="4120"/>
          <w:tab w:val="left" w:pos="714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注：未按上述要求进行</w:t>
      </w:r>
      <w:r>
        <w:rPr>
          <w:rFonts w:hint="eastAsia" w:ascii="宋体" w:hAnsi="宋体" w:eastAsia="宋体" w:cs="宋体"/>
          <w:color w:val="auto"/>
          <w:sz w:val="24"/>
          <w:szCs w:val="24"/>
          <w:highlight w:val="none"/>
          <w:lang w:val="en-US" w:eastAsia="zh-CN"/>
        </w:rPr>
        <w:t>申请</w:t>
      </w:r>
      <w:r>
        <w:rPr>
          <w:rFonts w:hint="eastAsia" w:ascii="宋体" w:hAnsi="宋体" w:eastAsia="宋体" w:cs="宋体"/>
          <w:color w:val="auto"/>
          <w:sz w:val="24"/>
          <w:szCs w:val="24"/>
          <w:highlight w:val="none"/>
        </w:rPr>
        <w:t>及支付招标文件费用的，视为放弃本项目投标。</w:t>
      </w:r>
    </w:p>
    <w:p w14:paraId="75FC56C1">
      <w:pPr>
        <w:numPr>
          <w:ilvl w:val="0"/>
          <w:numId w:val="0"/>
        </w:num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sz w:val="24"/>
          <w:szCs w:val="24"/>
          <w:highlight w:val="none"/>
        </w:rPr>
        <w:t>投标文件的递交及相关事宜</w:t>
      </w:r>
    </w:p>
    <w:p w14:paraId="5AF169A4">
      <w:pPr>
        <w:numPr>
          <w:ilvl w:val="0"/>
          <w:numId w:val="0"/>
        </w:num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5.1投标文件递交的截止时间（投标截止时间，下同）为2024年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18</w:t>
      </w:r>
      <w:r>
        <w:rPr>
          <w:rFonts w:hint="eastAsia" w:ascii="宋体" w:hAnsi="宋体" w:eastAsia="宋体" w:cs="宋体"/>
          <w:color w:val="auto"/>
          <w:sz w:val="24"/>
          <w:szCs w:val="24"/>
          <w:highlight w:val="none"/>
          <w:lang w:val="en-US" w:eastAsia="zh-CN"/>
        </w:rPr>
        <w:t>日</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时</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val="en-US" w:eastAsia="zh-CN"/>
        </w:rPr>
        <w:t>分，地点为</w:t>
      </w:r>
      <w:r>
        <w:rPr>
          <w:rFonts w:hint="eastAsia" w:ascii="宋体" w:hAnsi="宋体" w:eastAsia="宋体" w:cs="宋体"/>
          <w:b/>
          <w:bCs/>
          <w:color w:val="auto"/>
          <w:sz w:val="24"/>
          <w:szCs w:val="24"/>
          <w:highlight w:val="none"/>
          <w:u w:val="single"/>
          <w:lang w:val="en-US" w:eastAsia="zh-CN"/>
          <w14:ligatures w14:val="none"/>
        </w:rPr>
        <w:t>南通市崇川区鸿运城市花苑18栋</w:t>
      </w:r>
      <w:r>
        <w:rPr>
          <w:rFonts w:hint="eastAsia" w:ascii="宋体" w:hAnsi="宋体" w:eastAsia="宋体" w:cs="宋体"/>
          <w:color w:val="auto"/>
          <w:sz w:val="24"/>
          <w:szCs w:val="24"/>
          <w:highlight w:val="none"/>
          <w:lang w:val="en-US" w:eastAsia="zh-CN"/>
        </w:rPr>
        <w:t>。</w:t>
      </w:r>
    </w:p>
    <w:p w14:paraId="368239A8">
      <w:pPr>
        <w:spacing w:line="360" w:lineRule="auto"/>
        <w:ind w:firstLine="482" w:firstLineChars="200"/>
        <w:jc w:val="left"/>
        <w:rPr>
          <w:rFonts w:hint="eastAsia" w:ascii="宋体" w:hAnsi="宋体" w:eastAsia="宋体" w:cs="宋体"/>
          <w:b/>
          <w:bCs/>
          <w:color w:val="auto"/>
          <w:sz w:val="24"/>
          <w:szCs w:val="24"/>
          <w:highlight w:val="none"/>
          <w14:ligatures w14:val="none"/>
        </w:rPr>
      </w:pPr>
      <w:r>
        <w:rPr>
          <w:rFonts w:hint="eastAsia" w:ascii="宋体" w:hAnsi="宋体" w:eastAsia="宋体" w:cs="宋体"/>
          <w:b/>
          <w:bCs/>
          <w:color w:val="auto"/>
          <w:sz w:val="24"/>
          <w:szCs w:val="24"/>
          <w:highlight w:val="none"/>
          <w14:ligatures w14:val="none"/>
        </w:rPr>
        <w:t>以上时间均为北京时间。</w:t>
      </w:r>
    </w:p>
    <w:p w14:paraId="5735379D">
      <w:pPr>
        <w:tabs>
          <w:tab w:val="left" w:pos="3100"/>
          <w:tab w:val="left" w:pos="3460"/>
          <w:tab w:val="left" w:pos="3700"/>
          <w:tab w:val="left" w:pos="4060"/>
          <w:tab w:val="left" w:pos="4300"/>
          <w:tab w:val="left" w:pos="4900"/>
          <w:tab w:val="left" w:pos="8025"/>
          <w:tab w:val="left" w:pos="8260"/>
          <w:tab w:val="left" w:pos="850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5.2 </w:t>
      </w:r>
      <w:r>
        <w:rPr>
          <w:rFonts w:hint="eastAsia" w:ascii="宋体" w:hAnsi="宋体" w:eastAsia="宋体" w:cs="宋体"/>
          <w:color w:val="auto"/>
          <w:sz w:val="24"/>
          <w:szCs w:val="24"/>
          <w:highlight w:val="none"/>
        </w:rPr>
        <w:t>招标人不组织现场考察，投标人</w:t>
      </w:r>
      <w:r>
        <w:rPr>
          <w:rFonts w:hint="eastAsia" w:ascii="宋体" w:hAnsi="宋体" w:eastAsia="宋体" w:cs="宋体"/>
          <w:color w:val="auto"/>
          <w:sz w:val="24"/>
          <w:szCs w:val="24"/>
          <w:highlight w:val="none"/>
          <w:lang w:val="en-US" w:eastAsia="zh-CN"/>
        </w:rPr>
        <w:t>须自行</w:t>
      </w:r>
      <w:r>
        <w:rPr>
          <w:rFonts w:hint="eastAsia" w:ascii="宋体" w:hAnsi="宋体" w:eastAsia="宋体" w:cs="宋体"/>
          <w:color w:val="auto"/>
          <w:sz w:val="24"/>
          <w:szCs w:val="24"/>
          <w:highlight w:val="none"/>
        </w:rPr>
        <w:t>进行现场考察，考察费用由投标人自理，安全自负；</w:t>
      </w:r>
    </w:p>
    <w:p w14:paraId="1FB0FD5B">
      <w:pPr>
        <w:tabs>
          <w:tab w:val="left" w:pos="3100"/>
          <w:tab w:val="left" w:pos="3460"/>
          <w:tab w:val="left" w:pos="3700"/>
          <w:tab w:val="left" w:pos="4060"/>
          <w:tab w:val="left" w:pos="4300"/>
          <w:tab w:val="left" w:pos="4900"/>
          <w:tab w:val="left" w:pos="8025"/>
          <w:tab w:val="left" w:pos="8260"/>
          <w:tab w:val="left" w:pos="8500"/>
        </w:tabs>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 投标人应派其法定代表人（或其授权代理人）携带本人有效身份证原件准时出席开标会，自觉服从和配合现场工作人员的检查。投标人未派遣法定代表人或其授权代理人参与开标会的，视为默认开标结果。</w:t>
      </w:r>
    </w:p>
    <w:p w14:paraId="1DA98BD2">
      <w:pPr>
        <w:tabs>
          <w:tab w:val="left" w:pos="3100"/>
          <w:tab w:val="left" w:pos="3460"/>
          <w:tab w:val="left" w:pos="3700"/>
          <w:tab w:val="left" w:pos="4060"/>
          <w:tab w:val="left" w:pos="4300"/>
          <w:tab w:val="left" w:pos="4900"/>
          <w:tab w:val="left" w:pos="8025"/>
          <w:tab w:val="left" w:pos="8260"/>
          <w:tab w:val="left" w:pos="8500"/>
        </w:tabs>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 本次投标文件的开标等事宜，由招标人（代理单位）在相关纪检人员的监督下统一完成。如开标过程中对开标过程有质疑的，请于开标过程中提出，如无投标人提出异议，视同默认开标过程及结果。</w:t>
      </w:r>
    </w:p>
    <w:p w14:paraId="063621C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6．发布公告的媒介</w:t>
      </w:r>
    </w:p>
    <w:p w14:paraId="36D58141">
      <w:pPr>
        <w:tabs>
          <w:tab w:val="left" w:pos="412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position w:val="-3"/>
          <w:sz w:val="24"/>
          <w:szCs w:val="24"/>
          <w:highlight w:val="none"/>
        </w:rPr>
        <w:t>本次招标公告同时在南通市交通运输局网站（http://jtysj.nantong.gov.cn）上。南通市交通运输局网站是本项目招标公告、招标文件澄清、中标公示等招标信息约定的唯一公开发布媒介。</w:t>
      </w:r>
    </w:p>
    <w:p w14:paraId="47885C12">
      <w:pPr>
        <w:tabs>
          <w:tab w:val="left" w:pos="4120"/>
        </w:tabs>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联系方式</w:t>
      </w:r>
    </w:p>
    <w:p w14:paraId="1A8585C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招标人：南通市港航事业发展中心</w:t>
      </w:r>
    </w:p>
    <w:p w14:paraId="2EEB951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val="en-US" w:eastAsia="zh-CN"/>
        </w:rPr>
        <w:t>江苏省如皋市福寿西路9</w:t>
      </w:r>
      <w:r>
        <w:rPr>
          <w:rFonts w:hint="eastAsia" w:ascii="宋体" w:hAnsi="宋体" w:eastAsia="宋体" w:cs="宋体"/>
          <w:color w:val="auto"/>
          <w:sz w:val="24"/>
          <w:szCs w:val="24"/>
          <w:highlight w:val="none"/>
        </w:rPr>
        <w:t xml:space="preserve">号 </w:t>
      </w:r>
    </w:p>
    <w:p w14:paraId="1E1527BF">
      <w:p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szCs w:val="24"/>
          <w:highlight w:val="none"/>
          <w:lang w:val="en-US" w:eastAsia="zh-CN"/>
        </w:rPr>
        <w:t>石峰</w:t>
      </w:r>
    </w:p>
    <w:p w14:paraId="404D57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13862752595</w:t>
      </w:r>
      <w:r>
        <w:rPr>
          <w:rFonts w:hint="eastAsia" w:ascii="宋体" w:hAnsi="宋体" w:eastAsia="宋体" w:cs="宋体"/>
          <w:color w:val="auto"/>
          <w:sz w:val="24"/>
          <w:szCs w:val="24"/>
          <w:highlight w:val="none"/>
        </w:rPr>
        <w:t xml:space="preserve"> </w:t>
      </w:r>
    </w:p>
    <w:p w14:paraId="62BD15AD">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7230276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招标代理：江苏睿致诚工程咨询有限公司</w:t>
      </w:r>
    </w:p>
    <w:p w14:paraId="38A82C9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地址：南京市江宁区江南路697号金轮星际中心A1栋7楼</w:t>
      </w:r>
    </w:p>
    <w:p w14:paraId="1B5D515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电话：18906275357（尹建），18932207883（陈小龙）</w:t>
      </w:r>
    </w:p>
    <w:p w14:paraId="7A9FCDF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联系人：尹建、陈小龙</w:t>
      </w:r>
    </w:p>
    <w:p w14:paraId="61BAA4E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Email：jsrzcnt@126.com</w:t>
      </w:r>
    </w:p>
    <w:p w14:paraId="162A63A0">
      <w:pPr>
        <w:jc w:val="right"/>
        <w:rPr>
          <w:rFonts w:hint="eastAsia" w:ascii="宋体" w:hAnsi="宋体" w:eastAsia="宋体" w:cs="宋体"/>
          <w:color w:val="auto"/>
          <w:sz w:val="24"/>
          <w:szCs w:val="24"/>
          <w:highlight w:val="none"/>
        </w:rPr>
      </w:pPr>
      <w:bookmarkStart w:id="8" w:name="_Hlk44358837"/>
      <w:bookmarkStart w:id="143" w:name="_GoBack"/>
      <w:bookmarkEnd w:id="143"/>
      <w:r>
        <w:rPr>
          <w:rFonts w:hint="eastAsia" w:ascii="宋体" w:hAnsi="宋体" w:eastAsia="宋体" w:cs="宋体"/>
          <w:color w:val="auto"/>
          <w:kern w:val="0"/>
          <w:sz w:val="24"/>
          <w:szCs w:val="24"/>
          <w:highlight w:val="none"/>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28</w:t>
      </w:r>
      <w:r>
        <w:rPr>
          <w:rFonts w:hint="eastAsia" w:ascii="宋体" w:hAnsi="宋体" w:eastAsia="宋体" w:cs="宋体"/>
          <w:color w:val="auto"/>
          <w:sz w:val="24"/>
          <w:szCs w:val="24"/>
          <w:highlight w:val="none"/>
        </w:rPr>
        <w:t>日</w:t>
      </w:r>
      <w:bookmarkEnd w:id="8"/>
    </w:p>
    <w:p w14:paraId="5DA008E5">
      <w:pPr>
        <w:pStyle w:val="20"/>
        <w:rPr>
          <w:rFonts w:hint="eastAsia" w:ascii="宋体" w:hAnsi="宋体" w:eastAsia="宋体" w:cs="宋体"/>
          <w:color w:val="auto"/>
          <w:highlight w:val="none"/>
        </w:rPr>
        <w:sectPr>
          <w:footerReference r:id="rId3" w:type="default"/>
          <w:type w:val="continuous"/>
          <w:pgSz w:w="11905" w:h="16838"/>
          <w:pgMar w:top="1077" w:right="1134" w:bottom="1077" w:left="1134" w:header="850" w:footer="992" w:gutter="0"/>
          <w:pgNumType w:start="1"/>
          <w:cols w:space="0" w:num="1"/>
          <w:docGrid w:linePitch="312" w:charSpace="0"/>
        </w:sectPr>
      </w:pPr>
    </w:p>
    <w:p w14:paraId="2E46F13C">
      <w:pPr>
        <w:pStyle w:val="2"/>
        <w:spacing w:before="120" w:beforeLines="50" w:after="120" w:afterLines="50" w:line="240" w:lineRule="auto"/>
        <w:jc w:val="center"/>
        <w:rPr>
          <w:rFonts w:hint="eastAsia" w:ascii="宋体" w:hAnsi="宋体" w:eastAsia="宋体" w:cs="宋体"/>
          <w:color w:val="auto"/>
          <w:sz w:val="24"/>
          <w:szCs w:val="24"/>
          <w:highlight w:val="none"/>
        </w:rPr>
      </w:pPr>
      <w:bookmarkStart w:id="9" w:name="_Toc152045527"/>
      <w:bookmarkStart w:id="10" w:name="_Toc9226"/>
      <w:bookmarkStart w:id="11" w:name="_Toc12183"/>
      <w:bookmarkStart w:id="12" w:name="_Toc460366495"/>
      <w:bookmarkStart w:id="13" w:name="_Toc234675074"/>
      <w:bookmarkStart w:id="14" w:name="_Toc508615691"/>
      <w:bookmarkStart w:id="15" w:name="_Toc238559183"/>
      <w:bookmarkStart w:id="16" w:name="_Toc179632544"/>
      <w:bookmarkStart w:id="17" w:name="_Toc152042303"/>
      <w:bookmarkStart w:id="18" w:name="_Toc234744442"/>
      <w:bookmarkStart w:id="19" w:name="_Toc144974495"/>
      <w:bookmarkStart w:id="20" w:name="_Toc19318"/>
      <w:r>
        <w:rPr>
          <w:rFonts w:hint="eastAsia" w:ascii="宋体" w:hAnsi="宋体" w:eastAsia="宋体" w:cs="宋体"/>
          <w:b w:val="0"/>
          <w:bCs w:val="0"/>
          <w:color w:val="auto"/>
          <w:highlight w:val="none"/>
        </w:rPr>
        <w:t>第二章投标人须知</w:t>
      </w:r>
      <w:bookmarkEnd w:id="9"/>
      <w:bookmarkEnd w:id="10"/>
      <w:bookmarkEnd w:id="11"/>
      <w:bookmarkEnd w:id="12"/>
      <w:bookmarkEnd w:id="13"/>
      <w:bookmarkEnd w:id="14"/>
      <w:bookmarkEnd w:id="15"/>
      <w:bookmarkEnd w:id="16"/>
      <w:bookmarkEnd w:id="17"/>
      <w:bookmarkEnd w:id="18"/>
      <w:bookmarkEnd w:id="19"/>
      <w:bookmarkEnd w:id="20"/>
      <w:bookmarkStart w:id="21" w:name="_Toc179632545"/>
      <w:bookmarkStart w:id="22" w:name="_Toc144974496"/>
      <w:bookmarkStart w:id="23" w:name="_Toc460366496"/>
      <w:bookmarkStart w:id="24" w:name="_Toc238559184"/>
      <w:bookmarkStart w:id="25" w:name="_Toc152042304"/>
      <w:bookmarkStart w:id="26" w:name="_Toc234675075"/>
      <w:bookmarkStart w:id="27" w:name="_Toc12135"/>
      <w:bookmarkStart w:id="28" w:name="_Toc152045528"/>
      <w:bookmarkStart w:id="29" w:name="_Toc234744443"/>
    </w:p>
    <w:bookmarkEnd w:id="21"/>
    <w:bookmarkEnd w:id="22"/>
    <w:bookmarkEnd w:id="23"/>
    <w:bookmarkEnd w:id="24"/>
    <w:bookmarkEnd w:id="25"/>
    <w:bookmarkEnd w:id="26"/>
    <w:bookmarkEnd w:id="27"/>
    <w:bookmarkEnd w:id="28"/>
    <w:bookmarkEnd w:id="29"/>
    <w:p w14:paraId="5A0C9146">
      <w:pPr>
        <w:spacing w:line="360" w:lineRule="auto"/>
        <w:ind w:left="228" w:right="-20"/>
        <w:rPr>
          <w:rFonts w:hint="eastAsia" w:ascii="宋体" w:hAnsi="宋体" w:eastAsia="宋体" w:cs="宋体"/>
          <w:color w:val="auto"/>
          <w:sz w:val="28"/>
          <w:szCs w:val="28"/>
          <w:highlight w:val="none"/>
        </w:rPr>
      </w:pPr>
      <w:r>
        <w:rPr>
          <w:rFonts w:hint="eastAsia" w:ascii="宋体" w:hAnsi="宋体" w:eastAsia="宋体" w:cs="宋体"/>
          <w:color w:val="auto"/>
          <w:spacing w:val="2"/>
          <w:position w:val="-3"/>
          <w:sz w:val="28"/>
          <w:szCs w:val="28"/>
          <w:highlight w:val="none"/>
        </w:rPr>
        <w:t>投标人须知前附</w:t>
      </w:r>
      <w:r>
        <w:rPr>
          <w:rFonts w:hint="eastAsia" w:ascii="宋体" w:hAnsi="宋体" w:eastAsia="宋体" w:cs="宋体"/>
          <w:color w:val="auto"/>
          <w:spacing w:val="1"/>
          <w:position w:val="-3"/>
          <w:sz w:val="28"/>
          <w:szCs w:val="28"/>
          <w:highlight w:val="none"/>
        </w:rPr>
        <w:t>表</w:t>
      </w:r>
    </w:p>
    <w:tbl>
      <w:tblPr>
        <w:tblStyle w:val="53"/>
        <w:tblW w:w="5055"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56"/>
        <w:gridCol w:w="3313"/>
        <w:gridCol w:w="5410"/>
      </w:tblGrid>
      <w:tr w14:paraId="0D1AA0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629" w:type="pct"/>
            <w:vAlign w:val="center"/>
          </w:tcPr>
          <w:p w14:paraId="44D6AD16">
            <w:pPr>
              <w:widowControl/>
              <w:jc w:val="center"/>
              <w:rPr>
                <w:rFonts w:hint="eastAsia" w:ascii="宋体" w:hAnsi="宋体" w:eastAsia="宋体" w:cs="宋体"/>
                <w:color w:val="auto"/>
                <w:highlight w:val="none"/>
              </w:rPr>
            </w:pPr>
            <w:r>
              <w:rPr>
                <w:rFonts w:hint="eastAsia" w:ascii="宋体" w:hAnsi="宋体" w:eastAsia="宋体" w:cs="宋体"/>
                <w:color w:val="auto"/>
                <w:kern w:val="0"/>
                <w:highlight w:val="none"/>
              </w:rPr>
              <w:t>条款号</w:t>
            </w:r>
          </w:p>
        </w:tc>
        <w:tc>
          <w:tcPr>
            <w:tcW w:w="1659" w:type="pct"/>
            <w:vAlign w:val="center"/>
          </w:tcPr>
          <w:p w14:paraId="3089CD8B">
            <w:pPr>
              <w:widowControl/>
              <w:jc w:val="center"/>
              <w:rPr>
                <w:rFonts w:hint="eastAsia" w:ascii="宋体" w:hAnsi="宋体" w:eastAsia="宋体" w:cs="宋体"/>
                <w:color w:val="auto"/>
                <w:highlight w:val="none"/>
              </w:rPr>
            </w:pPr>
            <w:r>
              <w:rPr>
                <w:rFonts w:hint="eastAsia" w:ascii="宋体" w:hAnsi="宋体" w:eastAsia="宋体" w:cs="宋体"/>
                <w:color w:val="auto"/>
                <w:kern w:val="0"/>
                <w:highlight w:val="none"/>
              </w:rPr>
              <w:t>条款名称</w:t>
            </w:r>
          </w:p>
        </w:tc>
        <w:tc>
          <w:tcPr>
            <w:tcW w:w="2710" w:type="pct"/>
          </w:tcPr>
          <w:p w14:paraId="01473015">
            <w:pPr>
              <w:widowControl/>
              <w:jc w:val="center"/>
              <w:rPr>
                <w:rFonts w:hint="eastAsia" w:ascii="宋体" w:hAnsi="宋体" w:eastAsia="宋体" w:cs="宋体"/>
                <w:color w:val="auto"/>
                <w:highlight w:val="none"/>
              </w:rPr>
            </w:pPr>
            <w:r>
              <w:rPr>
                <w:rFonts w:hint="eastAsia" w:ascii="宋体" w:hAnsi="宋体" w:eastAsia="宋体" w:cs="宋体"/>
                <w:color w:val="auto"/>
                <w:kern w:val="0"/>
                <w:highlight w:val="none"/>
              </w:rPr>
              <w:t>编 列 内 容</w:t>
            </w:r>
          </w:p>
        </w:tc>
      </w:tr>
      <w:tr w14:paraId="653B48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1" w:hRule="atLeast"/>
          <w:jc w:val="center"/>
        </w:trPr>
        <w:tc>
          <w:tcPr>
            <w:tcW w:w="629" w:type="pct"/>
            <w:vAlign w:val="center"/>
          </w:tcPr>
          <w:p w14:paraId="79C9D84A">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1.1.2</w:t>
            </w:r>
          </w:p>
        </w:tc>
        <w:tc>
          <w:tcPr>
            <w:tcW w:w="1659" w:type="pct"/>
            <w:vAlign w:val="center"/>
          </w:tcPr>
          <w:p w14:paraId="4A2499D4">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招标人</w:t>
            </w:r>
          </w:p>
        </w:tc>
        <w:tc>
          <w:tcPr>
            <w:tcW w:w="2710" w:type="pct"/>
          </w:tcPr>
          <w:p w14:paraId="4D630F83">
            <w:pPr>
              <w:widowControl/>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招标人：南通市港航事业发展中心</w:t>
            </w:r>
          </w:p>
          <w:p w14:paraId="42D434D4">
            <w:pPr>
              <w:widowControl/>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地  址：</w:t>
            </w:r>
            <w:r>
              <w:rPr>
                <w:rFonts w:hint="eastAsia" w:ascii="宋体" w:hAnsi="宋体" w:eastAsia="宋体" w:cs="宋体"/>
                <w:color w:val="auto"/>
                <w:highlight w:val="none"/>
                <w:lang w:val="en-US" w:eastAsia="zh-CN"/>
              </w:rPr>
              <w:t>江苏省如皋市福寿西路9</w:t>
            </w:r>
            <w:r>
              <w:rPr>
                <w:rFonts w:hint="eastAsia" w:ascii="宋体" w:hAnsi="宋体" w:eastAsia="宋体" w:cs="宋体"/>
                <w:color w:val="auto"/>
                <w:highlight w:val="none"/>
              </w:rPr>
              <w:t xml:space="preserve">号 </w:t>
            </w:r>
          </w:p>
          <w:p w14:paraId="0B5A956C">
            <w:pPr>
              <w:widowControl/>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联 系 人：</w:t>
            </w:r>
            <w:r>
              <w:rPr>
                <w:rFonts w:hint="eastAsia" w:ascii="宋体" w:hAnsi="宋体" w:eastAsia="宋体" w:cs="宋体"/>
                <w:color w:val="auto"/>
                <w:highlight w:val="none"/>
                <w:lang w:val="en-US" w:eastAsia="zh-CN"/>
              </w:rPr>
              <w:t>石峰</w:t>
            </w:r>
            <w:r>
              <w:rPr>
                <w:rFonts w:hint="eastAsia" w:ascii="宋体" w:hAnsi="宋体" w:eastAsia="宋体" w:cs="宋体"/>
                <w:color w:val="auto"/>
                <w:highlight w:val="none"/>
              </w:rPr>
              <w:tab/>
            </w:r>
          </w:p>
          <w:p w14:paraId="03D0814E">
            <w:pPr>
              <w:widowControl/>
              <w:adjustRightInd w:val="0"/>
              <w:snapToGrid w:val="0"/>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电   话：</w:t>
            </w:r>
            <w:r>
              <w:rPr>
                <w:rFonts w:hint="eastAsia" w:ascii="宋体" w:hAnsi="宋体" w:eastAsia="宋体" w:cs="宋体"/>
                <w:color w:val="auto"/>
                <w:highlight w:val="none"/>
                <w:lang w:val="en-US" w:eastAsia="zh-CN"/>
              </w:rPr>
              <w:t>13862752595</w:t>
            </w:r>
          </w:p>
        </w:tc>
      </w:tr>
      <w:tr w14:paraId="399E59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78491CA">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1.1.3</w:t>
            </w:r>
          </w:p>
        </w:tc>
        <w:tc>
          <w:tcPr>
            <w:tcW w:w="1659" w:type="pct"/>
            <w:vAlign w:val="center"/>
          </w:tcPr>
          <w:p w14:paraId="0FAEAF56">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招标代理机构</w:t>
            </w:r>
          </w:p>
        </w:tc>
        <w:tc>
          <w:tcPr>
            <w:tcW w:w="2710" w:type="pct"/>
          </w:tcPr>
          <w:p w14:paraId="766A6978">
            <w:pPr>
              <w:widowControl/>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招标代理：江苏睿致诚工程咨询有限公司</w:t>
            </w:r>
          </w:p>
          <w:p w14:paraId="4CD8FAC7">
            <w:pPr>
              <w:widowControl/>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地址：南京市江宁区江南路697号金轮星际中心A1栋7楼</w:t>
            </w:r>
          </w:p>
          <w:p w14:paraId="3C74F35C">
            <w:pPr>
              <w:widowControl/>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电话：18906275357（尹建），18932207883（陈小龙）</w:t>
            </w:r>
          </w:p>
          <w:p w14:paraId="5971734E">
            <w:pPr>
              <w:widowControl/>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联系人：尹建、陈小龙</w:t>
            </w:r>
          </w:p>
        </w:tc>
      </w:tr>
      <w:tr w14:paraId="78259B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0" w:hRule="atLeast"/>
          <w:jc w:val="center"/>
        </w:trPr>
        <w:tc>
          <w:tcPr>
            <w:tcW w:w="629" w:type="pct"/>
            <w:vAlign w:val="center"/>
          </w:tcPr>
          <w:p w14:paraId="016DB99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1.1.4</w:t>
            </w:r>
          </w:p>
        </w:tc>
        <w:tc>
          <w:tcPr>
            <w:tcW w:w="1659" w:type="pct"/>
            <w:vAlign w:val="center"/>
          </w:tcPr>
          <w:p w14:paraId="12AAD0C7">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项目名称</w:t>
            </w:r>
          </w:p>
        </w:tc>
        <w:tc>
          <w:tcPr>
            <w:tcW w:w="2710" w:type="pct"/>
            <w:vAlign w:val="center"/>
          </w:tcPr>
          <w:p w14:paraId="6854E41D">
            <w:pPr>
              <w:widowControl/>
              <w:adjustRightInd w:val="0"/>
              <w:snapToGrid w:val="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见招标公告</w:t>
            </w:r>
          </w:p>
        </w:tc>
      </w:tr>
      <w:tr w14:paraId="76181B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204A847">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1.1.5</w:t>
            </w:r>
          </w:p>
        </w:tc>
        <w:tc>
          <w:tcPr>
            <w:tcW w:w="1659" w:type="pct"/>
            <w:vAlign w:val="center"/>
          </w:tcPr>
          <w:p w14:paraId="74FF8258">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建设地点</w:t>
            </w:r>
          </w:p>
        </w:tc>
        <w:tc>
          <w:tcPr>
            <w:tcW w:w="2710" w:type="pct"/>
            <w:vAlign w:val="center"/>
          </w:tcPr>
          <w:p w14:paraId="42EDBB5A">
            <w:pPr>
              <w:widowControl/>
              <w:wordWrap w:val="0"/>
              <w:adjustRightInd w:val="0"/>
              <w:snapToGrid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南通境内</w:t>
            </w:r>
          </w:p>
        </w:tc>
      </w:tr>
      <w:tr w14:paraId="535600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6238531">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1.2.1</w:t>
            </w:r>
          </w:p>
        </w:tc>
        <w:tc>
          <w:tcPr>
            <w:tcW w:w="1659" w:type="pct"/>
            <w:vAlign w:val="center"/>
          </w:tcPr>
          <w:p w14:paraId="45BAC3B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资金来源</w:t>
            </w:r>
          </w:p>
        </w:tc>
        <w:tc>
          <w:tcPr>
            <w:tcW w:w="2710" w:type="pct"/>
            <w:vAlign w:val="center"/>
          </w:tcPr>
          <w:p w14:paraId="6030BFBE">
            <w:pPr>
              <w:widowControl/>
              <w:wordWrap w:val="0"/>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见招标公告</w:t>
            </w:r>
          </w:p>
        </w:tc>
      </w:tr>
      <w:tr w14:paraId="4916EA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7" w:hRule="atLeast"/>
          <w:jc w:val="center"/>
        </w:trPr>
        <w:tc>
          <w:tcPr>
            <w:tcW w:w="629" w:type="pct"/>
            <w:vAlign w:val="center"/>
          </w:tcPr>
          <w:p w14:paraId="51BFEF54">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1.2.2</w:t>
            </w:r>
          </w:p>
        </w:tc>
        <w:tc>
          <w:tcPr>
            <w:tcW w:w="1659" w:type="pct"/>
            <w:vAlign w:val="center"/>
          </w:tcPr>
          <w:p w14:paraId="1688E2B1">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出资比例</w:t>
            </w:r>
          </w:p>
        </w:tc>
        <w:tc>
          <w:tcPr>
            <w:tcW w:w="2710" w:type="pct"/>
            <w:vAlign w:val="center"/>
          </w:tcPr>
          <w:p w14:paraId="7FB7EE3E">
            <w:pPr>
              <w:widowControl/>
              <w:adjustRightInd w:val="0"/>
              <w:snapToGrid w:val="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见招标公告</w:t>
            </w:r>
          </w:p>
        </w:tc>
      </w:tr>
      <w:tr w14:paraId="5C424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55B4234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1.2.3</w:t>
            </w:r>
          </w:p>
        </w:tc>
        <w:tc>
          <w:tcPr>
            <w:tcW w:w="1659" w:type="pct"/>
            <w:vAlign w:val="center"/>
          </w:tcPr>
          <w:p w14:paraId="5C364ECA">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资金落实情况</w:t>
            </w:r>
          </w:p>
        </w:tc>
        <w:tc>
          <w:tcPr>
            <w:tcW w:w="2710" w:type="pct"/>
            <w:vAlign w:val="center"/>
          </w:tcPr>
          <w:p w14:paraId="71315DE1">
            <w:pPr>
              <w:widowControl/>
              <w:wordWrap w:val="0"/>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已落实</w:t>
            </w:r>
          </w:p>
        </w:tc>
      </w:tr>
      <w:tr w14:paraId="51228B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9" w:hRule="atLeast"/>
          <w:jc w:val="center"/>
        </w:trPr>
        <w:tc>
          <w:tcPr>
            <w:tcW w:w="629" w:type="pct"/>
            <w:vAlign w:val="center"/>
          </w:tcPr>
          <w:p w14:paraId="372E94B2">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1.3.1</w:t>
            </w:r>
          </w:p>
        </w:tc>
        <w:tc>
          <w:tcPr>
            <w:tcW w:w="1659" w:type="pct"/>
            <w:vAlign w:val="center"/>
          </w:tcPr>
          <w:p w14:paraId="06E5394F">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招标范围</w:t>
            </w:r>
          </w:p>
        </w:tc>
        <w:tc>
          <w:tcPr>
            <w:tcW w:w="2710" w:type="pct"/>
            <w:vAlign w:val="center"/>
          </w:tcPr>
          <w:p w14:paraId="2EED942F">
            <w:pPr>
              <w:widowControl/>
              <w:wordWrap w:val="0"/>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见招标公告</w:t>
            </w:r>
          </w:p>
        </w:tc>
      </w:tr>
      <w:tr w14:paraId="4DB55E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3" w:hRule="atLeast"/>
          <w:jc w:val="center"/>
        </w:trPr>
        <w:tc>
          <w:tcPr>
            <w:tcW w:w="629" w:type="pct"/>
            <w:vAlign w:val="center"/>
          </w:tcPr>
          <w:p w14:paraId="04E1AC1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1.3.2</w:t>
            </w:r>
          </w:p>
        </w:tc>
        <w:tc>
          <w:tcPr>
            <w:tcW w:w="1659" w:type="pct"/>
            <w:vAlign w:val="center"/>
          </w:tcPr>
          <w:p w14:paraId="0E5B4AF6">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计划工期</w:t>
            </w:r>
          </w:p>
        </w:tc>
        <w:tc>
          <w:tcPr>
            <w:tcW w:w="2710" w:type="pct"/>
            <w:vAlign w:val="center"/>
          </w:tcPr>
          <w:p w14:paraId="5FAF6960">
            <w:pPr>
              <w:widowControl/>
              <w:wordWrap w:val="0"/>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见招标公告</w:t>
            </w:r>
          </w:p>
        </w:tc>
      </w:tr>
      <w:tr w14:paraId="5ECD77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4991E9C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1.3.3</w:t>
            </w:r>
          </w:p>
        </w:tc>
        <w:tc>
          <w:tcPr>
            <w:tcW w:w="1659" w:type="pct"/>
            <w:vAlign w:val="center"/>
          </w:tcPr>
          <w:p w14:paraId="68BFCD7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质量要求</w:t>
            </w:r>
          </w:p>
        </w:tc>
        <w:tc>
          <w:tcPr>
            <w:tcW w:w="2710" w:type="pct"/>
            <w:vAlign w:val="center"/>
          </w:tcPr>
          <w:p w14:paraId="0D4F80B7">
            <w:pPr>
              <w:widowControl/>
              <w:wordWrap w:val="0"/>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见招标公告</w:t>
            </w:r>
          </w:p>
        </w:tc>
      </w:tr>
      <w:tr w14:paraId="7DC3E9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1" w:hRule="atLeast"/>
          <w:jc w:val="center"/>
        </w:trPr>
        <w:tc>
          <w:tcPr>
            <w:tcW w:w="629" w:type="pct"/>
            <w:vAlign w:val="center"/>
          </w:tcPr>
          <w:p w14:paraId="3EAC653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1.3.4</w:t>
            </w:r>
          </w:p>
        </w:tc>
        <w:tc>
          <w:tcPr>
            <w:tcW w:w="1659" w:type="pct"/>
            <w:vAlign w:val="center"/>
          </w:tcPr>
          <w:p w14:paraId="3B7D7E47">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安全目标</w:t>
            </w:r>
          </w:p>
        </w:tc>
        <w:tc>
          <w:tcPr>
            <w:tcW w:w="2710" w:type="pct"/>
            <w:vAlign w:val="center"/>
          </w:tcPr>
          <w:p w14:paraId="23B57592">
            <w:pPr>
              <w:pStyle w:val="18"/>
              <w:topLinePunct/>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见招标公告</w:t>
            </w:r>
          </w:p>
        </w:tc>
      </w:tr>
      <w:tr w14:paraId="4E8008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DAE75B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1.4.1</w:t>
            </w:r>
          </w:p>
        </w:tc>
        <w:tc>
          <w:tcPr>
            <w:tcW w:w="1659" w:type="pct"/>
            <w:vAlign w:val="center"/>
          </w:tcPr>
          <w:p w14:paraId="26BD5F8D">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投标人资质条件、能力和信誉</w:t>
            </w:r>
          </w:p>
        </w:tc>
        <w:tc>
          <w:tcPr>
            <w:tcW w:w="2710" w:type="pct"/>
            <w:vAlign w:val="center"/>
          </w:tcPr>
          <w:p w14:paraId="2BCDFE50">
            <w:pPr>
              <w:widowControl/>
              <w:rPr>
                <w:rFonts w:hint="eastAsia" w:ascii="宋体" w:hAnsi="宋体" w:eastAsia="宋体" w:cs="宋体"/>
                <w:color w:val="auto"/>
                <w:highlight w:val="none"/>
              </w:rPr>
            </w:pPr>
            <w:r>
              <w:rPr>
                <w:rFonts w:hint="eastAsia" w:ascii="宋体" w:hAnsi="宋体" w:eastAsia="宋体" w:cs="宋体"/>
                <w:color w:val="auto"/>
                <w:highlight w:val="none"/>
              </w:rPr>
              <w:t>详见招标公告</w:t>
            </w:r>
          </w:p>
        </w:tc>
      </w:tr>
      <w:tr w14:paraId="6156F4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E2E08C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1.4.2</w:t>
            </w:r>
          </w:p>
        </w:tc>
        <w:tc>
          <w:tcPr>
            <w:tcW w:w="1659" w:type="pct"/>
            <w:vAlign w:val="center"/>
          </w:tcPr>
          <w:p w14:paraId="0ACFA77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是否接受联合体投标</w:t>
            </w:r>
          </w:p>
        </w:tc>
        <w:tc>
          <w:tcPr>
            <w:tcW w:w="2710" w:type="pct"/>
          </w:tcPr>
          <w:p w14:paraId="3D22E781">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□接受</w:t>
            </w:r>
          </w:p>
          <w:p w14:paraId="30A4D02E">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☑不接受</w:t>
            </w:r>
          </w:p>
        </w:tc>
      </w:tr>
      <w:tr w14:paraId="3B2B62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16C218D">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1.9.1</w:t>
            </w:r>
          </w:p>
        </w:tc>
        <w:tc>
          <w:tcPr>
            <w:tcW w:w="1659" w:type="pct"/>
            <w:vAlign w:val="center"/>
          </w:tcPr>
          <w:p w14:paraId="252C348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踏勘现场</w:t>
            </w:r>
          </w:p>
        </w:tc>
        <w:tc>
          <w:tcPr>
            <w:tcW w:w="2710" w:type="pct"/>
          </w:tcPr>
          <w:p w14:paraId="4C1C6A8B">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☑不组织，投标人应自行踏勘现场，费用由投标人自理，安全自负。</w:t>
            </w:r>
          </w:p>
          <w:p w14:paraId="12C6B8E2">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□组织</w:t>
            </w:r>
          </w:p>
        </w:tc>
      </w:tr>
      <w:tr w14:paraId="372B7D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6BB13B4">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1.10.1</w:t>
            </w:r>
          </w:p>
        </w:tc>
        <w:tc>
          <w:tcPr>
            <w:tcW w:w="1659" w:type="pct"/>
            <w:vAlign w:val="center"/>
          </w:tcPr>
          <w:p w14:paraId="00AA375F">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投标预备会</w:t>
            </w:r>
          </w:p>
        </w:tc>
        <w:tc>
          <w:tcPr>
            <w:tcW w:w="2710" w:type="pct"/>
          </w:tcPr>
          <w:p w14:paraId="5E443352">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□召开</w:t>
            </w:r>
          </w:p>
          <w:p w14:paraId="4ADCCBEF">
            <w:pPr>
              <w:widowControl/>
              <w:jc w:val="left"/>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kern w:val="0"/>
                <w:highlight w:val="none"/>
              </w:rPr>
              <w:t>不召开</w:t>
            </w:r>
          </w:p>
        </w:tc>
      </w:tr>
      <w:tr w14:paraId="656BC0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2516B2B5">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1.10.2</w:t>
            </w:r>
          </w:p>
        </w:tc>
        <w:tc>
          <w:tcPr>
            <w:tcW w:w="1659" w:type="pct"/>
            <w:vAlign w:val="center"/>
          </w:tcPr>
          <w:p w14:paraId="38109C6A">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投标人提出问题的截止时间</w:t>
            </w:r>
          </w:p>
        </w:tc>
        <w:tc>
          <w:tcPr>
            <w:tcW w:w="2710" w:type="pct"/>
            <w:vAlign w:val="center"/>
          </w:tcPr>
          <w:p w14:paraId="62003A3B">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时间：投标截止日10天前</w:t>
            </w:r>
          </w:p>
        </w:tc>
      </w:tr>
      <w:tr w14:paraId="3058CC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34EBC8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1.10.3</w:t>
            </w:r>
          </w:p>
        </w:tc>
        <w:tc>
          <w:tcPr>
            <w:tcW w:w="1659" w:type="pct"/>
            <w:vAlign w:val="center"/>
          </w:tcPr>
          <w:p w14:paraId="17186A2C">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招标人书面澄清的时间</w:t>
            </w:r>
          </w:p>
        </w:tc>
        <w:tc>
          <w:tcPr>
            <w:tcW w:w="2710" w:type="pct"/>
            <w:vAlign w:val="center"/>
          </w:tcPr>
          <w:p w14:paraId="0EAF752D">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在南通市交通运输局网（http://jtysj.nantong.gov.cn）上发布招标文件澄清。修改招标文件的时间距投标截止时间不足15日，且修改内容可能影响投标文件编制的，将相应延长投标截止时间。</w:t>
            </w:r>
          </w:p>
        </w:tc>
      </w:tr>
      <w:tr w14:paraId="3E0252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E9953A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1.11</w:t>
            </w:r>
          </w:p>
        </w:tc>
        <w:tc>
          <w:tcPr>
            <w:tcW w:w="1659" w:type="pct"/>
            <w:vAlign w:val="center"/>
          </w:tcPr>
          <w:p w14:paraId="716B7C1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分 包</w:t>
            </w:r>
          </w:p>
        </w:tc>
        <w:tc>
          <w:tcPr>
            <w:tcW w:w="2710" w:type="pct"/>
          </w:tcPr>
          <w:p w14:paraId="08F809FE">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□允许</w:t>
            </w:r>
          </w:p>
          <w:p w14:paraId="7E59D8B6">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☑不允许</w:t>
            </w:r>
          </w:p>
        </w:tc>
      </w:tr>
      <w:tr w14:paraId="0F24A2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E603422">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1.12</w:t>
            </w:r>
          </w:p>
        </w:tc>
        <w:tc>
          <w:tcPr>
            <w:tcW w:w="1659" w:type="pct"/>
            <w:vAlign w:val="center"/>
          </w:tcPr>
          <w:p w14:paraId="405FC86A">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偏离</w:t>
            </w:r>
          </w:p>
        </w:tc>
        <w:tc>
          <w:tcPr>
            <w:tcW w:w="2710" w:type="pct"/>
          </w:tcPr>
          <w:p w14:paraId="356AE750">
            <w:pPr>
              <w:widowControl/>
              <w:jc w:val="left"/>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kern w:val="0"/>
                <w:highlight w:val="none"/>
              </w:rPr>
              <w:t>不允许：不允许重大偏差。</w:t>
            </w:r>
          </w:p>
          <w:p w14:paraId="0FA63467">
            <w:pPr>
              <w:widowControl/>
              <w:jc w:val="left"/>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kern w:val="0"/>
                <w:highlight w:val="none"/>
              </w:rPr>
              <w:t>允许：允许细微偏差</w:t>
            </w:r>
          </w:p>
          <w:p w14:paraId="24C3C0B7">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偏差分重大偏差和细微偏差，本招标项目不接受重大偏差。</w:t>
            </w:r>
          </w:p>
          <w:p w14:paraId="647FDF13">
            <w:pPr>
              <w:widowControl/>
              <w:jc w:val="left"/>
              <w:rPr>
                <w:rFonts w:hint="eastAsia" w:ascii="宋体" w:hAnsi="宋体" w:eastAsia="宋体" w:cs="宋体"/>
                <w:color w:val="auto"/>
                <w:highlight w:val="none"/>
              </w:rPr>
            </w:pPr>
            <w:r>
              <w:rPr>
                <w:rFonts w:hint="eastAsia" w:ascii="宋体" w:hAnsi="宋体" w:eastAsia="宋体" w:cs="宋体"/>
                <w:color w:val="auto"/>
                <w:kern w:val="0"/>
                <w:highlight w:val="none"/>
              </w:rPr>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p>
        </w:tc>
      </w:tr>
      <w:tr w14:paraId="625E97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62A76A3">
            <w:pPr>
              <w:widowControl/>
              <w:adjustRightInd w:val="0"/>
              <w:snapToGrid w:val="0"/>
              <w:jc w:val="center"/>
              <w:rPr>
                <w:rFonts w:hint="eastAsia" w:ascii="宋体" w:hAnsi="宋体" w:eastAsia="宋体" w:cs="宋体"/>
                <w:color w:val="auto"/>
                <w:kern w:val="0"/>
                <w:highlight w:val="none"/>
              </w:rPr>
            </w:pPr>
          </w:p>
          <w:p w14:paraId="472B388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2.1</w:t>
            </w:r>
          </w:p>
        </w:tc>
        <w:tc>
          <w:tcPr>
            <w:tcW w:w="1659" w:type="pct"/>
            <w:vAlign w:val="center"/>
          </w:tcPr>
          <w:p w14:paraId="0F0C619F">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构成招标文件的其他材料</w:t>
            </w:r>
          </w:p>
        </w:tc>
        <w:tc>
          <w:tcPr>
            <w:tcW w:w="2710" w:type="pct"/>
          </w:tcPr>
          <w:p w14:paraId="0F75DE3F">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1、本施工项目招标文件由中华人民共和国交通运输部《水运工程标准施工招标文件》（2008年版）(以下简称“《水运工程标准文件》”)和项目专用本两部分组成。本招标文件为项目专用本。构成招标文件的其他材料还包括补遗书（如有）及相关附件。</w:t>
            </w:r>
          </w:p>
          <w:p w14:paraId="74514CC6">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附件详见以下内容：</w:t>
            </w:r>
          </w:p>
          <w:p w14:paraId="6D6E606B">
            <w:pPr>
              <w:rPr>
                <w:rFonts w:hint="eastAsia" w:ascii="宋体" w:hAnsi="宋体" w:eastAsia="宋体" w:cs="宋体"/>
                <w:b/>
                <w:bCs/>
                <w:color w:val="auto"/>
                <w:kern w:val="0"/>
                <w:highlight w:val="none"/>
              </w:rPr>
            </w:pPr>
            <w:r>
              <w:rPr>
                <w:rFonts w:hint="eastAsia" w:ascii="宋体" w:hAnsi="宋体" w:eastAsia="宋体" w:cs="宋体"/>
                <w:b/>
                <w:bCs/>
                <w:color w:val="auto"/>
                <w:kern w:val="0"/>
                <w:highlight w:val="none"/>
              </w:rPr>
              <w:t>1-1 信用评价</w:t>
            </w:r>
          </w:p>
          <w:p w14:paraId="101C003B">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附件1：江苏省交通运输厅《省交通运输厅关于印发〈江苏省公路水运建设市场信用信息管理办法〉的通知》（苏交规〔2024〕6号）</w:t>
            </w:r>
          </w:p>
          <w:p w14:paraId="74B5DBDA">
            <w:pPr>
              <w:rPr>
                <w:rFonts w:hint="eastAsia" w:ascii="宋体" w:hAnsi="宋体" w:eastAsia="宋体" w:cs="宋体"/>
                <w:b/>
                <w:bCs/>
                <w:color w:val="auto"/>
                <w:kern w:val="0"/>
                <w:highlight w:val="none"/>
              </w:rPr>
            </w:pPr>
            <w:r>
              <w:rPr>
                <w:rFonts w:hint="eastAsia" w:ascii="宋体" w:hAnsi="宋体" w:eastAsia="宋体" w:cs="宋体"/>
                <w:b/>
                <w:bCs/>
                <w:color w:val="auto"/>
                <w:kern w:val="0"/>
                <w:highlight w:val="none"/>
              </w:rPr>
              <w:t>1-2 安全生产</w:t>
            </w:r>
          </w:p>
          <w:p w14:paraId="0B54BCAD">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rPr>
              <w:t>：公路水运工程安全生产监督管理办法（中华人民共和国交通运输部令2017年第25号）</w:t>
            </w:r>
          </w:p>
          <w:p w14:paraId="366006DD">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3</w:t>
            </w:r>
            <w:r>
              <w:rPr>
                <w:rFonts w:hint="eastAsia" w:ascii="宋体" w:hAnsi="宋体" w:eastAsia="宋体" w:cs="宋体"/>
                <w:color w:val="auto"/>
                <w:kern w:val="0"/>
                <w:highlight w:val="none"/>
              </w:rPr>
              <w:t>：“关于印发《企业安全生产费用提取和使用管理办法》的通知（财企〔2022〕136号）”</w:t>
            </w:r>
          </w:p>
          <w:p w14:paraId="24633C1C">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rPr>
              <w:t>：《江苏省交通建设工程质量和安全生产监督管理条例》</w:t>
            </w:r>
          </w:p>
          <w:p w14:paraId="18BFC008">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：江苏省公路水运工程安全生产费用管理办法（苏交规〔2012〕9号）</w:t>
            </w:r>
          </w:p>
          <w:p w14:paraId="5019990E">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：《关于以更高标准更严措施管控交通运输领域重大安全风险的通知》（苏安〔2019〕14号）</w:t>
            </w:r>
          </w:p>
          <w:p w14:paraId="3E07D3BC">
            <w:pPr>
              <w:rPr>
                <w:rFonts w:hint="eastAsia" w:ascii="宋体" w:hAnsi="宋体" w:eastAsia="宋体" w:cs="宋体"/>
                <w:b/>
                <w:bCs/>
                <w:color w:val="auto"/>
                <w:kern w:val="0"/>
                <w:highlight w:val="none"/>
              </w:rPr>
            </w:pPr>
            <w:r>
              <w:rPr>
                <w:rFonts w:hint="eastAsia" w:ascii="宋体" w:hAnsi="宋体" w:eastAsia="宋体" w:cs="宋体"/>
                <w:b/>
                <w:bCs/>
                <w:color w:val="auto"/>
                <w:kern w:val="0"/>
                <w:highlight w:val="none"/>
              </w:rPr>
              <w:t>1-3 扬尘管控</w:t>
            </w:r>
          </w:p>
          <w:p w14:paraId="6E532B35">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7</w:t>
            </w:r>
            <w:r>
              <w:rPr>
                <w:rFonts w:hint="eastAsia" w:ascii="宋体" w:hAnsi="宋体" w:eastAsia="宋体" w:cs="宋体"/>
                <w:color w:val="auto"/>
                <w:kern w:val="0"/>
                <w:highlight w:val="none"/>
              </w:rPr>
              <w:t>：江苏省大气污染防治条例（省第十三届人民代表大会常务委员会公告第11号）</w:t>
            </w:r>
          </w:p>
          <w:p w14:paraId="25C2F9C8">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8</w:t>
            </w:r>
            <w:r>
              <w:rPr>
                <w:rFonts w:hint="eastAsia" w:ascii="宋体" w:hAnsi="宋体" w:eastAsia="宋体" w:cs="宋体"/>
                <w:color w:val="auto"/>
                <w:kern w:val="0"/>
                <w:highlight w:val="none"/>
              </w:rPr>
              <w:t>：江苏省交通运输厅《关于招标文件贯彻落实扬尘污染防治有关法律法规规定的指导意见》；</w:t>
            </w:r>
          </w:p>
          <w:p w14:paraId="6F43E01C">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9</w:t>
            </w:r>
            <w:r>
              <w:rPr>
                <w:rFonts w:hint="eastAsia" w:ascii="宋体" w:hAnsi="宋体" w:eastAsia="宋体" w:cs="宋体"/>
                <w:color w:val="auto"/>
                <w:kern w:val="0"/>
                <w:highlight w:val="none"/>
              </w:rPr>
              <w:t>：《关于印发江苏省公路水运工程工地扬尘污染防治行动方案的函》苏交执法质〔2019〕61号；</w:t>
            </w:r>
          </w:p>
          <w:p w14:paraId="5178DF3D">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10</w:t>
            </w:r>
            <w:r>
              <w:rPr>
                <w:rFonts w:hint="eastAsia" w:ascii="宋体" w:hAnsi="宋体" w:eastAsia="宋体" w:cs="宋体"/>
                <w:color w:val="auto"/>
                <w:kern w:val="0"/>
                <w:highlight w:val="none"/>
              </w:rPr>
              <w:t>：《关于切实加强施工工地塑料防尘网使用管理工作的通知》苏环办〔2019〕254号；</w:t>
            </w:r>
          </w:p>
          <w:p w14:paraId="175068D4">
            <w:pPr>
              <w:autoSpaceDE/>
              <w:autoSpaceDN/>
              <w:snapToGrid/>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 xml:space="preserve">：省交通综合执法局关于印发江苏省公路水运工程施工扬尘污染防治指导手册的通知(苏交执法发〔2021〕48号)。 </w:t>
            </w:r>
          </w:p>
          <w:p w14:paraId="690EF79C">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12</w:t>
            </w:r>
            <w:r>
              <w:rPr>
                <w:rFonts w:hint="eastAsia" w:ascii="宋体" w:hAnsi="宋体" w:eastAsia="宋体" w:cs="宋体"/>
                <w:color w:val="auto"/>
                <w:kern w:val="0"/>
                <w:highlight w:val="none"/>
              </w:rPr>
              <w:t>：《市政府办公室关于开展南通市区施工扬尘专项治理的实施意见》通政办发〔2019〕58号等相关规定</w:t>
            </w:r>
          </w:p>
          <w:p w14:paraId="55EF32B0">
            <w:pPr>
              <w:rPr>
                <w:rFonts w:hint="eastAsia" w:ascii="宋体" w:hAnsi="宋体" w:eastAsia="宋体" w:cs="宋体"/>
                <w:b/>
                <w:bCs/>
                <w:color w:val="auto"/>
                <w:kern w:val="0"/>
                <w:highlight w:val="none"/>
              </w:rPr>
            </w:pPr>
            <w:r>
              <w:rPr>
                <w:rFonts w:hint="eastAsia" w:ascii="宋体" w:hAnsi="宋体" w:eastAsia="宋体" w:cs="宋体"/>
                <w:b/>
                <w:bCs/>
                <w:color w:val="auto"/>
                <w:kern w:val="0"/>
                <w:highlight w:val="none"/>
              </w:rPr>
              <w:t>1-4 农民工工资</w:t>
            </w:r>
          </w:p>
          <w:p w14:paraId="4F07613A">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13</w:t>
            </w:r>
            <w:r>
              <w:rPr>
                <w:rFonts w:hint="eastAsia" w:ascii="宋体" w:hAnsi="宋体" w:eastAsia="宋体" w:cs="宋体"/>
                <w:color w:val="auto"/>
                <w:kern w:val="0"/>
                <w:highlight w:val="none"/>
              </w:rPr>
              <w:t>：《保障农民工工资支付条例》（中华人民共和国国务院令第724号）</w:t>
            </w:r>
          </w:p>
          <w:p w14:paraId="7EBB3617">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14</w:t>
            </w:r>
            <w:r>
              <w:rPr>
                <w:rFonts w:hint="eastAsia" w:ascii="宋体" w:hAnsi="宋体" w:eastAsia="宋体" w:cs="宋体"/>
                <w:color w:val="auto"/>
                <w:kern w:val="0"/>
                <w:highlight w:val="none"/>
              </w:rPr>
              <w:t>：人力资源社会保障部等十部门关于印发《工程建设领域农民工工资专用账户管理暂行办法》的通知（人社部发【2021】53号）</w:t>
            </w:r>
          </w:p>
          <w:p w14:paraId="479EB61F">
            <w:pPr>
              <w:autoSpaceDE/>
              <w:autoSpaceDN/>
              <w:snapToGrid/>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GB"/>
              </w:rPr>
              <w:t>《交通运输部关于公路水运工程建设领域保障农民工工资支付的意见》（交公路规〔2020〕5号）</w:t>
            </w:r>
          </w:p>
          <w:p w14:paraId="5E0B4CEB">
            <w:pPr>
              <w:autoSpaceDE/>
              <w:autoSpaceDN/>
              <w:snapToGrid/>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GB"/>
              </w:rPr>
              <w:t>《关于我省公路水运建设领域贯彻落实〈保障农民工工资支付条例〉的通知》（苏交传﹝2020﹞138号）</w:t>
            </w:r>
          </w:p>
          <w:p w14:paraId="4F72E7CC">
            <w:pPr>
              <w:autoSpaceDE/>
              <w:autoSpaceDN/>
              <w:snapToGrid/>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17</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GB"/>
              </w:rPr>
              <w:t>《省交通运输厅关于交通工程建设领域农民工工资专用账户管理的补充通知》（苏交传〔2020〕398号）</w:t>
            </w:r>
          </w:p>
          <w:p w14:paraId="16EFCE91">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18</w:t>
            </w:r>
            <w:r>
              <w:rPr>
                <w:rFonts w:hint="eastAsia" w:ascii="宋体" w:hAnsi="宋体" w:eastAsia="宋体" w:cs="宋体"/>
                <w:color w:val="auto"/>
                <w:kern w:val="0"/>
                <w:highlight w:val="none"/>
              </w:rPr>
              <w:t>：《省交通运输厅关于交通工程建设领域保障农民工工资支付的意见》（苏交规〔2021〕2号）</w:t>
            </w:r>
          </w:p>
          <w:p w14:paraId="7EE846E3">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19</w:t>
            </w:r>
            <w:r>
              <w:rPr>
                <w:rFonts w:hint="eastAsia" w:ascii="宋体" w:hAnsi="宋体" w:eastAsia="宋体" w:cs="宋体"/>
                <w:color w:val="auto"/>
                <w:kern w:val="0"/>
                <w:highlight w:val="none"/>
              </w:rPr>
              <w:t>：江苏省工程建设领域农民工工资专用账户管理细则（苏人社规[2022]3号）</w:t>
            </w:r>
          </w:p>
          <w:p w14:paraId="35E7A0D0">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20</w:t>
            </w:r>
            <w:r>
              <w:rPr>
                <w:rFonts w:hint="eastAsia" w:ascii="宋体" w:hAnsi="宋体" w:eastAsia="宋体" w:cs="宋体"/>
                <w:color w:val="auto"/>
                <w:kern w:val="0"/>
                <w:highlight w:val="none"/>
              </w:rPr>
              <w:t>：江苏省工程建设领域农民工工资保证金管理办法（苏人社规[2022]4号）</w:t>
            </w:r>
          </w:p>
          <w:p w14:paraId="21155195">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21</w:t>
            </w:r>
            <w:r>
              <w:rPr>
                <w:rFonts w:hint="eastAsia" w:ascii="宋体" w:hAnsi="宋体" w:eastAsia="宋体" w:cs="宋体"/>
                <w:color w:val="auto"/>
                <w:kern w:val="0"/>
                <w:highlight w:val="none"/>
              </w:rPr>
              <w:t>：《南通市工程项目根治拖欠农民工工资工作要点指南》通治欠办发〔2020〕16号</w:t>
            </w:r>
          </w:p>
          <w:p w14:paraId="5EBD4647">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22</w:t>
            </w:r>
            <w:r>
              <w:rPr>
                <w:rFonts w:hint="eastAsia" w:ascii="宋体" w:hAnsi="宋体" w:eastAsia="宋体" w:cs="宋体"/>
                <w:color w:val="auto"/>
                <w:kern w:val="0"/>
                <w:highlight w:val="none"/>
              </w:rPr>
              <w:t>：南通市人力资源和社会保障局等七部门关于印发《江苏省工程建设领域农民工工资专用账户管理细则》的通知通人社监[2022]5号</w:t>
            </w:r>
          </w:p>
          <w:p w14:paraId="01D117E1">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23</w:t>
            </w:r>
            <w:r>
              <w:rPr>
                <w:rFonts w:hint="eastAsia" w:ascii="宋体" w:hAnsi="宋体" w:eastAsia="宋体" w:cs="宋体"/>
                <w:color w:val="auto"/>
                <w:kern w:val="0"/>
                <w:highlight w:val="none"/>
              </w:rPr>
              <w:t>：《关于做好全市工程建设领域农民工工资保证金管理工作的通知》通人社监[2023]2号</w:t>
            </w:r>
          </w:p>
          <w:p w14:paraId="3230D0E5">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24</w:t>
            </w:r>
            <w:r>
              <w:rPr>
                <w:rFonts w:hint="eastAsia" w:ascii="宋体" w:hAnsi="宋体" w:eastAsia="宋体" w:cs="宋体"/>
                <w:color w:val="auto"/>
                <w:kern w:val="0"/>
                <w:highlight w:val="none"/>
              </w:rPr>
              <w:t>：《关于加强工程建设领域劳资专管员队伍建设和管理的通知》通治欠办发[2023]11号</w:t>
            </w:r>
          </w:p>
          <w:p w14:paraId="42E9BD26">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25</w:t>
            </w:r>
            <w:r>
              <w:rPr>
                <w:rFonts w:hint="eastAsia" w:ascii="宋体" w:hAnsi="宋体" w:eastAsia="宋体" w:cs="宋体"/>
                <w:color w:val="auto"/>
                <w:kern w:val="0"/>
                <w:highlight w:val="none"/>
              </w:rPr>
              <w:t>：《关于进一步推进工程项目农民工工资“月结月清”工作的通知》通人社监[2024]3号</w:t>
            </w:r>
          </w:p>
          <w:p w14:paraId="18DD9324">
            <w:pPr>
              <w:rPr>
                <w:rFonts w:hint="eastAsia" w:ascii="宋体" w:hAnsi="宋体" w:eastAsia="宋体" w:cs="宋体"/>
                <w:b/>
                <w:bCs/>
                <w:color w:val="auto"/>
                <w:kern w:val="0"/>
                <w:highlight w:val="none"/>
              </w:rPr>
            </w:pPr>
            <w:r>
              <w:rPr>
                <w:rFonts w:hint="eastAsia" w:ascii="宋体" w:hAnsi="宋体" w:eastAsia="宋体" w:cs="宋体"/>
                <w:b/>
                <w:bCs/>
                <w:color w:val="auto"/>
                <w:kern w:val="0"/>
                <w:highlight w:val="none"/>
              </w:rPr>
              <w:t>1-</w:t>
            </w:r>
            <w:r>
              <w:rPr>
                <w:rFonts w:hint="eastAsia" w:ascii="宋体" w:hAnsi="宋体" w:eastAsia="宋体" w:cs="宋体"/>
                <w:b/>
                <w:bCs/>
                <w:color w:val="auto"/>
                <w:kern w:val="0"/>
                <w:highlight w:val="none"/>
                <w:lang w:val="en-US" w:eastAsia="zh-CN"/>
              </w:rPr>
              <w:t>5</w:t>
            </w:r>
            <w:r>
              <w:rPr>
                <w:rFonts w:hint="eastAsia" w:ascii="宋体" w:hAnsi="宋体" w:eastAsia="宋体" w:cs="宋体"/>
                <w:b/>
                <w:bCs/>
                <w:color w:val="auto"/>
                <w:kern w:val="0"/>
                <w:highlight w:val="none"/>
              </w:rPr>
              <w:t>推荐工艺和落后工艺</w:t>
            </w:r>
          </w:p>
          <w:p w14:paraId="5682041C">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26</w:t>
            </w:r>
            <w:r>
              <w:rPr>
                <w:rFonts w:hint="eastAsia" w:ascii="宋体" w:hAnsi="宋体" w:eastAsia="宋体" w:cs="宋体"/>
                <w:color w:val="auto"/>
                <w:kern w:val="0"/>
                <w:highlight w:val="none"/>
              </w:rPr>
              <w:t>：《江苏省公路水运工程施工工艺推荐目录（第一批）》（苏交建〔2018〕13号）</w:t>
            </w:r>
          </w:p>
          <w:p w14:paraId="65A3C358">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27</w:t>
            </w:r>
            <w:r>
              <w:rPr>
                <w:rFonts w:hint="eastAsia" w:ascii="宋体" w:hAnsi="宋体" w:eastAsia="宋体" w:cs="宋体"/>
                <w:color w:val="auto"/>
                <w:kern w:val="0"/>
                <w:highlight w:val="none"/>
              </w:rPr>
              <w:t>：《江苏省公路水运工程推荐施工工艺（第二批）》（苏交建函【2022】9号）</w:t>
            </w:r>
          </w:p>
          <w:p w14:paraId="4EE4A7F9">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28</w:t>
            </w:r>
            <w:r>
              <w:rPr>
                <w:rFonts w:hint="eastAsia" w:ascii="宋体" w:hAnsi="宋体" w:eastAsia="宋体" w:cs="宋体"/>
                <w:color w:val="auto"/>
                <w:kern w:val="0"/>
                <w:highlight w:val="none"/>
              </w:rPr>
              <w:t>：江苏省公路水运工程落后工艺淘汰目录清单（第一批）》的通知（苏交质[2018]24号）</w:t>
            </w:r>
          </w:p>
          <w:p w14:paraId="597E1702">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附件</w:t>
            </w:r>
            <w:r>
              <w:rPr>
                <w:rFonts w:hint="eastAsia" w:ascii="宋体" w:hAnsi="宋体" w:eastAsia="宋体" w:cs="宋体"/>
                <w:color w:val="auto"/>
                <w:kern w:val="0"/>
                <w:highlight w:val="none"/>
                <w:lang w:val="en-US" w:eastAsia="zh-CN"/>
              </w:rPr>
              <w:t>29</w:t>
            </w:r>
            <w:r>
              <w:rPr>
                <w:rFonts w:hint="eastAsia" w:ascii="宋体" w:hAnsi="宋体" w:eastAsia="宋体" w:cs="宋体"/>
                <w:color w:val="auto"/>
                <w:kern w:val="0"/>
                <w:highlight w:val="none"/>
              </w:rPr>
              <w:t>：江苏省公路水运工程落后工艺淘汰目录清单（第二批）》的通知（2022年第8号上述各附件请投标人自行从相关网站查询。</w:t>
            </w:r>
          </w:p>
          <w:p w14:paraId="2A330E23">
            <w:pPr>
              <w:rPr>
                <w:rFonts w:hint="eastAsia" w:ascii="宋体" w:hAnsi="宋体" w:eastAsia="宋体" w:cs="宋体"/>
                <w:color w:val="auto"/>
                <w:kern w:val="0"/>
                <w:highlight w:val="none"/>
              </w:rPr>
            </w:pPr>
            <w:r>
              <w:rPr>
                <w:rFonts w:hint="eastAsia" w:ascii="宋体" w:hAnsi="宋体" w:eastAsia="宋体" w:cs="宋体"/>
                <w:color w:val="auto"/>
                <w:kern w:val="0"/>
                <w:highlight w:val="none"/>
              </w:rPr>
              <w:t>2、项目专用本是根据本项目实际情况对《水运工程标准文件》进行了补充、完善和修改。投标人应将《水运工程标准文件》和项目专用本结合阅读，凡《水运工程标准文件》与项目专用本有相悖之处，以项目专用本为准。项目专用本未对《水运工程标准文件》进行补充、细化、修改和说明的，以《水运工程标准文件》为准。</w:t>
            </w:r>
          </w:p>
          <w:p w14:paraId="0F6FB61E">
            <w:pPr>
              <w:widowControl/>
              <w:jc w:val="left"/>
              <w:rPr>
                <w:rFonts w:hint="eastAsia" w:ascii="宋体" w:hAnsi="宋体" w:eastAsia="宋体" w:cs="宋体"/>
                <w:color w:val="auto"/>
                <w:highlight w:val="none"/>
              </w:rPr>
            </w:pPr>
            <w:r>
              <w:rPr>
                <w:rFonts w:hint="eastAsia" w:ascii="宋体" w:hAnsi="宋体" w:eastAsia="宋体" w:cs="宋体"/>
                <w:color w:val="auto"/>
                <w:kern w:val="0"/>
                <w:highlight w:val="none"/>
              </w:rPr>
              <w:t>3、《水运工程标准文件》由投标人自备。</w:t>
            </w:r>
          </w:p>
        </w:tc>
      </w:tr>
      <w:tr w14:paraId="0295B0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35E73C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2.2.1</w:t>
            </w:r>
          </w:p>
        </w:tc>
        <w:tc>
          <w:tcPr>
            <w:tcW w:w="1659" w:type="pct"/>
            <w:vAlign w:val="center"/>
          </w:tcPr>
          <w:p w14:paraId="52CE8B1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投标人要求澄清招标文件的截止时间</w:t>
            </w:r>
          </w:p>
        </w:tc>
        <w:tc>
          <w:tcPr>
            <w:tcW w:w="2710" w:type="pct"/>
            <w:vAlign w:val="center"/>
          </w:tcPr>
          <w:p w14:paraId="2A659139">
            <w:pPr>
              <w:widowControl/>
              <w:adjustRightInd w:val="0"/>
              <w:snapToGrid w:val="0"/>
              <w:jc w:val="left"/>
              <w:rPr>
                <w:rFonts w:hint="eastAsia" w:ascii="宋体" w:hAnsi="宋体" w:eastAsia="宋体" w:cs="宋体"/>
                <w:color w:val="auto"/>
                <w:highlight w:val="none"/>
              </w:rPr>
            </w:pPr>
            <w:r>
              <w:rPr>
                <w:rFonts w:hint="eastAsia" w:ascii="宋体" w:hAnsi="宋体" w:eastAsia="宋体" w:cs="宋体"/>
                <w:color w:val="auto"/>
                <w:kern w:val="0"/>
                <w:highlight w:val="none"/>
              </w:rPr>
              <w:t>时间：投标截止日10天前</w:t>
            </w:r>
          </w:p>
        </w:tc>
      </w:tr>
      <w:tr w14:paraId="66A03F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 w:hRule="atLeast"/>
          <w:jc w:val="center"/>
        </w:trPr>
        <w:tc>
          <w:tcPr>
            <w:tcW w:w="629" w:type="pct"/>
            <w:vAlign w:val="center"/>
          </w:tcPr>
          <w:p w14:paraId="6DA6DACD">
            <w:pPr>
              <w:widowControl/>
              <w:wordWrap w:val="0"/>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2.2.2</w:t>
            </w:r>
          </w:p>
        </w:tc>
        <w:tc>
          <w:tcPr>
            <w:tcW w:w="1659" w:type="pct"/>
            <w:vAlign w:val="center"/>
          </w:tcPr>
          <w:p w14:paraId="31BFC021">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投标截止时间</w:t>
            </w:r>
          </w:p>
        </w:tc>
        <w:tc>
          <w:tcPr>
            <w:tcW w:w="2710" w:type="pct"/>
            <w:vAlign w:val="center"/>
          </w:tcPr>
          <w:p w14:paraId="2EA0AA5F">
            <w:pPr>
              <w:widowControl/>
              <w:adjustRightInd w:val="0"/>
              <w:snapToGrid w:val="0"/>
              <w:rPr>
                <w:rFonts w:hint="eastAsia" w:ascii="宋体" w:hAnsi="宋体" w:eastAsia="宋体" w:cs="宋体"/>
                <w:color w:val="auto"/>
                <w:kern w:val="0"/>
                <w:highlight w:val="none"/>
              </w:rPr>
            </w:pPr>
            <w:r>
              <w:rPr>
                <w:rFonts w:hint="eastAsia" w:ascii="宋体" w:hAnsi="宋体" w:eastAsia="宋体" w:cs="宋体"/>
                <w:color w:val="auto"/>
                <w:kern w:val="0"/>
                <w:highlight w:val="none"/>
              </w:rPr>
              <w:t>详见招标公告</w:t>
            </w:r>
          </w:p>
        </w:tc>
      </w:tr>
      <w:tr w14:paraId="77C548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E230B58">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2.2.3</w:t>
            </w:r>
          </w:p>
        </w:tc>
        <w:tc>
          <w:tcPr>
            <w:tcW w:w="1659" w:type="pct"/>
            <w:vAlign w:val="center"/>
          </w:tcPr>
          <w:p w14:paraId="2D0C3F4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投标人确认收到招标文件澄清的时间</w:t>
            </w:r>
          </w:p>
        </w:tc>
        <w:tc>
          <w:tcPr>
            <w:tcW w:w="2710" w:type="pct"/>
            <w:vAlign w:val="center"/>
          </w:tcPr>
          <w:p w14:paraId="4C9C9D04">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在</w:t>
            </w:r>
            <w:r>
              <w:rPr>
                <w:rFonts w:hint="eastAsia" w:ascii="宋体" w:hAnsi="宋体" w:eastAsia="宋体" w:cs="宋体"/>
                <w:color w:val="auto"/>
                <w:kern w:val="0"/>
                <w:highlight w:val="none"/>
              </w:rPr>
              <w:t>南通市交通运输局（http://jtysj.nantong.gov.cn）</w:t>
            </w:r>
            <w:r>
              <w:rPr>
                <w:rFonts w:hint="eastAsia" w:ascii="宋体" w:hAnsi="宋体" w:eastAsia="宋体" w:cs="宋体"/>
                <w:color w:val="auto"/>
                <w:kern w:val="0"/>
                <w:highlight w:val="none"/>
                <w:lang w:val="en-US" w:eastAsia="zh-CN"/>
              </w:rPr>
              <w:t>上</w:t>
            </w:r>
            <w:r>
              <w:rPr>
                <w:rFonts w:hint="eastAsia" w:ascii="宋体" w:hAnsi="宋体" w:eastAsia="宋体" w:cs="宋体"/>
                <w:color w:val="auto"/>
                <w:kern w:val="0"/>
                <w:highlight w:val="none"/>
              </w:rPr>
              <w:t>发出招标文件澄清，请投标人自行下载。在网站上一经公布，视为投标人已知悉并自行进行下载，无需确认。</w:t>
            </w:r>
          </w:p>
        </w:tc>
      </w:tr>
      <w:tr w14:paraId="53E37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629" w:type="pct"/>
            <w:vAlign w:val="center"/>
          </w:tcPr>
          <w:p w14:paraId="207D69E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2.3.2</w:t>
            </w:r>
          </w:p>
        </w:tc>
        <w:tc>
          <w:tcPr>
            <w:tcW w:w="1659" w:type="pct"/>
            <w:vAlign w:val="center"/>
          </w:tcPr>
          <w:p w14:paraId="38ECB4A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投标人确认收到招标文件修改的时间</w:t>
            </w:r>
          </w:p>
        </w:tc>
        <w:tc>
          <w:tcPr>
            <w:tcW w:w="2710" w:type="pct"/>
            <w:vAlign w:val="center"/>
          </w:tcPr>
          <w:p w14:paraId="26F28ACE">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在</w:t>
            </w:r>
            <w:r>
              <w:rPr>
                <w:rFonts w:hint="eastAsia" w:ascii="宋体" w:hAnsi="宋体" w:eastAsia="宋体" w:cs="宋体"/>
                <w:color w:val="auto"/>
                <w:kern w:val="0"/>
                <w:highlight w:val="none"/>
              </w:rPr>
              <w:t>南通市交通运输局（http://jtysj.nantong.gov.cn）</w:t>
            </w:r>
            <w:r>
              <w:rPr>
                <w:rFonts w:hint="eastAsia" w:ascii="宋体" w:hAnsi="宋体" w:eastAsia="宋体" w:cs="宋体"/>
                <w:color w:val="auto"/>
                <w:kern w:val="0"/>
                <w:highlight w:val="none"/>
                <w:lang w:val="en-US" w:eastAsia="zh-CN"/>
              </w:rPr>
              <w:t>上</w:t>
            </w:r>
            <w:r>
              <w:rPr>
                <w:rFonts w:hint="eastAsia" w:ascii="宋体" w:hAnsi="宋体" w:eastAsia="宋体" w:cs="宋体"/>
                <w:color w:val="auto"/>
                <w:kern w:val="0"/>
                <w:highlight w:val="none"/>
              </w:rPr>
              <w:t>发出招标文件修改，请投标人自行下载。在网站上一经公布，视为投标人已知悉并自行进行下载，无需确认。</w:t>
            </w:r>
          </w:p>
        </w:tc>
      </w:tr>
      <w:tr w14:paraId="102023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8" w:hRule="atLeast"/>
          <w:jc w:val="center"/>
        </w:trPr>
        <w:tc>
          <w:tcPr>
            <w:tcW w:w="629" w:type="pct"/>
            <w:vAlign w:val="center"/>
          </w:tcPr>
          <w:p w14:paraId="3814099C">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3.1.1</w:t>
            </w:r>
          </w:p>
        </w:tc>
        <w:tc>
          <w:tcPr>
            <w:tcW w:w="1659" w:type="pct"/>
            <w:vAlign w:val="center"/>
          </w:tcPr>
          <w:p w14:paraId="1AE31DDC">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构成投标文件的其他材料</w:t>
            </w:r>
          </w:p>
        </w:tc>
        <w:tc>
          <w:tcPr>
            <w:tcW w:w="2710" w:type="pct"/>
            <w:vAlign w:val="center"/>
          </w:tcPr>
          <w:p w14:paraId="76D89F39">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见第八章 投标文件格式“九、其他材料”</w:t>
            </w:r>
          </w:p>
        </w:tc>
      </w:tr>
      <w:tr w14:paraId="1393BA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44340D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3.1.3</w:t>
            </w:r>
          </w:p>
        </w:tc>
        <w:tc>
          <w:tcPr>
            <w:tcW w:w="1659" w:type="pct"/>
            <w:vAlign w:val="center"/>
          </w:tcPr>
          <w:p w14:paraId="41ABF0FC">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施工组织设计应至少包括</w:t>
            </w:r>
          </w:p>
        </w:tc>
        <w:tc>
          <w:tcPr>
            <w:tcW w:w="2710" w:type="pct"/>
            <w:vAlign w:val="center"/>
          </w:tcPr>
          <w:p w14:paraId="391D5A66">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（1）施工组织方案</w:t>
            </w:r>
          </w:p>
          <w:p w14:paraId="45020638">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（2）重难点分析</w:t>
            </w:r>
          </w:p>
          <w:p w14:paraId="51687F13">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（3）质量、安全、环保及进度保证措施</w:t>
            </w:r>
          </w:p>
        </w:tc>
      </w:tr>
      <w:tr w14:paraId="34560F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6B3E49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3.2.1</w:t>
            </w:r>
          </w:p>
        </w:tc>
        <w:tc>
          <w:tcPr>
            <w:tcW w:w="1659" w:type="pct"/>
            <w:vAlign w:val="center"/>
          </w:tcPr>
          <w:p w14:paraId="33C47EE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工程量清单的填写方式</w:t>
            </w:r>
          </w:p>
        </w:tc>
        <w:tc>
          <w:tcPr>
            <w:tcW w:w="2710" w:type="pct"/>
            <w:vAlign w:val="center"/>
          </w:tcPr>
          <w:p w14:paraId="68196E6C">
            <w:pPr>
              <w:widowControl/>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投标人按照招标人提供的工程量固化清单电子文件填写工程量清单</w:t>
            </w:r>
          </w:p>
        </w:tc>
      </w:tr>
      <w:tr w14:paraId="1D778A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jc w:val="center"/>
        </w:trPr>
        <w:tc>
          <w:tcPr>
            <w:tcW w:w="629" w:type="pct"/>
            <w:vAlign w:val="center"/>
          </w:tcPr>
          <w:p w14:paraId="6F0FD3D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en-US" w:eastAsia="zh-CN"/>
              </w:rPr>
              <w:t>3</w:t>
            </w:r>
            <w:r>
              <w:rPr>
                <w:rFonts w:hint="eastAsia" w:ascii="宋体" w:hAnsi="宋体" w:eastAsia="宋体" w:cs="宋体"/>
                <w:color w:val="auto"/>
                <w:kern w:val="0"/>
                <w:highlight w:val="none"/>
              </w:rPr>
              <w:t>.1</w:t>
            </w:r>
          </w:p>
        </w:tc>
        <w:tc>
          <w:tcPr>
            <w:tcW w:w="1659" w:type="pct"/>
            <w:vAlign w:val="center"/>
          </w:tcPr>
          <w:p w14:paraId="04634E7C">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投标有效期</w:t>
            </w:r>
          </w:p>
        </w:tc>
        <w:tc>
          <w:tcPr>
            <w:tcW w:w="2710" w:type="pct"/>
          </w:tcPr>
          <w:p w14:paraId="38547B75">
            <w:pPr>
              <w:pStyle w:val="20"/>
              <w:rPr>
                <w:rFonts w:hint="eastAsia" w:ascii="宋体" w:hAnsi="宋体" w:eastAsia="宋体" w:cs="宋体"/>
                <w:color w:val="auto"/>
                <w:highlight w:val="none"/>
              </w:rPr>
            </w:pPr>
            <w:r>
              <w:rPr>
                <w:rFonts w:hint="eastAsia" w:ascii="宋体" w:hAnsi="宋体" w:eastAsia="宋体" w:cs="宋体"/>
                <w:color w:val="auto"/>
                <w:highlight w:val="none"/>
              </w:rPr>
              <w:t>自投标人提交投标文件截止之日起计算90天</w:t>
            </w:r>
          </w:p>
        </w:tc>
      </w:tr>
      <w:tr w14:paraId="05BA7A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4" w:hRule="atLeast"/>
          <w:jc w:val="center"/>
        </w:trPr>
        <w:tc>
          <w:tcPr>
            <w:tcW w:w="629" w:type="pct"/>
            <w:vAlign w:val="center"/>
          </w:tcPr>
          <w:p w14:paraId="7016DB1C">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3.4.1</w:t>
            </w:r>
          </w:p>
        </w:tc>
        <w:tc>
          <w:tcPr>
            <w:tcW w:w="1659" w:type="pct"/>
            <w:vAlign w:val="center"/>
          </w:tcPr>
          <w:p w14:paraId="5079C96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投标保证金</w:t>
            </w:r>
          </w:p>
        </w:tc>
        <w:tc>
          <w:tcPr>
            <w:tcW w:w="2710" w:type="pct"/>
            <w:vAlign w:val="center"/>
          </w:tcPr>
          <w:p w14:paraId="70E9FAE5">
            <w:pPr>
              <w:pStyle w:val="18"/>
              <w:topLinePunct/>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1、是否要求投标人递交投标保证金：</w:t>
            </w:r>
          </w:p>
          <w:p w14:paraId="0DD548CF">
            <w:pPr>
              <w:pStyle w:val="18"/>
              <w:topLinePunct/>
              <w:adjustRightInd w:val="0"/>
              <w:snapToGrid w:val="0"/>
              <w:rPr>
                <w:rFonts w:hint="eastAsia" w:ascii="宋体" w:hAnsi="宋体" w:eastAsia="宋体" w:cs="宋体"/>
                <w:color w:val="auto"/>
                <w:sz w:val="21"/>
                <w:szCs w:val="21"/>
                <w:highlight w:val="none"/>
              </w:rPr>
            </w:pPr>
            <w:r>
              <w:rPr>
                <w:rFonts w:hint="eastAsia" w:hAnsi="宋体" w:cs="宋体"/>
                <w:bCs/>
                <w:color w:val="auto"/>
                <w:sz w:val="21"/>
                <w:szCs w:val="21"/>
                <w:highlight w:val="none"/>
                <w:lang w:eastAsia="zh-CN"/>
              </w:rPr>
              <w:t>□</w:t>
            </w:r>
            <w:r>
              <w:rPr>
                <w:rFonts w:hint="eastAsia" w:ascii="宋体" w:hAnsi="宋体" w:eastAsia="宋体" w:cs="宋体"/>
                <w:color w:val="auto"/>
                <w:sz w:val="21"/>
                <w:szCs w:val="21"/>
                <w:highlight w:val="none"/>
              </w:rPr>
              <w:t>要求</w:t>
            </w:r>
          </w:p>
          <w:p w14:paraId="7972A2D9">
            <w:pPr>
              <w:autoSpaceDE w:val="0"/>
              <w:autoSpaceDN w:val="0"/>
              <w:adjustRightInd w:val="0"/>
              <w:snapToGrid w:val="0"/>
              <w:jc w:val="left"/>
              <w:rPr>
                <w:rFonts w:hint="eastAsia" w:ascii="宋体" w:hAnsi="宋体" w:eastAsia="宋体" w:cs="宋体"/>
                <w:color w:val="auto"/>
                <w:kern w:val="0"/>
                <w:highlight w:val="none"/>
              </w:rPr>
            </w:pPr>
            <w:r>
              <w:rPr>
                <w:rFonts w:hint="eastAsia" w:ascii="宋体" w:hAnsi="宋体" w:cs="宋体"/>
                <w:color w:val="auto"/>
                <w:highlight w:val="none"/>
                <w:lang w:eastAsia="zh-CN"/>
              </w:rPr>
              <w:t>☑</w:t>
            </w:r>
            <w:r>
              <w:rPr>
                <w:rFonts w:hint="eastAsia" w:ascii="宋体" w:hAnsi="宋体" w:eastAsia="宋体" w:cs="宋体"/>
                <w:color w:val="auto"/>
                <w:highlight w:val="none"/>
              </w:rPr>
              <w:t>不要求</w:t>
            </w:r>
          </w:p>
        </w:tc>
      </w:tr>
      <w:tr w14:paraId="204119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1" w:hRule="atLeast"/>
          <w:jc w:val="center"/>
        </w:trPr>
        <w:tc>
          <w:tcPr>
            <w:tcW w:w="629" w:type="pct"/>
            <w:vAlign w:val="center"/>
          </w:tcPr>
          <w:p w14:paraId="1EC8F2F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highlight w:val="none"/>
              </w:rPr>
              <w:t>3.4.5</w:t>
            </w:r>
          </w:p>
        </w:tc>
        <w:tc>
          <w:tcPr>
            <w:tcW w:w="1659" w:type="pct"/>
            <w:vAlign w:val="center"/>
          </w:tcPr>
          <w:p w14:paraId="7A4BCD6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若投标人决定不继续参与投标</w:t>
            </w:r>
          </w:p>
        </w:tc>
        <w:tc>
          <w:tcPr>
            <w:tcW w:w="2710" w:type="pct"/>
            <w:vAlign w:val="center"/>
          </w:tcPr>
          <w:p w14:paraId="083C11C6">
            <w:pPr>
              <w:pStyle w:val="18"/>
              <w:topLinePunct/>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增加：</w:t>
            </w:r>
          </w:p>
          <w:p w14:paraId="05FE92AF">
            <w:pPr>
              <w:pStyle w:val="18"/>
              <w:topLinePunct/>
              <w:adjustRightInd w:val="0"/>
              <w:snapToGrid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3.4.5若投标人决定不继续参与投标须在投标截止之日3天前书面告知招标人</w:t>
            </w:r>
            <w:r>
              <w:rPr>
                <w:rFonts w:hint="eastAsia" w:hAnsi="宋体" w:cs="宋体"/>
                <w:color w:val="auto"/>
                <w:sz w:val="21"/>
                <w:szCs w:val="21"/>
                <w:highlight w:val="none"/>
                <w:lang w:eastAsia="zh-CN"/>
              </w:rPr>
              <w:t>。</w:t>
            </w:r>
          </w:p>
        </w:tc>
      </w:tr>
      <w:tr w14:paraId="0EDC5D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41E8C17">
            <w:pPr>
              <w:widowControl/>
              <w:adjustRightInd w:val="0"/>
              <w:snapToGrid w:val="0"/>
              <w:jc w:val="center"/>
              <w:rPr>
                <w:rFonts w:hint="eastAsia" w:ascii="宋体" w:hAnsi="宋体" w:eastAsia="宋体" w:cs="宋体"/>
                <w:color w:val="auto"/>
                <w:kern w:val="0"/>
                <w:highlight w:val="none"/>
              </w:rPr>
            </w:pPr>
            <w:bookmarkStart w:id="30" w:name="_Hlk172060108"/>
            <w:r>
              <w:rPr>
                <w:rFonts w:hint="eastAsia" w:ascii="宋体" w:hAnsi="宋体" w:eastAsia="宋体" w:cs="宋体"/>
                <w:color w:val="auto"/>
                <w:kern w:val="0"/>
                <w:highlight w:val="none"/>
              </w:rPr>
              <w:t>3.5.2</w:t>
            </w:r>
          </w:p>
        </w:tc>
        <w:tc>
          <w:tcPr>
            <w:tcW w:w="1659" w:type="pct"/>
            <w:vAlign w:val="center"/>
          </w:tcPr>
          <w:p w14:paraId="387E284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近年财务状况的年份要求</w:t>
            </w:r>
          </w:p>
        </w:tc>
        <w:tc>
          <w:tcPr>
            <w:tcW w:w="2710" w:type="pct"/>
            <w:vAlign w:val="center"/>
          </w:tcPr>
          <w:p w14:paraId="3DD76407">
            <w:pPr>
              <w:widowControl/>
              <w:rPr>
                <w:rFonts w:hint="eastAsia" w:ascii="宋体" w:hAnsi="宋体" w:eastAsia="宋体" w:cs="宋体"/>
                <w:color w:val="auto"/>
                <w:highlight w:val="none"/>
              </w:rPr>
            </w:pPr>
            <w:r>
              <w:rPr>
                <w:rFonts w:hint="eastAsia" w:ascii="宋体" w:hAnsi="宋体" w:eastAsia="宋体" w:cs="宋体"/>
                <w:b/>
                <w:bCs/>
                <w:color w:val="auto"/>
                <w:kern w:val="0"/>
                <w:highlight w:val="none"/>
                <w:lang w:bidi="zh-CN"/>
              </w:rPr>
              <w:t>/</w:t>
            </w:r>
          </w:p>
        </w:tc>
      </w:tr>
      <w:tr w14:paraId="2464A3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4C1CCE02">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3.5.3</w:t>
            </w:r>
          </w:p>
        </w:tc>
        <w:tc>
          <w:tcPr>
            <w:tcW w:w="1659" w:type="pct"/>
            <w:vAlign w:val="center"/>
          </w:tcPr>
          <w:p w14:paraId="23D17C18">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近年完成的类似项目的年份要求</w:t>
            </w:r>
          </w:p>
        </w:tc>
        <w:tc>
          <w:tcPr>
            <w:tcW w:w="2710" w:type="pct"/>
            <w:vAlign w:val="center"/>
          </w:tcPr>
          <w:p w14:paraId="21D3C3B7">
            <w:pPr>
              <w:widowControl/>
              <w:rPr>
                <w:rFonts w:hint="eastAsia" w:ascii="宋体" w:hAnsi="宋体" w:eastAsia="宋体" w:cs="宋体"/>
                <w:color w:val="auto"/>
                <w:highlight w:val="none"/>
              </w:rPr>
            </w:pPr>
            <w:r>
              <w:rPr>
                <w:rFonts w:hint="eastAsia" w:ascii="宋体" w:hAnsi="宋体" w:eastAsia="宋体" w:cs="宋体"/>
                <w:color w:val="auto"/>
                <w:highlight w:val="none"/>
              </w:rPr>
              <w:t>见招标公告</w:t>
            </w:r>
          </w:p>
        </w:tc>
      </w:tr>
      <w:tr w14:paraId="3D102F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26F663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3.5.5</w:t>
            </w:r>
          </w:p>
        </w:tc>
        <w:tc>
          <w:tcPr>
            <w:tcW w:w="1659" w:type="pct"/>
            <w:vAlign w:val="center"/>
          </w:tcPr>
          <w:p w14:paraId="24F1DB4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近年发生的诉讼及仲裁情况的年份要求</w:t>
            </w:r>
          </w:p>
        </w:tc>
        <w:tc>
          <w:tcPr>
            <w:tcW w:w="2710" w:type="pct"/>
            <w:vAlign w:val="center"/>
          </w:tcPr>
          <w:p w14:paraId="267BA05B">
            <w:pPr>
              <w:widowControl/>
              <w:rPr>
                <w:rFonts w:hint="eastAsia" w:ascii="宋体" w:hAnsi="宋体" w:eastAsia="宋体" w:cs="宋体"/>
                <w:color w:val="auto"/>
                <w:highlight w:val="none"/>
              </w:rPr>
            </w:pPr>
            <w:r>
              <w:rPr>
                <w:rFonts w:hint="eastAsia" w:ascii="宋体" w:hAnsi="宋体" w:eastAsia="宋体" w:cs="宋体"/>
                <w:color w:val="auto"/>
                <w:highlight w:val="none"/>
              </w:rPr>
              <w:t>近三年：2022年至2024年</w:t>
            </w:r>
          </w:p>
        </w:tc>
      </w:tr>
      <w:tr w14:paraId="6D9021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29B777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3.6</w:t>
            </w:r>
          </w:p>
        </w:tc>
        <w:tc>
          <w:tcPr>
            <w:tcW w:w="1659" w:type="pct"/>
            <w:vAlign w:val="center"/>
          </w:tcPr>
          <w:p w14:paraId="6D77EF42">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是否允许递交备选投标方案</w:t>
            </w:r>
          </w:p>
        </w:tc>
        <w:tc>
          <w:tcPr>
            <w:tcW w:w="2710" w:type="pct"/>
          </w:tcPr>
          <w:p w14:paraId="1E6CB0E1">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□允许</w:t>
            </w:r>
          </w:p>
          <w:p w14:paraId="27F7E0C6">
            <w:pPr>
              <w:widowControl/>
              <w:jc w:val="left"/>
              <w:rPr>
                <w:rFonts w:hint="eastAsia" w:ascii="宋体" w:hAnsi="宋体" w:eastAsia="宋体" w:cs="宋体"/>
                <w:color w:val="auto"/>
                <w:highlight w:val="none"/>
              </w:rPr>
            </w:pPr>
            <w:r>
              <w:rPr>
                <w:rFonts w:hint="eastAsia" w:ascii="宋体" w:hAnsi="宋体" w:eastAsia="宋体" w:cs="宋体"/>
                <w:bCs/>
                <w:color w:val="auto"/>
                <w:highlight w:val="none"/>
              </w:rPr>
              <w:t>☑</w:t>
            </w:r>
            <w:r>
              <w:rPr>
                <w:rFonts w:hint="eastAsia" w:ascii="宋体" w:hAnsi="宋体" w:eastAsia="宋体" w:cs="宋体"/>
                <w:color w:val="auto"/>
                <w:highlight w:val="none"/>
              </w:rPr>
              <w:t>不允许</w:t>
            </w:r>
          </w:p>
        </w:tc>
      </w:tr>
      <w:tr w14:paraId="095558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8C2D62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3.7.3</w:t>
            </w:r>
          </w:p>
        </w:tc>
        <w:tc>
          <w:tcPr>
            <w:tcW w:w="1659" w:type="pct"/>
            <w:vAlign w:val="center"/>
          </w:tcPr>
          <w:p w14:paraId="78BE8EA4">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签字或盖章要求</w:t>
            </w:r>
          </w:p>
        </w:tc>
        <w:tc>
          <w:tcPr>
            <w:tcW w:w="2710" w:type="pct"/>
          </w:tcPr>
          <w:p w14:paraId="52015B32">
            <w:pPr>
              <w:widowControl/>
              <w:adjustRightInd w:val="0"/>
              <w:snapToGrid w:val="0"/>
              <w:jc w:val="both"/>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投标文件正本应用不褪色的墨水书写或打印，投标文件上法定代表人或其授权代理人的签字或盖章齐全和盖单位章齐全，符合招标文件规定：</w:t>
            </w:r>
          </w:p>
          <w:p w14:paraId="6CDFD6DC">
            <w:pPr>
              <w:widowControl/>
              <w:adjustRightInd w:val="0"/>
              <w:snapToGrid w:val="0"/>
              <w:jc w:val="both"/>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投标文件第一信封（商务文件）正本中凡投标函、投标函附录、法定代表人身份证明、授权委托书、投标人与其他单位存在控股、管理关系情况表、拟投入项目经理任职承诺书、不拖欠民工工资承诺书、投标人信用承诺书、材料真实性承诺书必须按招标文件明确规定的格式和要求签字和盖章。</w:t>
            </w:r>
          </w:p>
          <w:p w14:paraId="4AD59B19">
            <w:pPr>
              <w:widowControl/>
              <w:adjustRightInd w:val="0"/>
              <w:snapToGrid w:val="0"/>
              <w:jc w:val="both"/>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62055A1A">
            <w:pPr>
              <w:widowControl/>
              <w:adjustRightInd w:val="0"/>
              <w:snapToGrid w:val="0"/>
              <w:jc w:val="both"/>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如果投标文件由委托代理人签署，则投标人需提交附有法定代表人身份证明的授权委托书，授权委托书应按照规定的书面方式出具，并由法定代表人和委托代理人签字或盖章。</w:t>
            </w:r>
          </w:p>
          <w:p w14:paraId="132FA1A0">
            <w:pPr>
              <w:widowControl/>
              <w:adjustRightInd w:val="0"/>
              <w:snapToGrid w:val="0"/>
              <w:jc w:val="both"/>
              <w:rPr>
                <w:rFonts w:hint="eastAsia" w:ascii="宋体" w:hAnsi="宋体" w:eastAsia="宋体" w:cs="宋体"/>
                <w:color w:val="auto"/>
                <w:highlight w:val="none"/>
              </w:rPr>
            </w:pPr>
            <w:r>
              <w:rPr>
                <w:rFonts w:hint="eastAsia" w:ascii="宋体" w:hAnsi="宋体" w:eastAsia="宋体" w:cs="宋体"/>
                <w:b w:val="0"/>
                <w:bCs w:val="0"/>
                <w:color w:val="auto"/>
                <w:kern w:val="2"/>
                <w:sz w:val="21"/>
                <w:szCs w:val="21"/>
                <w:highlight w:val="none"/>
                <w:lang w:val="en-US" w:eastAsia="zh-CN" w:bidi="ar"/>
              </w:rPr>
              <w:t>如果由投标人的法定代表人签署投标文件，则不需提交授权委托书。</w:t>
            </w:r>
          </w:p>
        </w:tc>
      </w:tr>
      <w:tr w14:paraId="6F6C64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042F8D62">
            <w:pPr>
              <w:widowControl/>
              <w:adjustRightInd w:val="0"/>
              <w:snapToGrid w:val="0"/>
              <w:jc w:val="center"/>
              <w:rPr>
                <w:rFonts w:hint="eastAsia" w:ascii="宋体" w:hAnsi="宋体" w:eastAsia="宋体" w:cs="宋体"/>
                <w:color w:val="auto"/>
                <w:kern w:val="0"/>
                <w:highlight w:val="none"/>
              </w:rPr>
            </w:pPr>
          </w:p>
          <w:p w14:paraId="7D960882">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3.7.4</w:t>
            </w:r>
          </w:p>
        </w:tc>
        <w:tc>
          <w:tcPr>
            <w:tcW w:w="1659" w:type="pct"/>
            <w:vAlign w:val="center"/>
          </w:tcPr>
          <w:p w14:paraId="2062C4C1">
            <w:pPr>
              <w:widowControl/>
              <w:adjustRightInd w:val="0"/>
              <w:snapToGrid w:val="0"/>
              <w:jc w:val="center"/>
              <w:rPr>
                <w:rFonts w:hint="eastAsia" w:ascii="宋体" w:hAnsi="宋体" w:eastAsia="宋体" w:cs="宋体"/>
                <w:color w:val="auto"/>
                <w:kern w:val="0"/>
                <w:highlight w:val="none"/>
              </w:rPr>
            </w:pPr>
          </w:p>
          <w:p w14:paraId="46944A74">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投标文件副本份数</w:t>
            </w:r>
          </w:p>
        </w:tc>
        <w:tc>
          <w:tcPr>
            <w:tcW w:w="2710" w:type="pct"/>
          </w:tcPr>
          <w:p w14:paraId="6E71814A">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正本一份，副本四份，电子版投标文件（U盘一份），电子版投标文件为盖章后的投标文件扫描件。电子文件不得设置密码并保证无病毒。</w:t>
            </w:r>
          </w:p>
          <w:p w14:paraId="4252EC8A">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全套投标文件应无修改和行间插字，如有修改，须在修改处由投标人法定代表人或代理人小签。</w:t>
            </w:r>
          </w:p>
        </w:tc>
      </w:tr>
      <w:tr w14:paraId="16D29D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793F621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3.7.5</w:t>
            </w:r>
          </w:p>
        </w:tc>
        <w:tc>
          <w:tcPr>
            <w:tcW w:w="1659" w:type="pct"/>
            <w:vAlign w:val="center"/>
          </w:tcPr>
          <w:p w14:paraId="324481E3">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装订要求</w:t>
            </w:r>
          </w:p>
        </w:tc>
        <w:tc>
          <w:tcPr>
            <w:tcW w:w="2710" w:type="pct"/>
          </w:tcPr>
          <w:p w14:paraId="3158CDAE">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投标文件第一个信封、第二个信封应分正副本装订成册，应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14:paraId="6D1E55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8836E4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4.1.2</w:t>
            </w:r>
          </w:p>
        </w:tc>
        <w:tc>
          <w:tcPr>
            <w:tcW w:w="1659" w:type="pct"/>
            <w:vAlign w:val="center"/>
          </w:tcPr>
          <w:p w14:paraId="4119E72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封套上写明</w:t>
            </w:r>
          </w:p>
        </w:tc>
        <w:tc>
          <w:tcPr>
            <w:tcW w:w="2710" w:type="pct"/>
          </w:tcPr>
          <w:p w14:paraId="47ED4839">
            <w:pPr>
              <w:rPr>
                <w:rFonts w:hint="eastAsia" w:ascii="宋体" w:hAnsi="宋体" w:eastAsia="宋体" w:cs="宋体"/>
                <w:color w:val="auto"/>
                <w:highlight w:val="none"/>
              </w:rPr>
            </w:pPr>
            <w:r>
              <w:rPr>
                <w:rFonts w:hint="eastAsia" w:ascii="宋体" w:hAnsi="宋体" w:eastAsia="宋体" w:cs="宋体"/>
                <w:color w:val="auto"/>
                <w:highlight w:val="none"/>
              </w:rPr>
              <w:t>投标文件第一信封(商务及技术文件)封套：</w:t>
            </w:r>
          </w:p>
          <w:p w14:paraId="65124752">
            <w:pPr>
              <w:rPr>
                <w:rFonts w:hint="eastAsia" w:ascii="宋体" w:hAnsi="宋体" w:eastAsia="宋体" w:cs="宋体"/>
                <w:color w:val="auto"/>
                <w:highlight w:val="none"/>
                <w:u w:val="single"/>
              </w:rPr>
            </w:pPr>
            <w:r>
              <w:rPr>
                <w:rFonts w:hint="eastAsia" w:ascii="宋体" w:hAnsi="宋体" w:eastAsia="宋体" w:cs="宋体"/>
                <w:color w:val="auto"/>
                <w:highlight w:val="none"/>
              </w:rPr>
              <w:t>投标人名称：</w:t>
            </w:r>
            <w:r>
              <w:rPr>
                <w:rFonts w:hint="eastAsia" w:ascii="宋体" w:hAnsi="宋体" w:eastAsia="宋体" w:cs="宋体"/>
                <w:color w:val="auto"/>
                <w:highlight w:val="none"/>
                <w:u w:val="single"/>
              </w:rPr>
              <w:t xml:space="preserve">                </w:t>
            </w:r>
          </w:p>
          <w:p w14:paraId="58A5688A">
            <w:pPr>
              <w:rPr>
                <w:rFonts w:hint="eastAsia" w:ascii="宋体" w:hAnsi="宋体" w:eastAsia="宋体" w:cs="宋体"/>
                <w:color w:val="auto"/>
                <w:highlight w:val="none"/>
              </w:rPr>
            </w:pPr>
            <w:r>
              <w:rPr>
                <w:rFonts w:hint="eastAsia" w:ascii="宋体" w:hAnsi="宋体" w:eastAsia="宋体" w:cs="宋体"/>
                <w:color w:val="auto"/>
                <w:highlight w:val="none"/>
              </w:rPr>
              <w:t>投标人地址：</w:t>
            </w:r>
            <w:r>
              <w:rPr>
                <w:rFonts w:hint="eastAsia" w:ascii="宋体" w:hAnsi="宋体" w:eastAsia="宋体" w:cs="宋体"/>
                <w:color w:val="auto"/>
                <w:highlight w:val="none"/>
                <w:u w:val="single"/>
              </w:rPr>
              <w:t xml:space="preserve">                </w:t>
            </w:r>
          </w:p>
          <w:p w14:paraId="5F1F8904">
            <w:pPr>
              <w:rPr>
                <w:rFonts w:hint="eastAsia" w:ascii="宋体" w:hAnsi="宋体" w:eastAsia="宋体" w:cs="宋体"/>
                <w:color w:val="auto"/>
                <w:highlight w:val="none"/>
              </w:rPr>
            </w:pPr>
            <w:r>
              <w:rPr>
                <w:rFonts w:hint="eastAsia" w:ascii="宋体" w:hAnsi="宋体" w:eastAsia="宋体" w:cs="宋体"/>
                <w:color w:val="auto"/>
                <w:highlight w:val="none"/>
              </w:rPr>
              <w:t>______(项目名称)第一信封(商务及技术文件)投标文件</w:t>
            </w:r>
          </w:p>
          <w:p w14:paraId="409F9762">
            <w:pPr>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在</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分（即投标截止时间）前不得开启</w:t>
            </w:r>
          </w:p>
          <w:p w14:paraId="3642F484">
            <w:pPr>
              <w:rPr>
                <w:rFonts w:hint="eastAsia" w:ascii="宋体" w:hAnsi="宋体" w:eastAsia="宋体" w:cs="宋体"/>
                <w:color w:val="auto"/>
                <w:highlight w:val="none"/>
              </w:rPr>
            </w:pPr>
            <w:r>
              <w:rPr>
                <w:rFonts w:hint="eastAsia" w:ascii="宋体" w:hAnsi="宋体" w:eastAsia="宋体" w:cs="宋体"/>
                <w:color w:val="auto"/>
                <w:highlight w:val="none"/>
              </w:rPr>
              <w:t>投标文件第二信封(报价文件)封套：</w:t>
            </w:r>
          </w:p>
          <w:p w14:paraId="40CCFC55">
            <w:pPr>
              <w:rPr>
                <w:rFonts w:hint="eastAsia" w:ascii="宋体" w:hAnsi="宋体" w:eastAsia="宋体" w:cs="宋体"/>
                <w:color w:val="auto"/>
                <w:highlight w:val="none"/>
              </w:rPr>
            </w:pPr>
            <w:r>
              <w:rPr>
                <w:rFonts w:hint="eastAsia" w:ascii="宋体" w:hAnsi="宋体" w:eastAsia="宋体" w:cs="宋体"/>
                <w:color w:val="auto"/>
                <w:highlight w:val="none"/>
              </w:rPr>
              <w:t>投标人名称：</w:t>
            </w:r>
            <w:r>
              <w:rPr>
                <w:rFonts w:hint="eastAsia" w:ascii="宋体" w:hAnsi="宋体" w:eastAsia="宋体" w:cs="宋体"/>
                <w:color w:val="auto"/>
                <w:highlight w:val="none"/>
                <w:u w:val="single"/>
              </w:rPr>
              <w:t xml:space="preserve">                </w:t>
            </w:r>
          </w:p>
          <w:p w14:paraId="6EB61E9F">
            <w:pPr>
              <w:rPr>
                <w:rFonts w:hint="eastAsia" w:ascii="宋体" w:hAnsi="宋体" w:eastAsia="宋体" w:cs="宋体"/>
                <w:color w:val="auto"/>
                <w:highlight w:val="none"/>
              </w:rPr>
            </w:pPr>
            <w:r>
              <w:rPr>
                <w:rFonts w:hint="eastAsia" w:ascii="宋体" w:hAnsi="宋体" w:eastAsia="宋体" w:cs="宋体"/>
                <w:color w:val="auto"/>
                <w:highlight w:val="none"/>
              </w:rPr>
              <w:t>投标人地址：</w:t>
            </w:r>
            <w:r>
              <w:rPr>
                <w:rFonts w:hint="eastAsia" w:ascii="宋体" w:hAnsi="宋体" w:eastAsia="宋体" w:cs="宋体"/>
                <w:color w:val="auto"/>
                <w:highlight w:val="none"/>
                <w:u w:val="single"/>
              </w:rPr>
              <w:t xml:space="preserve">                </w:t>
            </w:r>
          </w:p>
          <w:p w14:paraId="46DB4823">
            <w:pPr>
              <w:rPr>
                <w:rFonts w:hint="eastAsia" w:ascii="宋体" w:hAnsi="宋体" w:eastAsia="宋体" w:cs="宋体"/>
                <w:color w:val="auto"/>
                <w:highlight w:val="none"/>
              </w:rPr>
            </w:pPr>
            <w:r>
              <w:rPr>
                <w:rFonts w:hint="eastAsia" w:ascii="宋体" w:hAnsi="宋体" w:eastAsia="宋体" w:cs="宋体"/>
                <w:color w:val="auto"/>
                <w:highlight w:val="none"/>
              </w:rPr>
              <w:t>______(项目名称)第二信封(报价文件)投标文件</w:t>
            </w:r>
          </w:p>
          <w:p w14:paraId="7DE7241B">
            <w:pPr>
              <w:autoSpaceDE w:val="0"/>
              <w:autoSpaceDN w:val="0"/>
              <w:adjustRightInd w:val="0"/>
              <w:snapToGrid w:val="0"/>
              <w:spacing w:line="260" w:lineRule="exact"/>
              <w:ind w:left="80" w:leftChars="38" w:right="46"/>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szCs w:val="21"/>
                <w:highlight w:val="none"/>
              </w:rPr>
              <w:t>在投标文件第一个信封（</w:t>
            </w:r>
            <w:r>
              <w:rPr>
                <w:rFonts w:hint="eastAsia" w:ascii="宋体" w:hAnsi="宋体" w:eastAsia="宋体" w:cs="宋体"/>
                <w:color w:val="auto"/>
                <w:highlight w:val="none"/>
              </w:rPr>
              <w:t>商务及技术文件</w:t>
            </w:r>
            <w:r>
              <w:rPr>
                <w:rFonts w:hint="eastAsia" w:ascii="宋体" w:hAnsi="宋体" w:eastAsia="宋体" w:cs="宋体"/>
                <w:snapToGrid w:val="0"/>
                <w:color w:val="auto"/>
                <w:szCs w:val="21"/>
                <w:highlight w:val="none"/>
              </w:rPr>
              <w:t>）评审结束前不得开启</w:t>
            </w:r>
          </w:p>
          <w:p w14:paraId="0C5F354A">
            <w:pPr>
              <w:widowControl/>
              <w:jc w:val="left"/>
              <w:rPr>
                <w:rFonts w:hint="eastAsia" w:ascii="宋体" w:hAnsi="宋体" w:eastAsia="宋体" w:cs="宋体"/>
                <w:color w:val="auto"/>
                <w:highlight w:val="none"/>
              </w:rPr>
            </w:pPr>
            <w:r>
              <w:rPr>
                <w:rFonts w:hint="eastAsia" w:ascii="宋体" w:hAnsi="宋体" w:eastAsia="宋体" w:cs="宋体"/>
                <w:b/>
                <w:snapToGrid w:val="0"/>
                <w:color w:val="auto"/>
                <w:kern w:val="0"/>
                <w:szCs w:val="21"/>
                <w:highlight w:val="none"/>
              </w:rPr>
              <w:t>注：未按要求密封和加写标记的投标文件，招标人不予受理。因密封不严、标记不明而造成投标文件过早启封、失密等情况，招标人概不负责。</w:t>
            </w:r>
          </w:p>
        </w:tc>
      </w:tr>
      <w:tr w14:paraId="3519F7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6141F291">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4.2.2</w:t>
            </w:r>
          </w:p>
        </w:tc>
        <w:tc>
          <w:tcPr>
            <w:tcW w:w="1659" w:type="pct"/>
            <w:vAlign w:val="center"/>
          </w:tcPr>
          <w:p w14:paraId="1021BBE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递交投标文件地点</w:t>
            </w:r>
          </w:p>
        </w:tc>
        <w:tc>
          <w:tcPr>
            <w:tcW w:w="2710" w:type="pct"/>
            <w:vAlign w:val="center"/>
          </w:tcPr>
          <w:p w14:paraId="35491682">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详见招标公告及补遗书</w:t>
            </w:r>
          </w:p>
        </w:tc>
      </w:tr>
      <w:tr w14:paraId="70EABC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5E2547EE">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4.2.3</w:t>
            </w:r>
          </w:p>
        </w:tc>
        <w:tc>
          <w:tcPr>
            <w:tcW w:w="1659" w:type="pct"/>
            <w:vAlign w:val="center"/>
          </w:tcPr>
          <w:p w14:paraId="6676EC4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是否退还投标文件</w:t>
            </w:r>
          </w:p>
        </w:tc>
        <w:tc>
          <w:tcPr>
            <w:tcW w:w="2710" w:type="pct"/>
          </w:tcPr>
          <w:p w14:paraId="44C89E83">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□是</w:t>
            </w:r>
          </w:p>
          <w:p w14:paraId="662BBB21">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☑否</w:t>
            </w:r>
          </w:p>
        </w:tc>
      </w:tr>
      <w:tr w14:paraId="48747F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2" w:hRule="atLeast"/>
          <w:jc w:val="center"/>
        </w:trPr>
        <w:tc>
          <w:tcPr>
            <w:tcW w:w="629" w:type="pct"/>
            <w:vAlign w:val="center"/>
          </w:tcPr>
          <w:p w14:paraId="0A052805">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5.1</w:t>
            </w:r>
          </w:p>
        </w:tc>
        <w:tc>
          <w:tcPr>
            <w:tcW w:w="1659" w:type="pct"/>
            <w:vAlign w:val="center"/>
          </w:tcPr>
          <w:p w14:paraId="07858F9A">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开标时间和地点</w:t>
            </w:r>
          </w:p>
        </w:tc>
        <w:tc>
          <w:tcPr>
            <w:tcW w:w="2710" w:type="pct"/>
            <w:vAlign w:val="center"/>
          </w:tcPr>
          <w:p w14:paraId="767A899A">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详见招标公告及补遗书</w:t>
            </w:r>
          </w:p>
        </w:tc>
      </w:tr>
      <w:tr w14:paraId="380899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1" w:hRule="atLeast"/>
          <w:jc w:val="center"/>
        </w:trPr>
        <w:tc>
          <w:tcPr>
            <w:tcW w:w="629" w:type="pct"/>
            <w:vAlign w:val="center"/>
          </w:tcPr>
          <w:p w14:paraId="5FC73AB8">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5.2.1</w:t>
            </w:r>
          </w:p>
        </w:tc>
        <w:tc>
          <w:tcPr>
            <w:tcW w:w="1659" w:type="pct"/>
            <w:vAlign w:val="center"/>
          </w:tcPr>
          <w:p w14:paraId="1F838BBB">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开标程序</w:t>
            </w:r>
          </w:p>
        </w:tc>
        <w:tc>
          <w:tcPr>
            <w:tcW w:w="2710" w:type="pct"/>
            <w:vAlign w:val="center"/>
          </w:tcPr>
          <w:p w14:paraId="4A7D58CC">
            <w:pPr>
              <w:autoSpaceDE w:val="0"/>
              <w:autoSpaceDN w:val="0"/>
              <w:adjustRightInd w:val="0"/>
              <w:snapToGrid w:val="0"/>
              <w:spacing w:line="260" w:lineRule="exact"/>
              <w:ind w:left="142" w:right="-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（1）密封情况检查：</w:t>
            </w:r>
          </w:p>
          <w:p w14:paraId="5E2179BD">
            <w:pPr>
              <w:autoSpaceDE w:val="0"/>
              <w:autoSpaceDN w:val="0"/>
              <w:adjustRightInd w:val="0"/>
              <w:snapToGrid w:val="0"/>
              <w:spacing w:line="260" w:lineRule="exact"/>
              <w:ind w:left="142" w:right="-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由□行政监督部门□公证部门</w:t>
            </w:r>
            <w:r>
              <w:rPr>
                <w:rFonts w:hint="eastAsia" w:ascii="宋体" w:hAnsi="宋体" w:eastAsia="宋体" w:cs="宋体"/>
                <w:color w:val="auto"/>
                <w:kern w:val="0"/>
                <w:szCs w:val="21"/>
                <w:highlight w:val="none"/>
                <w:bdr w:val="single" w:color="auto" w:sz="4" w:space="0"/>
              </w:rPr>
              <w:t>√</w:t>
            </w:r>
            <w:r>
              <w:rPr>
                <w:rFonts w:hint="eastAsia" w:ascii="宋体" w:hAnsi="宋体" w:eastAsia="宋体" w:cs="宋体"/>
                <w:color w:val="auto"/>
                <w:kern w:val="0"/>
                <w:szCs w:val="21"/>
                <w:highlight w:val="none"/>
              </w:rPr>
              <w:t>投标人的代表按照4.1款规定检查投标文件的密封情况；</w:t>
            </w:r>
          </w:p>
          <w:p w14:paraId="62DD05C6">
            <w:pPr>
              <w:autoSpaceDE w:val="0"/>
              <w:autoSpaceDN w:val="0"/>
              <w:adjustRightInd w:val="0"/>
              <w:snapToGrid w:val="0"/>
              <w:spacing w:line="260" w:lineRule="exact"/>
              <w:ind w:left="142" w:right="-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（2）投标人的法定代表人或其委托代理人不参加开标的，视同该投标人承认开标记录，不得事后对开标程序和记录提出任何异议；</w:t>
            </w:r>
          </w:p>
          <w:p w14:paraId="534328EC">
            <w:pPr>
              <w:widowControl/>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（3）开标顺序：随机。</w:t>
            </w:r>
          </w:p>
        </w:tc>
      </w:tr>
      <w:tr w14:paraId="7EE538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2E3BD3A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6.1.1</w:t>
            </w:r>
          </w:p>
        </w:tc>
        <w:tc>
          <w:tcPr>
            <w:tcW w:w="1659" w:type="pct"/>
            <w:vAlign w:val="center"/>
          </w:tcPr>
          <w:p w14:paraId="01647BBD">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评标委员会的组建</w:t>
            </w:r>
          </w:p>
        </w:tc>
        <w:tc>
          <w:tcPr>
            <w:tcW w:w="2710" w:type="pct"/>
          </w:tcPr>
          <w:p w14:paraId="27E1A450">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评标委员会构成：5人或5人以上单数；其中招标人代表不超过1/3，专家不少于2/3。</w:t>
            </w:r>
          </w:p>
          <w:p w14:paraId="78DDB183">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评标专家确定方式：由招标人组建。</w:t>
            </w:r>
          </w:p>
        </w:tc>
      </w:tr>
      <w:tr w14:paraId="50F7EC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7E84FE60">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7.1</w:t>
            </w:r>
          </w:p>
        </w:tc>
        <w:tc>
          <w:tcPr>
            <w:tcW w:w="1659" w:type="pct"/>
            <w:vAlign w:val="center"/>
          </w:tcPr>
          <w:p w14:paraId="3BF88E8A">
            <w:pPr>
              <w:autoSpaceDE w:val="0"/>
              <w:autoSpaceDN w:val="0"/>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是否授权评标委员会确定中标人</w:t>
            </w:r>
          </w:p>
        </w:tc>
        <w:tc>
          <w:tcPr>
            <w:tcW w:w="2710" w:type="pct"/>
            <w:vAlign w:val="center"/>
          </w:tcPr>
          <w:p w14:paraId="151B0281">
            <w:pPr>
              <w:widowControl/>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□是</w:t>
            </w:r>
          </w:p>
          <w:p w14:paraId="4D5C7DF0">
            <w:pPr>
              <w:widowControl/>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☑否</w:t>
            </w:r>
          </w:p>
          <w:p w14:paraId="5C883A85">
            <w:pPr>
              <w:widowControl/>
              <w:adjustRightInd w:val="0"/>
              <w:snapToGrid w:val="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推荐的中标候选人的人数为3名，若有效投标人不足3家的，则推荐的中标候选人的数量为有效投标人的数量。</w:t>
            </w:r>
          </w:p>
        </w:tc>
      </w:tr>
      <w:tr w14:paraId="524971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19058291">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7.3.1</w:t>
            </w:r>
          </w:p>
        </w:tc>
        <w:tc>
          <w:tcPr>
            <w:tcW w:w="1659" w:type="pct"/>
            <w:vAlign w:val="center"/>
          </w:tcPr>
          <w:p w14:paraId="11590F56">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履约保证金</w:t>
            </w:r>
          </w:p>
        </w:tc>
        <w:tc>
          <w:tcPr>
            <w:tcW w:w="2710" w:type="pct"/>
            <w:vAlign w:val="center"/>
          </w:tcPr>
          <w:p w14:paraId="15DD6010">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是否要求中标人提交履约保证金：</w:t>
            </w:r>
          </w:p>
          <w:p w14:paraId="6CB98860">
            <w:pPr>
              <w:widowControl/>
              <w:adjustRightInd w:val="0"/>
              <w:snapToGrid w:val="0"/>
              <w:jc w:val="left"/>
              <w:rPr>
                <w:rFonts w:hint="eastAsia" w:ascii="宋体" w:hAnsi="宋体" w:eastAsia="宋体" w:cs="宋体"/>
                <w:color w:val="auto"/>
                <w:highlight w:val="none"/>
                <w:lang w:val="zh-CN"/>
              </w:rPr>
            </w:pPr>
            <w:r>
              <w:rPr>
                <w:rFonts w:hint="eastAsia" w:ascii="宋体" w:hAnsi="宋体" w:cs="宋体"/>
                <w:color w:val="auto"/>
                <w:highlight w:val="none"/>
                <w:lang w:eastAsia="zh-CN"/>
              </w:rPr>
              <w:t>□</w:t>
            </w:r>
            <w:r>
              <w:rPr>
                <w:rFonts w:hint="eastAsia" w:ascii="宋体" w:hAnsi="宋体" w:eastAsia="宋体" w:cs="宋体"/>
                <w:color w:val="auto"/>
                <w:highlight w:val="none"/>
                <w:lang w:val="zh-CN"/>
              </w:rPr>
              <w:t>要求，履约保证金的形式：不限。</w:t>
            </w:r>
          </w:p>
          <w:p w14:paraId="3861D507">
            <w:pPr>
              <w:rPr>
                <w:rFonts w:hint="eastAsia" w:ascii="宋体" w:hAnsi="宋体" w:eastAsia="宋体" w:cs="宋体"/>
                <w:color w:val="auto"/>
                <w:highlight w:val="none"/>
              </w:rPr>
            </w:pPr>
            <w:r>
              <w:rPr>
                <w:rFonts w:hint="eastAsia" w:ascii="宋体" w:hAnsi="宋体" w:cs="宋体"/>
                <w:color w:val="auto"/>
                <w:highlight w:val="none"/>
                <w:lang w:val="zh-CN"/>
              </w:rPr>
              <w:t>☑</w:t>
            </w:r>
            <w:r>
              <w:rPr>
                <w:rFonts w:hint="eastAsia" w:ascii="宋体" w:hAnsi="宋体" w:eastAsia="宋体" w:cs="宋体"/>
                <w:color w:val="auto"/>
                <w:highlight w:val="none"/>
                <w:lang w:val="zh-CN"/>
              </w:rPr>
              <w:t>不要求</w:t>
            </w:r>
          </w:p>
        </w:tc>
      </w:tr>
      <w:tr w14:paraId="4C06C9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302B89B9">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7.4.3</w:t>
            </w:r>
          </w:p>
        </w:tc>
        <w:tc>
          <w:tcPr>
            <w:tcW w:w="1659" w:type="pct"/>
            <w:vAlign w:val="center"/>
          </w:tcPr>
          <w:p w14:paraId="1C1A7275">
            <w:pPr>
              <w:widowControl/>
              <w:adjustRightInd w:val="0"/>
              <w:snapToGrid w:val="0"/>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签订合同</w:t>
            </w:r>
          </w:p>
        </w:tc>
        <w:tc>
          <w:tcPr>
            <w:tcW w:w="2710" w:type="pct"/>
            <w:vAlign w:val="center"/>
          </w:tcPr>
          <w:p w14:paraId="7C077615">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在签订合同的同时，应签订相应的廉洁合同和安全生产合同。</w:t>
            </w:r>
          </w:p>
        </w:tc>
      </w:tr>
      <w:tr w14:paraId="29112D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29" w:type="pct"/>
            <w:vAlign w:val="center"/>
          </w:tcPr>
          <w:p w14:paraId="74B331D7">
            <w:pPr>
              <w:widowControl/>
              <w:adjustRightInd w:val="0"/>
              <w:snapToGrid w:val="0"/>
              <w:jc w:val="center"/>
              <w:rPr>
                <w:rFonts w:hint="eastAsia" w:ascii="宋体" w:hAnsi="宋体" w:eastAsia="宋体" w:cs="宋体"/>
                <w:b/>
                <w:bCs/>
                <w:color w:val="auto"/>
                <w:kern w:val="0"/>
                <w:highlight w:val="none"/>
              </w:rPr>
            </w:pPr>
            <w:r>
              <w:rPr>
                <w:rFonts w:hint="eastAsia" w:ascii="宋体" w:hAnsi="宋体" w:eastAsia="宋体" w:cs="宋体"/>
                <w:b/>
                <w:bCs/>
                <w:color w:val="auto"/>
                <w:kern w:val="0"/>
                <w:highlight w:val="none"/>
              </w:rPr>
              <w:t>10</w:t>
            </w:r>
          </w:p>
        </w:tc>
        <w:tc>
          <w:tcPr>
            <w:tcW w:w="4370" w:type="pct"/>
            <w:gridSpan w:val="2"/>
            <w:vAlign w:val="center"/>
          </w:tcPr>
          <w:p w14:paraId="796B4A84">
            <w:pPr>
              <w:widowControl/>
              <w:adjustRightInd w:val="0"/>
              <w:snapToGrid w:val="0"/>
              <w:jc w:val="left"/>
              <w:rPr>
                <w:rFonts w:hint="eastAsia" w:ascii="宋体" w:hAnsi="宋体" w:eastAsia="宋体" w:cs="宋体"/>
                <w:b/>
                <w:bCs/>
                <w:color w:val="auto"/>
                <w:highlight w:val="none"/>
                <w:lang w:val="zh-CN"/>
              </w:rPr>
            </w:pPr>
            <w:r>
              <w:rPr>
                <w:rFonts w:hint="eastAsia" w:ascii="宋体" w:hAnsi="宋体" w:eastAsia="宋体" w:cs="宋体"/>
                <w:b/>
                <w:bCs/>
                <w:color w:val="auto"/>
                <w:kern w:val="0"/>
                <w:highlight w:val="none"/>
              </w:rPr>
              <w:t>需要补充的其他内容</w:t>
            </w:r>
          </w:p>
        </w:tc>
      </w:tr>
      <w:tr w14:paraId="529321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91" w:hRule="atLeast"/>
          <w:jc w:val="center"/>
        </w:trPr>
        <w:tc>
          <w:tcPr>
            <w:tcW w:w="629" w:type="pct"/>
            <w:vAlign w:val="center"/>
          </w:tcPr>
          <w:p w14:paraId="1814B1E4">
            <w:pPr>
              <w:widowControl/>
              <w:adjustRightInd w:val="0"/>
              <w:snapToGrid w:val="0"/>
              <w:jc w:val="center"/>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en-US" w:eastAsia="zh-CN"/>
              </w:rPr>
              <w:t>1</w:t>
            </w:r>
          </w:p>
        </w:tc>
        <w:tc>
          <w:tcPr>
            <w:tcW w:w="4370" w:type="pct"/>
            <w:gridSpan w:val="2"/>
            <w:vAlign w:val="center"/>
          </w:tcPr>
          <w:p w14:paraId="329A9C5D">
            <w:pPr>
              <w:widowControl/>
              <w:adjustRightInd w:val="0"/>
              <w:snapToGrid w:val="0"/>
              <w:rPr>
                <w:rFonts w:hint="eastAsia" w:ascii="宋体" w:hAnsi="宋体" w:eastAsia="宋体" w:cs="宋体"/>
                <w:b/>
                <w:color w:val="auto"/>
                <w:highlight w:val="none"/>
              </w:rPr>
            </w:pPr>
            <w:r>
              <w:rPr>
                <w:rFonts w:hint="eastAsia" w:ascii="宋体" w:hAnsi="宋体" w:eastAsia="宋体" w:cs="宋体"/>
                <w:b/>
                <w:color w:val="auto"/>
                <w:highlight w:val="none"/>
              </w:rPr>
              <w:t>投标人须知正文部分内容调整如下：</w:t>
            </w:r>
          </w:p>
          <w:p w14:paraId="3AADA0D2">
            <w:pPr>
              <w:widowControl/>
              <w:adjustRightInd w:val="0"/>
              <w:snapToGrid w:val="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1、第3条 投标报价：</w:t>
            </w:r>
          </w:p>
          <w:p w14:paraId="7BF2F555">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●第3.1.1项调整为：</w:t>
            </w:r>
          </w:p>
          <w:p w14:paraId="42D78354">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 xml:space="preserve"> 投标文件应包括下列内容：</w:t>
            </w:r>
          </w:p>
          <w:p w14:paraId="49AFA2E0">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第一个信封（商务及技术文件）：</w:t>
            </w:r>
          </w:p>
          <w:p w14:paraId="30BB8273">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（1）投标函；</w:t>
            </w:r>
          </w:p>
          <w:p w14:paraId="31526A5B">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（2）</w:t>
            </w:r>
            <w:bookmarkStart w:id="31" w:name="_Hlk172657605"/>
            <w:r>
              <w:rPr>
                <w:rFonts w:hint="eastAsia" w:ascii="宋体" w:hAnsi="宋体" w:eastAsia="宋体" w:cs="宋体"/>
                <w:bCs/>
                <w:color w:val="auto"/>
                <w:kern w:val="0"/>
                <w:highlight w:val="none"/>
                <w:lang w:val="zh-CN" w:bidi="zh-CN"/>
              </w:rPr>
              <w:t>法定代表人身份证明或附有法定代表人身份证明的授权委托书</w:t>
            </w:r>
            <w:bookmarkEnd w:id="31"/>
            <w:r>
              <w:rPr>
                <w:rFonts w:hint="eastAsia" w:ascii="宋体" w:hAnsi="宋体" w:eastAsia="宋体" w:cs="宋体"/>
                <w:bCs/>
                <w:color w:val="auto"/>
                <w:kern w:val="0"/>
                <w:highlight w:val="none"/>
                <w:lang w:val="zh-CN" w:bidi="zh-CN"/>
              </w:rPr>
              <w:t>；</w:t>
            </w:r>
          </w:p>
          <w:p w14:paraId="19E79567">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w:t>
            </w:r>
            <w:r>
              <w:rPr>
                <w:rFonts w:hint="eastAsia" w:ascii="宋体" w:hAnsi="宋体" w:cs="宋体"/>
                <w:bCs/>
                <w:color w:val="auto"/>
                <w:kern w:val="0"/>
                <w:highlight w:val="none"/>
                <w:lang w:val="en-US" w:bidi="zh-CN"/>
              </w:rPr>
              <w:t>3</w:t>
            </w:r>
            <w:r>
              <w:rPr>
                <w:rFonts w:hint="eastAsia" w:ascii="宋体" w:hAnsi="宋体" w:eastAsia="宋体" w:cs="宋体"/>
                <w:bCs/>
                <w:color w:val="auto"/>
                <w:kern w:val="0"/>
                <w:highlight w:val="none"/>
                <w:lang w:val="zh-CN" w:bidi="zh-CN"/>
              </w:rPr>
              <w:t>）施工组织设计；</w:t>
            </w:r>
          </w:p>
          <w:p w14:paraId="78E7FD7E">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w:t>
            </w:r>
            <w:r>
              <w:rPr>
                <w:rFonts w:hint="eastAsia" w:ascii="宋体" w:hAnsi="宋体" w:cs="宋体"/>
                <w:bCs/>
                <w:color w:val="auto"/>
                <w:kern w:val="0"/>
                <w:highlight w:val="none"/>
                <w:lang w:val="en-US" w:bidi="zh-CN"/>
              </w:rPr>
              <w:t>4</w:t>
            </w:r>
            <w:r>
              <w:rPr>
                <w:rFonts w:hint="eastAsia" w:ascii="宋体" w:hAnsi="宋体" w:eastAsia="宋体" w:cs="宋体"/>
                <w:bCs/>
                <w:color w:val="auto"/>
                <w:kern w:val="0"/>
                <w:highlight w:val="none"/>
                <w:lang w:val="zh-CN" w:bidi="zh-CN"/>
              </w:rPr>
              <w:t>）项目管理机构；</w:t>
            </w:r>
          </w:p>
          <w:p w14:paraId="5E243037">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w:t>
            </w:r>
            <w:r>
              <w:rPr>
                <w:rFonts w:hint="eastAsia" w:ascii="宋体" w:hAnsi="宋体" w:cs="宋体"/>
                <w:bCs/>
                <w:color w:val="auto"/>
                <w:kern w:val="0"/>
                <w:highlight w:val="none"/>
                <w:lang w:val="en-US" w:bidi="zh-CN"/>
              </w:rPr>
              <w:t>5</w:t>
            </w:r>
            <w:r>
              <w:rPr>
                <w:rFonts w:hint="eastAsia" w:ascii="宋体" w:hAnsi="宋体" w:eastAsia="宋体" w:cs="宋体"/>
                <w:bCs/>
                <w:color w:val="auto"/>
                <w:kern w:val="0"/>
                <w:highlight w:val="none"/>
                <w:lang w:val="zh-CN" w:bidi="zh-CN"/>
              </w:rPr>
              <w:t>）拟分包项目情况表</w:t>
            </w:r>
          </w:p>
          <w:p w14:paraId="63D93412">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w:t>
            </w:r>
            <w:r>
              <w:rPr>
                <w:rFonts w:hint="eastAsia" w:ascii="宋体" w:hAnsi="宋体" w:cs="宋体"/>
                <w:bCs/>
                <w:color w:val="auto"/>
                <w:kern w:val="0"/>
                <w:highlight w:val="none"/>
                <w:lang w:val="en-US" w:bidi="zh-CN"/>
              </w:rPr>
              <w:t>6</w:t>
            </w:r>
            <w:r>
              <w:rPr>
                <w:rFonts w:hint="eastAsia" w:ascii="宋体" w:hAnsi="宋体" w:eastAsia="宋体" w:cs="宋体"/>
                <w:bCs/>
                <w:color w:val="auto"/>
                <w:kern w:val="0"/>
                <w:highlight w:val="none"/>
                <w:lang w:val="zh-CN" w:bidi="zh-CN"/>
              </w:rPr>
              <w:t>）资格审查及商务评审资料；</w:t>
            </w:r>
          </w:p>
          <w:p w14:paraId="3676C1A8">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w:t>
            </w:r>
            <w:r>
              <w:rPr>
                <w:rFonts w:hint="eastAsia" w:ascii="宋体" w:hAnsi="宋体" w:cs="宋体"/>
                <w:bCs/>
                <w:color w:val="auto"/>
                <w:kern w:val="0"/>
                <w:highlight w:val="none"/>
                <w:lang w:val="en-US" w:bidi="zh-CN"/>
              </w:rPr>
              <w:t>7</w:t>
            </w:r>
            <w:r>
              <w:rPr>
                <w:rFonts w:hint="eastAsia" w:ascii="宋体" w:hAnsi="宋体" w:eastAsia="宋体" w:cs="宋体"/>
                <w:bCs/>
                <w:color w:val="auto"/>
                <w:kern w:val="0"/>
                <w:highlight w:val="none"/>
                <w:lang w:val="zh-CN" w:bidi="zh-CN"/>
              </w:rPr>
              <w:t>）其他材料。</w:t>
            </w:r>
          </w:p>
          <w:p w14:paraId="6ACC8CEA">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第二个信封（报价文件）：</w:t>
            </w:r>
          </w:p>
          <w:p w14:paraId="44F04551">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（1）投标函；</w:t>
            </w:r>
          </w:p>
          <w:p w14:paraId="51F7DA44">
            <w:pPr>
              <w:autoSpaceDE w:val="0"/>
              <w:autoSpaceDN w:val="0"/>
              <w:adjustRightInd w:val="0"/>
              <w:snapToGrid w:val="0"/>
              <w:rPr>
                <w:rFonts w:hint="eastAsia" w:ascii="宋体" w:hAnsi="宋体" w:eastAsia="宋体" w:cs="宋体"/>
                <w:bCs/>
                <w:color w:val="auto"/>
                <w:kern w:val="0"/>
                <w:highlight w:val="none"/>
                <w:lang w:val="zh-CN" w:bidi="zh-CN"/>
              </w:rPr>
            </w:pPr>
            <w:r>
              <w:rPr>
                <w:rFonts w:hint="eastAsia" w:ascii="宋体" w:hAnsi="宋体" w:eastAsia="宋体" w:cs="宋体"/>
                <w:bCs/>
                <w:color w:val="auto"/>
                <w:kern w:val="0"/>
                <w:highlight w:val="none"/>
                <w:lang w:val="zh-CN" w:bidi="zh-CN"/>
              </w:rPr>
              <w:t>（2）已标价工程量清单；</w:t>
            </w:r>
          </w:p>
          <w:p w14:paraId="646CE5AD">
            <w:pPr>
              <w:widowControl/>
              <w:adjustRightInd w:val="0"/>
              <w:snapToGrid w:val="0"/>
              <w:rPr>
                <w:rFonts w:hint="eastAsia" w:ascii="宋体" w:hAnsi="宋体" w:eastAsia="宋体" w:cs="宋体"/>
                <w:b/>
                <w:color w:val="auto"/>
                <w:kern w:val="0"/>
                <w:highlight w:val="none"/>
              </w:rPr>
            </w:pPr>
            <w:r>
              <w:rPr>
                <w:rFonts w:hint="eastAsia" w:ascii="宋体" w:hAnsi="宋体" w:eastAsia="宋体" w:cs="宋体"/>
                <w:b/>
                <w:color w:val="auto"/>
                <w:kern w:val="0"/>
                <w:highlight w:val="none"/>
                <w:lang w:val="zh-CN" w:bidi="zh-CN"/>
              </w:rPr>
              <w:t>●</w:t>
            </w:r>
            <w:r>
              <w:rPr>
                <w:rFonts w:hint="eastAsia" w:ascii="宋体" w:hAnsi="宋体" w:eastAsia="宋体" w:cs="宋体"/>
                <w:b/>
                <w:color w:val="auto"/>
                <w:kern w:val="0"/>
                <w:highlight w:val="none"/>
              </w:rPr>
              <w:t>增加3.2.3投标报价的其他要求：</w:t>
            </w:r>
          </w:p>
          <w:p w14:paraId="15387678">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（1）本项目报价方式采用</w:t>
            </w:r>
            <w:r>
              <w:rPr>
                <w:rFonts w:hint="eastAsia" w:ascii="宋体" w:hAnsi="宋体" w:cs="宋体"/>
                <w:b/>
                <w:color w:val="auto"/>
                <w:kern w:val="0"/>
                <w:highlight w:val="none"/>
                <w:lang w:val="en-US" w:eastAsia="zh-CN"/>
              </w:rPr>
              <w:t>总价</w:t>
            </w:r>
            <w:r>
              <w:rPr>
                <w:rFonts w:hint="eastAsia" w:ascii="宋体" w:hAnsi="宋体" w:eastAsia="宋体" w:cs="宋体"/>
                <w:b/>
                <w:color w:val="auto"/>
                <w:kern w:val="0"/>
                <w:highlight w:val="none"/>
              </w:rPr>
              <w:t>报价。</w:t>
            </w:r>
          </w:p>
          <w:p w14:paraId="175725F6">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（2）本项目为固定</w:t>
            </w:r>
            <w:r>
              <w:rPr>
                <w:rFonts w:hint="eastAsia" w:ascii="宋体" w:hAnsi="宋体" w:cs="宋体"/>
                <w:b/>
                <w:color w:val="auto"/>
                <w:kern w:val="0"/>
                <w:highlight w:val="none"/>
                <w:lang w:val="en-US" w:eastAsia="zh-CN"/>
              </w:rPr>
              <w:t>总价</w:t>
            </w:r>
            <w:r>
              <w:rPr>
                <w:rFonts w:hint="eastAsia" w:ascii="宋体" w:hAnsi="宋体" w:eastAsia="宋体" w:cs="宋体"/>
                <w:b/>
                <w:color w:val="auto"/>
                <w:kern w:val="0"/>
                <w:highlight w:val="none"/>
              </w:rPr>
              <w:t>合同。投标人的投标价，应是本须知第1条招标范围内的全部工程的投标价，并以投标人在工程量清单报价表中提出的单价或总额价为根据。投标人所报的单价或总额价应包括全部工程的实施、完成所需的航标的材料费、加工制作费、运输到指定地点的装运费用（含装卸力资）、人工费、交通费、保险费、相关安装辅助材料费</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设备费、劳务费、管理费、维护费、安全生产费、保险费、利润以及合同明示或暗示的所有一般风险责任和义务费用</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投标人在编制投标报价时应充分考虑施工期间各类材料的市场风险、国家政策性调整风险、气候条件风险以及施工现场的现状(如可能存在的拆除工程、块石的清理等)、地质情况等一切因素。合同协议书一经签订，除合同另有明确规定外，合同价一概不予调整。</w:t>
            </w:r>
          </w:p>
          <w:p w14:paraId="271E1316">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（3）投标人的投标报价中应含的保险费包括：工程一切险、第三方责任险、承包人装备财产险、承包人雇员人身事故险、工伤保险、安全生产责任保险的保险费。其中：</w:t>
            </w:r>
          </w:p>
          <w:p w14:paraId="7E45E1E3">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a、工程一切险与第三方责任险由投标人自行投保(其中第三方责任险保额不低于人民币</w:t>
            </w:r>
            <w:r>
              <w:rPr>
                <w:rFonts w:hint="eastAsia" w:ascii="宋体" w:hAnsi="宋体" w:eastAsia="宋体" w:cs="宋体"/>
                <w:b/>
                <w:color w:val="auto"/>
                <w:kern w:val="0"/>
                <w:highlight w:val="none"/>
                <w:lang w:val="en-US" w:eastAsia="zh-CN"/>
              </w:rPr>
              <w:t>50</w:t>
            </w:r>
            <w:r>
              <w:rPr>
                <w:rFonts w:hint="eastAsia" w:ascii="宋体" w:hAnsi="宋体" w:eastAsia="宋体" w:cs="宋体"/>
                <w:b/>
                <w:color w:val="auto"/>
                <w:kern w:val="0"/>
                <w:highlight w:val="none"/>
              </w:rPr>
              <w:t>万元)，其费用包含在相关子目单价或总额价中，不单计量与支付。</w:t>
            </w:r>
          </w:p>
          <w:p w14:paraId="0E7E1523">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b、承包人装备财产险与承包人雇员人身事故险(保额不低于100万元/人)由投标人自行投保，其费用包含在相关子目单价或总额价中，不单计量与支付。</w:t>
            </w:r>
          </w:p>
          <w:p w14:paraId="7F8C58A9">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c、根据《人力资源社会保障部办公厅关于进一步做好建筑业工伤保险工作的通知》 (人社厅函〔2017〕53号)及省厅相关文件要求，投标人在中标后必须依法参加工伤保险，为从业人员缴纳保险费，实行“先参保、再开工”，此项保险的一切费用按清单指示费率进行投标报价，包干使用。</w:t>
            </w:r>
          </w:p>
          <w:p w14:paraId="6806A591">
            <w:pPr>
              <w:adjustRightInd w:val="0"/>
              <w:snapToGrid w:val="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d、承包人应当依法参加安全生产责任保险，安全生产责任保险的保费从安全生产费用中列支。</w:t>
            </w:r>
          </w:p>
          <w:p w14:paraId="234CF2FC">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w:t>
            </w:r>
            <w:r>
              <w:rPr>
                <w:rFonts w:hint="eastAsia" w:ascii="宋体" w:hAnsi="宋体" w:cs="宋体"/>
                <w:b/>
                <w:color w:val="auto"/>
                <w:kern w:val="0"/>
                <w:highlight w:val="none"/>
                <w:lang w:val="en-US" w:eastAsia="zh-CN"/>
              </w:rPr>
              <w:t>4</w:t>
            </w:r>
            <w:r>
              <w:rPr>
                <w:rFonts w:hint="eastAsia" w:ascii="宋体" w:hAnsi="宋体" w:eastAsia="宋体" w:cs="宋体"/>
                <w:b/>
                <w:color w:val="auto"/>
                <w:kern w:val="0"/>
                <w:highlight w:val="none"/>
              </w:rPr>
              <w:t>）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14:paraId="7C69C92E">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w:t>
            </w:r>
            <w:r>
              <w:rPr>
                <w:rFonts w:hint="eastAsia" w:ascii="宋体" w:hAnsi="宋体" w:cs="宋体"/>
                <w:b/>
                <w:color w:val="auto"/>
                <w:kern w:val="0"/>
                <w:highlight w:val="none"/>
                <w:lang w:val="en-US" w:eastAsia="zh-CN"/>
              </w:rPr>
              <w:t>5</w:t>
            </w:r>
            <w:r>
              <w:rPr>
                <w:rFonts w:hint="eastAsia" w:ascii="宋体" w:hAnsi="宋体" w:eastAsia="宋体" w:cs="宋体"/>
                <w:b/>
                <w:color w:val="auto"/>
                <w:kern w:val="0"/>
                <w:highlight w:val="none"/>
              </w:rPr>
              <w:t>）工程实施过程中，承包人应做好交通、水利、渔政、环保、园林</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电力</w:t>
            </w:r>
            <w:r>
              <w:rPr>
                <w:rFonts w:hint="eastAsia" w:ascii="宋体" w:hAnsi="宋体" w:eastAsia="宋体" w:cs="宋体"/>
                <w:b/>
                <w:color w:val="auto"/>
                <w:kern w:val="0"/>
                <w:highlight w:val="none"/>
              </w:rPr>
              <w:t>等部门</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企业</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及地方政府的沟通、协调工作，施工期间本项目施工区域范围内交通、水利、渔政、环保、园林</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电力</w:t>
            </w:r>
            <w:r>
              <w:rPr>
                <w:rFonts w:hint="eastAsia" w:ascii="宋体" w:hAnsi="宋体" w:eastAsia="宋体" w:cs="宋体"/>
                <w:b/>
                <w:color w:val="auto"/>
                <w:kern w:val="0"/>
                <w:highlight w:val="none"/>
              </w:rPr>
              <w:t>等相关主管部门</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企业</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可能会根据各部门相关管理规定收取规费，该部分费用由承包人自行调查，并在相关项目单价或总额价中予以充分考虑，不单独计量与支付。</w:t>
            </w:r>
          </w:p>
          <w:p w14:paraId="6ACC950C">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w:t>
            </w:r>
            <w:r>
              <w:rPr>
                <w:rFonts w:hint="eastAsia" w:ascii="宋体" w:hAnsi="宋体" w:cs="宋体"/>
                <w:b/>
                <w:color w:val="auto"/>
                <w:kern w:val="0"/>
                <w:highlight w:val="none"/>
                <w:lang w:val="en-US" w:eastAsia="zh-CN"/>
              </w:rPr>
              <w:t>6</w:t>
            </w:r>
            <w:r>
              <w:rPr>
                <w:rFonts w:hint="eastAsia" w:ascii="宋体" w:hAnsi="宋体" w:eastAsia="宋体" w:cs="宋体"/>
                <w:b/>
                <w:color w:val="auto"/>
                <w:kern w:val="0"/>
                <w:highlight w:val="none"/>
              </w:rPr>
              <w:t>）设计单位提供的设计文件中的施工方案等均是设计单位提供的参考意见，并非发包人要求投标人必须采纳的。因此，各投标人在编制标书时，充分调查，选择合适的方案及资料。</w:t>
            </w:r>
          </w:p>
          <w:p w14:paraId="16A5B669">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w:t>
            </w:r>
            <w:r>
              <w:rPr>
                <w:rFonts w:hint="eastAsia" w:ascii="宋体" w:hAnsi="宋体" w:cs="宋体"/>
                <w:b/>
                <w:color w:val="auto"/>
                <w:kern w:val="0"/>
                <w:highlight w:val="none"/>
                <w:lang w:val="en-US" w:eastAsia="zh-CN"/>
              </w:rPr>
              <w:t>7</w:t>
            </w:r>
            <w:r>
              <w:rPr>
                <w:rFonts w:hint="eastAsia" w:ascii="宋体" w:hAnsi="宋体" w:eastAsia="宋体" w:cs="宋体"/>
                <w:b/>
                <w:color w:val="auto"/>
                <w:kern w:val="0"/>
                <w:highlight w:val="none"/>
              </w:rPr>
              <w:t>）投标人在投标报价时还需考虑以下因素：</w:t>
            </w:r>
          </w:p>
          <w:p w14:paraId="0536A3FD">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①施工现场三通(水、电、临时道路)、通讯条件、临时排水、临时交通(特别是弃土外运对现有道路的影响)、承包人驻地建设，投标人应根据踏勘现场情况自行确定解决方案，其临时工程与设施应考虑施工期施工、地方临时通行需要，承包人驻地建设设置的项目及其规模、参数和功能应能满足实施工程施工的要求，符合环境、卫生、消防及文明施工标准化管理要求，同时应达到国家、省市相关《施工现场管理实施办法》以及本招标文件的相关要求。投标人应充分认识到本标段的场地条件、自然条件、施工安全要求的特点和难点，在投标时予以考虑（有对应报价子目的，由投标人自行报价；无对应报价子目的，包含在相关子目中进行报价）。</w:t>
            </w:r>
          </w:p>
          <w:p w14:paraId="03FA9260">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②本项目施工环保费（含扬尘污染增加费等）由投标人自行考虑报价，在合同实施时包干使用，承包人施工时应按相关规范和发包人、监理人的要求做好环境保护、文明施工工作，不得污染周边环境。若因承包人原因给发包人造成恶劣影响的，该费用不予支付且由此产生的赔偿由承包人承担。</w:t>
            </w:r>
          </w:p>
          <w:p w14:paraId="0CFD9991">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承包人在施工过程中必须做好防尘（包括车辆及机械设备等出入清洗）、降噪（不得影响附近居民办公休息）等工作，由此产生的相关费用，请各投标人自行考虑并列入施工环保费中。</w:t>
            </w:r>
          </w:p>
          <w:p w14:paraId="07661B80">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投标人应严格按照</w:t>
            </w:r>
            <w:r>
              <w:rPr>
                <w:rFonts w:hint="eastAsia" w:ascii="宋体" w:hAnsi="宋体" w:eastAsia="宋体" w:cs="宋体"/>
                <w:b/>
                <w:color w:val="auto"/>
                <w:kern w:val="0"/>
                <w:highlight w:val="none"/>
                <w:lang w:val="en-US" w:eastAsia="zh-CN"/>
              </w:rPr>
              <w:t>相关文件</w:t>
            </w:r>
            <w:r>
              <w:rPr>
                <w:rFonts w:hint="eastAsia" w:ascii="宋体" w:hAnsi="宋体" w:eastAsia="宋体" w:cs="宋体"/>
                <w:b/>
                <w:color w:val="auto"/>
                <w:kern w:val="0"/>
                <w:highlight w:val="none"/>
              </w:rPr>
              <w:t>的规定控制实施项目的扬尘污染防治工作。</w:t>
            </w:r>
          </w:p>
          <w:p w14:paraId="426D4CFF">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若因承包人原因给发包人造成恶劣影响的，该费用不予支付且由此产生的赔偿由承包人承担。</w:t>
            </w:r>
          </w:p>
          <w:p w14:paraId="42A4EB77">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③根据“交通运输部《公路水运工程安全生产监督管理办法》</w:t>
            </w:r>
            <w:r>
              <w:rPr>
                <w:rFonts w:hint="eastAsia" w:ascii="宋体" w:hAnsi="宋体" w:eastAsia="宋体" w:cs="宋体"/>
                <w:b/>
                <w:color w:val="auto"/>
                <w:kern w:val="0"/>
                <w:highlight w:val="none"/>
              </w:rPr>
              <w:tab/>
            </w:r>
            <w:r>
              <w:rPr>
                <w:rFonts w:hint="eastAsia" w:ascii="宋体" w:hAnsi="宋体" w:eastAsia="宋体" w:cs="宋体"/>
                <w:b/>
                <w:color w:val="auto"/>
                <w:kern w:val="0"/>
                <w:highlight w:val="none"/>
              </w:rPr>
              <w:t>([2017]第25号)”和“关于印发《企业安全生产费用提取和使用管理办法》的通知(财资〔2022〕136号)”</w:t>
            </w:r>
            <w:r>
              <w:rPr>
                <w:rFonts w:hint="eastAsia" w:ascii="宋体" w:hAnsi="宋体" w:eastAsia="宋体" w:cs="宋体"/>
                <w:b/>
                <w:color w:val="auto"/>
                <w:kern w:val="0"/>
                <w:highlight w:val="none"/>
                <w:lang w:val="en-US" w:eastAsia="zh-CN"/>
              </w:rPr>
              <w:t>等</w:t>
            </w:r>
            <w:r>
              <w:rPr>
                <w:rFonts w:hint="eastAsia" w:ascii="宋体" w:hAnsi="宋体" w:eastAsia="宋体" w:cs="宋体"/>
                <w:b/>
                <w:color w:val="auto"/>
                <w:kern w:val="0"/>
                <w:highlight w:val="none"/>
              </w:rPr>
              <w:t>的规定，承包人“安全生产费用”按“最高投标限价”的1.5％</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不足1万按1万计</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报价，投标人在投标报价时不得对该费</w:t>
            </w:r>
            <w:r>
              <w:rPr>
                <w:rFonts w:hint="eastAsia" w:ascii="宋体" w:hAnsi="宋体" w:eastAsia="宋体" w:cs="宋体"/>
                <w:b/>
                <w:color w:val="auto"/>
                <w:kern w:val="0"/>
                <w:highlight w:val="none"/>
                <w:lang w:val="en-US" w:eastAsia="zh-CN"/>
              </w:rPr>
              <w:t>用</w:t>
            </w:r>
            <w:r>
              <w:rPr>
                <w:rFonts w:hint="eastAsia" w:ascii="宋体" w:hAnsi="宋体" w:eastAsia="宋体" w:cs="宋体"/>
                <w:b/>
                <w:color w:val="auto"/>
                <w:kern w:val="0"/>
                <w:highlight w:val="none"/>
              </w:rPr>
              <w:t>进行调整。项目实施过程中由发包人根据监理人对工程安全生产情况的签字确认进行支付(按实计量)，支付上限为投标报价中的安全生产费报价。除合同另有规定，投标人在施工过程中用于安全生产的费用若超出了安全生产费总额，超出部分费用视已包括在相关项目单价或总额价内，发包人不另行计量与支付。</w:t>
            </w:r>
          </w:p>
          <w:p w14:paraId="286C1809">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④施工要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r>
              <w:rPr>
                <w:rFonts w:hint="eastAsia" w:ascii="宋体" w:hAnsi="宋体" w:eastAsia="宋体" w:cs="宋体"/>
                <w:b/>
                <w:color w:val="auto"/>
                <w:highlight w:val="none"/>
              </w:rPr>
              <w:t>，所采取的措施</w:t>
            </w:r>
            <w:r>
              <w:rPr>
                <w:rFonts w:hint="eastAsia" w:ascii="宋体" w:hAnsi="宋体" w:eastAsia="宋体" w:cs="宋体"/>
                <w:b/>
                <w:color w:val="auto"/>
                <w:highlight w:val="none"/>
                <w:lang w:val="en-US" w:eastAsia="zh-CN"/>
              </w:rPr>
              <w:t>产生的相关费用</w:t>
            </w:r>
            <w:r>
              <w:rPr>
                <w:rFonts w:hint="eastAsia" w:ascii="宋体" w:hAnsi="宋体" w:eastAsia="宋体" w:cs="宋体"/>
                <w:b/>
                <w:color w:val="auto"/>
                <w:highlight w:val="none"/>
              </w:rPr>
              <w:t>应含在</w:t>
            </w:r>
            <w:r>
              <w:rPr>
                <w:rFonts w:hint="eastAsia" w:ascii="宋体" w:hAnsi="宋体" w:eastAsia="宋体" w:cs="宋体"/>
                <w:b/>
                <w:color w:val="auto"/>
                <w:kern w:val="0"/>
                <w:highlight w:val="none"/>
              </w:rPr>
              <w:t>相关项目单价或总额价内，发包人不另行计量与支付。</w:t>
            </w:r>
          </w:p>
          <w:p w14:paraId="654C453C">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⑤在工程施工作业中产生的废渣、废料或废水(废浆)，应由承包人自行处置，且应满足环保要求，不得因此给业主带来投诉、争议或索赔。废料的残值及处置费用，均由承包人自行得益或承担，并在投标报价中充分考虑。</w:t>
            </w:r>
          </w:p>
          <w:p w14:paraId="3725084F">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施工期间承包人应严格执行关于排污的环保要求。严禁随意将生活垃圾和生活污水及废弃油料直接排入水域，防止施工机械的油料泄漏。排放污染物应进行必要的处理，达到排污标准以后方可排放。</w:t>
            </w:r>
          </w:p>
          <w:p w14:paraId="4709B5A3">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本项目施工过程中所需的临时用水用电、抛泥区</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若需</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、临时用地、弃土、废浆、废弃物和垃圾清理外运、环保处理工作、场地恢复工作等等涉及施工过程中的全部措施，均由本项目承包人负全责，所需费用在相关项目报价时充分考虑。</w:t>
            </w:r>
          </w:p>
          <w:p w14:paraId="6877C74B">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a、承包人应按省市及地方相关管理单位对于弃土、排放泥浆、垃圾处理的有关规定办理相关手续，并按相关管理规定做好具体实施工作，同时满足发包人的管理要求，由此产生的费用由承包人自行考虑并承担相关费用。</w:t>
            </w:r>
          </w:p>
          <w:p w14:paraId="52D22DFC">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b、承包人进场后，应布设好场内的排水系统，施工排水必须经沉淀后才能排入附近河流或下水道，排放工作由承包人负全责；</w:t>
            </w:r>
          </w:p>
          <w:p w14:paraId="37F2E3B7">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c、承包人不得将泥浆等废弃物和废水直接丢弃和排放于河中，应采用循环利用或统一处理，并应满足环保的相关要求；</w:t>
            </w:r>
          </w:p>
          <w:p w14:paraId="1E4000DD">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d、在施工期间，承包人应对土方运输工作实行统一扎口管理，加大管理力度，完善管理制度，避免发生重大跑、冒、滴、漏现象和运输交通事故；交管部门规定若只能在夜间出土，承包人应服从交管部门的指令，合理安排施工计划；</w:t>
            </w:r>
          </w:p>
          <w:p w14:paraId="4976D168">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e、在施工期间，承包人应保证各种包装的完整，严禁运输装卸过程中抛漏。</w:t>
            </w:r>
          </w:p>
          <w:p w14:paraId="627E02C4">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f、对于弃土(泥浆)工作，应满足以下要求：</w:t>
            </w:r>
          </w:p>
          <w:p w14:paraId="1BE0F2F1">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承包人自行办理相关的土方运输许可及运输手续，所有安全文明施工及手续符合南通市渣土运输的相关管理规定。</w:t>
            </w:r>
          </w:p>
          <w:p w14:paraId="496FB97B">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业主不提供临时堆土场与渣土堆放场地，承包人应自行调查、解决，且渣土堆放应符合南通市相关的环保管理规定。本项目外借土方发包人不提供土源，承包人自行解决。</w:t>
            </w:r>
          </w:p>
          <w:p w14:paraId="6C47464A">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土方输过程中不得有抛洒滴漏现象，同时按地方相关规定加强运输期间场地、道路的保洁工作；</w:t>
            </w:r>
          </w:p>
          <w:p w14:paraId="55F5EA8C">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土方运输所经道路如发生意外抛洒滴漏的，承包人因安排保洁人员及时清理，并对道路进行冲洗。</w:t>
            </w:r>
          </w:p>
          <w:p w14:paraId="1A8014EF">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承包人应做好土方运输管理工作，所有土方不得有私拉乱倒现象发生。</w:t>
            </w:r>
          </w:p>
          <w:p w14:paraId="6F4CEDCD">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承包人运输及回填前需提前与发包人、监理确认土方堆放地点及场地平整要求和临时覆盖事宜。</w:t>
            </w:r>
          </w:p>
          <w:p w14:paraId="1CF143CA">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承包人应严格进行土方运输、堆放期间的各项安全管理；临时土方堆场不做硬质化处理，土方堆放期间需按要求设置必须采取彩钢板围挡全封闭，不得透光，围挡应整洁美观，并做好防尘措施；</w:t>
            </w:r>
          </w:p>
          <w:p w14:paraId="37CDA3DE">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承包人运输过程中，及时做好车辆清洗工作，保证道路的保洁。</w:t>
            </w:r>
          </w:p>
          <w:p w14:paraId="335FF5CE">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在施工期间，若因承包人违规施工而造成环境与设施的污染、破坏，发包人将要求追究承包人所有责任。</w:t>
            </w:r>
          </w:p>
          <w:p w14:paraId="562FA335">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承包人因执行以上各项要求而发生的一切费用应含在相关细目报价中，不单独计量与支付，投标人在投标报价时应充分考虑。</w:t>
            </w:r>
          </w:p>
          <w:p w14:paraId="5A2EE29D">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⑥承包人需保护好工程范围内的施工场地，如在工程范围内出现建筑垃圾、土方(含偷倒土方)等，需由承包人自行承担清理，费用自理，投标人在投标报价时应予充分考虑。</w:t>
            </w:r>
          </w:p>
          <w:p w14:paraId="01706064">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⑦本项目发包人不提供生产用电、用水接口，需要承包人自行对接用电、用水部门，且实际施工时可能不具备等待施工用电接入后再施工的条件，即前期工程的实施可能需要考虑自发电，相关费用，投标人在投标报价时应予充分考虑。</w:t>
            </w:r>
          </w:p>
          <w:p w14:paraId="2D5BB399">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⑧投标人应进行必要的现场踏勘，了解项目实施地的施工场地及周边地貌情况，本项目施工场地(含满足工程主体范围和有效的施工作业面位置的施工水域或场地，及临时占地)的使用费用及施工场地的绿化、管线及其他设施的迁移、耕地复耕、绿化复原等的一切费用，投标人在投标报价中充分考虑，不单独计量与支付。</w:t>
            </w:r>
          </w:p>
          <w:p w14:paraId="22FBD6F9">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⑨为完成本项目施工，除清单列明的措施及一般项目之外，其它相关措施[如：测量、泥浆输送、水上(陆上)施工平台等]均不单独计量与支付，包含在相关项目单价或总额价中。发包人向承包人交付施工水域后，承包人应尽快沿水域边界布置明显标志防止外来干扰，施工期间，承包人应对交付水域负责照管。如未尽照管责任导致施工暂停的，承包人应尽快恢复，必要时发包人将予以协助，但窝工费用由承包人自行承担。投标人必须无条件地服从发包人和现场监理的协调，由此可能发生的费用应计入报价中，在合同实施过程中，发包人不另承担由此产生的一切费用。承包人在工程建设期间不得损坏和污染招标发包人已完成的其他任何工程。</w:t>
            </w:r>
          </w:p>
          <w:p w14:paraId="7EC886CA">
            <w:pPr>
              <w:pStyle w:val="20"/>
              <w:adjustRightInd w:val="0"/>
              <w:snapToGrid w:val="0"/>
              <w:spacing w:after="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承包人在合同实施过程中须按</w:t>
            </w:r>
            <w:r>
              <w:rPr>
                <w:rFonts w:hint="eastAsia" w:ascii="宋体" w:hAnsi="宋体" w:eastAsia="宋体" w:cs="宋体"/>
                <w:b/>
                <w:color w:val="auto"/>
                <w:kern w:val="0"/>
                <w:highlight w:val="none"/>
                <w:lang w:val="en-US" w:eastAsia="zh-CN"/>
              </w:rPr>
              <w:t>相关文件要求</w:t>
            </w:r>
            <w:r>
              <w:rPr>
                <w:rFonts w:hint="eastAsia" w:ascii="宋体" w:hAnsi="宋体" w:eastAsia="宋体" w:cs="宋体"/>
                <w:b/>
                <w:color w:val="auto"/>
                <w:kern w:val="0"/>
                <w:highlight w:val="none"/>
              </w:rPr>
              <w:t>做好生态环境保护工作。</w:t>
            </w:r>
          </w:p>
          <w:p w14:paraId="099E7DF7">
            <w:pPr>
              <w:rPr>
                <w:rFonts w:hint="eastAsia" w:ascii="宋体" w:hAnsi="宋体" w:eastAsia="宋体" w:cs="宋体"/>
                <w:b/>
                <w:bCs/>
                <w:color w:val="auto"/>
                <w:highlight w:val="none"/>
              </w:rPr>
            </w:pPr>
            <w:r>
              <w:rPr>
                <w:rFonts w:hint="eastAsia" w:ascii="宋体" w:hAnsi="宋体" w:eastAsia="宋体" w:cs="宋体"/>
                <w:b/>
                <w:color w:val="auto"/>
                <w:kern w:val="0"/>
                <w:highlight w:val="none"/>
              </w:rPr>
              <w:t>⑩</w:t>
            </w:r>
            <w:r>
              <w:rPr>
                <w:rFonts w:hint="eastAsia" w:ascii="宋体" w:hAnsi="宋体" w:eastAsia="宋体" w:cs="宋体"/>
                <w:b/>
                <w:bCs/>
                <w:color w:val="auto"/>
                <w:highlight w:val="none"/>
              </w:rPr>
              <w:t>投标人应做好因为本标段施工过程中对周边环境及设施、结构物稳定可能造成影响的安全保护，及时按要求做好动态监测，相关费用包含在投标报价中，不单独计量与支付。</w:t>
            </w:r>
          </w:p>
          <w:p w14:paraId="64D2D113">
            <w:pPr>
              <w:rPr>
                <w:rFonts w:hint="eastAsia" w:ascii="宋体" w:hAnsi="宋体" w:eastAsia="宋体" w:cs="宋体"/>
                <w:b/>
                <w:bCs/>
                <w:color w:val="auto"/>
                <w:kern w:val="2"/>
                <w:highlight w:val="none"/>
              </w:rPr>
            </w:pPr>
            <w:r>
              <w:rPr>
                <w:rFonts w:hint="eastAsia" w:ascii="宋体" w:hAnsi="宋体" w:eastAsia="宋体" w:cs="宋体"/>
                <w:b/>
                <w:color w:val="auto"/>
                <w:kern w:val="0"/>
                <w:highlight w:val="none"/>
              </w:rPr>
              <w:t>⑪</w:t>
            </w:r>
            <w:r>
              <w:rPr>
                <w:rFonts w:hint="eastAsia" w:ascii="宋体" w:hAnsi="宋体" w:eastAsia="宋体" w:cs="宋体"/>
                <w:b/>
                <w:color w:val="auto"/>
                <w:kern w:val="0"/>
                <w:highlight w:val="none"/>
                <w:lang w:val="en-US" w:eastAsia="zh-CN"/>
              </w:rPr>
              <w:t>本项目施工过程中产生的车辆运输费等一切交通费用，投标报价时</w:t>
            </w:r>
            <w:r>
              <w:rPr>
                <w:rFonts w:hint="eastAsia" w:ascii="宋体" w:hAnsi="宋体" w:eastAsia="宋体" w:cs="宋体"/>
                <w:b/>
                <w:color w:val="auto"/>
                <w:kern w:val="0"/>
                <w:highlight w:val="none"/>
              </w:rPr>
              <w:t>在相关项</w:t>
            </w:r>
            <w:r>
              <w:rPr>
                <w:rFonts w:hint="eastAsia" w:ascii="宋体" w:hAnsi="宋体" w:eastAsia="宋体" w:cs="宋体"/>
                <w:b/>
                <w:bCs/>
                <w:color w:val="auto"/>
                <w:kern w:val="2"/>
                <w:highlight w:val="none"/>
              </w:rPr>
              <w:t>目单价或总额价中予以充分考虑，不单独计量与支付。</w:t>
            </w:r>
          </w:p>
          <w:p w14:paraId="129A8234">
            <w:pPr>
              <w:rPr>
                <w:rFonts w:hint="eastAsia" w:ascii="宋体" w:hAnsi="宋体" w:eastAsia="宋体" w:cs="宋体"/>
                <w:b/>
                <w:bCs/>
                <w:color w:val="auto"/>
                <w:kern w:val="2"/>
                <w:highlight w:val="none"/>
                <w:u w:val="double"/>
              </w:rPr>
            </w:pPr>
            <w:r>
              <w:rPr>
                <w:rFonts w:hint="eastAsia" w:ascii="宋体" w:hAnsi="宋体" w:eastAsia="宋体" w:cs="宋体"/>
                <w:b/>
                <w:bCs/>
                <w:color w:val="auto"/>
                <w:kern w:val="2"/>
                <w:highlight w:val="none"/>
                <w:u w:val="double"/>
              </w:rPr>
              <w:t>（</w:t>
            </w:r>
            <w:r>
              <w:rPr>
                <w:rFonts w:hint="eastAsia" w:ascii="宋体" w:hAnsi="宋体" w:cs="宋体"/>
                <w:b/>
                <w:bCs/>
                <w:color w:val="auto"/>
                <w:kern w:val="2"/>
                <w:highlight w:val="none"/>
                <w:u w:val="double"/>
                <w:lang w:val="en-US" w:eastAsia="zh-CN"/>
              </w:rPr>
              <w:t>8</w:t>
            </w:r>
            <w:r>
              <w:rPr>
                <w:rFonts w:hint="eastAsia" w:ascii="宋体" w:hAnsi="宋体" w:eastAsia="宋体" w:cs="宋体"/>
                <w:b/>
                <w:bCs/>
                <w:color w:val="auto"/>
                <w:kern w:val="2"/>
                <w:highlight w:val="none"/>
                <w:u w:val="double"/>
              </w:rPr>
              <w:t>）本项目最高投标限价为</w:t>
            </w:r>
            <w:r>
              <w:rPr>
                <w:rFonts w:hint="eastAsia" w:ascii="宋体" w:hAnsi="宋体" w:cs="宋体"/>
                <w:b/>
                <w:bCs/>
                <w:color w:val="auto"/>
                <w:kern w:val="2"/>
                <w:highlight w:val="none"/>
                <w:u w:val="double"/>
                <w:lang w:val="en-US" w:eastAsia="zh-CN"/>
              </w:rPr>
              <w:t>壹拾陆万肆仟零捌拾壹元整（¥164081元）</w:t>
            </w:r>
            <w:r>
              <w:rPr>
                <w:rFonts w:hint="eastAsia" w:ascii="宋体" w:hAnsi="宋体" w:eastAsia="宋体" w:cs="宋体"/>
                <w:b/>
                <w:bCs/>
                <w:color w:val="auto"/>
                <w:kern w:val="2"/>
                <w:highlight w:val="none"/>
                <w:u w:val="double"/>
              </w:rPr>
              <w:t>。</w:t>
            </w:r>
          </w:p>
          <w:p w14:paraId="24AED3CC">
            <w:pPr>
              <w:adjustRightInd w:val="0"/>
              <w:snapToGrid w:val="0"/>
              <w:rPr>
                <w:rFonts w:hint="eastAsia" w:ascii="宋体" w:hAnsi="宋体" w:eastAsia="宋体" w:cs="宋体"/>
                <w:b/>
                <w:color w:val="auto"/>
                <w:highlight w:val="none"/>
              </w:rPr>
            </w:pPr>
            <w:r>
              <w:rPr>
                <w:rFonts w:hint="eastAsia" w:ascii="宋体" w:hAnsi="宋体" w:eastAsia="宋体" w:cs="宋体"/>
                <w:b/>
                <w:color w:val="auto"/>
                <w:highlight w:val="none"/>
              </w:rPr>
              <w:t>2、第三条投标文件</w:t>
            </w:r>
          </w:p>
          <w:p w14:paraId="478E9A18">
            <w:pPr>
              <w:pStyle w:val="20"/>
              <w:adjustRightInd w:val="0"/>
              <w:snapToGrid w:val="0"/>
              <w:spacing w:after="0"/>
              <w:rPr>
                <w:rFonts w:hint="eastAsia" w:ascii="宋体" w:hAnsi="宋体" w:eastAsia="宋体" w:cs="宋体"/>
                <w:b/>
                <w:color w:val="auto"/>
                <w:highlight w:val="none"/>
              </w:rPr>
            </w:pPr>
            <w:r>
              <w:rPr>
                <w:rFonts w:hint="eastAsia" w:ascii="宋体" w:hAnsi="宋体" w:eastAsia="宋体" w:cs="宋体"/>
                <w:b/>
                <w:color w:val="auto"/>
                <w:highlight w:val="none"/>
              </w:rPr>
              <w:t>●3.5款修改为：</w:t>
            </w:r>
          </w:p>
          <w:p w14:paraId="5642BA58">
            <w:pP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资格审查资料</w:t>
            </w:r>
            <w:r>
              <w:rPr>
                <w:rFonts w:hint="eastAsia" w:ascii="宋体" w:hAnsi="宋体" w:eastAsia="宋体" w:cs="宋体"/>
                <w:color w:val="auto"/>
                <w:highlight w:val="none"/>
                <w:lang w:val="en-US" w:eastAsia="zh-CN"/>
              </w:rPr>
              <w:t>按招标文件“第九章 投标文件格式”要求提供。</w:t>
            </w:r>
          </w:p>
          <w:p w14:paraId="45A2A73E">
            <w:pPr>
              <w:pStyle w:val="20"/>
              <w:adjustRightInd w:val="0"/>
              <w:snapToGrid w:val="0"/>
              <w:spacing w:after="0"/>
              <w:rPr>
                <w:rFonts w:hint="eastAsia" w:ascii="宋体" w:hAnsi="宋体" w:eastAsia="宋体" w:cs="宋体"/>
                <w:b/>
                <w:color w:val="auto"/>
                <w:highlight w:val="none"/>
              </w:rPr>
            </w:pPr>
            <w:r>
              <w:rPr>
                <w:rFonts w:hint="eastAsia" w:ascii="宋体" w:hAnsi="宋体" w:eastAsia="宋体" w:cs="宋体"/>
                <w:b/>
                <w:color w:val="auto"/>
                <w:highlight w:val="none"/>
              </w:rPr>
              <w:t>3、第4条投标</w:t>
            </w:r>
          </w:p>
          <w:p w14:paraId="01F274B6">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●4.1款调整为：</w:t>
            </w:r>
          </w:p>
          <w:p w14:paraId="0FED4A15">
            <w:pPr>
              <w:widowControl/>
              <w:adjustRightInd w:val="0"/>
              <w:snapToGrid w:val="0"/>
              <w:rPr>
                <w:rFonts w:hint="eastAsia" w:ascii="宋体" w:hAnsi="宋体" w:eastAsia="宋体" w:cs="宋体"/>
                <w:b/>
                <w:color w:val="auto"/>
                <w:szCs w:val="21"/>
                <w:highlight w:val="none"/>
                <w:u w:val="double"/>
                <w:lang w:val="zh-CN"/>
              </w:rPr>
            </w:pPr>
            <w:r>
              <w:rPr>
                <w:rFonts w:hint="eastAsia" w:ascii="宋体" w:hAnsi="宋体" w:eastAsia="宋体" w:cs="宋体"/>
                <w:b/>
                <w:color w:val="auto"/>
                <w:szCs w:val="21"/>
                <w:highlight w:val="none"/>
                <w:u w:val="double"/>
                <w:lang w:val="zh-CN"/>
              </w:rPr>
              <w:t>投标文件应采用双信封形式密封。投标文件第一个信封（商务及技术文件）以及第二个信封（报价文件）应单独密封包装，</w:t>
            </w:r>
            <w:r>
              <w:rPr>
                <w:rFonts w:hint="eastAsia" w:ascii="宋体" w:hAnsi="宋体" w:eastAsia="宋体" w:cs="宋体"/>
                <w:b/>
                <w:color w:val="auto"/>
                <w:szCs w:val="21"/>
                <w:highlight w:val="none"/>
                <w:u w:val="double"/>
                <w:lang w:val="en-US" w:eastAsia="zh-CN"/>
              </w:rPr>
              <w:t>并</w:t>
            </w:r>
            <w:r>
              <w:rPr>
                <w:rFonts w:hint="eastAsia" w:ascii="宋体" w:hAnsi="宋体" w:eastAsia="宋体" w:cs="宋体"/>
                <w:b/>
                <w:color w:val="auto"/>
                <w:szCs w:val="21"/>
                <w:highlight w:val="none"/>
                <w:u w:val="double"/>
                <w:lang w:val="zh-CN"/>
              </w:rPr>
              <w:t>在封套的封口处加盖投标人单位章，封套上应写明的其他内容见投标人须知前附表。</w:t>
            </w:r>
            <w:r>
              <w:rPr>
                <w:rFonts w:hint="eastAsia" w:ascii="宋体" w:hAnsi="宋体" w:eastAsia="宋体" w:cs="宋体"/>
                <w:b/>
                <w:color w:val="auto"/>
                <w:szCs w:val="21"/>
                <w:highlight w:val="none"/>
                <w:u w:val="double"/>
                <w:lang w:val="en-US" w:eastAsia="zh-CN"/>
              </w:rPr>
              <w:t>未按照上述</w:t>
            </w:r>
            <w:r>
              <w:rPr>
                <w:rFonts w:hint="eastAsia" w:ascii="宋体" w:hAnsi="宋体" w:eastAsia="宋体" w:cs="宋体"/>
                <w:b/>
                <w:color w:val="auto"/>
                <w:szCs w:val="21"/>
                <w:highlight w:val="none"/>
                <w:u w:val="double"/>
                <w:lang w:val="zh-CN"/>
              </w:rPr>
              <w:t>要求密封和加写标记的投标文件，招标人不予受理。</w:t>
            </w:r>
          </w:p>
          <w:p w14:paraId="464D673E">
            <w:pPr>
              <w:widowControl/>
              <w:adjustRightInd w:val="0"/>
              <w:snapToGrid w:val="0"/>
              <w:rPr>
                <w:rFonts w:hint="eastAsia" w:ascii="宋体" w:hAnsi="宋体" w:eastAsia="宋体" w:cs="宋体"/>
                <w:b/>
                <w:color w:val="auto"/>
                <w:szCs w:val="21"/>
                <w:highlight w:val="none"/>
                <w:u w:val="double"/>
                <w:lang w:val="en-US"/>
              </w:rPr>
            </w:pPr>
            <w:r>
              <w:rPr>
                <w:rFonts w:hint="eastAsia" w:ascii="宋体" w:hAnsi="宋体" w:eastAsia="宋体" w:cs="宋体"/>
                <w:b/>
                <w:color w:val="auto"/>
                <w:szCs w:val="21"/>
                <w:highlight w:val="none"/>
                <w:u w:val="double"/>
                <w:lang w:val="zh-CN"/>
              </w:rPr>
              <w:t>电子版投标文件（U盘一份）</w:t>
            </w:r>
            <w:r>
              <w:rPr>
                <w:rFonts w:hint="eastAsia" w:ascii="宋体" w:hAnsi="宋体" w:eastAsia="宋体" w:cs="宋体"/>
                <w:b/>
                <w:color w:val="auto"/>
                <w:szCs w:val="21"/>
                <w:highlight w:val="none"/>
                <w:u w:val="double"/>
                <w:lang w:val="en-US" w:eastAsia="zh-CN"/>
              </w:rPr>
              <w:t>应密封至</w:t>
            </w:r>
            <w:r>
              <w:rPr>
                <w:rFonts w:hint="eastAsia" w:ascii="宋体" w:hAnsi="宋体" w:eastAsia="宋体" w:cs="宋体"/>
                <w:b/>
                <w:color w:val="auto"/>
                <w:szCs w:val="21"/>
                <w:highlight w:val="none"/>
                <w:u w:val="double"/>
                <w:lang w:val="zh-CN"/>
              </w:rPr>
              <w:t>第二个信封（报价文件）</w:t>
            </w:r>
            <w:r>
              <w:rPr>
                <w:rFonts w:hint="eastAsia" w:ascii="宋体" w:hAnsi="宋体" w:eastAsia="宋体" w:cs="宋体"/>
                <w:b/>
                <w:color w:val="auto"/>
                <w:szCs w:val="21"/>
                <w:highlight w:val="none"/>
                <w:u w:val="double"/>
                <w:lang w:val="en-US" w:eastAsia="zh-CN"/>
              </w:rPr>
              <w:t>中。</w:t>
            </w:r>
          </w:p>
          <w:p w14:paraId="1587CC25">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4、第5条 开标：</w:t>
            </w:r>
          </w:p>
          <w:p w14:paraId="40723551">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●5.2款调整为：</w:t>
            </w:r>
          </w:p>
          <w:p w14:paraId="4B5C0518">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5.2.1主持人按下列程序对投标文件第一个信封（商务及技术文件）进行开标：</w:t>
            </w:r>
          </w:p>
          <w:p w14:paraId="66E70330">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（1）宣布开标纪律；</w:t>
            </w:r>
          </w:p>
          <w:p w14:paraId="0D5DFE4E">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（2）公布在投标截止时间前递交投标文件的投标人数量；</w:t>
            </w:r>
          </w:p>
          <w:p w14:paraId="268E4DF6">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（3）由投标人代表检查投标文件的密封情况；</w:t>
            </w:r>
          </w:p>
          <w:p w14:paraId="3FF7C023">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（4）公布标段名称、投标人名称、投标函中主要内容，并记录在案；</w:t>
            </w:r>
          </w:p>
          <w:p w14:paraId="2277A461">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（5）投标人代表、记录人等有关人员在开标记录上签字确认；</w:t>
            </w:r>
          </w:p>
          <w:p w14:paraId="66529EF6">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（6）开标结束。</w:t>
            </w:r>
          </w:p>
          <w:p w14:paraId="2F4A1CAA">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5.2.</w:t>
            </w:r>
            <w:r>
              <w:rPr>
                <w:rFonts w:hint="eastAsia" w:ascii="宋体" w:hAnsi="宋体" w:eastAsia="宋体" w:cs="宋体"/>
                <w:b/>
                <w:color w:val="auto"/>
                <w:highlight w:val="none"/>
                <w:lang w:val="en-US" w:eastAsia="zh-CN"/>
              </w:rPr>
              <w:t>2</w:t>
            </w:r>
            <w:r>
              <w:rPr>
                <w:rFonts w:hint="eastAsia" w:ascii="宋体" w:hAnsi="宋体" w:eastAsia="宋体" w:cs="宋体"/>
                <w:b/>
                <w:color w:val="auto"/>
                <w:highlight w:val="none"/>
                <w:lang w:val="zh-CN"/>
              </w:rPr>
              <w:t>招标人将按照本章第 5.1 款规定的时间和地点对投标文件第二个信封（报价文件）进行开标。主持人按下列程序进行开标：</w:t>
            </w:r>
          </w:p>
          <w:p w14:paraId="010C6062">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（1）宣布通过投标文件第一个信封（商务及技术文件）的投标人名单及评审结果；</w:t>
            </w:r>
          </w:p>
          <w:p w14:paraId="0C49369E">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（2）拆封通过投标文件第一个信封（商务及技术文件）评审的投标文件第二个信封（报价文件），公布标段名称、投标人名称、投标报价及其他内容（如有），并记录在案；</w:t>
            </w:r>
          </w:p>
          <w:p w14:paraId="1EB95B75">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（3）计算并宣布评标基准价；</w:t>
            </w:r>
          </w:p>
          <w:p w14:paraId="7449EF2F">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（4）将未通过投标文件第一个信封（商务及技术文件）评审的投标文件第二个信封（报价文件）退还给投标人；</w:t>
            </w:r>
          </w:p>
          <w:p w14:paraId="2B5DA331">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（5）投标人代表、记录人等有关人员在开标记录上签字确认；</w:t>
            </w:r>
          </w:p>
          <w:p w14:paraId="3F95323E">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（6）开标结束。</w:t>
            </w:r>
          </w:p>
          <w:p w14:paraId="5B041453">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5.2.4若采用合理低价法或综合评分法，在投标文件第二个信封(报价文件)开标现场，招标人将按第三章“评标办法” 规定的原则计算并宣布评标基准价。若招标人发现投标文件出现以下任一情况，其投标报价将不再参加评标基准价的计算:</w:t>
            </w:r>
          </w:p>
          <w:p w14:paraId="7506432F">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（1）未在投标函上填写投标总价；</w:t>
            </w:r>
          </w:p>
          <w:p w14:paraId="0C998481">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（2）投标报价超出招标人公布的最高投标限价 (如有)；</w:t>
            </w:r>
          </w:p>
          <w:p w14:paraId="6FC45BC5">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（3）投标报价的大写金额无法确定具体数值；</w:t>
            </w:r>
          </w:p>
          <w:p w14:paraId="263AC03E">
            <w:pPr>
              <w:widowControl/>
              <w:adjustRightInd w:val="0"/>
              <w:snapToGrid w:val="0"/>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14:paraId="0495E508">
            <w:pPr>
              <w:widowControl/>
              <w:adjustRightInd w:val="0"/>
              <w:snapToGrid w:val="0"/>
              <w:rPr>
                <w:rFonts w:hint="eastAsia" w:ascii="宋体" w:hAnsi="宋体" w:eastAsia="宋体" w:cs="宋体"/>
                <w:color w:val="auto"/>
                <w:highlight w:val="none"/>
                <w:lang w:val="zh-CN"/>
              </w:rPr>
            </w:pPr>
            <w:r>
              <w:rPr>
                <w:rFonts w:hint="eastAsia" w:ascii="宋体" w:hAnsi="宋体" w:eastAsia="宋体" w:cs="宋体"/>
                <w:b/>
                <w:color w:val="auto"/>
                <w:highlight w:val="none"/>
                <w:lang w:val="zh-CN"/>
              </w:rPr>
              <w:t>5.2.5 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tc>
      </w:tr>
      <w:tr w14:paraId="7C2D74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629" w:type="pct"/>
            <w:vAlign w:val="center"/>
          </w:tcPr>
          <w:p w14:paraId="240ADC8A">
            <w:pPr>
              <w:widowControl/>
              <w:adjustRightInd w:val="0"/>
              <w:snapToGrid w:val="0"/>
              <w:jc w:val="center"/>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en-US" w:eastAsia="zh-CN"/>
              </w:rPr>
              <w:t>2</w:t>
            </w:r>
          </w:p>
        </w:tc>
        <w:tc>
          <w:tcPr>
            <w:tcW w:w="4370" w:type="pct"/>
            <w:gridSpan w:val="2"/>
          </w:tcPr>
          <w:p w14:paraId="2E781F76">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投标和施工阶段有关主要人员变更的规定：</w:t>
            </w:r>
          </w:p>
          <w:p w14:paraId="7CAED5C7">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（1）投标阶段（投标截止时间至合同签订时间止）不得出现主要人员（项目经理）更换的情形；</w:t>
            </w:r>
          </w:p>
          <w:p w14:paraId="37B0E0D1">
            <w:pPr>
              <w:widowControl/>
              <w:adjustRightInd w:val="0"/>
              <w:snapToGrid w:val="0"/>
              <w:jc w:val="left"/>
              <w:rPr>
                <w:rFonts w:hint="eastAsia" w:ascii="宋体" w:hAnsi="宋体" w:eastAsia="宋体" w:cs="宋体"/>
                <w:bCs/>
                <w:color w:val="auto"/>
                <w:highlight w:val="none"/>
              </w:rPr>
            </w:pPr>
            <w:r>
              <w:rPr>
                <w:rFonts w:hint="eastAsia" w:ascii="宋体" w:hAnsi="宋体" w:eastAsia="宋体" w:cs="宋体"/>
                <w:color w:val="auto"/>
                <w:highlight w:val="none"/>
                <w:lang w:val="zh-CN"/>
              </w:rPr>
              <w:t>（2）在合同实施过程中，如出现项目负责人更换的情况，发包人将根据合同条款4.5款规定对承包单位进行考核、处罚，并根据《江苏省公路水运建设市场信用信息管理办法》的相关规定将考核结果上报交通行政主管部门。</w:t>
            </w:r>
          </w:p>
        </w:tc>
      </w:tr>
      <w:tr w14:paraId="3D914C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4" w:hRule="atLeast"/>
          <w:jc w:val="center"/>
        </w:trPr>
        <w:tc>
          <w:tcPr>
            <w:tcW w:w="629" w:type="pct"/>
            <w:vAlign w:val="center"/>
          </w:tcPr>
          <w:p w14:paraId="75BF7632">
            <w:pPr>
              <w:widowControl/>
              <w:adjustRightInd w:val="0"/>
              <w:snapToGrid w:val="0"/>
              <w:jc w:val="center"/>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en-US" w:eastAsia="zh-CN"/>
              </w:rPr>
              <w:t>3</w:t>
            </w:r>
          </w:p>
        </w:tc>
        <w:tc>
          <w:tcPr>
            <w:tcW w:w="4370" w:type="pct"/>
            <w:gridSpan w:val="2"/>
          </w:tcPr>
          <w:p w14:paraId="4C9948C6">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项目工程量清单所列工程量为发包人测算提供，供投标人报价使用，投标人在报价前应进行必要的测量、计算，若实际数量与招标清单有差别，投标人在报价时应予充分考虑（注意：招标人提供的招标清单数量、格式、公式等投标人均不得修改，若实际与招标清单有差别，投标人报价时应将偏差包含在其它相关细目单价或总额价）。除非招标人另有通知，承包人所报的合同价在合同实施期间不予调整。工程量清单中所列工程量的任何错误、遗漏和变动，丝毫不会降低或影响合同条款的效力，也不免除承包人按规定的义务和其应按图纸、规范履行合同的责任。</w:t>
            </w:r>
          </w:p>
          <w:p w14:paraId="221D4111">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除非合同另有规定，工程量清单中有标价的单价和总额价均已包括了实施和完成招标文件所规定的招标范围内施工图设计的全部工程以及临时工程的实施、完成和保修所需的人工费、材料费、机械设备费、各种措施费、劳务费、管理费、协调费、维护费、利润、规费、税金、保险以及合同明示或暗示的所有一切风险、责任和义务的全部费用。</w:t>
            </w:r>
          </w:p>
          <w:p w14:paraId="72760D72">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投标人应认真填写工程量清单中所列工程细目的单价、合价和总额价。</w:t>
            </w:r>
          </w:p>
          <w:p w14:paraId="0C1AC090">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工程量清单中投标人没有填入单价或价格的子目，其费用视为已分摊在工程量清单中其他相关子目的单价或价格之中，发包人将不予支付。承包人仍应按照监理人指令完成工程量中未填入单价或总额价的子目，但不能得到结算与支付。</w:t>
            </w:r>
          </w:p>
          <w:p w14:paraId="36354661">
            <w:pPr>
              <w:widowControl/>
              <w:adjustRightInd w:val="0"/>
              <w:snapToGrid w:val="0"/>
              <w:jc w:val="left"/>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符合合同条款规定的全部费用应认为已被计入有标价的工程量清单所列各子目之中，未列子目不予计量的工作，其费用应视为分摊在相应合同工程的有关子目的单价或总额价中。</w:t>
            </w:r>
          </w:p>
          <w:p w14:paraId="1364AD4F">
            <w:pPr>
              <w:widowControl/>
              <w:jc w:val="left"/>
              <w:rPr>
                <w:rFonts w:hint="eastAsia" w:ascii="宋体" w:hAnsi="宋体" w:eastAsia="宋体" w:cs="宋体"/>
                <w:color w:val="auto"/>
                <w:highlight w:val="none"/>
              </w:rPr>
            </w:pPr>
            <w:r>
              <w:rPr>
                <w:rFonts w:hint="eastAsia" w:ascii="宋体" w:hAnsi="宋体" w:eastAsia="宋体" w:cs="宋体"/>
                <w:color w:val="auto"/>
                <w:highlight w:val="none"/>
                <w:lang w:val="zh-CN"/>
              </w:rPr>
              <w:t>本次招标采用工程量固化清单，投标人编制报价工程量清单时，只需按照设定的格式填入单价（招标人指定单价项目，投标人不得修改），投标人不得对招标人给定的工程量清单进行修改（包括细目名称、细目号、工程数量及指定单价项目的单价、运算定义等），若投标人擅自修改工程量清单或者投标人的报价发生了算术性修正，属重大偏差，投标文件按否决投标处理。</w:t>
            </w:r>
          </w:p>
        </w:tc>
      </w:tr>
      <w:tr w14:paraId="419468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43647A0A">
            <w:pPr>
              <w:widowControl/>
              <w:adjustRightInd w:val="0"/>
              <w:snapToGrid w:val="0"/>
              <w:jc w:val="center"/>
              <w:rPr>
                <w:rFonts w:hint="eastAsia" w:ascii="宋体" w:hAnsi="宋体" w:eastAsia="宋体" w:cs="宋体"/>
                <w:b/>
                <w:bCs/>
                <w:color w:val="auto"/>
                <w:highlight w:val="none"/>
                <w:lang w:eastAsia="zh-CN"/>
              </w:rPr>
            </w:pP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en-US" w:eastAsia="zh-CN"/>
              </w:rPr>
              <w:t>5</w:t>
            </w:r>
          </w:p>
        </w:tc>
        <w:tc>
          <w:tcPr>
            <w:tcW w:w="4370" w:type="pct"/>
            <w:gridSpan w:val="2"/>
          </w:tcPr>
          <w:p w14:paraId="0028F71B">
            <w:pPr>
              <w:widowControl/>
              <w:adjustRightInd w:val="0"/>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投标人编制投标文件时注意：投标文件中涉及工期内容请按招标公告要求内容填写或填写“满足招标公告要求”，如有备注“日历天”处无须折算成“日历天”。</w:t>
            </w:r>
          </w:p>
        </w:tc>
      </w:tr>
      <w:tr w14:paraId="750CF7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629" w:type="pct"/>
            <w:vAlign w:val="center"/>
          </w:tcPr>
          <w:p w14:paraId="24498083">
            <w:pPr>
              <w:widowControl/>
              <w:adjustRightInd w:val="0"/>
              <w:snapToGrid w:val="0"/>
              <w:jc w:val="center"/>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rPr>
              <w:t>10.</w:t>
            </w:r>
            <w:r>
              <w:rPr>
                <w:rFonts w:hint="eastAsia" w:ascii="宋体" w:hAnsi="宋体" w:eastAsia="宋体" w:cs="宋体"/>
                <w:color w:val="auto"/>
                <w:kern w:val="0"/>
                <w:highlight w:val="none"/>
                <w:lang w:val="en-US" w:eastAsia="zh-CN"/>
              </w:rPr>
              <w:t>6</w:t>
            </w:r>
          </w:p>
        </w:tc>
        <w:tc>
          <w:tcPr>
            <w:tcW w:w="4370" w:type="pct"/>
            <w:gridSpan w:val="2"/>
          </w:tcPr>
          <w:p w14:paraId="3972DB42">
            <w:pPr>
              <w:widowControl/>
              <w:adjustRightInd w:val="0"/>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投标人在本项目招标投标过程中的信用等级、分数、红名单，均以投标文件递交截止当天的投标人最近一次在江苏省公路水路建设市场从业单位信用评定结果为准，信用类别为施工。在江苏省公路水路建设市场无信用评定结果的投标人，可以按照《江苏省公路水运建设市场信用信息管理办法》苏交规[2024]6号文件，向江苏省交通运输厅申请评价。评标时将以江苏省交通运输厅的评价结果作为评审依据，否则，其信用等级按照暂定A级确定（信用分为85分）。</w:t>
            </w:r>
          </w:p>
          <w:p w14:paraId="700EB5E6">
            <w:pPr>
              <w:widowControl/>
              <w:adjustRightInd w:val="0"/>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适用于本项目招标投标过程各阶段（环节）。</w:t>
            </w:r>
          </w:p>
        </w:tc>
      </w:tr>
      <w:bookmarkEnd w:id="30"/>
    </w:tbl>
    <w:p w14:paraId="3D0ABA9A">
      <w:pPr>
        <w:tabs>
          <w:tab w:val="left" w:pos="3120"/>
        </w:tabs>
        <w:spacing w:line="360" w:lineRule="auto"/>
        <w:ind w:left="2073" w:right="1858"/>
        <w:jc w:val="center"/>
        <w:rPr>
          <w:rFonts w:hint="eastAsia" w:ascii="宋体" w:hAnsi="宋体" w:eastAsia="宋体" w:cs="宋体"/>
          <w:color w:val="auto"/>
          <w:spacing w:val="1"/>
          <w:sz w:val="28"/>
          <w:szCs w:val="28"/>
          <w:highlight w:val="none"/>
        </w:rPr>
      </w:pPr>
    </w:p>
    <w:p w14:paraId="644197A2">
      <w:pPr>
        <w:widowControl/>
        <w:jc w:val="left"/>
        <w:rPr>
          <w:rFonts w:hint="eastAsia" w:ascii="宋体" w:hAnsi="宋体" w:eastAsia="宋体" w:cs="宋体"/>
          <w:color w:val="auto"/>
          <w:spacing w:val="1"/>
          <w:sz w:val="24"/>
          <w:szCs w:val="24"/>
          <w:highlight w:val="none"/>
        </w:rPr>
      </w:pPr>
      <w:r>
        <w:rPr>
          <w:rFonts w:hint="eastAsia" w:ascii="宋体" w:hAnsi="宋体" w:eastAsia="宋体" w:cs="宋体"/>
          <w:color w:val="auto"/>
          <w:spacing w:val="1"/>
          <w:sz w:val="24"/>
          <w:szCs w:val="24"/>
          <w:highlight w:val="none"/>
        </w:rPr>
        <w:br w:type="page"/>
      </w:r>
    </w:p>
    <w:p w14:paraId="2D177CAB">
      <w:pPr>
        <w:tabs>
          <w:tab w:val="left" w:pos="3120"/>
        </w:tabs>
        <w:spacing w:line="360" w:lineRule="auto"/>
        <w:ind w:left="2073" w:right="1858"/>
        <w:jc w:val="center"/>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附</w:t>
      </w:r>
      <w:r>
        <w:rPr>
          <w:rFonts w:hint="eastAsia" w:ascii="宋体" w:hAnsi="宋体" w:eastAsia="宋体" w:cs="宋体"/>
          <w:color w:val="auto"/>
          <w:sz w:val="24"/>
          <w:szCs w:val="24"/>
          <w:highlight w:val="none"/>
        </w:rPr>
        <w:t>录1</w:t>
      </w:r>
      <w:r>
        <w:rPr>
          <w:rFonts w:hint="eastAsia" w:ascii="宋体" w:hAnsi="宋体" w:eastAsia="宋体" w:cs="宋体"/>
          <w:color w:val="auto"/>
          <w:sz w:val="24"/>
          <w:szCs w:val="24"/>
          <w:highlight w:val="none"/>
        </w:rPr>
        <w:tab/>
      </w:r>
      <w:r>
        <w:rPr>
          <w:rFonts w:hint="eastAsia" w:ascii="宋体" w:hAnsi="宋体" w:eastAsia="宋体" w:cs="宋体"/>
          <w:color w:val="auto"/>
          <w:spacing w:val="1"/>
          <w:w w:val="105"/>
          <w:position w:val="-3"/>
          <w:sz w:val="24"/>
          <w:szCs w:val="24"/>
          <w:highlight w:val="none"/>
        </w:rPr>
        <w:t>资格审查条件(资质最低条件)</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3F58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46F80F0A">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position w:val="-4"/>
                <w:sz w:val="24"/>
                <w:szCs w:val="24"/>
                <w:highlight w:val="none"/>
              </w:rPr>
              <w:t>施工企业资质等级要求</w:t>
            </w:r>
          </w:p>
        </w:tc>
      </w:tr>
      <w:tr w14:paraId="4B58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1986AC7C">
            <w:pPr>
              <w:wordWrap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w:t>
            </w:r>
          </w:p>
        </w:tc>
      </w:tr>
    </w:tbl>
    <w:p w14:paraId="789AB55A">
      <w:pPr>
        <w:tabs>
          <w:tab w:val="left" w:pos="3120"/>
        </w:tabs>
        <w:spacing w:line="360" w:lineRule="auto"/>
        <w:ind w:right="2018"/>
        <w:rPr>
          <w:rFonts w:hint="eastAsia" w:ascii="宋体" w:hAnsi="宋体" w:eastAsia="宋体" w:cs="宋体"/>
          <w:color w:val="auto"/>
          <w:spacing w:val="1"/>
          <w:sz w:val="24"/>
          <w:szCs w:val="24"/>
          <w:highlight w:val="none"/>
        </w:rPr>
      </w:pPr>
    </w:p>
    <w:p w14:paraId="5683C9B0">
      <w:pPr>
        <w:tabs>
          <w:tab w:val="left" w:pos="3120"/>
        </w:tabs>
        <w:spacing w:line="360" w:lineRule="auto"/>
        <w:ind w:left="2073" w:right="2018"/>
        <w:jc w:val="center"/>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附</w:t>
      </w:r>
      <w:r>
        <w:rPr>
          <w:rFonts w:hint="eastAsia" w:ascii="宋体" w:hAnsi="宋体" w:eastAsia="宋体" w:cs="宋体"/>
          <w:color w:val="auto"/>
          <w:sz w:val="24"/>
          <w:szCs w:val="24"/>
          <w:highlight w:val="none"/>
        </w:rPr>
        <w:t>录2</w:t>
      </w:r>
      <w:r>
        <w:rPr>
          <w:rFonts w:hint="eastAsia" w:ascii="宋体" w:hAnsi="宋体" w:eastAsia="宋体" w:cs="宋体"/>
          <w:color w:val="auto"/>
          <w:sz w:val="24"/>
          <w:szCs w:val="24"/>
          <w:highlight w:val="none"/>
        </w:rPr>
        <w:tab/>
      </w:r>
      <w:r>
        <w:rPr>
          <w:rFonts w:hint="eastAsia" w:ascii="宋体" w:hAnsi="宋体" w:eastAsia="宋体" w:cs="宋体"/>
          <w:color w:val="auto"/>
          <w:spacing w:val="1"/>
          <w:w w:val="105"/>
          <w:position w:val="-3"/>
          <w:sz w:val="24"/>
          <w:szCs w:val="24"/>
          <w:highlight w:val="none"/>
        </w:rPr>
        <w:t>资格审查条件(财务最低要求)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4ACB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6" w:type="dxa"/>
            <w:vAlign w:val="center"/>
          </w:tcPr>
          <w:p w14:paraId="755C5851">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position w:val="-4"/>
                <w:sz w:val="24"/>
                <w:szCs w:val="24"/>
                <w:highlight w:val="none"/>
              </w:rPr>
              <w:t>财务要求</w:t>
            </w:r>
          </w:p>
        </w:tc>
      </w:tr>
      <w:tr w14:paraId="653C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72F2C078">
            <w:pPr>
              <w:wordWrap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highlight w:val="none"/>
              </w:rPr>
              <w:t>/</w:t>
            </w:r>
          </w:p>
        </w:tc>
      </w:tr>
    </w:tbl>
    <w:p w14:paraId="17D20534">
      <w:pPr>
        <w:spacing w:line="360" w:lineRule="auto"/>
        <w:ind w:left="2143" w:right="1947"/>
        <w:jc w:val="center"/>
        <w:rPr>
          <w:rFonts w:hint="eastAsia" w:ascii="宋体" w:hAnsi="宋体" w:eastAsia="宋体" w:cs="宋体"/>
          <w:color w:val="auto"/>
          <w:spacing w:val="1"/>
          <w:sz w:val="24"/>
          <w:szCs w:val="24"/>
          <w:highlight w:val="none"/>
        </w:rPr>
      </w:pPr>
    </w:p>
    <w:p w14:paraId="2307C2B6">
      <w:pPr>
        <w:spacing w:line="360" w:lineRule="auto"/>
        <w:ind w:left="2143" w:right="1947"/>
        <w:jc w:val="center"/>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附</w:t>
      </w:r>
      <w:r>
        <w:rPr>
          <w:rFonts w:hint="eastAsia" w:ascii="宋体" w:hAnsi="宋体" w:eastAsia="宋体" w:cs="宋体"/>
          <w:color w:val="auto"/>
          <w:sz w:val="24"/>
          <w:szCs w:val="24"/>
          <w:highlight w:val="none"/>
        </w:rPr>
        <w:t>录3</w:t>
      </w:r>
      <w:r>
        <w:rPr>
          <w:rFonts w:hint="eastAsia" w:ascii="宋体" w:hAnsi="宋体" w:eastAsia="宋体" w:cs="宋体"/>
          <w:color w:val="auto"/>
          <w:spacing w:val="1"/>
          <w:w w:val="105"/>
          <w:position w:val="-3"/>
          <w:sz w:val="24"/>
          <w:szCs w:val="24"/>
          <w:highlight w:val="none"/>
        </w:rPr>
        <w:t>资格审查条件(业绩最低要求)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0AAE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vAlign w:val="center"/>
          </w:tcPr>
          <w:p w14:paraId="7FA50274">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position w:val="-4"/>
                <w:sz w:val="24"/>
                <w:szCs w:val="24"/>
                <w:highlight w:val="none"/>
              </w:rPr>
              <w:t>业绩要求</w:t>
            </w:r>
          </w:p>
        </w:tc>
      </w:tr>
      <w:tr w14:paraId="1F36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5E8EEDC0">
            <w:pPr>
              <w:wordWrap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w:t>
            </w:r>
          </w:p>
        </w:tc>
      </w:tr>
    </w:tbl>
    <w:p w14:paraId="047C7B07">
      <w:pPr>
        <w:spacing w:before="2" w:line="360" w:lineRule="auto"/>
        <w:rPr>
          <w:rFonts w:hint="eastAsia" w:ascii="宋体" w:hAnsi="宋体" w:eastAsia="宋体" w:cs="宋体"/>
          <w:color w:val="auto"/>
          <w:sz w:val="24"/>
          <w:szCs w:val="24"/>
          <w:highlight w:val="none"/>
        </w:rPr>
      </w:pPr>
    </w:p>
    <w:p w14:paraId="6C096CD6">
      <w:pPr>
        <w:tabs>
          <w:tab w:val="left" w:pos="3120"/>
        </w:tabs>
        <w:spacing w:line="360" w:lineRule="auto"/>
        <w:ind w:left="2073" w:right="2018"/>
        <w:jc w:val="center"/>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附</w:t>
      </w:r>
      <w:r>
        <w:rPr>
          <w:rFonts w:hint="eastAsia" w:ascii="宋体" w:hAnsi="宋体" w:eastAsia="宋体" w:cs="宋体"/>
          <w:color w:val="auto"/>
          <w:sz w:val="24"/>
          <w:szCs w:val="24"/>
          <w:highlight w:val="none"/>
        </w:rPr>
        <w:t>录4</w:t>
      </w:r>
      <w:r>
        <w:rPr>
          <w:rFonts w:hint="eastAsia" w:ascii="宋体" w:hAnsi="宋体" w:eastAsia="宋体" w:cs="宋体"/>
          <w:color w:val="auto"/>
          <w:sz w:val="24"/>
          <w:szCs w:val="24"/>
          <w:highlight w:val="none"/>
        </w:rPr>
        <w:tab/>
      </w:r>
      <w:r>
        <w:rPr>
          <w:rFonts w:hint="eastAsia" w:ascii="宋体" w:hAnsi="宋体" w:eastAsia="宋体" w:cs="宋体"/>
          <w:color w:val="auto"/>
          <w:spacing w:val="1"/>
          <w:w w:val="105"/>
          <w:position w:val="-3"/>
          <w:sz w:val="24"/>
          <w:szCs w:val="24"/>
          <w:highlight w:val="none"/>
        </w:rPr>
        <w:t>资格审查条件(信誉最低要求)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6"/>
      </w:tblGrid>
      <w:tr w14:paraId="2A0D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76" w:type="dxa"/>
            <w:vAlign w:val="center"/>
          </w:tcPr>
          <w:p w14:paraId="33421E40">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position w:val="-4"/>
                <w:sz w:val="24"/>
                <w:szCs w:val="24"/>
                <w:highlight w:val="none"/>
              </w:rPr>
              <w:t>信誉要求</w:t>
            </w:r>
          </w:p>
        </w:tc>
      </w:tr>
      <w:tr w14:paraId="5E40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tcPr>
          <w:p w14:paraId="507213DA">
            <w:pPr>
              <w:wordWrap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w:t>
            </w:r>
          </w:p>
        </w:tc>
      </w:tr>
    </w:tbl>
    <w:p w14:paraId="11CB6D0F">
      <w:pPr>
        <w:spacing w:line="360" w:lineRule="auto"/>
        <w:rPr>
          <w:rFonts w:hint="eastAsia" w:ascii="宋体" w:hAnsi="宋体" w:eastAsia="宋体" w:cs="宋体"/>
          <w:color w:val="auto"/>
          <w:sz w:val="24"/>
          <w:szCs w:val="24"/>
          <w:highlight w:val="none"/>
        </w:rPr>
      </w:pPr>
    </w:p>
    <w:p w14:paraId="1FA7EA07">
      <w:pPr>
        <w:tabs>
          <w:tab w:val="left" w:pos="2260"/>
        </w:tabs>
        <w:spacing w:line="360" w:lineRule="auto"/>
        <w:ind w:left="1210" w:right="-20"/>
        <w:rPr>
          <w:rFonts w:hint="eastAsia" w:ascii="宋体" w:hAnsi="宋体" w:eastAsia="宋体" w:cs="宋体"/>
          <w:color w:val="auto"/>
          <w:sz w:val="24"/>
          <w:szCs w:val="24"/>
          <w:highlight w:val="none"/>
        </w:rPr>
      </w:pPr>
      <w:r>
        <w:rPr>
          <w:rFonts w:hint="eastAsia" w:ascii="宋体" w:hAnsi="宋体" w:eastAsia="宋体" w:cs="宋体"/>
          <w:color w:val="auto"/>
          <w:spacing w:val="1"/>
          <w:position w:val="-3"/>
          <w:sz w:val="24"/>
          <w:szCs w:val="24"/>
          <w:highlight w:val="none"/>
        </w:rPr>
        <w:t>附</w:t>
      </w:r>
      <w:r>
        <w:rPr>
          <w:rFonts w:hint="eastAsia" w:ascii="宋体" w:hAnsi="宋体" w:eastAsia="宋体" w:cs="宋体"/>
          <w:color w:val="auto"/>
          <w:position w:val="-3"/>
          <w:sz w:val="24"/>
          <w:szCs w:val="24"/>
          <w:highlight w:val="none"/>
        </w:rPr>
        <w:t>录5</w:t>
      </w:r>
      <w:r>
        <w:rPr>
          <w:rFonts w:hint="eastAsia" w:ascii="宋体" w:hAnsi="宋体" w:eastAsia="宋体" w:cs="宋体"/>
          <w:color w:val="auto"/>
          <w:position w:val="-3"/>
          <w:sz w:val="24"/>
          <w:szCs w:val="24"/>
          <w:highlight w:val="none"/>
        </w:rPr>
        <w:tab/>
      </w:r>
      <w:r>
        <w:rPr>
          <w:rFonts w:hint="eastAsia" w:ascii="宋体" w:hAnsi="宋体" w:eastAsia="宋体" w:cs="宋体"/>
          <w:color w:val="auto"/>
          <w:spacing w:val="1"/>
          <w:w w:val="105"/>
          <w:position w:val="-3"/>
          <w:sz w:val="24"/>
          <w:szCs w:val="24"/>
          <w:highlight w:val="none"/>
        </w:rPr>
        <w:t>资格审查条件(项目经理和项目总工最低要求)</w:t>
      </w:r>
    </w:p>
    <w:tbl>
      <w:tblPr>
        <w:tblStyle w:val="53"/>
        <w:tblW w:w="930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158"/>
        <w:gridCol w:w="3159"/>
        <w:gridCol w:w="2983"/>
      </w:tblGrid>
      <w:tr w14:paraId="5557FD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tcPr>
          <w:p w14:paraId="3AEA5BE9">
            <w:pPr>
              <w:spacing w:line="360" w:lineRule="auto"/>
              <w:ind w:firstLine="1320" w:firstLineChars="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 员</w:t>
            </w:r>
          </w:p>
        </w:tc>
        <w:tc>
          <w:tcPr>
            <w:tcW w:w="3159" w:type="dxa"/>
          </w:tcPr>
          <w:p w14:paraId="353F6B98">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 量</w:t>
            </w:r>
          </w:p>
        </w:tc>
        <w:tc>
          <w:tcPr>
            <w:tcW w:w="2983" w:type="dxa"/>
          </w:tcPr>
          <w:p w14:paraId="4216BC99">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资格要求</w:t>
            </w:r>
          </w:p>
        </w:tc>
      </w:tr>
      <w:tr w14:paraId="582A77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vAlign w:val="center"/>
          </w:tcPr>
          <w:p w14:paraId="2125D5A5">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3159" w:type="dxa"/>
            <w:vAlign w:val="center"/>
          </w:tcPr>
          <w:p w14:paraId="7502867B">
            <w:pPr>
              <w:widowControl/>
              <w:adjustRightInd w:val="0"/>
              <w:snapToGrid w:val="0"/>
              <w:jc w:val="center"/>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1</w:t>
            </w:r>
          </w:p>
        </w:tc>
        <w:tc>
          <w:tcPr>
            <w:tcW w:w="2983" w:type="dxa"/>
            <w:vAlign w:val="center"/>
          </w:tcPr>
          <w:p w14:paraId="00D83F97">
            <w:pPr>
              <w:widowControl/>
              <w:adjustRightInd w:val="0"/>
              <w:snapToGrid w:val="0"/>
              <w:jc w:val="center"/>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详见招标公告</w:t>
            </w:r>
          </w:p>
        </w:tc>
      </w:tr>
      <w:tr w14:paraId="07F0CA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 w:hRule="atLeast"/>
        </w:trPr>
        <w:tc>
          <w:tcPr>
            <w:tcW w:w="3158" w:type="dxa"/>
            <w:vAlign w:val="center"/>
          </w:tcPr>
          <w:p w14:paraId="69C70764">
            <w:pPr>
              <w:spacing w:line="360" w:lineRule="auto"/>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项目总工</w:t>
            </w:r>
          </w:p>
        </w:tc>
        <w:tc>
          <w:tcPr>
            <w:tcW w:w="3159" w:type="dxa"/>
            <w:vAlign w:val="center"/>
          </w:tcPr>
          <w:p w14:paraId="1BA7F5B7">
            <w:pPr>
              <w:widowControl/>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lang w:val="zh-CN"/>
              </w:rPr>
              <w:t>1</w:t>
            </w:r>
          </w:p>
        </w:tc>
        <w:tc>
          <w:tcPr>
            <w:tcW w:w="2983" w:type="dxa"/>
            <w:vAlign w:val="center"/>
          </w:tcPr>
          <w:p w14:paraId="6E08DEC6">
            <w:pPr>
              <w:widowControl/>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lang w:val="zh-CN"/>
              </w:rPr>
              <w:t>详见招标公告</w:t>
            </w:r>
          </w:p>
        </w:tc>
      </w:tr>
    </w:tbl>
    <w:p w14:paraId="202504FF">
      <w:pPr>
        <w:tabs>
          <w:tab w:val="left" w:pos="2260"/>
        </w:tabs>
        <w:spacing w:line="360" w:lineRule="auto"/>
        <w:ind w:left="1210" w:right="-20"/>
        <w:rPr>
          <w:rFonts w:hint="eastAsia" w:ascii="宋体" w:hAnsi="宋体" w:eastAsia="宋体" w:cs="宋体"/>
          <w:color w:val="auto"/>
          <w:spacing w:val="1"/>
          <w:position w:val="-3"/>
          <w:sz w:val="24"/>
          <w:szCs w:val="24"/>
          <w:highlight w:val="none"/>
        </w:rPr>
      </w:pPr>
    </w:p>
    <w:p w14:paraId="1EA5E3D7">
      <w:pPr>
        <w:tabs>
          <w:tab w:val="left" w:pos="2260"/>
        </w:tabs>
        <w:spacing w:line="360" w:lineRule="auto"/>
        <w:ind w:left="1210" w:right="-20"/>
        <w:rPr>
          <w:rFonts w:hint="eastAsia" w:ascii="宋体" w:hAnsi="宋体" w:eastAsia="宋体" w:cs="宋体"/>
          <w:color w:val="auto"/>
          <w:spacing w:val="1"/>
          <w:w w:val="105"/>
          <w:position w:val="-3"/>
          <w:sz w:val="24"/>
          <w:szCs w:val="24"/>
          <w:highlight w:val="none"/>
        </w:rPr>
      </w:pPr>
      <w:r>
        <w:rPr>
          <w:rFonts w:hint="eastAsia" w:ascii="宋体" w:hAnsi="宋体" w:eastAsia="宋体" w:cs="宋体"/>
          <w:color w:val="auto"/>
          <w:spacing w:val="1"/>
          <w:w w:val="105"/>
          <w:position w:val="-3"/>
          <w:sz w:val="24"/>
          <w:szCs w:val="24"/>
          <w:highlight w:val="none"/>
        </w:rPr>
        <w:t>附录6</w:t>
      </w:r>
      <w:r>
        <w:rPr>
          <w:rFonts w:hint="eastAsia" w:ascii="宋体" w:hAnsi="宋体" w:eastAsia="宋体" w:cs="宋体"/>
          <w:color w:val="auto"/>
          <w:spacing w:val="1"/>
          <w:w w:val="105"/>
          <w:position w:val="-3"/>
          <w:sz w:val="24"/>
          <w:szCs w:val="24"/>
          <w:highlight w:val="none"/>
        </w:rPr>
        <w:tab/>
      </w:r>
      <w:r>
        <w:rPr>
          <w:rFonts w:hint="eastAsia" w:ascii="宋体" w:hAnsi="宋体" w:eastAsia="宋体" w:cs="宋体"/>
          <w:color w:val="auto"/>
          <w:spacing w:val="1"/>
          <w:w w:val="105"/>
          <w:position w:val="-3"/>
          <w:sz w:val="24"/>
          <w:szCs w:val="24"/>
          <w:highlight w:val="none"/>
        </w:rPr>
        <w:t>资格审查条件(其他管理和技术人员最低要求)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3092"/>
        <w:gridCol w:w="3092"/>
      </w:tblGrid>
      <w:tr w14:paraId="4037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vAlign w:val="center"/>
          </w:tcPr>
          <w:p w14:paraId="09A9379E">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position w:val="-4"/>
                <w:sz w:val="24"/>
                <w:szCs w:val="24"/>
                <w:highlight w:val="none"/>
              </w:rPr>
              <w:t>人员</w:t>
            </w:r>
          </w:p>
        </w:tc>
        <w:tc>
          <w:tcPr>
            <w:tcW w:w="3092" w:type="dxa"/>
            <w:vAlign w:val="center"/>
          </w:tcPr>
          <w:p w14:paraId="39DE62B8">
            <w:pPr>
              <w:wordWrap w:val="0"/>
              <w:spacing w:line="360" w:lineRule="auto"/>
              <w:jc w:val="center"/>
              <w:rPr>
                <w:rFonts w:hint="eastAsia" w:ascii="宋体" w:hAnsi="宋体" w:eastAsia="宋体" w:cs="宋体"/>
                <w:color w:val="auto"/>
                <w:position w:val="-4"/>
                <w:sz w:val="24"/>
                <w:szCs w:val="24"/>
                <w:highlight w:val="none"/>
              </w:rPr>
            </w:pPr>
            <w:r>
              <w:rPr>
                <w:rFonts w:hint="eastAsia" w:ascii="宋体" w:hAnsi="宋体" w:eastAsia="宋体" w:cs="宋体"/>
                <w:color w:val="auto"/>
                <w:position w:val="-4"/>
                <w:sz w:val="24"/>
                <w:szCs w:val="24"/>
                <w:highlight w:val="none"/>
              </w:rPr>
              <w:t>数量</w:t>
            </w:r>
          </w:p>
        </w:tc>
        <w:tc>
          <w:tcPr>
            <w:tcW w:w="3092" w:type="dxa"/>
            <w:vAlign w:val="center"/>
          </w:tcPr>
          <w:p w14:paraId="658E9933">
            <w:pPr>
              <w:wordWrap w:val="0"/>
              <w:spacing w:line="360" w:lineRule="auto"/>
              <w:jc w:val="center"/>
              <w:rPr>
                <w:rFonts w:hint="eastAsia" w:ascii="宋体" w:hAnsi="宋体" w:eastAsia="宋体" w:cs="宋体"/>
                <w:color w:val="auto"/>
                <w:position w:val="-4"/>
                <w:sz w:val="24"/>
                <w:szCs w:val="24"/>
                <w:highlight w:val="none"/>
              </w:rPr>
            </w:pPr>
            <w:r>
              <w:rPr>
                <w:rFonts w:hint="eastAsia" w:ascii="宋体" w:hAnsi="宋体" w:eastAsia="宋体" w:cs="宋体"/>
                <w:color w:val="auto"/>
                <w:position w:val="-4"/>
                <w:sz w:val="24"/>
                <w:szCs w:val="24"/>
                <w:highlight w:val="none"/>
              </w:rPr>
              <w:t>资格要求</w:t>
            </w:r>
          </w:p>
        </w:tc>
      </w:tr>
      <w:tr w14:paraId="4AF9B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092" w:type="dxa"/>
            <w:vAlign w:val="center"/>
          </w:tcPr>
          <w:p w14:paraId="201845BF">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专职安全员</w:t>
            </w:r>
          </w:p>
        </w:tc>
        <w:tc>
          <w:tcPr>
            <w:tcW w:w="3092" w:type="dxa"/>
            <w:vAlign w:val="center"/>
          </w:tcPr>
          <w:p w14:paraId="3A768444">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092" w:type="dxa"/>
            <w:vAlign w:val="center"/>
          </w:tcPr>
          <w:p w14:paraId="533957E9">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w:t>
            </w:r>
          </w:p>
        </w:tc>
      </w:tr>
    </w:tbl>
    <w:p w14:paraId="656674A4">
      <w:pPr>
        <w:spacing w:before="2" w:line="360" w:lineRule="auto"/>
        <w:rPr>
          <w:rFonts w:hint="eastAsia" w:ascii="宋体" w:hAnsi="宋体" w:eastAsia="宋体" w:cs="宋体"/>
          <w:color w:val="auto"/>
          <w:sz w:val="24"/>
          <w:szCs w:val="24"/>
          <w:highlight w:val="none"/>
        </w:rPr>
      </w:pPr>
    </w:p>
    <w:p w14:paraId="033E026B">
      <w:pPr>
        <w:tabs>
          <w:tab w:val="left" w:pos="1620"/>
        </w:tabs>
        <w:spacing w:line="360" w:lineRule="auto"/>
        <w:ind w:left="569" w:right="-20"/>
        <w:rPr>
          <w:rFonts w:hint="eastAsia" w:ascii="宋体" w:hAnsi="宋体" w:eastAsia="宋体" w:cs="宋体"/>
          <w:color w:val="auto"/>
          <w:spacing w:val="1"/>
          <w:w w:val="105"/>
          <w:position w:val="-3"/>
          <w:sz w:val="24"/>
          <w:szCs w:val="24"/>
          <w:highlight w:val="none"/>
        </w:rPr>
      </w:pPr>
      <w:r>
        <w:rPr>
          <w:rFonts w:hint="eastAsia" w:ascii="宋体" w:hAnsi="宋体" w:eastAsia="宋体" w:cs="宋体"/>
          <w:color w:val="auto"/>
          <w:spacing w:val="1"/>
          <w:position w:val="-3"/>
          <w:sz w:val="24"/>
          <w:szCs w:val="24"/>
          <w:highlight w:val="none"/>
        </w:rPr>
        <w:t>附</w:t>
      </w:r>
      <w:r>
        <w:rPr>
          <w:rFonts w:hint="eastAsia" w:ascii="宋体" w:hAnsi="宋体" w:eastAsia="宋体" w:cs="宋体"/>
          <w:color w:val="auto"/>
          <w:position w:val="-3"/>
          <w:sz w:val="24"/>
          <w:szCs w:val="24"/>
          <w:highlight w:val="none"/>
        </w:rPr>
        <w:t>录7</w:t>
      </w:r>
      <w:r>
        <w:rPr>
          <w:rFonts w:hint="eastAsia" w:ascii="宋体" w:hAnsi="宋体" w:eastAsia="宋体" w:cs="宋体"/>
          <w:color w:val="auto"/>
          <w:position w:val="-3"/>
          <w:sz w:val="24"/>
          <w:szCs w:val="24"/>
          <w:highlight w:val="none"/>
        </w:rPr>
        <w:tab/>
      </w:r>
      <w:r>
        <w:rPr>
          <w:rFonts w:hint="eastAsia" w:ascii="宋体" w:hAnsi="宋体" w:eastAsia="宋体" w:cs="宋体"/>
          <w:color w:val="auto"/>
          <w:spacing w:val="1"/>
          <w:w w:val="105"/>
          <w:position w:val="-3"/>
          <w:sz w:val="24"/>
          <w:szCs w:val="24"/>
          <w:highlight w:val="none"/>
        </w:rPr>
        <w:t>资格审查条件(主要机械设备和试验检测设备最低要求)</w:t>
      </w:r>
    </w:p>
    <w:tbl>
      <w:tblPr>
        <w:tblStyle w:val="53"/>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3030"/>
        <w:gridCol w:w="1950"/>
        <w:gridCol w:w="2644"/>
      </w:tblGrid>
      <w:tr w14:paraId="75D4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652" w:type="dxa"/>
            <w:vAlign w:val="center"/>
          </w:tcPr>
          <w:p w14:paraId="47A90672">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设备名称</w:t>
            </w:r>
          </w:p>
        </w:tc>
        <w:tc>
          <w:tcPr>
            <w:tcW w:w="3030" w:type="dxa"/>
            <w:vAlign w:val="center"/>
          </w:tcPr>
          <w:p w14:paraId="6F179A82">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规格、功率及容量</w:t>
            </w:r>
          </w:p>
        </w:tc>
        <w:tc>
          <w:tcPr>
            <w:tcW w:w="1950" w:type="dxa"/>
            <w:vAlign w:val="center"/>
          </w:tcPr>
          <w:p w14:paraId="0CC5AEAC">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2644" w:type="dxa"/>
            <w:vAlign w:val="center"/>
          </w:tcPr>
          <w:p w14:paraId="0A625A76">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最低数量要求</w:t>
            </w:r>
          </w:p>
        </w:tc>
      </w:tr>
      <w:tr w14:paraId="2F62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652" w:type="dxa"/>
            <w:vAlign w:val="center"/>
          </w:tcPr>
          <w:p w14:paraId="58BD3286">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3030" w:type="dxa"/>
            <w:vAlign w:val="center"/>
          </w:tcPr>
          <w:p w14:paraId="7BA50CAF">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4594" w:type="dxa"/>
            <w:gridSpan w:val="2"/>
            <w:vAlign w:val="center"/>
          </w:tcPr>
          <w:p w14:paraId="31F13C39">
            <w:pPr>
              <w:wordWrap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bl>
    <w:p w14:paraId="22B2D4DE">
      <w:pPr>
        <w:tabs>
          <w:tab w:val="left" w:pos="1620"/>
        </w:tabs>
        <w:spacing w:line="360" w:lineRule="auto"/>
        <w:ind w:left="569" w:right="-20"/>
        <w:rPr>
          <w:rFonts w:hint="eastAsia" w:ascii="宋体" w:hAnsi="宋体" w:eastAsia="宋体" w:cs="宋体"/>
          <w:color w:val="auto"/>
          <w:sz w:val="28"/>
          <w:szCs w:val="28"/>
          <w:highlight w:val="none"/>
        </w:rPr>
      </w:pPr>
    </w:p>
    <w:p w14:paraId="5D5C36C9">
      <w:pPr>
        <w:widowControl/>
        <w:jc w:val="left"/>
        <w:rPr>
          <w:rFonts w:hint="eastAsia" w:ascii="宋体" w:hAnsi="宋体" w:eastAsia="宋体" w:cs="宋体"/>
          <w:b/>
          <w:bCs/>
          <w:color w:val="auto"/>
          <w:w w:val="99"/>
          <w:kern w:val="0"/>
          <w:sz w:val="28"/>
          <w:szCs w:val="28"/>
          <w:highlight w:val="none"/>
        </w:rPr>
      </w:pPr>
      <w:bookmarkStart w:id="32" w:name="_Hlk172061356"/>
      <w:r>
        <w:rPr>
          <w:rFonts w:hint="eastAsia" w:ascii="宋体" w:hAnsi="宋体" w:eastAsia="宋体" w:cs="宋体"/>
          <w:color w:val="auto"/>
          <w:w w:val="99"/>
          <w:kern w:val="0"/>
          <w:sz w:val="28"/>
          <w:szCs w:val="28"/>
          <w:highlight w:val="none"/>
        </w:rPr>
        <w:br w:type="page"/>
      </w:r>
    </w:p>
    <w:p w14:paraId="73E9506B">
      <w:pPr>
        <w:pStyle w:val="3"/>
        <w:adjustRightInd w:val="0"/>
        <w:snapToGrid w:val="0"/>
        <w:spacing w:before="0" w:after="0" w:line="24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投标人须知</w:t>
      </w:r>
    </w:p>
    <w:p w14:paraId="704773D0">
      <w:pPr>
        <w:rPr>
          <w:rFonts w:hint="eastAsia" w:ascii="宋体" w:hAnsi="宋体" w:eastAsia="宋体" w:cs="宋体"/>
          <w:color w:val="auto"/>
          <w:highlight w:val="none"/>
        </w:rPr>
      </w:pPr>
    </w:p>
    <w:p w14:paraId="7E951581">
      <w:pPr>
        <w:adjustRightInd w:val="0"/>
        <w:snapToGrid w:val="0"/>
        <w:spacing w:line="360" w:lineRule="auto"/>
        <w:rPr>
          <w:rFonts w:hint="eastAsia" w:ascii="宋体" w:hAnsi="宋体" w:eastAsia="宋体" w:cs="宋体"/>
          <w:color w:val="auto"/>
          <w:sz w:val="24"/>
          <w:szCs w:val="24"/>
          <w:highlight w:val="none"/>
        </w:rPr>
      </w:pPr>
      <w:bookmarkStart w:id="33" w:name="_Hlk71561008"/>
      <w:r>
        <w:rPr>
          <w:rFonts w:hint="eastAsia" w:ascii="宋体" w:hAnsi="宋体" w:eastAsia="宋体" w:cs="宋体"/>
          <w:color w:val="auto"/>
          <w:sz w:val="24"/>
          <w:szCs w:val="24"/>
          <w:highlight w:val="none"/>
        </w:rPr>
        <w:t>1．总则</w:t>
      </w:r>
    </w:p>
    <w:p w14:paraId="7DC54FEA">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项目概况</w:t>
      </w:r>
    </w:p>
    <w:p w14:paraId="7CADDB7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根据《 中华人民共和国招标投标法》 等有关法律、法规和规章的规定，本招标项目己具备招标条件，现对本标段施工进行招标。</w:t>
      </w:r>
    </w:p>
    <w:p w14:paraId="00FCD4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本招标项目招标人：见投标人须知前附表。</w:t>
      </w:r>
    </w:p>
    <w:p w14:paraId="1EA2626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本标段招标代理机构：见投标人须知前附表。</w:t>
      </w:r>
    </w:p>
    <w:p w14:paraId="57074A7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本招标项目名称：见投标人须知前附表。</w:t>
      </w:r>
    </w:p>
    <w:p w14:paraId="21D7CA7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 本标段建设地点：见投标人须知前附表。</w:t>
      </w:r>
    </w:p>
    <w:p w14:paraId="3DD89521">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资金来源和落实情况</w:t>
      </w:r>
    </w:p>
    <w:p w14:paraId="46BE992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本招标项目的资金来源：见投标人须知前附表。</w:t>
      </w:r>
    </w:p>
    <w:p w14:paraId="4DC763D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本招标项目的出资比例：见投标人须知前附表。</w:t>
      </w:r>
    </w:p>
    <w:p w14:paraId="5394690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本招标项目的资金落实情况：见投标人须知前附表。</w:t>
      </w:r>
    </w:p>
    <w:p w14:paraId="6C90EE3E">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招标范围、计划工期和质量要求</w:t>
      </w:r>
    </w:p>
    <w:p w14:paraId="3EA9061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本次招标范围：见投标人须知前附表。</w:t>
      </w:r>
    </w:p>
    <w:p w14:paraId="2BCE410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本标段的计划工期：见投标人须知前附表。</w:t>
      </w:r>
    </w:p>
    <w:p w14:paraId="6DCE2EF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本标段的质量要求：见投标人须知前附表。</w:t>
      </w:r>
    </w:p>
    <w:p w14:paraId="74A13C79">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投标人资格要求（适用于已进行资格预审的）</w:t>
      </w:r>
    </w:p>
    <w:p w14:paraId="3D41DBF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投标人应是收到招标人发出投标邀请书的单位。</w:t>
      </w:r>
    </w:p>
    <w:p w14:paraId="0EFF0AFE">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投标人资格要求（适用于未进行资格预审的）</w:t>
      </w:r>
    </w:p>
    <w:p w14:paraId="4E21AB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投标人应具备承担本标段施工的资质条件、能力和信誉。</w:t>
      </w:r>
    </w:p>
    <w:p w14:paraId="30E4005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(l）资质条件：见投标人须知前附表；</w:t>
      </w:r>
    </w:p>
    <w:p w14:paraId="3D45827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(2）财务要求：见投标人须知前附表；</w:t>
      </w:r>
    </w:p>
    <w:p w14:paraId="0196C6C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(3）业绩要求：见投标人须知前附表；</w:t>
      </w:r>
    </w:p>
    <w:p w14:paraId="1B48D6A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(4）信誉要求：见投标人须知前附表；</w:t>
      </w:r>
    </w:p>
    <w:p w14:paraId="7AB1F53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(5）项目经理资格：见投标人须知前附表；</w:t>
      </w:r>
    </w:p>
    <w:p w14:paraId="5FA376F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(6）其他要求：见投标人须知前附表。</w:t>
      </w:r>
    </w:p>
    <w:p w14:paraId="248AD09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投标人须知前附表规定接受联合体投标的，除应符合本章第1.4.1项和投标人须知前附表的要求外，还应遵守以下规定：</w:t>
      </w:r>
    </w:p>
    <w:p w14:paraId="10D6BDD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(1）联合体各方应按招标文件提供的格式签订联合体协议书，明确联合体牵头人和各方权利义务；</w:t>
      </w:r>
    </w:p>
    <w:p w14:paraId="00CF389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(2）由同一专业的单位组成的联合体，按照资质等级较低的单位确定资质等级；</w:t>
      </w:r>
    </w:p>
    <w:p w14:paraId="362F48B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(3）联合体各方不得再以自己名义单独或参加其他联合体在同一标段中投标。</w:t>
      </w:r>
    </w:p>
    <w:p w14:paraId="2F20E58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 投标人不得存在下列情形之一：</w:t>
      </w:r>
    </w:p>
    <w:p w14:paraId="60E8334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(l）为招标人不具有独立法人资格的附属机构（单位）; </w:t>
      </w:r>
    </w:p>
    <w:p w14:paraId="67A5EB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(2）为本标段前期准备提供设计或咨询服务的，但设计施工总承包的除外；</w:t>
      </w:r>
    </w:p>
    <w:p w14:paraId="7FF5BE7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(3）为本标段的监理人；</w:t>
      </w:r>
    </w:p>
    <w:p w14:paraId="0A53AF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(4）为本标段的代建人；</w:t>
      </w:r>
    </w:p>
    <w:p w14:paraId="63B5BBC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(5）为本标段提供招标代理服务的；</w:t>
      </w:r>
    </w:p>
    <w:p w14:paraId="1C559D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(6）与本标段的监理人或代建人或招标代理机构同为一个法定代表人的；</w:t>
      </w:r>
    </w:p>
    <w:p w14:paraId="1574FC2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(7）与本标段的监理人或代建人或招标代理机构相互控股或参股的；</w:t>
      </w:r>
    </w:p>
    <w:p w14:paraId="1D19DB6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(8）与本标段的监理人或代建人或招标代理机构相互任职或工作的；</w:t>
      </w:r>
    </w:p>
    <w:p w14:paraId="48A10CD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(9）被责令停业的；</w:t>
      </w:r>
    </w:p>
    <w:p w14:paraId="091F9DB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(10）被暂停或取消投标资格的；</w:t>
      </w:r>
    </w:p>
    <w:p w14:paraId="25B27C8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(11）财产被接管或冻结的；</w:t>
      </w:r>
    </w:p>
    <w:p w14:paraId="377D98B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(12）在最近三年内有骗取中标或严重违约或重大工程质量问题的。</w:t>
      </w:r>
    </w:p>
    <w:p w14:paraId="67976FA7">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费用承担</w:t>
      </w:r>
    </w:p>
    <w:p w14:paraId="5258CCC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投标人准备和参加投标活动发生的费用自理。</w:t>
      </w:r>
    </w:p>
    <w:p w14:paraId="5BD27CB9">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保密</w:t>
      </w:r>
    </w:p>
    <w:p w14:paraId="72A334A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参与招标投标活动的各方应对招标文件和投标文件中的商业和技术等秘密保密，违者应对由此造成的后果承担法律责任。</w:t>
      </w:r>
    </w:p>
    <w:p w14:paraId="26FEBC00">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语言文字</w:t>
      </w:r>
    </w:p>
    <w:p w14:paraId="1EDDA27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除专用术语外，与招标投标有关的语言均使用中文。必要时专用术语应附有中文注释。</w:t>
      </w:r>
    </w:p>
    <w:p w14:paraId="1F56622B">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 计量单位</w:t>
      </w:r>
    </w:p>
    <w:p w14:paraId="4289F16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所有计量均采用中华人民共和国法定计量单位。</w:t>
      </w:r>
    </w:p>
    <w:p w14:paraId="2018C9CD">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踏勘现场</w:t>
      </w:r>
    </w:p>
    <w:p w14:paraId="313106E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 投标人须知前附表规定组织踏勘现场的，招标人按投标人须知前附表规定的时间、地点组织投标人踏勘项目现场。</w:t>
      </w:r>
    </w:p>
    <w:p w14:paraId="19B98F9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投标人踏勘现场发生的费用自理。</w:t>
      </w:r>
    </w:p>
    <w:p w14:paraId="6CBBE0D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除招标人的原因外，投标人自行负责在踏勘现场中所发生的人员伤亡和财产损失。</w:t>
      </w:r>
    </w:p>
    <w:p w14:paraId="6DFF83D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 招标人在踏勘现场中介绍的工程场地和相关的周边环境情况，供投标人在编制投标文件时参考，招标人不对投标人据此作出的判断和决策负责。</w:t>
      </w:r>
    </w:p>
    <w:p w14:paraId="2804FF9D">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投标预备会</w:t>
      </w:r>
    </w:p>
    <w:p w14:paraId="2080258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1.10.1 投标人须知前附表规定召开投标预备会的，招标人按投标人须知前附表规定的时间和地点召开投标预备会，澄清投标人提出的问题。</w:t>
      </w:r>
    </w:p>
    <w:p w14:paraId="5473004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1.10.2 投标人应在投标人须知前附表规定的时间前，以书面形式将提出的问题送达招标人，以便招标人在会议期间澄清。</w:t>
      </w:r>
    </w:p>
    <w:p w14:paraId="415D2AE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1.10.3 投标预备会后，招标人在投标人须知前附表规定的时间内，将对投标人所提问颗的澄清，以书面方式通知所有购买招标文件的投标人。该澄清内容为招标文件的组成部分。</w:t>
      </w:r>
    </w:p>
    <w:p w14:paraId="33A5BB16">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分包</w:t>
      </w:r>
    </w:p>
    <w:p w14:paraId="1BB22BF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投标人拟在中标后将中标项目的部分非主体、非关键性工作进行分包的，应符合投标人须知前附表规定的分包内容、分包金额和接受分包的第三人资质要求等限制性条件。</w:t>
      </w:r>
    </w:p>
    <w:p w14:paraId="7B535DF6">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偏离</w:t>
      </w:r>
    </w:p>
    <w:p w14:paraId="486F70D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投标人须知前附表允许投标文件偏离招标文件某些要求的，偏离应当符合招标文件规定的偏离范围和幅度。</w:t>
      </w:r>
    </w:p>
    <w:p w14:paraId="3BD9C747">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2．招标文件</w:t>
      </w:r>
    </w:p>
    <w:p w14:paraId="4177C784">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招标文件的组成</w:t>
      </w:r>
    </w:p>
    <w:p w14:paraId="6D58037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本招标文件包括：</w:t>
      </w:r>
    </w:p>
    <w:p w14:paraId="0E2386E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(1）招标公告（或投标邀请书）; </w:t>
      </w:r>
    </w:p>
    <w:p w14:paraId="04C4C2C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14:paraId="046B96D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(3）评标办法；</w:t>
      </w:r>
    </w:p>
    <w:p w14:paraId="59EC52E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(4）合同条款及格式；</w:t>
      </w:r>
    </w:p>
    <w:p w14:paraId="5831E0A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(5）工程量清单；</w:t>
      </w:r>
    </w:p>
    <w:p w14:paraId="37F6101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2955CE0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(7）技术标准和要求；</w:t>
      </w:r>
    </w:p>
    <w:p w14:paraId="243D7A3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(8）投标文件格式；</w:t>
      </w:r>
    </w:p>
    <w:p w14:paraId="5DDB30B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(9）投标人须知前附表规定的其他材料。</w:t>
      </w:r>
    </w:p>
    <w:p w14:paraId="5023694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根据本章第1.10 款、第2.2 款和第2.3 款对招标文件所作的澄清、修改，构成招标文件的组成部分。</w:t>
      </w:r>
    </w:p>
    <w:p w14:paraId="7FD8BF6A">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招标文件的澄清</w:t>
      </w:r>
    </w:p>
    <w:p w14:paraId="757383F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37861B8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招标文件的澄清将在投标人须知前附表规定的投标截止时间15天前以书面形式发给所有购买招标文件的投标人，但不指明澄清问题的来源。如果澄清发出的时间距投标截止时间不足15天，相应延长投标截止时间。</w:t>
      </w:r>
    </w:p>
    <w:p w14:paraId="59ED159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投标人在收到澄清后，应在投标人须知前附表规定的时间内以书面形式通知招标人，确认己收到该澄清。</w:t>
      </w:r>
    </w:p>
    <w:p w14:paraId="4B47027C">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招标文件的修改</w:t>
      </w:r>
    </w:p>
    <w:p w14:paraId="2E81E46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在投标截止时间15天前，招标人可以书面形式修改招标文件，并通知所有已购买招标文件的投标人。如果修改招标文件的时间距投标截止时间不足15天，相应延长投标截止时间。</w:t>
      </w:r>
    </w:p>
    <w:p w14:paraId="318FA79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投标人收到修改内容后，应在投标人须知前附表规定的时间内以书面形式通知招标人，确认己收到该修改。</w:t>
      </w:r>
    </w:p>
    <w:p w14:paraId="631E4AE6">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w:t>
      </w:r>
    </w:p>
    <w:p w14:paraId="4D52974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投标文件的组成</w:t>
      </w:r>
    </w:p>
    <w:p w14:paraId="4662979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投标文件应包括下列内容：</w:t>
      </w:r>
    </w:p>
    <w:p w14:paraId="06A26BD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(l）投标函及投标函附录；</w:t>
      </w:r>
    </w:p>
    <w:p w14:paraId="7D58F7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(2）法定代表人身份证明或附有法定代表人身份证明的授权委托书；</w:t>
      </w:r>
    </w:p>
    <w:p w14:paraId="57AC5D9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(3）联合体协议书；</w:t>
      </w:r>
    </w:p>
    <w:p w14:paraId="07AC03D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(4）投标保证金；</w:t>
      </w:r>
    </w:p>
    <w:p w14:paraId="7845C06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(5）已标价工程量清单；</w:t>
      </w:r>
    </w:p>
    <w:p w14:paraId="18516DD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(6）施工组织设计；</w:t>
      </w:r>
    </w:p>
    <w:p w14:paraId="0663BF3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(7）项目管理机构；</w:t>
      </w:r>
    </w:p>
    <w:p w14:paraId="79CB9C7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(8）拟分包项目情况表；</w:t>
      </w:r>
    </w:p>
    <w:p w14:paraId="21B3F5D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(9）资格审查资料；</w:t>
      </w:r>
    </w:p>
    <w:p w14:paraId="56DB48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(10）投标人须知前附表规定的其他材料。</w:t>
      </w:r>
    </w:p>
    <w:p w14:paraId="7569D2B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投标人须知前附表规定不接受联合体投标的，或投标人没有组成联合体的，投标文件不包括本章第3.1.1 (3）目所指的联合体协议书。</w:t>
      </w:r>
    </w:p>
    <w:p w14:paraId="7D1C8112">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投标报价</w:t>
      </w:r>
    </w:p>
    <w:p w14:paraId="6F0D683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投标人应按第五章“工程量清单”的要求填写相应表格。</w:t>
      </w:r>
    </w:p>
    <w:p w14:paraId="7FE21F8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投标人在投标截止时间前修改投标函中的投标总报价，应同时修改第五章“工程量清单”中的相应报价。此修改须符合本章第4.3 款的有关要求。</w:t>
      </w:r>
    </w:p>
    <w:p w14:paraId="31FA8A27">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投标有效期</w:t>
      </w:r>
    </w:p>
    <w:p w14:paraId="26D16E5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在投标人须知前附表规定的投标有效期内，投标人不得要求撤销或修改其投标文件。</w:t>
      </w:r>
    </w:p>
    <w:p w14:paraId="4DFE3B2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0E8B3F6B">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 投标保证金</w:t>
      </w:r>
    </w:p>
    <w:p w14:paraId="34BC433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3B49358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 投标人不按本章第3.4.1 项要求提交投标保证金的，其投标文件作废标处理。</w:t>
      </w:r>
    </w:p>
    <w:p w14:paraId="26CAA95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 招标人与中标人签订合同后5个工作日内，向未中标的投标人和中标人退还投标保证金。</w:t>
      </w:r>
    </w:p>
    <w:p w14:paraId="0DAA0B1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有下列情形之一的，投标保证金将不予退还：</w:t>
      </w:r>
    </w:p>
    <w:p w14:paraId="5D545CE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(1）投标人在规定的投标有效期内撤销或修改其投标文件；</w:t>
      </w:r>
    </w:p>
    <w:p w14:paraId="2FE3E1D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(2）中标人在收到中标通知书后，无正当理由拒签合同协议书或未按招标文件规定提交履约担保。</w:t>
      </w:r>
    </w:p>
    <w:p w14:paraId="6CB394EB">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资格审查资料（适用于已进行资格预审的）</w:t>
      </w:r>
    </w:p>
    <w:p w14:paraId="0F10B9E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投标人在编制投标文件时，应按新情况更新或补充其在申请资格预审时提供的资料，以证实其各项资格条件仍能继续满足资格预审文件的要求，具备承担本标段施工的资质条件、能力和信誉。</w:t>
      </w:r>
    </w:p>
    <w:p w14:paraId="1F4AE4B8">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资格审查资料（适用于未进行资格预审的）</w:t>
      </w:r>
    </w:p>
    <w:p w14:paraId="692D78D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 “投标人基本情况表”应附投标人营业执照副本及其年检合格的证明材料、资质证书副本和安全生产许可证等材料的复印件。</w:t>
      </w:r>
    </w:p>
    <w:p w14:paraId="4AC2CDF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3.5.2 “近年财务状况表”应附经会计师事务所或审计机构审计的财务会计报表，包括资产负债表、现金流量表、利润表和财务情况说明书的复印件，具体年份要求见投标人须知前附表。</w:t>
      </w:r>
    </w:p>
    <w:p w14:paraId="7E55EA2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3.5.3 “近年完成的类似项目情况表”应附中标通知书和（或）合同协议书、工程接收证书（工程竣工验收证书）的复印件，具体年份要求见投标人须知前附表。每张表格只填写一个项目，并标明序号。</w:t>
      </w:r>
    </w:p>
    <w:p w14:paraId="6B3DB7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“正在施工和新承接的项目情况表”应附中标通知书和（或）合同协议书复印件。每张表格只填写一个项目，并标明序号。</w:t>
      </w:r>
    </w:p>
    <w:p w14:paraId="6197E1D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3.5.5 “近年发生的诉讼及仲裁情况”应说明相关情况，并附法院或仲裁机构作出的判决、裁决等有关法律文书复印件，具体年份要求见投标人须知前附表。</w:t>
      </w:r>
    </w:p>
    <w:p w14:paraId="759B317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3.5.6 投标人须知前附表规定接受联合体投标的，本章第3.5.1 项至第3.5.5 项规定的表格和资料应包括联合体各方相关情况。</w:t>
      </w:r>
    </w:p>
    <w:p w14:paraId="5E98A472">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备选投标方案</w:t>
      </w:r>
    </w:p>
    <w:p w14:paraId="25D1C0D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投标人须知前附表另有规定外，投标人不得递交备选投标方案。允许投标人递交备选投标方案的，只有中标人所递交的备选投标方案方可予以考虑。评标委员会认为中标人的各选投标方案优于其按照招标文件要求编制的投标方案的，招标人可以接受该备选投标方案。</w:t>
      </w:r>
    </w:p>
    <w:p w14:paraId="5124BD1B">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投标文件的编制</w:t>
      </w:r>
    </w:p>
    <w:p w14:paraId="075ADF4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223B9E5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3.7.2 投标文件应当对招标文件有关工期、投标有效期、质量要求、技术标准和要求、招标范围等实质性内容作出响应。</w:t>
      </w:r>
    </w:p>
    <w:p w14:paraId="59A48AF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4E78B43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3.7.4 投标文件正本一份，副本份数见投标人须知前附表。正本和副本的封面上应清楚地标记“正本”或“副本”的字样。当副本和正本不一致时，以正本为准。</w:t>
      </w:r>
    </w:p>
    <w:p w14:paraId="7F3ED48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3.7.5 投标文件的正本与副本应分别装订成册，并编制目录，具体装订要求见投标人须知前附表规定。</w:t>
      </w:r>
    </w:p>
    <w:p w14:paraId="0CE371E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w:t>
      </w:r>
    </w:p>
    <w:p w14:paraId="0758C1C0">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投标文件的密封和标记</w:t>
      </w:r>
    </w:p>
    <w:p w14:paraId="771B5B0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投标文件的正本与副本应分开包装，加贴封条，并在封套的封口处加盖投标人单位章。</w:t>
      </w:r>
    </w:p>
    <w:p w14:paraId="39BB631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4.1.2 投标文件的封套上应清楚地标记“正本”或“副本”字样，封套上应写明的其他内容见投标人须知前附表。</w:t>
      </w:r>
    </w:p>
    <w:p w14:paraId="5719ACF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 未按本章第4.1.1 项或第4.1.2 项要求密封和加写标记的投标文件，招标人不予受理。</w:t>
      </w:r>
    </w:p>
    <w:p w14:paraId="171D1979">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投标文件的递交</w:t>
      </w:r>
    </w:p>
    <w:p w14:paraId="46201E5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投标人应在本章第2.2.2 项规定的投标截止时间前递交投标文件。</w:t>
      </w:r>
    </w:p>
    <w:p w14:paraId="1B014BB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 投标人递交投标文件的地点：见投标人须知前附表。</w:t>
      </w:r>
    </w:p>
    <w:p w14:paraId="48B234F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4.2.3 除投标人须知前附表另有规定外，投标人所递交的投标文件不予退还。</w:t>
      </w:r>
    </w:p>
    <w:p w14:paraId="73E33C6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4.2.4 招标人收到投标文件后，向投标人出具签收凭证。</w:t>
      </w:r>
    </w:p>
    <w:p w14:paraId="7C5A85F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4.2.5 逾期送达的或者未送达指定地点的投标文件，招标人不予受理。</w:t>
      </w:r>
    </w:p>
    <w:p w14:paraId="740FBC6E">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投标文件的修改与撤回</w:t>
      </w:r>
    </w:p>
    <w:p w14:paraId="741D40A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4.3.1 在本章第2.2.2 项规定的投标截止时间前，投标人可以修改或撤回已递交的投标文件，但应以书面形式通知招标人。</w:t>
      </w:r>
    </w:p>
    <w:p w14:paraId="724C7B0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4.3.2 投标人修改或撤回已递交投标文件的书面通知应按照本章第3.7.3 项的要求签字或盖章。招标人收到书面通知后，向投标人出具签收凭证。</w:t>
      </w:r>
    </w:p>
    <w:p w14:paraId="7F7816F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4.3.3 修改的内容为投标文件的组成部分。修改的投标文件应按照本章第3 条、第4 条规定进行编制、密封、标记和递交，并标明“修改”字样。</w:t>
      </w:r>
    </w:p>
    <w:p w14:paraId="3F204171">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5．开标</w:t>
      </w:r>
    </w:p>
    <w:p w14:paraId="10A4B0D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开标时间和地点</w:t>
      </w:r>
    </w:p>
    <w:p w14:paraId="56998A9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招标人在本章第2.2.2 项规定的投标截止时间（开标时间）和投标人须知前附表规定的地点公开开标，并邀请所有投标人的法定代表人或其委托代理人准时参加。</w:t>
      </w:r>
    </w:p>
    <w:p w14:paraId="3E451078">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开标程序</w:t>
      </w:r>
    </w:p>
    <w:p w14:paraId="6696FF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主持人按下列程序进行开标：</w:t>
      </w:r>
    </w:p>
    <w:p w14:paraId="536F5C9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(l）宣布开标纪律；</w:t>
      </w:r>
    </w:p>
    <w:p w14:paraId="5579418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(2）公布在投标截止时间前递交投标文件的投标人名称，并点名确认投标人是否派人到场；</w:t>
      </w:r>
    </w:p>
    <w:p w14:paraId="6591676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(3）宣布开标人、唱标人、记录人、监标人等有关人员姓名；</w:t>
      </w:r>
    </w:p>
    <w:p w14:paraId="0B0B099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(4）按照投标人须知前附表规定检查投标文件的密封情况；</w:t>
      </w:r>
    </w:p>
    <w:p w14:paraId="608A43B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(5）按照投标人须知前附表的规定确定并宣布投标文件开标顺序；</w:t>
      </w:r>
    </w:p>
    <w:p w14:paraId="370F620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(6）设有标底的，公布标底；</w:t>
      </w:r>
    </w:p>
    <w:p w14:paraId="717B3B4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(7）按照宣布的开标顺序当众开标，公布投标人名称、标段名称、投标保证金的递交情况、投标报价、质量目标、工期及其他内容，并记录在案；</w:t>
      </w:r>
    </w:p>
    <w:p w14:paraId="38B9559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(8）投标人代表、招标人代表、监标人、记录人等有关人员在开标记录上签字确认；</w:t>
      </w:r>
    </w:p>
    <w:p w14:paraId="3A830DB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(9）开标结束。</w:t>
      </w:r>
    </w:p>
    <w:p w14:paraId="1763EBB8">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w:t>
      </w:r>
    </w:p>
    <w:p w14:paraId="538F09E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评标委员会</w:t>
      </w:r>
    </w:p>
    <w:p w14:paraId="57648FF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1056A98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评标委员会成员有下列情形之一的，应当回避：</w:t>
      </w:r>
    </w:p>
    <w:p w14:paraId="01002C2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(1）招标人或投标人的主要负责人的近亲属；</w:t>
      </w:r>
    </w:p>
    <w:p w14:paraId="7076C5E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(2）项目主管部门或者行政监督部门的人员：</w:t>
      </w:r>
    </w:p>
    <w:p w14:paraId="555C95B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(3）与投标人有经济利益关系，可能影响对投标公正评审的；</w:t>
      </w:r>
    </w:p>
    <w:p w14:paraId="217E814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(4）曾因在招标、评标以及其他与招标投标有关活动中从事违法行为而受过行政处罚或刑事处罚的。</w:t>
      </w:r>
    </w:p>
    <w:p w14:paraId="4059F82E">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 评标原则</w:t>
      </w:r>
    </w:p>
    <w:p w14:paraId="053AAD4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14:paraId="2F620F89">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 评标</w:t>
      </w:r>
    </w:p>
    <w:p w14:paraId="698AC3F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评标委员会按照第三章“评标办法”规定的方法、评审因素、标准和程序对投标文件进行评审。第三章“评标办法”没有规定的方法、评审因素和标准，不作为评标依据。</w:t>
      </w:r>
    </w:p>
    <w:p w14:paraId="473DA94D">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7．合同授予</w:t>
      </w:r>
    </w:p>
    <w:p w14:paraId="0F841043">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定标方式</w:t>
      </w:r>
    </w:p>
    <w:p w14:paraId="72DB62B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除投标人须知前附表规定评标委员会直接确定中标人外，招标人依据评标委员会推荐的中标候选人确定中标人，评标委员会推荐中标候选人的人数见投标人须知前附表。</w:t>
      </w:r>
    </w:p>
    <w:p w14:paraId="07AF22C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中标通知</w:t>
      </w:r>
    </w:p>
    <w:p w14:paraId="738B5EF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在本章第3.3 款规定的投标有效期内，招标人以书面形式向中标人发出中标通知书，同时将中标结果通知未中标的投标人。</w:t>
      </w:r>
    </w:p>
    <w:p w14:paraId="389CC07C">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履约担保</w:t>
      </w:r>
    </w:p>
    <w:p w14:paraId="2136F5A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2EA8A36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 中标人不能按本章第7.3.1 项要求提交履约担保的，视为放弃中标，其投标保证金不予退还，给招标人造成的损失超过投标保证金数额的，中标人还应当对超过部分予以赔偿。</w:t>
      </w:r>
    </w:p>
    <w:p w14:paraId="0B8CDB6D">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签订合同</w:t>
      </w:r>
    </w:p>
    <w:p w14:paraId="7EF2632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3E0E231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7.4.2 发出中标通知书后，招标人无正当理由拒签合同的，招标人向中标人退还投标保证金；给中标人造成损失的，还应当赔偿损失。</w:t>
      </w:r>
    </w:p>
    <w:p w14:paraId="2487B20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7.4.3 签订合同</w:t>
      </w:r>
    </w:p>
    <w:p w14:paraId="0C865250">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8．重新招标和不再招标</w:t>
      </w:r>
    </w:p>
    <w:p w14:paraId="12CC4BEE">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重新招标</w:t>
      </w:r>
    </w:p>
    <w:p w14:paraId="74B1989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有下列情形之一的，招标人将重新招标：</w:t>
      </w:r>
    </w:p>
    <w:p w14:paraId="0C54928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(l）投标截止时间止，投标人少于3 个的；</w:t>
      </w:r>
    </w:p>
    <w:p w14:paraId="55D94C7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(2）经评标委员会评审后否决所有投标的。</w:t>
      </w:r>
    </w:p>
    <w:p w14:paraId="69E7EECC">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不再招标</w:t>
      </w:r>
    </w:p>
    <w:p w14:paraId="7D8AF97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重新招标后投标人仍少于3 个或者所有投标被否决的，属于必须审批或核准的工程建设项目，经原审批或核准部门批准后不再进行招标。</w:t>
      </w:r>
    </w:p>
    <w:p w14:paraId="39FA2095">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9．纪律和监督</w:t>
      </w:r>
    </w:p>
    <w:p w14:paraId="0CF32D07">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 对招标人的纪律要求</w:t>
      </w:r>
    </w:p>
    <w:p w14:paraId="7434FC3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招标人不得泄漏招标投标活动中应当保密的情况和资料，不得与投标人串通损害国家利益、社会公共利益或者他人合法权益。</w:t>
      </w:r>
    </w:p>
    <w:p w14:paraId="3D9A32EF">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 对投标人的纪律要求</w:t>
      </w:r>
    </w:p>
    <w:p w14:paraId="73DF70F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26F6672">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 对评标委员会成员的纪律要求</w:t>
      </w:r>
    </w:p>
    <w:p w14:paraId="7955636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10D483F2">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 对与评标活动有关的工作人员的纪律要求</w:t>
      </w:r>
    </w:p>
    <w:p w14:paraId="4D25A4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069DE68A">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 投诉</w:t>
      </w:r>
    </w:p>
    <w:p w14:paraId="1902870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投标人和其他利害关系人认为本次招标活动违反法律、法规和规章规定的，有权向有关行政监督部门投诉。</w:t>
      </w:r>
    </w:p>
    <w:p w14:paraId="002EF4CF">
      <w:pPr>
        <w:pStyle w:val="20"/>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监督部门的联系方式见投标人须知前附表。</w:t>
      </w:r>
    </w:p>
    <w:p w14:paraId="3A6D6F8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10、需要补充的其他内容</w:t>
      </w:r>
    </w:p>
    <w:p w14:paraId="543A5D25">
      <w:pPr>
        <w:adjustRightInd w:val="0"/>
        <w:snapToGrid w:val="0"/>
        <w:spacing w:line="360" w:lineRule="auto"/>
        <w:ind w:firstLine="480" w:firstLineChars="200"/>
        <w:rPr>
          <w:rFonts w:hint="eastAsia" w:ascii="宋体" w:hAnsi="宋体" w:eastAsia="宋体" w:cs="宋体"/>
          <w:color w:val="auto"/>
          <w:sz w:val="36"/>
          <w:szCs w:val="36"/>
          <w:highlight w:val="none"/>
        </w:rPr>
      </w:pPr>
      <w:r>
        <w:rPr>
          <w:rFonts w:hint="eastAsia" w:ascii="宋体" w:hAnsi="宋体" w:eastAsia="宋体" w:cs="宋体"/>
          <w:color w:val="auto"/>
          <w:sz w:val="24"/>
          <w:szCs w:val="24"/>
          <w:highlight w:val="none"/>
        </w:rPr>
        <w:t>需要补充的其他内容：见投标人须知前附表。</w:t>
      </w:r>
      <w:bookmarkEnd w:id="32"/>
      <w:bookmarkEnd w:id="33"/>
      <w:bookmarkStart w:id="34" w:name="_Toc1776"/>
      <w:bookmarkStart w:id="35" w:name="_Toc234744445"/>
      <w:bookmarkStart w:id="36" w:name="_Toc144974565"/>
      <w:bookmarkStart w:id="37" w:name="_Toc152042375"/>
      <w:bookmarkStart w:id="38" w:name="_Toc234675077"/>
      <w:bookmarkStart w:id="39" w:name="_Toc18877"/>
      <w:bookmarkStart w:id="40" w:name="_Toc460366498"/>
      <w:bookmarkStart w:id="41" w:name="_Toc152045598"/>
      <w:bookmarkStart w:id="42" w:name="_Toc179632616"/>
      <w:bookmarkStart w:id="43" w:name="_Toc508615694"/>
      <w:bookmarkStart w:id="44" w:name="_Toc238559186"/>
      <w:r>
        <w:rPr>
          <w:rFonts w:hint="eastAsia" w:ascii="宋体" w:hAnsi="宋体" w:eastAsia="宋体" w:cs="宋体"/>
          <w:color w:val="auto"/>
          <w:sz w:val="36"/>
          <w:szCs w:val="36"/>
          <w:highlight w:val="none"/>
        </w:rPr>
        <w:br w:type="page"/>
      </w:r>
    </w:p>
    <w:p w14:paraId="621D9CDF">
      <w:pPr>
        <w:pStyle w:val="2"/>
        <w:spacing w:before="120" w:beforeLines="50" w:after="120" w:afterLines="50" w:line="240" w:lineRule="auto"/>
        <w:jc w:val="center"/>
        <w:rPr>
          <w:rFonts w:hint="eastAsia" w:ascii="宋体" w:hAnsi="宋体" w:eastAsia="宋体" w:cs="宋体"/>
          <w:b w:val="0"/>
          <w:bCs w:val="0"/>
          <w:color w:val="auto"/>
          <w:sz w:val="36"/>
          <w:szCs w:val="36"/>
          <w:highlight w:val="none"/>
        </w:rPr>
      </w:pPr>
      <w:r>
        <w:rPr>
          <w:rFonts w:hint="eastAsia" w:ascii="宋体" w:hAnsi="宋体" w:eastAsia="宋体" w:cs="宋体"/>
          <w:b w:val="0"/>
          <w:bCs w:val="0"/>
          <w:color w:val="auto"/>
          <w:sz w:val="36"/>
          <w:szCs w:val="36"/>
          <w:highlight w:val="none"/>
        </w:rPr>
        <w:t>第三章</w:t>
      </w:r>
      <w:bookmarkEnd w:id="34"/>
      <w:bookmarkEnd w:id="35"/>
      <w:bookmarkEnd w:id="36"/>
      <w:bookmarkEnd w:id="37"/>
      <w:bookmarkEnd w:id="38"/>
      <w:bookmarkEnd w:id="39"/>
      <w:bookmarkEnd w:id="40"/>
      <w:bookmarkEnd w:id="41"/>
      <w:bookmarkEnd w:id="42"/>
      <w:bookmarkEnd w:id="43"/>
      <w:bookmarkEnd w:id="44"/>
      <w:r>
        <w:rPr>
          <w:rFonts w:hint="eastAsia" w:ascii="宋体" w:hAnsi="宋体" w:eastAsia="宋体" w:cs="宋体"/>
          <w:b w:val="0"/>
          <w:bCs w:val="0"/>
          <w:color w:val="auto"/>
          <w:sz w:val="36"/>
          <w:szCs w:val="36"/>
          <w:highlight w:val="none"/>
        </w:rPr>
        <w:t>评标办法（综合评估法）</w:t>
      </w:r>
    </w:p>
    <w:p w14:paraId="31A3CBFC">
      <w:pPr>
        <w:pStyle w:val="154"/>
        <w:spacing w:before="36" w:after="120" w:afterLines="50"/>
        <w:ind w:left="-3" w:leftChars="-84" w:hanging="173" w:hangingChars="62"/>
        <w:rPr>
          <w:rFonts w:hint="eastAsia" w:ascii="宋体" w:hAnsi="宋体" w:eastAsia="宋体" w:cs="宋体"/>
          <w:color w:val="auto"/>
          <w:highlight w:val="none"/>
        </w:rPr>
      </w:pPr>
      <w:bookmarkStart w:id="45" w:name="_Toc152045599"/>
      <w:bookmarkStart w:id="46" w:name="_Toc238559187"/>
      <w:bookmarkStart w:id="47" w:name="_Toc343687638"/>
      <w:bookmarkStart w:id="48" w:name="_Toc460366499"/>
      <w:bookmarkStart w:id="49" w:name="_Toc508615695"/>
      <w:bookmarkStart w:id="50" w:name="_Toc25706"/>
      <w:bookmarkStart w:id="51" w:name="_Toc144974566"/>
      <w:bookmarkStart w:id="52" w:name="_Toc152042376"/>
      <w:bookmarkStart w:id="53" w:name="_Toc12451"/>
      <w:bookmarkStart w:id="54" w:name="_Toc234744446"/>
      <w:bookmarkStart w:id="55" w:name="_Toc179632617"/>
      <w:bookmarkStart w:id="56" w:name="_Toc234675078"/>
      <w:bookmarkStart w:id="57" w:name="_Hlk172061463"/>
      <w:bookmarkStart w:id="58" w:name="_Toc179632627"/>
      <w:bookmarkStart w:id="59" w:name="_Toc15846"/>
      <w:bookmarkStart w:id="60" w:name="_Toc144974577"/>
      <w:bookmarkStart w:id="61" w:name="_Toc152042387"/>
      <w:bookmarkStart w:id="62" w:name="_Toc152045609"/>
      <w:r>
        <w:rPr>
          <w:rFonts w:hint="eastAsia" w:ascii="宋体" w:hAnsi="宋体" w:eastAsia="宋体" w:cs="宋体"/>
          <w:color w:val="auto"/>
          <w:highlight w:val="none"/>
        </w:rPr>
        <w:t>评标办法前附表</w:t>
      </w:r>
      <w:bookmarkEnd w:id="45"/>
      <w:bookmarkEnd w:id="46"/>
      <w:bookmarkEnd w:id="47"/>
      <w:bookmarkEnd w:id="48"/>
      <w:bookmarkEnd w:id="49"/>
      <w:bookmarkEnd w:id="50"/>
      <w:bookmarkEnd w:id="51"/>
      <w:bookmarkEnd w:id="52"/>
      <w:bookmarkEnd w:id="53"/>
      <w:bookmarkEnd w:id="54"/>
      <w:bookmarkEnd w:id="55"/>
      <w:bookmarkEnd w:id="56"/>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61"/>
        <w:gridCol w:w="1846"/>
        <w:gridCol w:w="6338"/>
      </w:tblGrid>
      <w:tr w14:paraId="72CF2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trPr>
        <w:tc>
          <w:tcPr>
            <w:tcW w:w="854" w:type="pct"/>
            <w:gridSpan w:val="2"/>
            <w:vAlign w:val="center"/>
          </w:tcPr>
          <w:p w14:paraId="427C6975">
            <w:pPr>
              <w:adjustRightInd w:val="0"/>
              <w:jc w:val="center"/>
              <w:textAlignment w:val="baseline"/>
              <w:rPr>
                <w:rFonts w:hint="eastAsia" w:ascii="宋体" w:hAnsi="宋体" w:eastAsia="宋体" w:cs="宋体"/>
                <w:b/>
                <w:color w:val="auto"/>
                <w:highlight w:val="none"/>
              </w:rPr>
            </w:pPr>
            <w:r>
              <w:rPr>
                <w:rFonts w:hint="eastAsia" w:ascii="宋体" w:hAnsi="宋体" w:eastAsia="宋体" w:cs="宋体"/>
                <w:b/>
                <w:color w:val="auto"/>
                <w:highlight w:val="none"/>
              </w:rPr>
              <w:t>条款号</w:t>
            </w:r>
          </w:p>
        </w:tc>
        <w:tc>
          <w:tcPr>
            <w:tcW w:w="4145" w:type="pct"/>
            <w:gridSpan w:val="2"/>
            <w:vAlign w:val="center"/>
          </w:tcPr>
          <w:p w14:paraId="5BDBAD2E">
            <w:pPr>
              <w:adjustRightInd w:val="0"/>
              <w:jc w:val="center"/>
              <w:textAlignment w:val="baseline"/>
              <w:rPr>
                <w:rFonts w:hint="eastAsia" w:ascii="宋体" w:hAnsi="宋体" w:eastAsia="宋体" w:cs="宋体"/>
                <w:b/>
                <w:color w:val="auto"/>
                <w:highlight w:val="none"/>
              </w:rPr>
            </w:pPr>
            <w:r>
              <w:rPr>
                <w:rFonts w:hint="eastAsia" w:ascii="宋体" w:hAnsi="宋体" w:eastAsia="宋体" w:cs="宋体"/>
                <w:b/>
                <w:color w:val="auto"/>
                <w:highlight w:val="none"/>
              </w:rPr>
              <w:t>评审因素和评审标准</w:t>
            </w:r>
          </w:p>
        </w:tc>
      </w:tr>
      <w:tr w14:paraId="7E8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418" w:type="pct"/>
            <w:vAlign w:val="center"/>
          </w:tcPr>
          <w:p w14:paraId="34C834CE">
            <w:pPr>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436" w:type="pct"/>
            <w:vAlign w:val="center"/>
          </w:tcPr>
          <w:p w14:paraId="11188491">
            <w:pPr>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评标方法</w:t>
            </w:r>
          </w:p>
        </w:tc>
        <w:tc>
          <w:tcPr>
            <w:tcW w:w="4145" w:type="pct"/>
            <w:gridSpan w:val="2"/>
          </w:tcPr>
          <w:p w14:paraId="1978DDF1">
            <w:pPr>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1、综合评分相等时，评标委员会依次按照以下优先顺序推荐中标候选人或确定中标人：</w:t>
            </w:r>
          </w:p>
          <w:p w14:paraId="04298488">
            <w:pPr>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（1）评标价低的投标人优先；</w:t>
            </w:r>
          </w:p>
          <w:p w14:paraId="745EA909">
            <w:pPr>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（2）</w:t>
            </w:r>
            <w:bookmarkStart w:id="63" w:name="_Hlk50022817"/>
            <w:r>
              <w:rPr>
                <w:rFonts w:hint="eastAsia" w:ascii="宋体" w:hAnsi="宋体" w:eastAsia="宋体" w:cs="宋体"/>
                <w:b/>
                <w:bCs/>
                <w:color w:val="auto"/>
                <w:highlight w:val="none"/>
              </w:rPr>
              <w:t>最近一期被列入“江苏省交通运输守信联合激励对象名单”（红名单）的投标人</w:t>
            </w:r>
            <w:bookmarkEnd w:id="63"/>
            <w:r>
              <w:rPr>
                <w:rFonts w:hint="eastAsia" w:ascii="宋体" w:hAnsi="宋体" w:eastAsia="宋体" w:cs="宋体"/>
                <w:b/>
                <w:bCs/>
                <w:color w:val="auto"/>
                <w:highlight w:val="none"/>
              </w:rPr>
              <w:t>优先；</w:t>
            </w:r>
          </w:p>
          <w:p w14:paraId="1C88F300">
            <w:pPr>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（3）最近一期被江苏省交通运输主管部门信用评价得分较高的投标人优先；</w:t>
            </w:r>
          </w:p>
          <w:p w14:paraId="070DA813">
            <w:pPr>
              <w:snapToGrid w:val="0"/>
              <w:rPr>
                <w:rFonts w:hint="eastAsia" w:ascii="宋体" w:hAnsi="宋体" w:eastAsia="宋体" w:cs="宋体"/>
                <w:b/>
                <w:bCs/>
                <w:color w:val="auto"/>
                <w:highlight w:val="none"/>
              </w:rPr>
            </w:pPr>
            <w:r>
              <w:rPr>
                <w:rFonts w:hint="eastAsia" w:ascii="宋体" w:hAnsi="宋体" w:eastAsia="宋体" w:cs="宋体"/>
                <w:b/>
                <w:bCs/>
                <w:color w:val="auto"/>
                <w:highlight w:val="none"/>
              </w:rPr>
              <w:t>（4）评标委员会全体成员记名票决推荐中标候选人。</w:t>
            </w:r>
          </w:p>
          <w:p w14:paraId="55A25C21">
            <w:pPr>
              <w:snapToGrid w:val="0"/>
              <w:rPr>
                <w:rFonts w:hint="eastAsia" w:ascii="宋体" w:hAnsi="宋体" w:eastAsia="宋体" w:cs="宋体"/>
                <w:color w:val="auto"/>
                <w:highlight w:val="none"/>
              </w:rPr>
            </w:pPr>
            <w:r>
              <w:rPr>
                <w:rFonts w:hint="eastAsia" w:ascii="宋体" w:hAnsi="宋体" w:eastAsia="宋体" w:cs="宋体"/>
                <w:b/>
                <w:bCs/>
                <w:color w:val="auto"/>
                <w:highlight w:val="none"/>
              </w:rPr>
              <w:t>（上述红名单和信用评定得分均以投标截止之日查询结果为准。信用类别：</w:t>
            </w:r>
            <w:r>
              <w:rPr>
                <w:rFonts w:hint="eastAsia" w:ascii="宋体" w:hAnsi="宋体" w:eastAsia="宋体" w:cs="宋体"/>
                <w:b/>
                <w:bCs/>
                <w:color w:val="auto"/>
                <w:highlight w:val="none"/>
                <w:lang w:val="en-US" w:eastAsia="zh-CN"/>
              </w:rPr>
              <w:t>施工</w:t>
            </w:r>
            <w:r>
              <w:rPr>
                <w:rFonts w:hint="eastAsia" w:ascii="宋体" w:hAnsi="宋体" w:eastAsia="宋体" w:cs="宋体"/>
                <w:b/>
                <w:bCs/>
                <w:color w:val="auto"/>
                <w:highlight w:val="none"/>
              </w:rPr>
              <w:t>。）</w:t>
            </w:r>
          </w:p>
        </w:tc>
      </w:tr>
      <w:tr w14:paraId="648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418" w:type="pct"/>
            <w:vMerge w:val="restart"/>
            <w:vAlign w:val="center"/>
          </w:tcPr>
          <w:p w14:paraId="66DC225A">
            <w:pPr>
              <w:adjustRightIn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2.1.1</w:t>
            </w:r>
          </w:p>
          <w:p w14:paraId="03632791">
            <w:pPr>
              <w:adjustRightInd w:val="0"/>
              <w:jc w:val="center"/>
              <w:textAlignment w:val="baseline"/>
              <w:rPr>
                <w:rFonts w:hint="eastAsia" w:ascii="宋体" w:hAnsi="宋体" w:eastAsia="宋体" w:cs="宋体"/>
                <w:color w:val="auto"/>
                <w:sz w:val="28"/>
                <w:szCs w:val="28"/>
                <w:highlight w:val="none"/>
              </w:rPr>
            </w:pPr>
            <w:r>
              <w:rPr>
                <w:rFonts w:hint="eastAsia" w:ascii="宋体" w:hAnsi="宋体" w:eastAsia="宋体" w:cs="宋体"/>
                <w:color w:val="auto"/>
                <w:highlight w:val="none"/>
              </w:rPr>
              <w:t>2.1.3</w:t>
            </w:r>
          </w:p>
        </w:tc>
        <w:tc>
          <w:tcPr>
            <w:tcW w:w="436" w:type="pct"/>
            <w:vMerge w:val="restart"/>
            <w:vAlign w:val="center"/>
          </w:tcPr>
          <w:p w14:paraId="5BF40B7F">
            <w:pPr>
              <w:adjustRightInd w:val="0"/>
              <w:textAlignment w:val="baseline"/>
              <w:rPr>
                <w:rFonts w:hint="eastAsia" w:ascii="宋体" w:hAnsi="宋体" w:eastAsia="宋体" w:cs="宋体"/>
                <w:color w:val="auto"/>
                <w:highlight w:val="none"/>
              </w:rPr>
            </w:pPr>
            <w:r>
              <w:rPr>
                <w:rFonts w:hint="eastAsia" w:ascii="宋体" w:hAnsi="宋体" w:eastAsia="宋体" w:cs="宋体"/>
                <w:bCs/>
                <w:color w:val="auto"/>
                <w:highlight w:val="none"/>
              </w:rPr>
              <w:t>投标文件第一个信封形式评审与响应性评审标准</w:t>
            </w:r>
          </w:p>
        </w:tc>
        <w:tc>
          <w:tcPr>
            <w:tcW w:w="935" w:type="pct"/>
            <w:vAlign w:val="center"/>
          </w:tcPr>
          <w:p w14:paraId="36225F8A">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投标文件格式</w:t>
            </w:r>
          </w:p>
        </w:tc>
        <w:tc>
          <w:tcPr>
            <w:tcW w:w="3210" w:type="pct"/>
          </w:tcPr>
          <w:p w14:paraId="71FD2364">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投标文件按照招标文件规定的格式、内容填写，字迹清晰可辨：</w:t>
            </w:r>
          </w:p>
          <w:p w14:paraId="53F51226">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a、</w:t>
            </w:r>
            <w:r>
              <w:rPr>
                <w:rFonts w:hint="eastAsia" w:ascii="宋体" w:hAnsi="宋体" w:eastAsia="宋体" w:cs="宋体"/>
                <w:b/>
                <w:bCs/>
                <w:color w:val="auto"/>
                <w:sz w:val="21"/>
                <w:szCs w:val="21"/>
                <w:highlight w:val="none"/>
              </w:rPr>
              <w:t>投标函按招标文件规定填报了项目名称、标段号、补遗书编号（如有）、工期、工程质量要求及安全目标；</w:t>
            </w:r>
          </w:p>
          <w:p w14:paraId="49C8D81E">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b</w:t>
            </w:r>
            <w:r>
              <w:rPr>
                <w:rFonts w:hint="eastAsia" w:ascii="宋体" w:hAnsi="宋体" w:eastAsia="宋体" w:cs="宋体"/>
                <w:b/>
                <w:bCs/>
                <w:color w:val="auto"/>
                <w:sz w:val="21"/>
                <w:szCs w:val="21"/>
                <w:highlight w:val="none"/>
              </w:rPr>
              <w:t>、投标文件组成齐全完整，内容均按规定填写;</w:t>
            </w:r>
          </w:p>
        </w:tc>
      </w:tr>
      <w:tr w14:paraId="7CC3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8079B1C">
            <w:pPr>
              <w:adjustRightInd w:val="0"/>
              <w:textAlignment w:val="baseline"/>
              <w:rPr>
                <w:rFonts w:hint="eastAsia" w:ascii="宋体" w:hAnsi="宋体" w:eastAsia="宋体" w:cs="宋体"/>
                <w:color w:val="auto"/>
                <w:highlight w:val="none"/>
              </w:rPr>
            </w:pPr>
          </w:p>
        </w:tc>
        <w:tc>
          <w:tcPr>
            <w:tcW w:w="436" w:type="pct"/>
            <w:vMerge w:val="continue"/>
            <w:vAlign w:val="center"/>
          </w:tcPr>
          <w:p w14:paraId="6E4D3664">
            <w:pPr>
              <w:adjustRightInd w:val="0"/>
              <w:textAlignment w:val="baseline"/>
              <w:rPr>
                <w:rFonts w:hint="eastAsia" w:ascii="宋体" w:hAnsi="宋体" w:eastAsia="宋体" w:cs="宋体"/>
                <w:color w:val="auto"/>
                <w:highlight w:val="none"/>
              </w:rPr>
            </w:pPr>
          </w:p>
        </w:tc>
        <w:tc>
          <w:tcPr>
            <w:tcW w:w="935" w:type="pct"/>
            <w:vAlign w:val="center"/>
          </w:tcPr>
          <w:p w14:paraId="3148417F">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签字、盖章</w:t>
            </w:r>
          </w:p>
        </w:tc>
        <w:tc>
          <w:tcPr>
            <w:tcW w:w="3210" w:type="pct"/>
          </w:tcPr>
          <w:p w14:paraId="4BFF55F4">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投标文件上相关人员的签字</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盖章</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、投标人的单位章盖章齐全，符合招标文件规定。</w:t>
            </w:r>
          </w:p>
        </w:tc>
      </w:tr>
      <w:tr w14:paraId="55FB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5E9AC1D9">
            <w:pPr>
              <w:adjustRightInd w:val="0"/>
              <w:textAlignment w:val="baseline"/>
              <w:rPr>
                <w:rFonts w:hint="eastAsia" w:ascii="宋体" w:hAnsi="宋体" w:eastAsia="宋体" w:cs="宋体"/>
                <w:b/>
                <w:color w:val="auto"/>
                <w:highlight w:val="none"/>
              </w:rPr>
            </w:pPr>
          </w:p>
        </w:tc>
        <w:tc>
          <w:tcPr>
            <w:tcW w:w="436" w:type="pct"/>
            <w:vMerge w:val="continue"/>
            <w:vAlign w:val="center"/>
          </w:tcPr>
          <w:p w14:paraId="433767F4">
            <w:pPr>
              <w:adjustRightInd w:val="0"/>
              <w:textAlignment w:val="baseline"/>
              <w:rPr>
                <w:rFonts w:hint="eastAsia" w:ascii="宋体" w:hAnsi="宋体" w:eastAsia="宋体" w:cs="宋体"/>
                <w:b/>
                <w:color w:val="auto"/>
                <w:highlight w:val="none"/>
              </w:rPr>
            </w:pPr>
          </w:p>
        </w:tc>
        <w:tc>
          <w:tcPr>
            <w:tcW w:w="935" w:type="pct"/>
            <w:vAlign w:val="center"/>
          </w:tcPr>
          <w:p w14:paraId="0DE7D07D">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投标担保</w:t>
            </w:r>
          </w:p>
        </w:tc>
        <w:tc>
          <w:tcPr>
            <w:tcW w:w="3210" w:type="pct"/>
          </w:tcPr>
          <w:p w14:paraId="2A3F0174">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投标人按照招标文件规定的金额、形式、时效和内容提供了投标担保。</w:t>
            </w:r>
          </w:p>
        </w:tc>
      </w:tr>
      <w:tr w14:paraId="7E56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2D36BE25">
            <w:pPr>
              <w:adjustRightInd w:val="0"/>
              <w:textAlignment w:val="baseline"/>
              <w:rPr>
                <w:rFonts w:hint="eastAsia" w:ascii="宋体" w:hAnsi="宋体" w:eastAsia="宋体" w:cs="宋体"/>
                <w:b/>
                <w:color w:val="auto"/>
                <w:highlight w:val="none"/>
              </w:rPr>
            </w:pPr>
          </w:p>
        </w:tc>
        <w:tc>
          <w:tcPr>
            <w:tcW w:w="436" w:type="pct"/>
            <w:vMerge w:val="continue"/>
            <w:vAlign w:val="center"/>
          </w:tcPr>
          <w:p w14:paraId="69E5706C">
            <w:pPr>
              <w:adjustRightInd w:val="0"/>
              <w:textAlignment w:val="baseline"/>
              <w:rPr>
                <w:rFonts w:hint="eastAsia" w:ascii="宋体" w:hAnsi="宋体" w:eastAsia="宋体" w:cs="宋体"/>
                <w:b/>
                <w:color w:val="auto"/>
                <w:highlight w:val="none"/>
              </w:rPr>
            </w:pPr>
          </w:p>
        </w:tc>
        <w:tc>
          <w:tcPr>
            <w:tcW w:w="935" w:type="pct"/>
            <w:vAlign w:val="center"/>
          </w:tcPr>
          <w:p w14:paraId="5F39F7BA">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授权委托书</w:t>
            </w:r>
          </w:p>
        </w:tc>
        <w:tc>
          <w:tcPr>
            <w:tcW w:w="3210" w:type="pct"/>
          </w:tcPr>
          <w:p w14:paraId="23327827">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投标人法定代表人授权委托代理人签署投标文件的，须提交授权委托书，且授权人和被授权人均在授权委托书上签名</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盖章</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w:t>
            </w:r>
          </w:p>
        </w:tc>
      </w:tr>
      <w:tr w14:paraId="697B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4195A7F8">
            <w:pPr>
              <w:adjustRightInd w:val="0"/>
              <w:textAlignment w:val="baseline"/>
              <w:rPr>
                <w:rFonts w:hint="eastAsia" w:ascii="宋体" w:hAnsi="宋体" w:eastAsia="宋体" w:cs="宋体"/>
                <w:b/>
                <w:color w:val="auto"/>
                <w:highlight w:val="none"/>
              </w:rPr>
            </w:pPr>
          </w:p>
        </w:tc>
        <w:tc>
          <w:tcPr>
            <w:tcW w:w="436" w:type="pct"/>
            <w:vMerge w:val="continue"/>
            <w:vAlign w:val="center"/>
          </w:tcPr>
          <w:p w14:paraId="3DE53CA9">
            <w:pPr>
              <w:adjustRightInd w:val="0"/>
              <w:textAlignment w:val="baseline"/>
              <w:rPr>
                <w:rFonts w:hint="eastAsia" w:ascii="宋体" w:hAnsi="宋体" w:eastAsia="宋体" w:cs="宋体"/>
                <w:b/>
                <w:color w:val="auto"/>
                <w:highlight w:val="none"/>
              </w:rPr>
            </w:pPr>
          </w:p>
        </w:tc>
        <w:tc>
          <w:tcPr>
            <w:tcW w:w="935" w:type="pct"/>
            <w:vAlign w:val="center"/>
          </w:tcPr>
          <w:p w14:paraId="1EF4E573">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w:t>
            </w:r>
          </w:p>
          <w:p w14:paraId="680707F2">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身份证明</w:t>
            </w:r>
          </w:p>
        </w:tc>
        <w:tc>
          <w:tcPr>
            <w:tcW w:w="3210" w:type="pct"/>
          </w:tcPr>
          <w:p w14:paraId="068996E3">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投标人法定代表人亲自签署投标文件的，提供了法定代表人身份证明，且法定代表人在法定代表人身份证明上签名</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盖章</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w:t>
            </w:r>
          </w:p>
        </w:tc>
      </w:tr>
      <w:tr w14:paraId="74E9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3CA2F10E">
            <w:pPr>
              <w:adjustRightInd w:val="0"/>
              <w:textAlignment w:val="baseline"/>
              <w:rPr>
                <w:rFonts w:hint="eastAsia" w:ascii="宋体" w:hAnsi="宋体" w:eastAsia="宋体" w:cs="宋体"/>
                <w:b/>
                <w:color w:val="auto"/>
                <w:highlight w:val="none"/>
              </w:rPr>
            </w:pPr>
          </w:p>
        </w:tc>
        <w:tc>
          <w:tcPr>
            <w:tcW w:w="436" w:type="pct"/>
            <w:vMerge w:val="continue"/>
            <w:vAlign w:val="center"/>
          </w:tcPr>
          <w:p w14:paraId="09E9778B">
            <w:pPr>
              <w:adjustRightInd w:val="0"/>
              <w:textAlignment w:val="baseline"/>
              <w:rPr>
                <w:rFonts w:hint="eastAsia" w:ascii="宋体" w:hAnsi="宋体" w:eastAsia="宋体" w:cs="宋体"/>
                <w:b/>
                <w:color w:val="auto"/>
                <w:highlight w:val="none"/>
              </w:rPr>
            </w:pPr>
          </w:p>
        </w:tc>
        <w:tc>
          <w:tcPr>
            <w:tcW w:w="935" w:type="pct"/>
            <w:vAlign w:val="center"/>
          </w:tcPr>
          <w:p w14:paraId="4F7977E1">
            <w:pPr>
              <w:pStyle w:val="264"/>
              <w:spacing w:before="75"/>
              <w:ind w:left="10" w:right="192"/>
              <w:jc w:val="center"/>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sz w:val="21"/>
                <w:szCs w:val="21"/>
                <w:highlight w:val="none"/>
              </w:rPr>
              <w:t>联合体</w:t>
            </w:r>
          </w:p>
        </w:tc>
        <w:tc>
          <w:tcPr>
            <w:tcW w:w="3210" w:type="pct"/>
          </w:tcPr>
          <w:p w14:paraId="613FBD55">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投标人未以联合体形式投标</w:t>
            </w:r>
            <w:r>
              <w:rPr>
                <w:rFonts w:hint="eastAsia" w:ascii="宋体" w:hAnsi="宋体" w:eastAsia="宋体" w:cs="宋体"/>
                <w:b/>
                <w:bCs/>
                <w:color w:val="auto"/>
                <w:sz w:val="21"/>
                <w:szCs w:val="21"/>
                <w:highlight w:val="none"/>
                <w:lang w:val="en-US"/>
              </w:rPr>
              <w:t>。</w:t>
            </w:r>
          </w:p>
        </w:tc>
      </w:tr>
      <w:tr w14:paraId="5C62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1C3E724">
            <w:pPr>
              <w:adjustRightInd w:val="0"/>
              <w:textAlignment w:val="baseline"/>
              <w:rPr>
                <w:rFonts w:hint="eastAsia" w:ascii="宋体" w:hAnsi="宋体" w:eastAsia="宋体" w:cs="宋体"/>
                <w:b/>
                <w:color w:val="auto"/>
                <w:highlight w:val="none"/>
              </w:rPr>
            </w:pPr>
          </w:p>
        </w:tc>
        <w:tc>
          <w:tcPr>
            <w:tcW w:w="436" w:type="pct"/>
            <w:vMerge w:val="continue"/>
            <w:vAlign w:val="center"/>
          </w:tcPr>
          <w:p w14:paraId="051DAD99">
            <w:pPr>
              <w:adjustRightInd w:val="0"/>
              <w:textAlignment w:val="baseline"/>
              <w:rPr>
                <w:rFonts w:hint="eastAsia" w:ascii="宋体" w:hAnsi="宋体" w:eastAsia="宋体" w:cs="宋体"/>
                <w:b/>
                <w:color w:val="auto"/>
                <w:highlight w:val="none"/>
              </w:rPr>
            </w:pPr>
          </w:p>
        </w:tc>
        <w:tc>
          <w:tcPr>
            <w:tcW w:w="935" w:type="pct"/>
            <w:vAlign w:val="center"/>
          </w:tcPr>
          <w:p w14:paraId="52297D1B">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分包</w:t>
            </w:r>
          </w:p>
        </w:tc>
        <w:tc>
          <w:tcPr>
            <w:tcW w:w="3210" w:type="pct"/>
          </w:tcPr>
          <w:p w14:paraId="7FE94680">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投标人无分包计划。</w:t>
            </w:r>
          </w:p>
        </w:tc>
      </w:tr>
      <w:tr w14:paraId="77B5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5C19C0B">
            <w:pPr>
              <w:adjustRightInd w:val="0"/>
              <w:textAlignment w:val="baseline"/>
              <w:rPr>
                <w:rFonts w:hint="eastAsia" w:ascii="宋体" w:hAnsi="宋体" w:eastAsia="宋体" w:cs="宋体"/>
                <w:b/>
                <w:color w:val="auto"/>
                <w:highlight w:val="none"/>
              </w:rPr>
            </w:pPr>
          </w:p>
        </w:tc>
        <w:tc>
          <w:tcPr>
            <w:tcW w:w="436" w:type="pct"/>
            <w:vMerge w:val="continue"/>
            <w:vAlign w:val="center"/>
          </w:tcPr>
          <w:p w14:paraId="27BE1D42">
            <w:pPr>
              <w:adjustRightInd w:val="0"/>
              <w:textAlignment w:val="baseline"/>
              <w:rPr>
                <w:rFonts w:hint="eastAsia" w:ascii="宋体" w:hAnsi="宋体" w:eastAsia="宋体" w:cs="宋体"/>
                <w:b/>
                <w:color w:val="auto"/>
                <w:highlight w:val="none"/>
              </w:rPr>
            </w:pPr>
          </w:p>
        </w:tc>
        <w:tc>
          <w:tcPr>
            <w:tcW w:w="935" w:type="pct"/>
            <w:vAlign w:val="center"/>
          </w:tcPr>
          <w:p w14:paraId="1ED392AB">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备选投标</w:t>
            </w:r>
          </w:p>
        </w:tc>
        <w:tc>
          <w:tcPr>
            <w:tcW w:w="3210" w:type="pct"/>
          </w:tcPr>
          <w:p w14:paraId="44AF9E3E">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同一投标人未提交两个以上不同的投标文件，但招标文件要求提交备选投标的除外。</w:t>
            </w:r>
          </w:p>
        </w:tc>
      </w:tr>
      <w:tr w14:paraId="4EA2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2A760C73">
            <w:pPr>
              <w:adjustRightInd w:val="0"/>
              <w:textAlignment w:val="baseline"/>
              <w:rPr>
                <w:rFonts w:hint="eastAsia" w:ascii="宋体" w:hAnsi="宋体" w:eastAsia="宋体" w:cs="宋体"/>
                <w:b/>
                <w:color w:val="auto"/>
                <w:highlight w:val="none"/>
              </w:rPr>
            </w:pPr>
          </w:p>
        </w:tc>
        <w:tc>
          <w:tcPr>
            <w:tcW w:w="436" w:type="pct"/>
            <w:vMerge w:val="continue"/>
            <w:vAlign w:val="center"/>
          </w:tcPr>
          <w:p w14:paraId="41B1AE35">
            <w:pPr>
              <w:adjustRightInd w:val="0"/>
              <w:textAlignment w:val="baseline"/>
              <w:rPr>
                <w:rFonts w:hint="eastAsia" w:ascii="宋体" w:hAnsi="宋体" w:eastAsia="宋体" w:cs="宋体"/>
                <w:b/>
                <w:color w:val="auto"/>
                <w:highlight w:val="none"/>
              </w:rPr>
            </w:pPr>
          </w:p>
        </w:tc>
        <w:tc>
          <w:tcPr>
            <w:tcW w:w="935" w:type="pct"/>
            <w:vAlign w:val="center"/>
          </w:tcPr>
          <w:p w14:paraId="04A8DC32">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有关投标报价的内容</w:t>
            </w:r>
          </w:p>
        </w:tc>
        <w:tc>
          <w:tcPr>
            <w:tcW w:w="3210" w:type="pct"/>
            <w:vAlign w:val="center"/>
          </w:tcPr>
          <w:p w14:paraId="23844B1E">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第一信封中未岀现有关投标报价的内容。</w:t>
            </w:r>
          </w:p>
        </w:tc>
      </w:tr>
      <w:tr w14:paraId="7E4E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7A59A23">
            <w:pPr>
              <w:adjustRightInd w:val="0"/>
              <w:textAlignment w:val="baseline"/>
              <w:rPr>
                <w:rFonts w:hint="eastAsia" w:ascii="宋体" w:hAnsi="宋体" w:eastAsia="宋体" w:cs="宋体"/>
                <w:b/>
                <w:color w:val="auto"/>
                <w:highlight w:val="none"/>
              </w:rPr>
            </w:pPr>
          </w:p>
        </w:tc>
        <w:tc>
          <w:tcPr>
            <w:tcW w:w="436" w:type="pct"/>
            <w:vMerge w:val="continue"/>
            <w:vAlign w:val="center"/>
          </w:tcPr>
          <w:p w14:paraId="4ECA62CF">
            <w:pPr>
              <w:adjustRightInd w:val="0"/>
              <w:textAlignment w:val="baseline"/>
              <w:rPr>
                <w:rFonts w:hint="eastAsia" w:ascii="宋体" w:hAnsi="宋体" w:eastAsia="宋体" w:cs="宋体"/>
                <w:b/>
                <w:color w:val="auto"/>
                <w:highlight w:val="none"/>
              </w:rPr>
            </w:pPr>
          </w:p>
        </w:tc>
        <w:tc>
          <w:tcPr>
            <w:tcW w:w="935" w:type="pct"/>
            <w:vAlign w:val="center"/>
          </w:tcPr>
          <w:p w14:paraId="5814F453">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完成期限</w:t>
            </w:r>
          </w:p>
        </w:tc>
        <w:tc>
          <w:tcPr>
            <w:tcW w:w="3210" w:type="pct"/>
          </w:tcPr>
          <w:p w14:paraId="4E5EA6FC">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投标文件载明的招标项目完成期限未超过招标文件规定的时限。</w:t>
            </w:r>
          </w:p>
        </w:tc>
      </w:tr>
      <w:tr w14:paraId="0028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7125BD96">
            <w:pPr>
              <w:adjustRightInd w:val="0"/>
              <w:textAlignment w:val="baseline"/>
              <w:rPr>
                <w:rFonts w:hint="eastAsia" w:ascii="宋体" w:hAnsi="宋体" w:eastAsia="宋体" w:cs="宋体"/>
                <w:b/>
                <w:color w:val="auto"/>
                <w:highlight w:val="none"/>
              </w:rPr>
            </w:pPr>
          </w:p>
        </w:tc>
        <w:tc>
          <w:tcPr>
            <w:tcW w:w="436" w:type="pct"/>
            <w:vMerge w:val="continue"/>
            <w:vAlign w:val="center"/>
          </w:tcPr>
          <w:p w14:paraId="313088F3">
            <w:pPr>
              <w:adjustRightInd w:val="0"/>
              <w:textAlignment w:val="baseline"/>
              <w:rPr>
                <w:rFonts w:hint="eastAsia" w:ascii="宋体" w:hAnsi="宋体" w:eastAsia="宋体" w:cs="宋体"/>
                <w:b/>
                <w:color w:val="auto"/>
                <w:highlight w:val="none"/>
              </w:rPr>
            </w:pPr>
          </w:p>
        </w:tc>
        <w:tc>
          <w:tcPr>
            <w:tcW w:w="935" w:type="pct"/>
            <w:vAlign w:val="center"/>
          </w:tcPr>
          <w:p w14:paraId="219530CC">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实质性要求和条件</w:t>
            </w:r>
          </w:p>
        </w:tc>
        <w:tc>
          <w:tcPr>
            <w:tcW w:w="3210" w:type="pct"/>
            <w:vAlign w:val="center"/>
          </w:tcPr>
          <w:p w14:paraId="37A6F910">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投标文件对招标文件的实质性要求和条件作岀响应。</w:t>
            </w:r>
          </w:p>
        </w:tc>
      </w:tr>
      <w:tr w14:paraId="5AD9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18" w:type="pct"/>
            <w:vMerge w:val="continue"/>
            <w:vAlign w:val="center"/>
          </w:tcPr>
          <w:p w14:paraId="6F583A05">
            <w:pPr>
              <w:adjustRightInd w:val="0"/>
              <w:textAlignment w:val="baseline"/>
              <w:rPr>
                <w:rFonts w:hint="eastAsia" w:ascii="宋体" w:hAnsi="宋体" w:eastAsia="宋体" w:cs="宋体"/>
                <w:b/>
                <w:color w:val="auto"/>
                <w:highlight w:val="none"/>
              </w:rPr>
            </w:pPr>
          </w:p>
        </w:tc>
        <w:tc>
          <w:tcPr>
            <w:tcW w:w="436" w:type="pct"/>
            <w:vMerge w:val="continue"/>
            <w:vAlign w:val="center"/>
          </w:tcPr>
          <w:p w14:paraId="2D467151">
            <w:pPr>
              <w:adjustRightInd w:val="0"/>
              <w:textAlignment w:val="baseline"/>
              <w:rPr>
                <w:rFonts w:hint="eastAsia" w:ascii="宋体" w:hAnsi="宋体" w:eastAsia="宋体" w:cs="宋体"/>
                <w:b/>
                <w:color w:val="auto"/>
                <w:highlight w:val="none"/>
              </w:rPr>
            </w:pPr>
          </w:p>
        </w:tc>
        <w:tc>
          <w:tcPr>
            <w:tcW w:w="935" w:type="pct"/>
            <w:vAlign w:val="center"/>
          </w:tcPr>
          <w:p w14:paraId="692002D7">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权利义务</w:t>
            </w:r>
          </w:p>
        </w:tc>
        <w:tc>
          <w:tcPr>
            <w:tcW w:w="3210" w:type="pct"/>
          </w:tcPr>
          <w:p w14:paraId="7D1EA171">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a.</w:t>
            </w:r>
            <w:r>
              <w:rPr>
                <w:rFonts w:hint="eastAsia" w:ascii="宋体" w:hAnsi="宋体" w:eastAsia="宋体" w:cs="宋体"/>
                <w:b/>
                <w:bCs/>
                <w:color w:val="auto"/>
                <w:sz w:val="21"/>
                <w:szCs w:val="21"/>
                <w:highlight w:val="none"/>
              </w:rPr>
              <w:t>投标人应接受招标文件规定的风险划分原则，未提岀新的风险划分办法；</w:t>
            </w:r>
          </w:p>
          <w:p w14:paraId="32030666">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b.</w:t>
            </w:r>
            <w:r>
              <w:rPr>
                <w:rFonts w:hint="eastAsia" w:ascii="宋体" w:hAnsi="宋体" w:eastAsia="宋体" w:cs="宋体"/>
                <w:b/>
                <w:bCs/>
                <w:color w:val="auto"/>
                <w:sz w:val="21"/>
                <w:szCs w:val="21"/>
                <w:highlight w:val="none"/>
              </w:rPr>
              <w:t>投标人未増加发包人的责任 范围，或减少投标人义务；岀不同的工程验收、计量、支付办法；</w:t>
            </w:r>
          </w:p>
          <w:p w14:paraId="6F644E37">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c.</w:t>
            </w:r>
            <w:r>
              <w:rPr>
                <w:rFonts w:hint="eastAsia" w:ascii="宋体" w:hAnsi="宋体" w:eastAsia="宋体" w:cs="宋体"/>
                <w:b/>
                <w:bCs/>
                <w:color w:val="auto"/>
                <w:sz w:val="21"/>
                <w:szCs w:val="21"/>
                <w:highlight w:val="none"/>
              </w:rPr>
              <w:t>投标人对合同纠纷、事故处理办法未提出异议；</w:t>
            </w:r>
          </w:p>
          <w:p w14:paraId="79C22B90">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d.</w:t>
            </w:r>
            <w:r>
              <w:rPr>
                <w:rFonts w:hint="eastAsia" w:ascii="宋体" w:hAnsi="宋体" w:eastAsia="宋体" w:cs="宋体"/>
                <w:b/>
                <w:bCs/>
                <w:color w:val="auto"/>
                <w:sz w:val="21"/>
                <w:szCs w:val="21"/>
                <w:highlight w:val="none"/>
              </w:rPr>
              <w:t>投标人未提故处理办法未提岀异议；</w:t>
            </w:r>
          </w:p>
          <w:p w14:paraId="334A2600">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e.</w:t>
            </w:r>
            <w:r>
              <w:rPr>
                <w:rFonts w:hint="eastAsia" w:ascii="宋体" w:hAnsi="宋体" w:eastAsia="宋体" w:cs="宋体"/>
                <w:b/>
                <w:bCs/>
                <w:color w:val="auto"/>
                <w:sz w:val="21"/>
                <w:szCs w:val="21"/>
                <w:highlight w:val="none"/>
              </w:rPr>
              <w:t>投标人在投标活动中无欺诉行为；</w:t>
            </w:r>
          </w:p>
          <w:p w14:paraId="72D11EC2">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f.</w:t>
            </w:r>
            <w:r>
              <w:rPr>
                <w:rFonts w:hint="eastAsia" w:ascii="宋体" w:hAnsi="宋体" w:eastAsia="宋体" w:cs="宋体"/>
                <w:b/>
                <w:bCs/>
                <w:color w:val="auto"/>
                <w:sz w:val="21"/>
                <w:szCs w:val="21"/>
                <w:highlight w:val="none"/>
              </w:rPr>
              <w:t>投标人未对合同条款有重要保留。</w:t>
            </w:r>
          </w:p>
        </w:tc>
      </w:tr>
      <w:tr w14:paraId="571B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1458D2F6">
            <w:pPr>
              <w:adjustRightInd w:val="0"/>
              <w:textAlignment w:val="baseline"/>
              <w:rPr>
                <w:rFonts w:hint="eastAsia" w:ascii="宋体" w:hAnsi="宋体" w:eastAsia="宋体" w:cs="宋体"/>
                <w:b/>
                <w:color w:val="auto"/>
                <w:highlight w:val="none"/>
              </w:rPr>
            </w:pPr>
          </w:p>
        </w:tc>
        <w:tc>
          <w:tcPr>
            <w:tcW w:w="436" w:type="pct"/>
            <w:vMerge w:val="continue"/>
            <w:vAlign w:val="center"/>
          </w:tcPr>
          <w:p w14:paraId="0703172A">
            <w:pPr>
              <w:adjustRightInd w:val="0"/>
              <w:textAlignment w:val="baseline"/>
              <w:rPr>
                <w:rFonts w:hint="eastAsia" w:ascii="宋体" w:hAnsi="宋体" w:eastAsia="宋体" w:cs="宋体"/>
                <w:b/>
                <w:color w:val="auto"/>
                <w:highlight w:val="none"/>
              </w:rPr>
            </w:pPr>
          </w:p>
        </w:tc>
        <w:tc>
          <w:tcPr>
            <w:tcW w:w="935" w:type="pct"/>
            <w:vAlign w:val="center"/>
          </w:tcPr>
          <w:p w14:paraId="27DD5762">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无串通投标</w:t>
            </w:r>
          </w:p>
          <w:p w14:paraId="220D2075">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行为</w:t>
            </w:r>
          </w:p>
        </w:tc>
        <w:tc>
          <w:tcPr>
            <w:tcW w:w="3210" w:type="pct"/>
          </w:tcPr>
          <w:p w14:paraId="2A85B819">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投标人没有《中华人民共和国招标投标法实施条例》 中明确的串通投标行为。</w:t>
            </w:r>
          </w:p>
        </w:tc>
      </w:tr>
      <w:tr w14:paraId="3EEF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18" w:type="pct"/>
            <w:vMerge w:val="continue"/>
            <w:vAlign w:val="center"/>
          </w:tcPr>
          <w:p w14:paraId="31F108FD">
            <w:pPr>
              <w:adjustRightInd w:val="0"/>
              <w:textAlignment w:val="baseline"/>
              <w:rPr>
                <w:rFonts w:hint="eastAsia" w:ascii="宋体" w:hAnsi="宋体" w:eastAsia="宋体" w:cs="宋体"/>
                <w:b/>
                <w:color w:val="auto"/>
                <w:highlight w:val="none"/>
              </w:rPr>
            </w:pPr>
          </w:p>
        </w:tc>
        <w:tc>
          <w:tcPr>
            <w:tcW w:w="436" w:type="pct"/>
            <w:vMerge w:val="continue"/>
            <w:vAlign w:val="center"/>
          </w:tcPr>
          <w:p w14:paraId="7450A8D9">
            <w:pPr>
              <w:adjustRightInd w:val="0"/>
              <w:textAlignment w:val="baseline"/>
              <w:rPr>
                <w:rFonts w:hint="eastAsia" w:ascii="宋体" w:hAnsi="宋体" w:eastAsia="宋体" w:cs="宋体"/>
                <w:b/>
                <w:color w:val="auto"/>
                <w:highlight w:val="none"/>
              </w:rPr>
            </w:pPr>
          </w:p>
        </w:tc>
        <w:tc>
          <w:tcPr>
            <w:tcW w:w="935" w:type="pct"/>
            <w:vAlign w:val="center"/>
          </w:tcPr>
          <w:p w14:paraId="7971877F">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不存在的其他情况</w:t>
            </w:r>
          </w:p>
        </w:tc>
        <w:tc>
          <w:tcPr>
            <w:tcW w:w="3210" w:type="pct"/>
            <w:vAlign w:val="center"/>
          </w:tcPr>
          <w:p w14:paraId="4F778C81">
            <w:pPr>
              <w:pStyle w:val="264"/>
              <w:snapToGrid w:val="0"/>
              <w:ind w:left="11" w:right="193"/>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不存在招标文件其他有关作否决投标处理的条款规定的情况。</w:t>
            </w:r>
          </w:p>
        </w:tc>
      </w:tr>
      <w:tr w14:paraId="04C4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09774749">
            <w:pPr>
              <w:adjustRightInd w:val="0"/>
              <w:jc w:val="center"/>
              <w:textAlignment w:val="baseline"/>
              <w:rPr>
                <w:rFonts w:hint="eastAsia" w:ascii="宋体" w:hAnsi="宋体" w:eastAsia="宋体" w:cs="宋体"/>
                <w:color w:val="auto"/>
                <w:sz w:val="28"/>
                <w:szCs w:val="28"/>
                <w:highlight w:val="none"/>
              </w:rPr>
            </w:pPr>
          </w:p>
        </w:tc>
        <w:tc>
          <w:tcPr>
            <w:tcW w:w="436" w:type="pct"/>
            <w:vMerge w:val="restart"/>
            <w:vAlign w:val="center"/>
          </w:tcPr>
          <w:p w14:paraId="2B3EB3C5">
            <w:pPr>
              <w:adjustRightInd w:val="0"/>
              <w:jc w:val="center"/>
              <w:textAlignment w:val="baseline"/>
              <w:rPr>
                <w:rFonts w:hint="eastAsia" w:ascii="宋体" w:hAnsi="宋体" w:eastAsia="宋体" w:cs="宋体"/>
                <w:color w:val="auto"/>
                <w:highlight w:val="none"/>
              </w:rPr>
            </w:pPr>
            <w:r>
              <w:rPr>
                <w:rFonts w:hint="eastAsia" w:ascii="宋体" w:hAnsi="宋体" w:eastAsia="宋体" w:cs="宋体"/>
                <w:bCs/>
                <w:color w:val="auto"/>
                <w:highlight w:val="none"/>
              </w:rPr>
              <w:t>投标文件第二个信封形式评审与响应性评审标准</w:t>
            </w:r>
          </w:p>
        </w:tc>
        <w:tc>
          <w:tcPr>
            <w:tcW w:w="935" w:type="pct"/>
            <w:vAlign w:val="center"/>
          </w:tcPr>
          <w:p w14:paraId="6ACB2833">
            <w:pPr>
              <w:pStyle w:val="264"/>
              <w:spacing w:before="75"/>
              <w:ind w:left="10" w:right="192"/>
              <w:jc w:val="center"/>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投标文件格式</w:t>
            </w:r>
          </w:p>
        </w:tc>
        <w:tc>
          <w:tcPr>
            <w:tcW w:w="3210" w:type="pct"/>
            <w:vAlign w:val="center"/>
          </w:tcPr>
          <w:p w14:paraId="6B39AFEB">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a.</w:t>
            </w:r>
            <w:r>
              <w:rPr>
                <w:rFonts w:hint="eastAsia" w:ascii="宋体" w:hAnsi="宋体" w:eastAsia="宋体" w:cs="宋体"/>
                <w:b/>
                <w:bCs/>
                <w:color w:val="auto"/>
                <w:sz w:val="21"/>
                <w:szCs w:val="21"/>
                <w:highlight w:val="none"/>
              </w:rPr>
              <w:t>投标函按招标文件规定填报了项目名称、标段号、补遗书编号（如有）、投标价（包括大写金额和小写金额）；</w:t>
            </w:r>
          </w:p>
          <w:p w14:paraId="2521F711">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b.</w:t>
            </w:r>
            <w:r>
              <w:rPr>
                <w:rFonts w:hint="eastAsia" w:ascii="宋体" w:hAnsi="宋体" w:eastAsia="宋体" w:cs="宋体"/>
                <w:b/>
                <w:bCs/>
                <w:color w:val="auto"/>
                <w:sz w:val="21"/>
                <w:szCs w:val="21"/>
                <w:highlight w:val="none"/>
              </w:rPr>
              <w:t>已标价工程量清单说明文字与招标文件规定一致，未进行实质性修改和删减；</w:t>
            </w:r>
          </w:p>
          <w:p w14:paraId="5BBD3014">
            <w:pPr>
              <w:pStyle w:val="264"/>
              <w:snapToGrid w:val="0"/>
              <w:ind w:left="11" w:right="193"/>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lang w:val="en-US"/>
              </w:rPr>
              <w:t>c.</w:t>
            </w:r>
            <w:r>
              <w:rPr>
                <w:rFonts w:hint="eastAsia" w:ascii="宋体" w:hAnsi="宋体" w:eastAsia="宋体" w:cs="宋体"/>
                <w:b/>
                <w:bCs/>
                <w:color w:val="auto"/>
                <w:sz w:val="21"/>
                <w:szCs w:val="21"/>
                <w:highlight w:val="none"/>
              </w:rPr>
              <w:t xml:space="preserve">投标文件组成齐全完整，内容均按规定填写； </w:t>
            </w:r>
          </w:p>
        </w:tc>
      </w:tr>
      <w:tr w14:paraId="3F0A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366A0B3C">
            <w:pPr>
              <w:rPr>
                <w:rFonts w:hint="eastAsia" w:ascii="宋体" w:hAnsi="宋体" w:eastAsia="宋体" w:cs="宋体"/>
                <w:color w:val="auto"/>
                <w:highlight w:val="none"/>
              </w:rPr>
            </w:pPr>
          </w:p>
        </w:tc>
        <w:tc>
          <w:tcPr>
            <w:tcW w:w="436" w:type="pct"/>
            <w:vMerge w:val="continue"/>
            <w:vAlign w:val="center"/>
          </w:tcPr>
          <w:p w14:paraId="43987DBD">
            <w:pPr>
              <w:rPr>
                <w:rFonts w:hint="eastAsia" w:ascii="宋体" w:hAnsi="宋体" w:eastAsia="宋体" w:cs="宋体"/>
                <w:color w:val="auto"/>
                <w:highlight w:val="none"/>
              </w:rPr>
            </w:pPr>
          </w:p>
        </w:tc>
        <w:tc>
          <w:tcPr>
            <w:tcW w:w="935" w:type="pct"/>
            <w:vAlign w:val="center"/>
          </w:tcPr>
          <w:p w14:paraId="034A2E04">
            <w:pPr>
              <w:pStyle w:val="264"/>
              <w:spacing w:before="75"/>
              <w:ind w:left="10" w:right="192"/>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签字或签章</w:t>
            </w:r>
          </w:p>
        </w:tc>
        <w:tc>
          <w:tcPr>
            <w:tcW w:w="3210" w:type="pct"/>
            <w:vAlign w:val="center"/>
          </w:tcPr>
          <w:p w14:paraId="580F00DC">
            <w:pPr>
              <w:pStyle w:val="264"/>
              <w:snapToGrid w:val="0"/>
              <w:ind w:left="11" w:right="193"/>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投标文件上法定代表人或其委托代理人的签名</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盖章</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、投标人的单位章盖章齐全，符合招标文件规定。</w:t>
            </w:r>
          </w:p>
        </w:tc>
      </w:tr>
      <w:tr w14:paraId="0B8A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68DED07B">
            <w:pPr>
              <w:rPr>
                <w:rFonts w:hint="eastAsia" w:ascii="宋体" w:hAnsi="宋体" w:eastAsia="宋体" w:cs="宋体"/>
                <w:color w:val="auto"/>
                <w:highlight w:val="none"/>
              </w:rPr>
            </w:pPr>
          </w:p>
        </w:tc>
        <w:tc>
          <w:tcPr>
            <w:tcW w:w="436" w:type="pct"/>
            <w:vMerge w:val="continue"/>
            <w:vAlign w:val="center"/>
          </w:tcPr>
          <w:p w14:paraId="32736D9D">
            <w:pPr>
              <w:rPr>
                <w:rFonts w:hint="eastAsia" w:ascii="宋体" w:hAnsi="宋体" w:eastAsia="宋体" w:cs="宋体"/>
                <w:color w:val="auto"/>
                <w:highlight w:val="none"/>
              </w:rPr>
            </w:pPr>
          </w:p>
        </w:tc>
        <w:tc>
          <w:tcPr>
            <w:tcW w:w="935" w:type="pct"/>
            <w:vAlign w:val="center"/>
          </w:tcPr>
          <w:p w14:paraId="3ABC2879">
            <w:pPr>
              <w:pStyle w:val="264"/>
              <w:spacing w:before="75"/>
              <w:ind w:left="10" w:right="192"/>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最高投标限价</w:t>
            </w:r>
          </w:p>
        </w:tc>
        <w:tc>
          <w:tcPr>
            <w:tcW w:w="3210" w:type="pct"/>
            <w:vAlign w:val="center"/>
          </w:tcPr>
          <w:p w14:paraId="68E7956D">
            <w:pPr>
              <w:pStyle w:val="264"/>
              <w:snapToGrid w:val="0"/>
              <w:ind w:left="11" w:right="193"/>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报价投标函中的报价未超过招标文件设定的最高投标限价。</w:t>
            </w:r>
          </w:p>
        </w:tc>
      </w:tr>
      <w:tr w14:paraId="7FFE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60611EB2">
            <w:pPr>
              <w:rPr>
                <w:rFonts w:hint="eastAsia" w:ascii="宋体" w:hAnsi="宋体" w:eastAsia="宋体" w:cs="宋体"/>
                <w:color w:val="auto"/>
                <w:highlight w:val="none"/>
              </w:rPr>
            </w:pPr>
          </w:p>
        </w:tc>
        <w:tc>
          <w:tcPr>
            <w:tcW w:w="436" w:type="pct"/>
            <w:vMerge w:val="continue"/>
            <w:vAlign w:val="center"/>
          </w:tcPr>
          <w:p w14:paraId="44FFAF88">
            <w:pPr>
              <w:rPr>
                <w:rFonts w:hint="eastAsia" w:ascii="宋体" w:hAnsi="宋体" w:eastAsia="宋体" w:cs="宋体"/>
                <w:color w:val="auto"/>
                <w:highlight w:val="none"/>
              </w:rPr>
            </w:pPr>
          </w:p>
        </w:tc>
        <w:tc>
          <w:tcPr>
            <w:tcW w:w="935" w:type="pct"/>
            <w:vAlign w:val="center"/>
          </w:tcPr>
          <w:p w14:paraId="4C814919">
            <w:pPr>
              <w:pStyle w:val="264"/>
              <w:spacing w:before="75"/>
              <w:ind w:left="10" w:right="192"/>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确定具体数值</w:t>
            </w:r>
          </w:p>
        </w:tc>
        <w:tc>
          <w:tcPr>
            <w:tcW w:w="3210" w:type="pct"/>
            <w:vAlign w:val="center"/>
          </w:tcPr>
          <w:p w14:paraId="034635E0">
            <w:pPr>
              <w:pStyle w:val="264"/>
              <w:snapToGrid w:val="0"/>
              <w:ind w:left="11" w:right="193"/>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报价投标函中报价的大写金额能够确定具体数值。</w:t>
            </w:r>
          </w:p>
        </w:tc>
      </w:tr>
      <w:tr w14:paraId="5709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vAlign w:val="center"/>
          </w:tcPr>
          <w:p w14:paraId="6B446968">
            <w:pPr>
              <w:rPr>
                <w:rFonts w:hint="eastAsia" w:ascii="宋体" w:hAnsi="宋体" w:eastAsia="宋体" w:cs="宋体"/>
                <w:color w:val="auto"/>
                <w:highlight w:val="none"/>
              </w:rPr>
            </w:pPr>
          </w:p>
        </w:tc>
        <w:tc>
          <w:tcPr>
            <w:tcW w:w="436" w:type="pct"/>
            <w:vMerge w:val="continue"/>
            <w:vAlign w:val="center"/>
          </w:tcPr>
          <w:p w14:paraId="44684249">
            <w:pPr>
              <w:rPr>
                <w:rFonts w:hint="eastAsia" w:ascii="宋体" w:hAnsi="宋体" w:eastAsia="宋体" w:cs="宋体"/>
                <w:color w:val="auto"/>
                <w:highlight w:val="none"/>
              </w:rPr>
            </w:pPr>
          </w:p>
        </w:tc>
        <w:tc>
          <w:tcPr>
            <w:tcW w:w="935" w:type="pct"/>
            <w:vAlign w:val="center"/>
          </w:tcPr>
          <w:p w14:paraId="00CF1D10">
            <w:pPr>
              <w:pStyle w:val="264"/>
              <w:spacing w:before="75"/>
              <w:ind w:left="10" w:right="192"/>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备选投标</w:t>
            </w:r>
          </w:p>
        </w:tc>
        <w:tc>
          <w:tcPr>
            <w:tcW w:w="3210" w:type="pct"/>
            <w:vAlign w:val="center"/>
          </w:tcPr>
          <w:p w14:paraId="1B545D29">
            <w:pPr>
              <w:pStyle w:val="264"/>
              <w:snapToGrid w:val="0"/>
              <w:ind w:left="11" w:right="193"/>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同一投标人未提交两个以上不同的投标报价，但招标文件要求提交备选投标的除外</w:t>
            </w:r>
          </w:p>
        </w:tc>
      </w:tr>
      <w:tr w14:paraId="6919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18" w:type="pct"/>
            <w:vMerge w:val="continue"/>
            <w:tcBorders>
              <w:bottom w:val="single" w:color="auto" w:sz="4" w:space="0"/>
            </w:tcBorders>
            <w:vAlign w:val="center"/>
          </w:tcPr>
          <w:p w14:paraId="7BF7BB5A">
            <w:pPr>
              <w:rPr>
                <w:rFonts w:hint="eastAsia" w:ascii="宋体" w:hAnsi="宋体" w:eastAsia="宋体" w:cs="宋体"/>
                <w:color w:val="auto"/>
                <w:highlight w:val="none"/>
              </w:rPr>
            </w:pPr>
          </w:p>
        </w:tc>
        <w:tc>
          <w:tcPr>
            <w:tcW w:w="436" w:type="pct"/>
            <w:vMerge w:val="continue"/>
            <w:tcBorders>
              <w:bottom w:val="single" w:color="auto" w:sz="4" w:space="0"/>
            </w:tcBorders>
            <w:vAlign w:val="center"/>
          </w:tcPr>
          <w:p w14:paraId="33F66D6C">
            <w:pPr>
              <w:rPr>
                <w:rFonts w:hint="eastAsia" w:ascii="宋体" w:hAnsi="宋体" w:eastAsia="宋体" w:cs="宋体"/>
                <w:color w:val="auto"/>
                <w:highlight w:val="none"/>
              </w:rPr>
            </w:pPr>
          </w:p>
        </w:tc>
        <w:tc>
          <w:tcPr>
            <w:tcW w:w="935" w:type="pct"/>
            <w:tcBorders>
              <w:bottom w:val="single" w:color="auto" w:sz="4" w:space="0"/>
            </w:tcBorders>
            <w:vAlign w:val="center"/>
          </w:tcPr>
          <w:p w14:paraId="4D2A1B4F">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工程量固化</w:t>
            </w:r>
          </w:p>
          <w:p w14:paraId="48C09125">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清单</w:t>
            </w:r>
          </w:p>
          <w:p w14:paraId="41CBEAE0">
            <w:pPr>
              <w:pStyle w:val="264"/>
              <w:spacing w:before="75"/>
              <w:ind w:left="10" w:right="192"/>
              <w:jc w:val="center"/>
              <w:rPr>
                <w:rFonts w:hint="eastAsia" w:ascii="宋体" w:hAnsi="宋体" w:eastAsia="宋体" w:cs="宋体"/>
                <w:b/>
                <w:bCs/>
                <w:color w:val="auto"/>
                <w:sz w:val="21"/>
                <w:szCs w:val="21"/>
                <w:highlight w:val="none"/>
              </w:rPr>
            </w:pPr>
          </w:p>
        </w:tc>
        <w:tc>
          <w:tcPr>
            <w:tcW w:w="3210" w:type="pct"/>
            <w:tcBorders>
              <w:bottom w:val="single" w:color="auto" w:sz="4" w:space="0"/>
            </w:tcBorders>
            <w:vAlign w:val="center"/>
          </w:tcPr>
          <w:p w14:paraId="3740EA24">
            <w:pPr>
              <w:pStyle w:val="264"/>
              <w:snapToGrid w:val="0"/>
              <w:ind w:left="11" w:right="193"/>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投标人填写</w:t>
            </w:r>
            <w:r>
              <w:rPr>
                <w:rFonts w:hint="eastAsia" w:ascii="宋体" w:hAnsi="宋体" w:eastAsia="宋体" w:cs="宋体"/>
                <w:b/>
                <w:bCs/>
                <w:color w:val="auto"/>
                <w:sz w:val="21"/>
                <w:szCs w:val="21"/>
                <w:highlight w:val="none"/>
                <w:lang w:val="en-US"/>
              </w:rPr>
              <w:t>了</w:t>
            </w:r>
            <w:r>
              <w:rPr>
                <w:rFonts w:hint="eastAsia" w:ascii="宋体" w:hAnsi="宋体" w:eastAsia="宋体" w:cs="宋体"/>
                <w:b/>
                <w:bCs/>
                <w:color w:val="auto"/>
                <w:sz w:val="21"/>
                <w:szCs w:val="21"/>
                <w:highlight w:val="none"/>
              </w:rPr>
              <w:t>工程量固化清单，填写完毕的工程量固化清单未对工程量固化清单电子文件中的数据、格式和运算定义进行修改；工程量固化清单中的投标报价和报价投标函大写金额报价一致。</w:t>
            </w:r>
          </w:p>
        </w:tc>
      </w:tr>
      <w:tr w14:paraId="03D5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restart"/>
            <w:tcBorders>
              <w:top w:val="single" w:color="auto" w:sz="4" w:space="0"/>
              <w:left w:val="single" w:color="auto" w:sz="4" w:space="0"/>
            </w:tcBorders>
            <w:vAlign w:val="center"/>
          </w:tcPr>
          <w:p w14:paraId="46F9C3C8">
            <w:pPr>
              <w:adjustRightIn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2.1.2</w:t>
            </w:r>
          </w:p>
        </w:tc>
        <w:tc>
          <w:tcPr>
            <w:tcW w:w="436" w:type="pct"/>
            <w:vMerge w:val="restart"/>
            <w:tcBorders>
              <w:top w:val="single" w:color="auto" w:sz="4" w:space="0"/>
            </w:tcBorders>
            <w:vAlign w:val="center"/>
          </w:tcPr>
          <w:p w14:paraId="289BB621">
            <w:pPr>
              <w:adjustRightIn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资格评审标准</w:t>
            </w:r>
          </w:p>
        </w:tc>
        <w:tc>
          <w:tcPr>
            <w:tcW w:w="935" w:type="pct"/>
            <w:tcBorders>
              <w:top w:val="single" w:color="auto" w:sz="4" w:space="0"/>
              <w:right w:val="single" w:color="auto" w:sz="4" w:space="0"/>
            </w:tcBorders>
            <w:vAlign w:val="center"/>
          </w:tcPr>
          <w:p w14:paraId="29C16A61">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资质条件</w:t>
            </w:r>
          </w:p>
        </w:tc>
        <w:tc>
          <w:tcPr>
            <w:tcW w:w="3210" w:type="pct"/>
            <w:tcBorders>
              <w:top w:val="single" w:color="auto" w:sz="4" w:space="0"/>
              <w:left w:val="single" w:color="auto" w:sz="4" w:space="0"/>
              <w:right w:val="single" w:color="auto" w:sz="4" w:space="0"/>
            </w:tcBorders>
            <w:vAlign w:val="center"/>
          </w:tcPr>
          <w:p w14:paraId="67775880">
            <w:pPr>
              <w:pStyle w:val="264"/>
              <w:snapToGrid w:val="0"/>
              <w:ind w:left="11" w:right="193"/>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sz w:val="21"/>
                <w:szCs w:val="21"/>
                <w:highlight w:val="none"/>
                <w:lang w:val="en-US"/>
              </w:rPr>
              <w:t>详见招标公告</w:t>
            </w:r>
          </w:p>
        </w:tc>
      </w:tr>
      <w:tr w14:paraId="25D0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continue"/>
            <w:tcBorders>
              <w:left w:val="single" w:color="auto" w:sz="4" w:space="0"/>
            </w:tcBorders>
            <w:vAlign w:val="center"/>
          </w:tcPr>
          <w:p w14:paraId="2CB0CA08">
            <w:pPr>
              <w:rPr>
                <w:rFonts w:hint="eastAsia" w:ascii="宋体" w:hAnsi="宋体" w:eastAsia="宋体" w:cs="宋体"/>
                <w:color w:val="auto"/>
                <w:highlight w:val="none"/>
              </w:rPr>
            </w:pPr>
          </w:p>
        </w:tc>
        <w:tc>
          <w:tcPr>
            <w:tcW w:w="436" w:type="pct"/>
            <w:vMerge w:val="continue"/>
            <w:vAlign w:val="center"/>
          </w:tcPr>
          <w:p w14:paraId="1F22BD0D">
            <w:pPr>
              <w:rPr>
                <w:rFonts w:hint="eastAsia" w:ascii="宋体" w:hAnsi="宋体" w:eastAsia="宋体" w:cs="宋体"/>
                <w:color w:val="auto"/>
                <w:highlight w:val="none"/>
              </w:rPr>
            </w:pPr>
          </w:p>
        </w:tc>
        <w:tc>
          <w:tcPr>
            <w:tcW w:w="935" w:type="pct"/>
            <w:tcBorders>
              <w:right w:val="single" w:color="auto" w:sz="4" w:space="0"/>
            </w:tcBorders>
            <w:vAlign w:val="center"/>
          </w:tcPr>
          <w:p w14:paraId="5EC99D79">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业绩要求</w:t>
            </w:r>
          </w:p>
        </w:tc>
        <w:tc>
          <w:tcPr>
            <w:tcW w:w="3210" w:type="pct"/>
            <w:tcBorders>
              <w:left w:val="single" w:color="auto" w:sz="4" w:space="0"/>
              <w:right w:val="single" w:color="auto" w:sz="4" w:space="0"/>
            </w:tcBorders>
            <w:vAlign w:val="center"/>
          </w:tcPr>
          <w:p w14:paraId="2575B47F">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详见招标公告</w:t>
            </w:r>
          </w:p>
        </w:tc>
      </w:tr>
      <w:tr w14:paraId="03FB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18" w:type="pct"/>
            <w:vMerge w:val="continue"/>
            <w:tcBorders>
              <w:left w:val="single" w:color="auto" w:sz="4" w:space="0"/>
            </w:tcBorders>
            <w:vAlign w:val="center"/>
          </w:tcPr>
          <w:p w14:paraId="6C54F5D8">
            <w:pPr>
              <w:rPr>
                <w:rFonts w:hint="eastAsia" w:ascii="宋体" w:hAnsi="宋体" w:eastAsia="宋体" w:cs="宋体"/>
                <w:color w:val="auto"/>
                <w:highlight w:val="none"/>
              </w:rPr>
            </w:pPr>
          </w:p>
        </w:tc>
        <w:tc>
          <w:tcPr>
            <w:tcW w:w="436" w:type="pct"/>
            <w:vMerge w:val="continue"/>
            <w:vAlign w:val="center"/>
          </w:tcPr>
          <w:p w14:paraId="0F0F02FD">
            <w:pPr>
              <w:rPr>
                <w:rFonts w:hint="eastAsia" w:ascii="宋体" w:hAnsi="宋体" w:eastAsia="宋体" w:cs="宋体"/>
                <w:color w:val="auto"/>
                <w:highlight w:val="none"/>
              </w:rPr>
            </w:pPr>
          </w:p>
        </w:tc>
        <w:tc>
          <w:tcPr>
            <w:tcW w:w="935" w:type="pct"/>
            <w:tcBorders>
              <w:right w:val="single" w:color="auto" w:sz="4" w:space="0"/>
            </w:tcBorders>
          </w:tcPr>
          <w:p w14:paraId="02812794">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信誉要求</w:t>
            </w:r>
          </w:p>
        </w:tc>
        <w:tc>
          <w:tcPr>
            <w:tcW w:w="3210" w:type="pct"/>
            <w:tcBorders>
              <w:left w:val="single" w:color="auto" w:sz="4" w:space="0"/>
              <w:right w:val="single" w:color="auto" w:sz="4" w:space="0"/>
            </w:tcBorders>
            <w:vAlign w:val="center"/>
          </w:tcPr>
          <w:p w14:paraId="6246815D">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详见招标公告</w:t>
            </w:r>
          </w:p>
        </w:tc>
      </w:tr>
      <w:tr w14:paraId="5A98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418" w:type="pct"/>
            <w:vMerge w:val="continue"/>
            <w:tcBorders>
              <w:left w:val="single" w:color="auto" w:sz="4" w:space="0"/>
              <w:bottom w:val="single" w:color="auto" w:sz="4" w:space="0"/>
            </w:tcBorders>
            <w:vAlign w:val="center"/>
          </w:tcPr>
          <w:p w14:paraId="266A31FC">
            <w:pPr>
              <w:rPr>
                <w:rFonts w:hint="eastAsia" w:ascii="宋体" w:hAnsi="宋体" w:eastAsia="宋体" w:cs="宋体"/>
                <w:color w:val="auto"/>
                <w:highlight w:val="none"/>
              </w:rPr>
            </w:pPr>
          </w:p>
        </w:tc>
        <w:tc>
          <w:tcPr>
            <w:tcW w:w="436" w:type="pct"/>
            <w:vMerge w:val="continue"/>
            <w:tcBorders>
              <w:bottom w:val="single" w:color="auto" w:sz="4" w:space="0"/>
            </w:tcBorders>
            <w:vAlign w:val="center"/>
          </w:tcPr>
          <w:p w14:paraId="4C5BC7DD">
            <w:pPr>
              <w:rPr>
                <w:rFonts w:hint="eastAsia" w:ascii="宋体" w:hAnsi="宋体" w:eastAsia="宋体" w:cs="宋体"/>
                <w:color w:val="auto"/>
                <w:highlight w:val="none"/>
              </w:rPr>
            </w:pPr>
          </w:p>
        </w:tc>
        <w:tc>
          <w:tcPr>
            <w:tcW w:w="935" w:type="pct"/>
            <w:tcBorders>
              <w:bottom w:val="single" w:color="auto" w:sz="4" w:space="0"/>
              <w:right w:val="single" w:color="auto" w:sz="4" w:space="0"/>
            </w:tcBorders>
          </w:tcPr>
          <w:p w14:paraId="4FACA558">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项目经理、项目总工、专职安全员资格</w:t>
            </w:r>
            <w:r>
              <w:rPr>
                <w:rFonts w:hint="eastAsia" w:ascii="宋体" w:hAnsi="宋体" w:eastAsia="宋体" w:cs="宋体"/>
                <w:b/>
                <w:bCs/>
                <w:color w:val="auto"/>
                <w:sz w:val="21"/>
                <w:szCs w:val="21"/>
                <w:highlight w:val="none"/>
                <w:lang w:val="en-US"/>
              </w:rPr>
              <w:t>要求</w:t>
            </w:r>
          </w:p>
        </w:tc>
        <w:tc>
          <w:tcPr>
            <w:tcW w:w="3210" w:type="pct"/>
            <w:tcBorders>
              <w:left w:val="single" w:color="auto" w:sz="4" w:space="0"/>
              <w:right w:val="single" w:color="auto" w:sz="4" w:space="0"/>
            </w:tcBorders>
            <w:vAlign w:val="center"/>
          </w:tcPr>
          <w:p w14:paraId="6C1D0CAC">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rPr>
              <w:t>详见招标公告</w:t>
            </w:r>
          </w:p>
        </w:tc>
      </w:tr>
      <w:tr w14:paraId="3F77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continue"/>
            <w:tcBorders>
              <w:top w:val="single" w:color="auto" w:sz="4" w:space="0"/>
              <w:left w:val="single" w:color="auto" w:sz="4" w:space="0"/>
              <w:bottom w:val="single" w:color="auto" w:sz="4" w:space="0"/>
            </w:tcBorders>
            <w:vAlign w:val="center"/>
          </w:tcPr>
          <w:p w14:paraId="56E096FE">
            <w:pPr>
              <w:rPr>
                <w:rFonts w:hint="eastAsia" w:ascii="宋体" w:hAnsi="宋体" w:eastAsia="宋体" w:cs="宋体"/>
                <w:color w:val="auto"/>
                <w:highlight w:val="none"/>
              </w:rPr>
            </w:pPr>
          </w:p>
        </w:tc>
        <w:tc>
          <w:tcPr>
            <w:tcW w:w="436" w:type="pct"/>
            <w:vMerge w:val="continue"/>
            <w:tcBorders>
              <w:top w:val="single" w:color="auto" w:sz="4" w:space="0"/>
              <w:bottom w:val="single" w:color="auto" w:sz="4" w:space="0"/>
            </w:tcBorders>
            <w:vAlign w:val="center"/>
          </w:tcPr>
          <w:p w14:paraId="62A0EF45">
            <w:pPr>
              <w:rPr>
                <w:rFonts w:hint="eastAsia" w:ascii="宋体" w:hAnsi="宋体" w:eastAsia="宋体" w:cs="宋体"/>
                <w:color w:val="auto"/>
                <w:highlight w:val="none"/>
              </w:rPr>
            </w:pPr>
          </w:p>
        </w:tc>
        <w:tc>
          <w:tcPr>
            <w:tcW w:w="935" w:type="pct"/>
            <w:tcBorders>
              <w:top w:val="single" w:color="auto" w:sz="4" w:space="0"/>
              <w:bottom w:val="single" w:color="auto" w:sz="4" w:space="0"/>
            </w:tcBorders>
          </w:tcPr>
          <w:p w14:paraId="55C9BD12">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其他要求</w:t>
            </w:r>
          </w:p>
        </w:tc>
        <w:tc>
          <w:tcPr>
            <w:tcW w:w="3210" w:type="pct"/>
            <w:tcBorders>
              <w:bottom w:val="single" w:color="auto" w:sz="4" w:space="0"/>
              <w:right w:val="single" w:color="auto" w:sz="4" w:space="0"/>
            </w:tcBorders>
          </w:tcPr>
          <w:p w14:paraId="7F0197DD">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投标人的其他要求符合招标文件规定。</w:t>
            </w:r>
          </w:p>
        </w:tc>
      </w:tr>
      <w:tr w14:paraId="6C5E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418" w:type="pct"/>
            <w:vMerge w:val="continue"/>
            <w:tcBorders>
              <w:top w:val="single" w:color="auto" w:sz="4" w:space="0"/>
              <w:left w:val="single" w:color="auto" w:sz="4" w:space="0"/>
              <w:bottom w:val="single" w:color="auto" w:sz="4" w:space="0"/>
            </w:tcBorders>
            <w:vAlign w:val="center"/>
          </w:tcPr>
          <w:p w14:paraId="5793CB33">
            <w:pPr>
              <w:rPr>
                <w:rFonts w:hint="eastAsia" w:ascii="宋体" w:hAnsi="宋体" w:eastAsia="宋体" w:cs="宋体"/>
                <w:color w:val="auto"/>
                <w:highlight w:val="none"/>
              </w:rPr>
            </w:pPr>
          </w:p>
        </w:tc>
        <w:tc>
          <w:tcPr>
            <w:tcW w:w="436" w:type="pct"/>
            <w:vMerge w:val="continue"/>
            <w:tcBorders>
              <w:top w:val="single" w:color="auto" w:sz="4" w:space="0"/>
              <w:bottom w:val="single" w:color="auto" w:sz="4" w:space="0"/>
            </w:tcBorders>
            <w:vAlign w:val="center"/>
          </w:tcPr>
          <w:p w14:paraId="74BC677E">
            <w:pPr>
              <w:rPr>
                <w:rFonts w:hint="eastAsia" w:ascii="宋体" w:hAnsi="宋体" w:eastAsia="宋体" w:cs="宋体"/>
                <w:color w:val="auto"/>
                <w:highlight w:val="none"/>
              </w:rPr>
            </w:pPr>
          </w:p>
        </w:tc>
        <w:tc>
          <w:tcPr>
            <w:tcW w:w="935" w:type="pct"/>
            <w:tcBorders>
              <w:top w:val="single" w:color="auto" w:sz="4" w:space="0"/>
              <w:bottom w:val="single" w:color="auto" w:sz="4" w:space="0"/>
            </w:tcBorders>
            <w:vAlign w:val="center"/>
          </w:tcPr>
          <w:p w14:paraId="4337F24B">
            <w:pPr>
              <w:pStyle w:val="264"/>
              <w:spacing w:before="75"/>
              <w:ind w:left="10" w:right="192"/>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不存在情形</w:t>
            </w:r>
          </w:p>
        </w:tc>
        <w:tc>
          <w:tcPr>
            <w:tcW w:w="3210" w:type="pct"/>
            <w:tcBorders>
              <w:top w:val="single" w:color="auto" w:sz="4" w:space="0"/>
              <w:bottom w:val="single" w:color="auto" w:sz="4" w:space="0"/>
            </w:tcBorders>
          </w:tcPr>
          <w:p w14:paraId="2FF477BB">
            <w:pPr>
              <w:pStyle w:val="264"/>
              <w:snapToGrid w:val="0"/>
              <w:ind w:left="11" w:right="193"/>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投标人不存在第二章“投标人须知”第</w:t>
            </w:r>
            <w:r>
              <w:rPr>
                <w:rFonts w:hint="eastAsia" w:ascii="宋体" w:hAnsi="宋体" w:eastAsia="宋体" w:cs="宋体"/>
                <w:b/>
                <w:bCs/>
                <w:color w:val="auto"/>
                <w:sz w:val="21"/>
                <w:szCs w:val="21"/>
                <w:highlight w:val="none"/>
                <w:lang w:val="en-US"/>
              </w:rPr>
              <w:t>1.4.</w:t>
            </w:r>
            <w:r>
              <w:rPr>
                <w:rFonts w:hint="eastAsia" w:ascii="宋体" w:hAnsi="宋体" w:eastAsia="宋体" w:cs="宋体"/>
                <w:b/>
                <w:bCs/>
                <w:color w:val="auto"/>
                <w:sz w:val="21"/>
                <w:szCs w:val="21"/>
                <w:highlight w:val="none"/>
              </w:rPr>
              <w:t>3项规定的任何一种情形。</w:t>
            </w:r>
          </w:p>
        </w:tc>
      </w:tr>
    </w:tbl>
    <w:p w14:paraId="0902A43D">
      <w:pPr>
        <w:adjustRightInd w:val="0"/>
        <w:spacing w:line="440" w:lineRule="exact"/>
        <w:jc w:val="center"/>
        <w:textAlignment w:val="baseline"/>
        <w:rPr>
          <w:rFonts w:hint="eastAsia" w:ascii="宋体" w:hAnsi="宋体" w:eastAsia="宋体" w:cs="宋体"/>
          <w:b/>
          <w:color w:val="auto"/>
          <w:highlight w:val="none"/>
        </w:rPr>
        <w:sectPr>
          <w:footerReference r:id="rId4" w:type="default"/>
          <w:type w:val="continuous"/>
          <w:pgSz w:w="11922" w:h="16838"/>
          <w:pgMar w:top="1077" w:right="1134" w:bottom="1077" w:left="1134" w:header="720" w:footer="720" w:gutter="0"/>
          <w:paperSrc w:first="7" w:other="7"/>
          <w:pgNumType w:start="1"/>
          <w:cols w:space="0" w:num="1"/>
        </w:sectPr>
      </w:pPr>
    </w:p>
    <w:tbl>
      <w:tblPr>
        <w:tblStyle w:val="52"/>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418"/>
        <w:gridCol w:w="1843"/>
        <w:gridCol w:w="5589"/>
      </w:tblGrid>
      <w:tr w14:paraId="19B0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063" w:type="dxa"/>
            <w:gridSpan w:val="3"/>
            <w:vAlign w:val="center"/>
          </w:tcPr>
          <w:p w14:paraId="137BDEC8">
            <w:pPr>
              <w:adjustRightInd w:val="0"/>
              <w:snapToGrid w:val="0"/>
              <w:jc w:val="center"/>
              <w:textAlignment w:val="baseline"/>
              <w:rPr>
                <w:rFonts w:hint="eastAsia" w:ascii="宋体" w:hAnsi="宋体" w:eastAsia="宋体" w:cs="宋体"/>
                <w:b/>
                <w:color w:val="auto"/>
                <w:highlight w:val="none"/>
              </w:rPr>
            </w:pPr>
            <w:bookmarkStart w:id="64" w:name="_Hlk141379602"/>
            <w:r>
              <w:rPr>
                <w:rFonts w:hint="eastAsia" w:ascii="宋体" w:hAnsi="宋体" w:eastAsia="宋体" w:cs="宋体"/>
                <w:b/>
                <w:color w:val="auto"/>
                <w:highlight w:val="none"/>
              </w:rPr>
              <w:t>条款号</w:t>
            </w:r>
          </w:p>
        </w:tc>
        <w:tc>
          <w:tcPr>
            <w:tcW w:w="5589" w:type="dxa"/>
            <w:vAlign w:val="center"/>
          </w:tcPr>
          <w:p w14:paraId="38F52A5D">
            <w:pPr>
              <w:adjustRightInd w:val="0"/>
              <w:snapToGrid w:val="0"/>
              <w:jc w:val="center"/>
              <w:textAlignment w:val="baseline"/>
              <w:rPr>
                <w:rFonts w:hint="eastAsia" w:ascii="宋体" w:hAnsi="宋体" w:eastAsia="宋体" w:cs="宋体"/>
                <w:b/>
                <w:color w:val="auto"/>
                <w:highlight w:val="none"/>
              </w:rPr>
            </w:pPr>
            <w:r>
              <w:rPr>
                <w:rFonts w:hint="eastAsia" w:ascii="宋体" w:hAnsi="宋体" w:eastAsia="宋体" w:cs="宋体"/>
                <w:b/>
                <w:color w:val="auto"/>
                <w:highlight w:val="none"/>
              </w:rPr>
              <w:t>编列内容</w:t>
            </w:r>
          </w:p>
        </w:tc>
      </w:tr>
      <w:tr w14:paraId="3749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gridSpan w:val="2"/>
            <w:vAlign w:val="center"/>
          </w:tcPr>
          <w:p w14:paraId="200810B9">
            <w:pPr>
              <w:snapToGrid w:val="0"/>
              <w:ind w:left="-72"/>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1843" w:type="dxa"/>
            <w:vAlign w:val="center"/>
          </w:tcPr>
          <w:p w14:paraId="64F52080">
            <w:pPr>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p w14:paraId="6FDDF80A">
            <w:pPr>
              <w:snapToGrid w:val="0"/>
              <w:ind w:left="-72"/>
              <w:jc w:val="center"/>
              <w:rPr>
                <w:rFonts w:hint="eastAsia" w:ascii="宋体" w:hAnsi="宋体" w:eastAsia="宋体" w:cs="宋体"/>
                <w:color w:val="auto"/>
                <w:highlight w:val="none"/>
              </w:rPr>
            </w:pPr>
            <w:r>
              <w:rPr>
                <w:rFonts w:hint="eastAsia" w:ascii="宋体" w:hAnsi="宋体" w:eastAsia="宋体" w:cs="宋体"/>
                <w:color w:val="auto"/>
                <w:highlight w:val="none"/>
              </w:rPr>
              <w:t>（总分100分）</w:t>
            </w:r>
          </w:p>
        </w:tc>
        <w:tc>
          <w:tcPr>
            <w:tcW w:w="5589" w:type="dxa"/>
            <w:vAlign w:val="center"/>
          </w:tcPr>
          <w:p w14:paraId="61897ED5">
            <w:pPr>
              <w:rPr>
                <w:rFonts w:hint="eastAsia" w:ascii="宋体" w:hAnsi="宋体" w:eastAsia="宋体" w:cs="宋体"/>
                <w:color w:val="auto"/>
                <w:highlight w:val="none"/>
              </w:rPr>
            </w:pPr>
            <w:r>
              <w:rPr>
                <w:rFonts w:hint="eastAsia" w:ascii="宋体" w:hAnsi="宋体" w:eastAsia="宋体" w:cs="宋体"/>
                <w:color w:val="auto"/>
                <w:highlight w:val="none"/>
              </w:rPr>
              <w:t>第一个信封（商务及技术文件）评分分值构成：</w:t>
            </w:r>
          </w:p>
          <w:p w14:paraId="714E1F9D">
            <w:pPr>
              <w:rPr>
                <w:rFonts w:hint="eastAsia" w:ascii="宋体" w:hAnsi="宋体" w:eastAsia="宋体" w:cs="宋体"/>
                <w:color w:val="auto"/>
                <w:highlight w:val="none"/>
              </w:rPr>
            </w:pPr>
            <w:r>
              <w:rPr>
                <w:rFonts w:hint="eastAsia" w:ascii="宋体" w:hAnsi="宋体" w:eastAsia="宋体" w:cs="宋体"/>
                <w:color w:val="auto"/>
                <w:highlight w:val="none"/>
              </w:rPr>
              <w:t>施工组织设计：</w:t>
            </w:r>
            <w:r>
              <w:rPr>
                <w:rFonts w:hint="eastAsia" w:ascii="宋体" w:hAnsi="宋体" w:eastAsia="宋体" w:cs="宋体"/>
                <w:color w:val="auto"/>
                <w:highlight w:val="none"/>
                <w:lang w:val="en-US" w:eastAsia="zh-CN"/>
              </w:rPr>
              <w:t>35</w:t>
            </w:r>
            <w:r>
              <w:rPr>
                <w:rFonts w:hint="eastAsia" w:ascii="宋体" w:hAnsi="宋体" w:eastAsia="宋体" w:cs="宋体"/>
                <w:color w:val="auto"/>
                <w:highlight w:val="none"/>
              </w:rPr>
              <w:t>分</w:t>
            </w:r>
          </w:p>
          <w:p w14:paraId="112137FC">
            <w:pPr>
              <w:rPr>
                <w:rFonts w:hint="eastAsia" w:ascii="宋体" w:hAnsi="宋体" w:eastAsia="宋体" w:cs="宋体"/>
                <w:color w:val="auto"/>
                <w:highlight w:val="none"/>
              </w:rPr>
            </w:pPr>
            <w:r>
              <w:rPr>
                <w:rFonts w:hint="eastAsia" w:ascii="宋体" w:hAnsi="宋体" w:eastAsia="宋体" w:cs="宋体"/>
                <w:color w:val="auto"/>
                <w:highlight w:val="none"/>
              </w:rPr>
              <w:t>主要人员：15分</w:t>
            </w:r>
          </w:p>
          <w:p w14:paraId="478286C7">
            <w:pPr>
              <w:rPr>
                <w:rFonts w:hint="eastAsia" w:ascii="宋体" w:hAnsi="宋体" w:eastAsia="宋体" w:cs="宋体"/>
                <w:color w:val="auto"/>
                <w:highlight w:val="none"/>
              </w:rPr>
            </w:pPr>
            <w:r>
              <w:rPr>
                <w:rFonts w:hint="eastAsia" w:ascii="宋体" w:hAnsi="宋体" w:eastAsia="宋体" w:cs="宋体"/>
                <w:color w:val="auto"/>
                <w:highlight w:val="none"/>
              </w:rPr>
              <w:t>其他因素-业绩：15分</w:t>
            </w:r>
          </w:p>
          <w:p w14:paraId="78B994FB">
            <w:pPr>
              <w:rPr>
                <w:rFonts w:hint="eastAsia" w:ascii="宋体" w:hAnsi="宋体" w:eastAsia="宋体" w:cs="宋体"/>
                <w:color w:val="auto"/>
                <w:highlight w:val="none"/>
              </w:rPr>
            </w:pPr>
            <w:r>
              <w:rPr>
                <w:rFonts w:hint="eastAsia" w:ascii="宋体" w:hAnsi="宋体" w:eastAsia="宋体" w:cs="宋体"/>
                <w:color w:val="auto"/>
                <w:highlight w:val="none"/>
              </w:rPr>
              <w:t>其他因素-履约信誉：5分</w:t>
            </w:r>
          </w:p>
          <w:p w14:paraId="017EF041">
            <w:pPr>
              <w:rPr>
                <w:rFonts w:hint="eastAsia" w:ascii="宋体" w:hAnsi="宋体" w:eastAsia="宋体" w:cs="宋体"/>
                <w:color w:val="auto"/>
                <w:highlight w:val="none"/>
              </w:rPr>
            </w:pPr>
            <w:r>
              <w:rPr>
                <w:rFonts w:hint="eastAsia" w:ascii="宋体" w:hAnsi="宋体" w:eastAsia="宋体" w:cs="宋体"/>
                <w:color w:val="auto"/>
                <w:highlight w:val="none"/>
              </w:rPr>
              <w:t>第二个信封（报价文件）评分分值构成：</w:t>
            </w:r>
          </w:p>
          <w:p w14:paraId="6E807CE5">
            <w:pPr>
              <w:rPr>
                <w:rFonts w:hint="eastAsia" w:ascii="宋体" w:hAnsi="宋体" w:eastAsia="宋体" w:cs="宋体"/>
                <w:color w:val="auto"/>
                <w:highlight w:val="none"/>
              </w:rPr>
            </w:pPr>
            <w:r>
              <w:rPr>
                <w:rFonts w:hint="eastAsia" w:ascii="宋体" w:hAnsi="宋体" w:eastAsia="宋体" w:cs="宋体"/>
                <w:color w:val="auto"/>
                <w:highlight w:val="none"/>
              </w:rPr>
              <w:t>评标价：</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0分</w:t>
            </w:r>
          </w:p>
        </w:tc>
      </w:tr>
      <w:tr w14:paraId="29B7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4" w:hRule="atLeast"/>
          <w:jc w:val="center"/>
        </w:trPr>
        <w:tc>
          <w:tcPr>
            <w:tcW w:w="2220" w:type="dxa"/>
            <w:gridSpan w:val="2"/>
            <w:vAlign w:val="center"/>
          </w:tcPr>
          <w:p w14:paraId="08B6D63F">
            <w:pPr>
              <w:jc w:val="center"/>
              <w:rPr>
                <w:rFonts w:hint="eastAsia" w:ascii="宋体" w:hAnsi="宋体" w:eastAsia="宋体" w:cs="宋体"/>
                <w:color w:val="auto"/>
                <w:highlight w:val="none"/>
              </w:rPr>
            </w:pPr>
            <w:r>
              <w:rPr>
                <w:rFonts w:hint="eastAsia" w:ascii="宋体" w:hAnsi="宋体" w:eastAsia="宋体" w:cs="宋体"/>
                <w:color w:val="auto"/>
                <w:highlight w:val="none"/>
              </w:rPr>
              <w:t>2.2.2</w:t>
            </w:r>
          </w:p>
        </w:tc>
        <w:tc>
          <w:tcPr>
            <w:tcW w:w="1843" w:type="dxa"/>
            <w:vAlign w:val="center"/>
          </w:tcPr>
          <w:p w14:paraId="5D4D781D">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评标价评标基准价计算方法</w:t>
            </w:r>
          </w:p>
          <w:p w14:paraId="0CB80C0C">
            <w:pPr>
              <w:pStyle w:val="20"/>
              <w:jc w:val="center"/>
              <w:rPr>
                <w:rFonts w:hint="eastAsia" w:ascii="宋体" w:hAnsi="宋体" w:eastAsia="宋体" w:cs="宋体"/>
                <w:color w:val="auto"/>
                <w:highlight w:val="none"/>
              </w:rPr>
            </w:pPr>
          </w:p>
        </w:tc>
        <w:tc>
          <w:tcPr>
            <w:tcW w:w="5589" w:type="dxa"/>
            <w:vAlign w:val="center"/>
          </w:tcPr>
          <w:p w14:paraId="6B74D402">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评标基准价的计算：</w:t>
            </w:r>
          </w:p>
          <w:p w14:paraId="44358D20">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在开标现场，招标人将当场计算并宣布评标基准价</w:t>
            </w:r>
          </w:p>
          <w:p w14:paraId="4E8E6A31">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(1)评标价的确定：</w:t>
            </w:r>
          </w:p>
          <w:p w14:paraId="0D8C58FD">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评标价=投标函文字报价-0（招标代理服务费）-0（公证费）- 0（暂列金）-0（其他不可竞争费）</w:t>
            </w:r>
          </w:p>
          <w:p w14:paraId="350AA9FA">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投标报价=清单小计+0（招标代理服务费）+0（公证费）+0（暂列金）+0（其他不可竞争费）</w:t>
            </w:r>
          </w:p>
          <w:p w14:paraId="3519BEE4">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（2）评标价平均值的计算：</w:t>
            </w:r>
          </w:p>
          <w:p w14:paraId="66D0AF95">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除按第二章“投标人须知”第5.2.4项规定开标现场被宣布为不进入评标基准价计算的投标报价之外，</w:t>
            </w:r>
            <w:r>
              <w:rPr>
                <w:rFonts w:hint="eastAsia" w:ascii="宋体" w:hAnsi="宋体" w:eastAsia="宋体" w:cs="宋体"/>
                <w:b/>
                <w:bCs/>
                <w:color w:val="auto"/>
                <w:highlight w:val="none"/>
              </w:rPr>
              <w:t>所有投标人的评标价去掉一个最高值和一个最低值后的算术平均值即为评标价平均值</w:t>
            </w:r>
            <w:r>
              <w:rPr>
                <w:rFonts w:hint="eastAsia" w:ascii="宋体" w:hAnsi="宋体" w:eastAsia="宋体" w:cs="宋体"/>
                <w:color w:val="auto"/>
                <w:highlight w:val="none"/>
              </w:rPr>
              <w:t>（如果参与评标价平均值计算的有效投标人少于5家时，则计算评标价平均值时不去掉最高值和最低值）</w:t>
            </w:r>
          </w:p>
          <w:p w14:paraId="501DD9A3">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（3）评标基准价的确定：</w:t>
            </w:r>
          </w:p>
          <w:p w14:paraId="531DAA55">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评标基准价=评标价平均值</w:t>
            </w:r>
          </w:p>
          <w:p w14:paraId="68C40B22">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tc>
      </w:tr>
      <w:tr w14:paraId="68C7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220" w:type="dxa"/>
            <w:gridSpan w:val="2"/>
            <w:vAlign w:val="center"/>
          </w:tcPr>
          <w:p w14:paraId="5A02F8C4">
            <w:pPr>
              <w:jc w:val="center"/>
              <w:rPr>
                <w:rFonts w:hint="eastAsia" w:ascii="宋体" w:hAnsi="宋体" w:eastAsia="宋体" w:cs="宋体"/>
                <w:color w:val="auto"/>
                <w:highlight w:val="none"/>
              </w:rPr>
            </w:pPr>
            <w:r>
              <w:rPr>
                <w:rFonts w:hint="eastAsia" w:ascii="宋体" w:hAnsi="宋体" w:eastAsia="宋体" w:cs="宋体"/>
                <w:color w:val="auto"/>
                <w:highlight w:val="none"/>
              </w:rPr>
              <w:t>2.2.3</w:t>
            </w:r>
          </w:p>
        </w:tc>
        <w:tc>
          <w:tcPr>
            <w:tcW w:w="1843" w:type="dxa"/>
            <w:vAlign w:val="center"/>
          </w:tcPr>
          <w:p w14:paraId="6E65AE86">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投标报价的偏差率计算公式</w:t>
            </w:r>
          </w:p>
        </w:tc>
        <w:tc>
          <w:tcPr>
            <w:tcW w:w="5589" w:type="dxa"/>
            <w:vAlign w:val="center"/>
          </w:tcPr>
          <w:p w14:paraId="735A4C73">
            <w:pPr>
              <w:autoSpaceDE w:val="0"/>
              <w:autoSpaceDN w:val="0"/>
              <w:adjustRightInd w:val="0"/>
              <w:ind w:left="63" w:leftChars="30"/>
              <w:jc w:val="left"/>
              <w:rPr>
                <w:rFonts w:hint="eastAsia" w:ascii="宋体" w:hAnsi="宋体" w:eastAsia="宋体" w:cs="宋体"/>
                <w:color w:val="auto"/>
                <w:highlight w:val="none"/>
              </w:rPr>
            </w:pPr>
            <w:r>
              <w:rPr>
                <w:rFonts w:hint="eastAsia" w:ascii="宋体" w:hAnsi="宋体" w:eastAsia="宋体" w:cs="宋体"/>
                <w:color w:val="auto"/>
                <w:highlight w:val="none"/>
              </w:rPr>
              <w:t>偏差率=100％×（投标人评标价一评标基准价）／评标基准价</w:t>
            </w:r>
          </w:p>
        </w:tc>
      </w:tr>
      <w:tr w14:paraId="1B98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220" w:type="dxa"/>
            <w:gridSpan w:val="2"/>
            <w:vAlign w:val="center"/>
          </w:tcPr>
          <w:p w14:paraId="29E924BC">
            <w:pPr>
              <w:adjustRightInd w:val="0"/>
              <w:snapToGrid w:val="0"/>
              <w:jc w:val="center"/>
              <w:textAlignment w:val="baseline"/>
              <w:rPr>
                <w:rFonts w:hint="eastAsia" w:ascii="宋体" w:hAnsi="宋体" w:eastAsia="宋体" w:cs="宋体"/>
                <w:b/>
                <w:color w:val="auto"/>
                <w:highlight w:val="none"/>
              </w:rPr>
            </w:pPr>
            <w:r>
              <w:rPr>
                <w:rFonts w:hint="eastAsia" w:ascii="宋体" w:hAnsi="宋体" w:eastAsia="宋体" w:cs="宋体"/>
                <w:b/>
                <w:color w:val="auto"/>
                <w:highlight w:val="none"/>
              </w:rPr>
              <w:t>条款号</w:t>
            </w:r>
          </w:p>
        </w:tc>
        <w:tc>
          <w:tcPr>
            <w:tcW w:w="1843" w:type="dxa"/>
            <w:vAlign w:val="center"/>
          </w:tcPr>
          <w:p w14:paraId="28CF0AE8">
            <w:pPr>
              <w:pStyle w:val="20"/>
              <w:adjustRightInd w:val="0"/>
              <w:snapToGrid w:val="0"/>
              <w:jc w:val="center"/>
              <w:textAlignment w:val="baseline"/>
              <w:rPr>
                <w:rFonts w:hint="eastAsia" w:ascii="宋体" w:hAnsi="宋体" w:eastAsia="宋体" w:cs="宋体"/>
                <w:b/>
                <w:color w:val="auto"/>
                <w:highlight w:val="none"/>
              </w:rPr>
            </w:pPr>
            <w:r>
              <w:rPr>
                <w:rFonts w:hint="eastAsia" w:ascii="宋体" w:hAnsi="宋体" w:eastAsia="宋体" w:cs="宋体"/>
                <w:b/>
                <w:color w:val="auto"/>
                <w:highlight w:val="none"/>
              </w:rPr>
              <w:t>评分因素</w:t>
            </w:r>
          </w:p>
        </w:tc>
        <w:tc>
          <w:tcPr>
            <w:tcW w:w="5589" w:type="dxa"/>
            <w:vAlign w:val="center"/>
          </w:tcPr>
          <w:p w14:paraId="3BE85D05">
            <w:pPr>
              <w:autoSpaceDE w:val="0"/>
              <w:autoSpaceDN w:val="0"/>
              <w:adjustRightInd w:val="0"/>
              <w:snapToGrid w:val="0"/>
              <w:ind w:left="63" w:leftChars="30"/>
              <w:jc w:val="center"/>
              <w:textAlignment w:val="baseline"/>
              <w:rPr>
                <w:rFonts w:hint="eastAsia" w:ascii="宋体" w:hAnsi="宋体" w:eastAsia="宋体" w:cs="宋体"/>
                <w:b/>
                <w:color w:val="auto"/>
                <w:highlight w:val="none"/>
              </w:rPr>
            </w:pPr>
            <w:r>
              <w:rPr>
                <w:rFonts w:hint="eastAsia" w:ascii="宋体" w:hAnsi="宋体" w:eastAsia="宋体" w:cs="宋体"/>
                <w:b/>
                <w:color w:val="auto"/>
                <w:highlight w:val="none"/>
              </w:rPr>
              <w:t>评分标准</w:t>
            </w:r>
          </w:p>
        </w:tc>
      </w:tr>
      <w:tr w14:paraId="0433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vAlign w:val="center"/>
          </w:tcPr>
          <w:p w14:paraId="53CD18AF">
            <w:pPr>
              <w:adjustRightInd w:val="0"/>
              <w:snapToGrid w:val="0"/>
              <w:jc w:val="center"/>
              <w:textAlignment w:val="baseline"/>
              <w:rPr>
                <w:rFonts w:hint="eastAsia" w:ascii="宋体" w:hAnsi="宋体" w:eastAsia="宋体" w:cs="宋体"/>
                <w:b/>
                <w:color w:val="auto"/>
                <w:highlight w:val="none"/>
              </w:rPr>
            </w:pPr>
            <w:r>
              <w:rPr>
                <w:rFonts w:hint="eastAsia" w:ascii="宋体" w:hAnsi="宋体" w:eastAsia="宋体" w:cs="宋体"/>
                <w:color w:val="auto"/>
                <w:highlight w:val="none"/>
              </w:rPr>
              <w:t>2.2.4(1)</w:t>
            </w:r>
          </w:p>
        </w:tc>
        <w:tc>
          <w:tcPr>
            <w:tcW w:w="1418" w:type="dxa"/>
            <w:vMerge w:val="restart"/>
            <w:vAlign w:val="center"/>
          </w:tcPr>
          <w:p w14:paraId="58F0DD33">
            <w:pPr>
              <w:adjustRightInd w:val="0"/>
              <w:snapToGrid w:val="0"/>
              <w:jc w:val="center"/>
              <w:textAlignment w:val="baseline"/>
              <w:rPr>
                <w:rFonts w:hint="eastAsia" w:ascii="宋体" w:hAnsi="宋体" w:eastAsia="宋体" w:cs="宋体"/>
                <w:b/>
                <w:color w:val="auto"/>
                <w:highlight w:val="none"/>
              </w:rPr>
            </w:pPr>
            <w:r>
              <w:rPr>
                <w:rFonts w:hint="eastAsia" w:ascii="宋体" w:hAnsi="宋体" w:eastAsia="宋体" w:cs="宋体"/>
                <w:color w:val="auto"/>
                <w:highlight w:val="none"/>
              </w:rPr>
              <w:t>施工组织设计评分标准</w:t>
            </w:r>
          </w:p>
        </w:tc>
        <w:tc>
          <w:tcPr>
            <w:tcW w:w="1843" w:type="dxa"/>
            <w:vAlign w:val="center"/>
          </w:tcPr>
          <w:p w14:paraId="451B0120">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施工组织方案（</w:t>
            </w:r>
            <w:r>
              <w:rPr>
                <w:rFonts w:hint="eastAsia" w:ascii="宋体" w:hAnsi="宋体" w:eastAsia="宋体" w:cs="宋体"/>
                <w:color w:val="auto"/>
                <w:highlight w:val="none"/>
                <w:lang w:val="en-US" w:eastAsia="zh-CN"/>
              </w:rPr>
              <w:t>15</w:t>
            </w:r>
            <w:r>
              <w:rPr>
                <w:rFonts w:hint="eastAsia" w:ascii="宋体" w:hAnsi="宋体" w:eastAsia="宋体" w:cs="宋体"/>
                <w:color w:val="auto"/>
                <w:highlight w:val="none"/>
              </w:rPr>
              <w:t>分）</w:t>
            </w:r>
          </w:p>
        </w:tc>
        <w:tc>
          <w:tcPr>
            <w:tcW w:w="5589" w:type="dxa"/>
            <w:shd w:val="clear" w:color="auto" w:fill="auto"/>
            <w:vAlign w:val="center"/>
          </w:tcPr>
          <w:p w14:paraId="17079135">
            <w:pPr>
              <w:snapToGrid w:val="0"/>
              <w:rPr>
                <w:rFonts w:hint="eastAsia" w:ascii="宋体" w:hAnsi="宋体" w:eastAsia="宋体" w:cs="宋体"/>
                <w:color w:val="auto"/>
                <w:kern w:val="0"/>
                <w:sz w:val="21"/>
                <w:szCs w:val="21"/>
                <w:highlight w:val="none"/>
                <w:lang w:val="ru-RU" w:eastAsia="zh-CN" w:bidi="ar-SA"/>
              </w:rPr>
            </w:pPr>
            <w:r>
              <w:rPr>
                <w:rFonts w:hint="eastAsia" w:ascii="宋体" w:hAnsi="宋体" w:eastAsia="宋体" w:cs="宋体"/>
                <w:color w:val="auto"/>
                <w:sz w:val="22"/>
                <w:highlight w:val="none"/>
              </w:rPr>
              <w:t>根据施工组织方案内容是否齐全、是否符合本工程的特点和实际情况；低于60%说明理由。</w:t>
            </w:r>
          </w:p>
        </w:tc>
      </w:tr>
      <w:tr w14:paraId="0AFF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vAlign w:val="center"/>
          </w:tcPr>
          <w:p w14:paraId="75EA1E01">
            <w:pPr>
              <w:adjustRightInd w:val="0"/>
              <w:snapToGrid w:val="0"/>
              <w:jc w:val="center"/>
              <w:textAlignment w:val="baseline"/>
              <w:rPr>
                <w:rFonts w:hint="eastAsia" w:ascii="宋体" w:hAnsi="宋体" w:eastAsia="宋体" w:cs="宋体"/>
                <w:color w:val="auto"/>
                <w:highlight w:val="none"/>
              </w:rPr>
            </w:pPr>
          </w:p>
        </w:tc>
        <w:tc>
          <w:tcPr>
            <w:tcW w:w="1418" w:type="dxa"/>
            <w:vMerge w:val="continue"/>
            <w:vAlign w:val="center"/>
          </w:tcPr>
          <w:p w14:paraId="3BDA38D6">
            <w:pPr>
              <w:adjustRightInd w:val="0"/>
              <w:snapToGrid w:val="0"/>
              <w:jc w:val="center"/>
              <w:textAlignment w:val="baseline"/>
              <w:rPr>
                <w:rFonts w:hint="eastAsia" w:ascii="宋体" w:hAnsi="宋体" w:eastAsia="宋体" w:cs="宋体"/>
                <w:color w:val="auto"/>
                <w:highlight w:val="none"/>
              </w:rPr>
            </w:pPr>
          </w:p>
        </w:tc>
        <w:tc>
          <w:tcPr>
            <w:tcW w:w="1843" w:type="dxa"/>
            <w:vAlign w:val="center"/>
          </w:tcPr>
          <w:p w14:paraId="22DC0CE5">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重难点分析（</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分）</w:t>
            </w:r>
          </w:p>
        </w:tc>
        <w:tc>
          <w:tcPr>
            <w:tcW w:w="5589" w:type="dxa"/>
            <w:shd w:val="clear" w:color="auto" w:fill="auto"/>
            <w:vAlign w:val="center"/>
          </w:tcPr>
          <w:p w14:paraId="67E35C1A">
            <w:pPr>
              <w:snapToGrid w:val="0"/>
              <w:rPr>
                <w:rFonts w:hint="eastAsia" w:ascii="宋体" w:hAnsi="宋体" w:eastAsia="宋体" w:cs="宋体"/>
                <w:color w:val="auto"/>
                <w:kern w:val="0"/>
                <w:sz w:val="21"/>
                <w:szCs w:val="21"/>
                <w:highlight w:val="none"/>
                <w:lang w:val="ru-RU" w:eastAsia="zh-CN" w:bidi="ar-SA"/>
              </w:rPr>
            </w:pPr>
            <w:r>
              <w:rPr>
                <w:rFonts w:hint="eastAsia" w:ascii="宋体" w:hAnsi="宋体" w:eastAsia="宋体" w:cs="宋体"/>
                <w:color w:val="auto"/>
                <w:sz w:val="22"/>
                <w:highlight w:val="none"/>
              </w:rPr>
              <w:t>重点(关键)和难点工程的分析及所采取的施工组织方案、措施是否可行、是否有较详细的施工工艺流程图；低于60%说明理由。</w:t>
            </w:r>
          </w:p>
        </w:tc>
      </w:tr>
      <w:tr w14:paraId="4E9B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02" w:type="dxa"/>
            <w:vMerge w:val="continue"/>
            <w:vAlign w:val="center"/>
          </w:tcPr>
          <w:p w14:paraId="5DC65491">
            <w:pPr>
              <w:adjustRightInd w:val="0"/>
              <w:snapToGrid w:val="0"/>
              <w:jc w:val="center"/>
              <w:textAlignment w:val="baseline"/>
              <w:rPr>
                <w:rFonts w:hint="eastAsia" w:ascii="宋体" w:hAnsi="宋体" w:eastAsia="宋体" w:cs="宋体"/>
                <w:color w:val="auto"/>
                <w:highlight w:val="none"/>
              </w:rPr>
            </w:pPr>
          </w:p>
        </w:tc>
        <w:tc>
          <w:tcPr>
            <w:tcW w:w="1418" w:type="dxa"/>
            <w:vMerge w:val="continue"/>
            <w:vAlign w:val="center"/>
          </w:tcPr>
          <w:p w14:paraId="57292881">
            <w:pPr>
              <w:adjustRightInd w:val="0"/>
              <w:snapToGrid w:val="0"/>
              <w:jc w:val="center"/>
              <w:textAlignment w:val="baseline"/>
              <w:rPr>
                <w:rFonts w:hint="eastAsia" w:ascii="宋体" w:hAnsi="宋体" w:eastAsia="宋体" w:cs="宋体"/>
                <w:color w:val="auto"/>
                <w:highlight w:val="none"/>
              </w:rPr>
            </w:pPr>
          </w:p>
        </w:tc>
        <w:tc>
          <w:tcPr>
            <w:tcW w:w="1843" w:type="dxa"/>
            <w:vAlign w:val="center"/>
          </w:tcPr>
          <w:p w14:paraId="38E1FAE2">
            <w:pPr>
              <w:pStyle w:val="20"/>
              <w:jc w:val="center"/>
              <w:rPr>
                <w:rFonts w:hint="eastAsia" w:ascii="宋体" w:hAnsi="宋体" w:eastAsia="宋体" w:cs="宋体"/>
                <w:color w:val="auto"/>
                <w:highlight w:val="none"/>
              </w:rPr>
            </w:pPr>
            <w:r>
              <w:rPr>
                <w:rFonts w:hint="eastAsia" w:ascii="宋体" w:hAnsi="宋体" w:eastAsia="宋体" w:cs="宋体"/>
                <w:color w:val="auto"/>
                <w:highlight w:val="none"/>
              </w:rPr>
              <w:t>质量、安全、环保及进度保证措施（</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分）</w:t>
            </w:r>
          </w:p>
        </w:tc>
        <w:tc>
          <w:tcPr>
            <w:tcW w:w="5589" w:type="dxa"/>
            <w:shd w:val="clear" w:color="auto" w:fill="auto"/>
            <w:vAlign w:val="center"/>
          </w:tcPr>
          <w:p w14:paraId="3FBCEC82">
            <w:pPr>
              <w:snapToGrid w:val="0"/>
              <w:rPr>
                <w:rFonts w:hint="eastAsia" w:ascii="宋体" w:hAnsi="宋体" w:eastAsia="宋体" w:cs="宋体"/>
                <w:color w:val="auto"/>
                <w:kern w:val="0"/>
                <w:sz w:val="21"/>
                <w:szCs w:val="21"/>
                <w:highlight w:val="none"/>
                <w:lang w:val="ru-RU" w:eastAsia="zh-CN" w:bidi="ar-SA"/>
              </w:rPr>
            </w:pPr>
            <w:r>
              <w:rPr>
                <w:rFonts w:hint="eastAsia" w:ascii="宋体" w:hAnsi="宋体" w:eastAsia="宋体" w:cs="宋体"/>
                <w:color w:val="auto"/>
                <w:sz w:val="22"/>
                <w:highlight w:val="none"/>
              </w:rPr>
              <w:t>质量标准、安全目标是否符合招标文件要求，对施工过程中可能出现的安全、质量问题是否有较细致的事前控制措施；对项目的环境保护重点的分析是否合理、准确，对可能出现环境污染问题是否有完善、细致的事前、事中、事后控制及处理措施，是否已初步确定工序的环境控制重点；工期进度计划安排是否符合招标文件要求，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等方面进行评审；低于60%说明理由。</w:t>
            </w:r>
          </w:p>
        </w:tc>
      </w:tr>
      <w:tr w14:paraId="493C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vAlign w:val="center"/>
          </w:tcPr>
          <w:p w14:paraId="1FE72943">
            <w:pPr>
              <w:adjustRightInd w:val="0"/>
              <w:snapToGri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2.2.4(2)</w:t>
            </w:r>
          </w:p>
        </w:tc>
        <w:tc>
          <w:tcPr>
            <w:tcW w:w="1418" w:type="dxa"/>
            <w:vMerge w:val="restart"/>
            <w:vAlign w:val="center"/>
          </w:tcPr>
          <w:p w14:paraId="35813A63">
            <w:pPr>
              <w:adjustRightInd w:val="0"/>
              <w:snapToGri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项目管理机构评分标准</w:t>
            </w:r>
          </w:p>
        </w:tc>
        <w:tc>
          <w:tcPr>
            <w:tcW w:w="1843" w:type="dxa"/>
            <w:vAlign w:val="center"/>
          </w:tcPr>
          <w:p w14:paraId="4E912E90">
            <w:pPr>
              <w:rPr>
                <w:rFonts w:hint="eastAsia" w:ascii="宋体" w:hAnsi="宋体" w:eastAsia="宋体" w:cs="宋体"/>
                <w:color w:val="auto"/>
                <w:highlight w:val="none"/>
              </w:rPr>
            </w:pPr>
            <w:r>
              <w:rPr>
                <w:rFonts w:hint="eastAsia" w:ascii="宋体" w:hAnsi="宋体" w:eastAsia="宋体" w:cs="宋体"/>
                <w:color w:val="auto"/>
                <w:highlight w:val="none"/>
              </w:rPr>
              <w:t>项目经理任职资格与业绩（10分）</w:t>
            </w:r>
          </w:p>
        </w:tc>
        <w:tc>
          <w:tcPr>
            <w:tcW w:w="5589" w:type="dxa"/>
            <w:vAlign w:val="center"/>
          </w:tcPr>
          <w:p w14:paraId="677C6EF4">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项目负责人满足资格条件的得基本分6分；</w:t>
            </w:r>
          </w:p>
          <w:p w14:paraId="3C1DCFF9">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在此基础上，每增加1个满足项目经理资格条件要求的业绩，加2分，最多加4分。</w:t>
            </w:r>
          </w:p>
          <w:p w14:paraId="140972A6">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注：</w:t>
            </w:r>
            <w:r>
              <w:rPr>
                <w:rFonts w:hint="eastAsia" w:ascii="宋体" w:hAnsi="宋体" w:eastAsia="宋体" w:cs="宋体"/>
                <w:color w:val="auto"/>
                <w:highlight w:val="none"/>
              </w:rPr>
              <w:t>一个</w:t>
            </w:r>
            <w:r>
              <w:rPr>
                <w:rFonts w:hint="eastAsia" w:ascii="宋体" w:hAnsi="宋体" w:eastAsia="宋体" w:cs="宋体"/>
                <w:color w:val="auto"/>
                <w:highlight w:val="none"/>
                <w:lang w:val="en-US" w:eastAsia="zh-CN"/>
              </w:rPr>
              <w:t>合同</w:t>
            </w:r>
            <w:r>
              <w:rPr>
                <w:rFonts w:hint="eastAsia" w:ascii="宋体" w:hAnsi="宋体" w:eastAsia="宋体" w:cs="宋体"/>
                <w:color w:val="auto"/>
                <w:highlight w:val="none"/>
              </w:rPr>
              <w:t>计一个业绩</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项目经理业绩与投标人业绩为同一项目时，可分别计分。</w:t>
            </w:r>
          </w:p>
        </w:tc>
      </w:tr>
      <w:tr w14:paraId="0B87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vAlign w:val="center"/>
          </w:tcPr>
          <w:p w14:paraId="313AD1FA">
            <w:pPr>
              <w:adjustRightInd w:val="0"/>
              <w:snapToGrid w:val="0"/>
              <w:jc w:val="center"/>
              <w:textAlignment w:val="baseline"/>
              <w:rPr>
                <w:rFonts w:hint="eastAsia" w:ascii="宋体" w:hAnsi="宋体" w:eastAsia="宋体" w:cs="宋体"/>
                <w:color w:val="auto"/>
                <w:highlight w:val="none"/>
              </w:rPr>
            </w:pPr>
          </w:p>
        </w:tc>
        <w:tc>
          <w:tcPr>
            <w:tcW w:w="1418" w:type="dxa"/>
            <w:vMerge w:val="continue"/>
            <w:vAlign w:val="center"/>
          </w:tcPr>
          <w:p w14:paraId="7D25DD5F">
            <w:pPr>
              <w:adjustRightInd w:val="0"/>
              <w:snapToGrid w:val="0"/>
              <w:jc w:val="center"/>
              <w:textAlignment w:val="baseline"/>
              <w:rPr>
                <w:rFonts w:hint="eastAsia" w:ascii="宋体" w:hAnsi="宋体" w:eastAsia="宋体" w:cs="宋体"/>
                <w:color w:val="auto"/>
                <w:highlight w:val="none"/>
              </w:rPr>
            </w:pPr>
          </w:p>
        </w:tc>
        <w:tc>
          <w:tcPr>
            <w:tcW w:w="1843" w:type="dxa"/>
            <w:vAlign w:val="center"/>
          </w:tcPr>
          <w:p w14:paraId="28BC82A0">
            <w:pPr>
              <w:rPr>
                <w:rFonts w:hint="eastAsia" w:ascii="宋体" w:hAnsi="宋体" w:eastAsia="宋体" w:cs="宋体"/>
                <w:color w:val="auto"/>
                <w:highlight w:val="none"/>
              </w:rPr>
            </w:pPr>
            <w:r>
              <w:rPr>
                <w:rFonts w:hint="eastAsia" w:ascii="宋体" w:hAnsi="宋体" w:eastAsia="宋体" w:cs="宋体"/>
                <w:color w:val="auto"/>
                <w:highlight w:val="none"/>
              </w:rPr>
              <w:t>其他主要人员（5分）</w:t>
            </w:r>
          </w:p>
        </w:tc>
        <w:tc>
          <w:tcPr>
            <w:tcW w:w="5589" w:type="dxa"/>
            <w:vAlign w:val="center"/>
          </w:tcPr>
          <w:p w14:paraId="51DC7D1C">
            <w:pPr>
              <w:autoSpaceDE w:val="0"/>
              <w:autoSpaceDN w:val="0"/>
              <w:adjustRightInd w:val="0"/>
              <w:snapToGrid w:val="0"/>
              <w:ind w:left="63" w:leftChars="30"/>
              <w:jc w:val="left"/>
              <w:textAlignment w:val="baseline"/>
              <w:rPr>
                <w:rFonts w:hint="eastAsia" w:ascii="宋体" w:hAnsi="宋体" w:eastAsia="宋体" w:cs="宋体"/>
                <w:color w:val="auto"/>
                <w:sz w:val="22"/>
                <w:highlight w:val="none"/>
              </w:rPr>
            </w:pPr>
            <w:r>
              <w:rPr>
                <w:rFonts w:hint="eastAsia" w:ascii="宋体" w:hAnsi="宋体" w:eastAsia="宋体" w:cs="宋体"/>
                <w:color w:val="auto"/>
                <w:highlight w:val="none"/>
              </w:rPr>
              <w:t>根据拟投入的其他主要人员的配备、素质及类似项目实施经验的丰富性（工作年限，从事相关工作经历）等方面进行</w:t>
            </w:r>
            <w:r>
              <w:rPr>
                <w:rFonts w:hint="eastAsia" w:ascii="宋体" w:hAnsi="宋体" w:eastAsia="宋体" w:cs="宋体"/>
                <w:color w:val="auto"/>
                <w:highlight w:val="none"/>
                <w:lang w:val="en-US" w:eastAsia="zh-CN"/>
              </w:rPr>
              <w:t>评审</w:t>
            </w:r>
            <w:r>
              <w:rPr>
                <w:rFonts w:hint="eastAsia" w:ascii="宋体" w:hAnsi="宋体" w:eastAsia="宋体" w:cs="宋体"/>
                <w:color w:val="auto"/>
                <w:sz w:val="22"/>
                <w:highlight w:val="none"/>
              </w:rPr>
              <w:t>；低于60%说明理由。</w:t>
            </w:r>
          </w:p>
        </w:tc>
      </w:tr>
      <w:tr w14:paraId="694F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Align w:val="center"/>
          </w:tcPr>
          <w:p w14:paraId="53E91564">
            <w:pPr>
              <w:adjustRightInd w:val="0"/>
              <w:snapToGri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2.2.4(3)</w:t>
            </w:r>
          </w:p>
        </w:tc>
        <w:tc>
          <w:tcPr>
            <w:tcW w:w="1418" w:type="dxa"/>
            <w:vAlign w:val="center"/>
          </w:tcPr>
          <w:p w14:paraId="1172519F">
            <w:pPr>
              <w:adjustRightInd w:val="0"/>
              <w:snapToGri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投标报价评分标准</w:t>
            </w:r>
          </w:p>
        </w:tc>
        <w:tc>
          <w:tcPr>
            <w:tcW w:w="1843" w:type="dxa"/>
            <w:vAlign w:val="center"/>
          </w:tcPr>
          <w:p w14:paraId="64CF1192">
            <w:pPr>
              <w:rPr>
                <w:rFonts w:hint="eastAsia" w:ascii="宋体" w:hAnsi="宋体" w:eastAsia="宋体" w:cs="宋体"/>
                <w:color w:val="auto"/>
                <w:sz w:val="22"/>
                <w:highlight w:val="none"/>
              </w:rPr>
            </w:pPr>
            <w:r>
              <w:rPr>
                <w:rFonts w:hint="eastAsia" w:ascii="宋体" w:hAnsi="宋体" w:eastAsia="宋体" w:cs="宋体"/>
                <w:color w:val="auto"/>
                <w:sz w:val="22"/>
                <w:highlight w:val="none"/>
              </w:rPr>
              <w:t>评标价（</w:t>
            </w:r>
            <w:r>
              <w:rPr>
                <w:rFonts w:hint="eastAsia" w:ascii="宋体" w:hAnsi="宋体" w:eastAsia="宋体" w:cs="宋体"/>
                <w:color w:val="auto"/>
                <w:sz w:val="22"/>
                <w:highlight w:val="none"/>
                <w:lang w:val="en-US" w:eastAsia="zh-CN"/>
              </w:rPr>
              <w:t>3</w:t>
            </w:r>
            <w:r>
              <w:rPr>
                <w:rFonts w:hint="eastAsia" w:ascii="宋体" w:hAnsi="宋体" w:eastAsia="宋体" w:cs="宋体"/>
                <w:color w:val="auto"/>
                <w:sz w:val="22"/>
                <w:highlight w:val="none"/>
              </w:rPr>
              <w:t>0分）</w:t>
            </w:r>
          </w:p>
        </w:tc>
        <w:tc>
          <w:tcPr>
            <w:tcW w:w="5589" w:type="dxa"/>
            <w:vAlign w:val="center"/>
          </w:tcPr>
          <w:p w14:paraId="3B07EEA7">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当投标人的偏差率为0时，投标报价分值得满分</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0分；偏差率按下列规定按比例内插，最低分值为零分。投标报价分值精确至小数点后两位。</w:t>
            </w:r>
          </w:p>
          <w:p w14:paraId="1AF42076">
            <w:pPr>
              <w:pStyle w:val="20"/>
              <w:spacing w:after="0"/>
              <w:rPr>
                <w:rFonts w:hint="eastAsia" w:ascii="宋体" w:hAnsi="宋体" w:eastAsia="宋体" w:cs="宋体"/>
                <w:color w:val="auto"/>
                <w:highlight w:val="none"/>
              </w:rPr>
            </w:pPr>
            <w:r>
              <w:rPr>
                <w:rFonts w:hint="eastAsia" w:ascii="宋体" w:hAnsi="宋体" w:eastAsia="宋体" w:cs="宋体"/>
                <w:color w:val="auto"/>
                <w:highlight w:val="none"/>
              </w:rPr>
              <w:t>评标价得分计算公式示例：</w:t>
            </w:r>
          </w:p>
          <w:p w14:paraId="702C479C">
            <w:pPr>
              <w:adjustRightInd w:val="0"/>
              <w:snapToGrid w:val="0"/>
              <w:rPr>
                <w:rFonts w:hint="eastAsia" w:ascii="宋体" w:hAnsi="宋体" w:eastAsia="宋体" w:cs="宋体"/>
                <w:color w:val="auto"/>
                <w:highlight w:val="none"/>
                <w:lang w:eastAsia="zh-CN"/>
              </w:rPr>
            </w:pPr>
            <w:r>
              <w:rPr>
                <w:rFonts w:hint="eastAsia" w:ascii="宋体" w:hAnsi="宋体" w:eastAsia="宋体" w:cs="宋体"/>
                <w:color w:val="auto"/>
                <w:highlight w:val="none"/>
              </w:rPr>
              <w:t>（1）如果投标人的评标价&gt;评标基准价，则评标价得分=P-偏差率*100*</w:t>
            </w:r>
            <w:r>
              <w:rPr>
                <w:rFonts w:hint="eastAsia" w:ascii="宋体" w:hAnsi="宋体" w:eastAsia="宋体" w:cs="宋体"/>
                <w:color w:val="auto"/>
                <w:highlight w:val="none"/>
                <w:lang w:val="en-US" w:eastAsia="zh-CN"/>
              </w:rPr>
              <w:t>1</w:t>
            </w:r>
          </w:p>
          <w:p w14:paraId="378F7F09">
            <w:pPr>
              <w:adjustRightInd w:val="0"/>
              <w:snapToGrid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（2）如果投标人的评标价&lt;=评标基准价，则评标价得分=P+偏差率*100*</w:t>
            </w:r>
            <w:r>
              <w:rPr>
                <w:rFonts w:hint="eastAsia" w:ascii="宋体" w:hAnsi="宋体" w:eastAsia="宋体" w:cs="宋体"/>
                <w:color w:val="auto"/>
                <w:highlight w:val="none"/>
                <w:lang w:val="en-US" w:eastAsia="zh-CN"/>
              </w:rPr>
              <w:t>0.5</w:t>
            </w:r>
          </w:p>
          <w:p w14:paraId="589FC33E">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其中：P为评标价所占权重分值。</w:t>
            </w:r>
          </w:p>
        </w:tc>
      </w:tr>
      <w:tr w14:paraId="240D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restart"/>
            <w:vAlign w:val="center"/>
          </w:tcPr>
          <w:p w14:paraId="1C18888F">
            <w:pPr>
              <w:adjustRightInd w:val="0"/>
              <w:snapToGri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2.2.4(4)</w:t>
            </w:r>
          </w:p>
        </w:tc>
        <w:tc>
          <w:tcPr>
            <w:tcW w:w="1418" w:type="dxa"/>
            <w:vMerge w:val="restart"/>
            <w:vAlign w:val="center"/>
          </w:tcPr>
          <w:p w14:paraId="339A2B70">
            <w:pPr>
              <w:adjustRightInd w:val="0"/>
              <w:snapToGrid w:val="0"/>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其他因素评分标准</w:t>
            </w:r>
          </w:p>
        </w:tc>
        <w:tc>
          <w:tcPr>
            <w:tcW w:w="1843" w:type="dxa"/>
            <w:vAlign w:val="center"/>
          </w:tcPr>
          <w:p w14:paraId="43E7AA48">
            <w:pPr>
              <w:rPr>
                <w:rFonts w:hint="eastAsia" w:ascii="宋体" w:hAnsi="宋体" w:eastAsia="宋体" w:cs="宋体"/>
                <w:color w:val="auto"/>
                <w:highlight w:val="none"/>
              </w:rPr>
            </w:pPr>
            <w:r>
              <w:rPr>
                <w:rFonts w:hint="eastAsia" w:ascii="宋体" w:hAnsi="宋体" w:eastAsia="宋体" w:cs="宋体"/>
                <w:color w:val="auto"/>
                <w:highlight w:val="none"/>
              </w:rPr>
              <w:t>投标人业绩（15分）</w:t>
            </w:r>
          </w:p>
        </w:tc>
        <w:tc>
          <w:tcPr>
            <w:tcW w:w="5589" w:type="dxa"/>
            <w:vAlign w:val="center"/>
          </w:tcPr>
          <w:p w14:paraId="3BED4422">
            <w:pPr>
              <w:autoSpaceDE w:val="0"/>
              <w:autoSpaceDN w:val="0"/>
              <w:adjustRightInd w:val="0"/>
              <w:snapToGrid w:val="0"/>
              <w:ind w:left="63" w:leftChars="30"/>
              <w:jc w:val="lef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投标人满足资格条件的得基本分9分；</w:t>
            </w:r>
          </w:p>
          <w:p w14:paraId="3F175FD3">
            <w:pPr>
              <w:autoSpaceDE w:val="0"/>
              <w:autoSpaceDN w:val="0"/>
              <w:adjustRightInd w:val="0"/>
              <w:snapToGrid w:val="0"/>
              <w:ind w:left="63" w:leftChars="30"/>
              <w:jc w:val="lef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在此基础上，每增加1个满足资格条件要求的业绩，加1.5分，最多加6分；</w:t>
            </w:r>
          </w:p>
          <w:p w14:paraId="0FAB7410">
            <w:pPr>
              <w:autoSpaceDE w:val="0"/>
              <w:autoSpaceDN w:val="0"/>
              <w:adjustRightInd w:val="0"/>
              <w:snapToGrid w:val="0"/>
              <w:ind w:left="63" w:leftChars="30"/>
              <w:jc w:val="left"/>
              <w:textAlignment w:val="baseline"/>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注：</w:t>
            </w:r>
            <w:r>
              <w:rPr>
                <w:rFonts w:hint="eastAsia" w:ascii="宋体" w:hAnsi="宋体" w:eastAsia="宋体" w:cs="宋体"/>
                <w:color w:val="auto"/>
                <w:highlight w:val="none"/>
              </w:rPr>
              <w:t>一个</w:t>
            </w:r>
            <w:r>
              <w:rPr>
                <w:rFonts w:hint="eastAsia" w:ascii="宋体" w:hAnsi="宋体" w:eastAsia="宋体" w:cs="宋体"/>
                <w:color w:val="auto"/>
                <w:highlight w:val="none"/>
                <w:lang w:val="en-US" w:eastAsia="zh-CN"/>
              </w:rPr>
              <w:t>合同</w:t>
            </w:r>
            <w:r>
              <w:rPr>
                <w:rFonts w:hint="eastAsia" w:ascii="宋体" w:hAnsi="宋体" w:eastAsia="宋体" w:cs="宋体"/>
                <w:color w:val="auto"/>
                <w:highlight w:val="none"/>
              </w:rPr>
              <w:t>计一个业绩</w:t>
            </w:r>
            <w:r>
              <w:rPr>
                <w:rFonts w:hint="eastAsia" w:ascii="宋体" w:hAnsi="宋体" w:eastAsia="宋体" w:cs="宋体"/>
                <w:color w:val="auto"/>
                <w:highlight w:val="none"/>
                <w:lang w:eastAsia="zh-CN"/>
              </w:rPr>
              <w:t>。</w:t>
            </w:r>
          </w:p>
        </w:tc>
      </w:tr>
      <w:tr w14:paraId="4952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02" w:type="dxa"/>
            <w:vMerge w:val="continue"/>
            <w:vAlign w:val="center"/>
          </w:tcPr>
          <w:p w14:paraId="2160E2AA">
            <w:pPr>
              <w:adjustRightInd w:val="0"/>
              <w:snapToGrid w:val="0"/>
              <w:jc w:val="center"/>
              <w:textAlignment w:val="baseline"/>
              <w:rPr>
                <w:rFonts w:hint="eastAsia" w:ascii="宋体" w:hAnsi="宋体" w:eastAsia="宋体" w:cs="宋体"/>
                <w:color w:val="auto"/>
                <w:highlight w:val="none"/>
              </w:rPr>
            </w:pPr>
          </w:p>
        </w:tc>
        <w:tc>
          <w:tcPr>
            <w:tcW w:w="1418" w:type="dxa"/>
            <w:vMerge w:val="continue"/>
            <w:vAlign w:val="center"/>
          </w:tcPr>
          <w:p w14:paraId="5D00EA48">
            <w:pPr>
              <w:adjustRightInd w:val="0"/>
              <w:snapToGrid w:val="0"/>
              <w:jc w:val="center"/>
              <w:textAlignment w:val="baseline"/>
              <w:rPr>
                <w:rFonts w:hint="eastAsia" w:ascii="宋体" w:hAnsi="宋体" w:eastAsia="宋体" w:cs="宋体"/>
                <w:color w:val="auto"/>
                <w:highlight w:val="none"/>
              </w:rPr>
            </w:pPr>
          </w:p>
        </w:tc>
        <w:tc>
          <w:tcPr>
            <w:tcW w:w="1843" w:type="dxa"/>
            <w:vAlign w:val="center"/>
          </w:tcPr>
          <w:p w14:paraId="04ACDA6A">
            <w:pPr>
              <w:rPr>
                <w:rFonts w:hint="eastAsia" w:ascii="宋体" w:hAnsi="宋体" w:eastAsia="宋体" w:cs="宋体"/>
                <w:color w:val="auto"/>
                <w:sz w:val="22"/>
                <w:highlight w:val="none"/>
              </w:rPr>
            </w:pPr>
            <w:r>
              <w:rPr>
                <w:rFonts w:hint="eastAsia" w:ascii="宋体" w:hAnsi="宋体" w:eastAsia="宋体" w:cs="宋体"/>
                <w:color w:val="auto"/>
                <w:kern w:val="0"/>
                <w:highlight w:val="none"/>
                <w:lang w:val="ru-RU"/>
              </w:rPr>
              <w:t>履约信誉（5分）</w:t>
            </w:r>
          </w:p>
        </w:tc>
        <w:tc>
          <w:tcPr>
            <w:tcW w:w="5589" w:type="dxa"/>
            <w:vAlign w:val="center"/>
          </w:tcPr>
          <w:p w14:paraId="4E4CB427">
            <w:pPr>
              <w:snapToGrid w:val="0"/>
              <w:jc w:val="left"/>
              <w:rPr>
                <w:rFonts w:hint="eastAsia" w:ascii="宋体" w:hAnsi="宋体" w:eastAsia="宋体" w:cs="宋体"/>
                <w:color w:val="auto"/>
                <w:kern w:val="0"/>
                <w:highlight w:val="none"/>
                <w:lang w:val="zh-CN" w:bidi="zh-CN"/>
              </w:rPr>
            </w:pPr>
            <w:r>
              <w:rPr>
                <w:rFonts w:hint="eastAsia" w:ascii="宋体" w:hAnsi="宋体" w:eastAsia="宋体" w:cs="宋体"/>
                <w:color w:val="auto"/>
                <w:kern w:val="0"/>
                <w:highlight w:val="none"/>
                <w:lang w:val="zh-CN" w:bidi="zh-CN"/>
              </w:rPr>
              <w:t>履约信誉（满分5分）</w:t>
            </w:r>
          </w:p>
          <w:p w14:paraId="293A1B48">
            <w:pPr>
              <w:snapToGrid w:val="0"/>
              <w:jc w:val="left"/>
              <w:rPr>
                <w:rFonts w:hint="eastAsia" w:ascii="宋体" w:hAnsi="宋体" w:eastAsia="宋体" w:cs="宋体"/>
                <w:color w:val="auto"/>
                <w:kern w:val="0"/>
                <w:highlight w:val="none"/>
                <w:lang w:val="zh-CN" w:bidi="zh-CN"/>
              </w:rPr>
            </w:pPr>
            <w:r>
              <w:rPr>
                <w:rFonts w:hint="eastAsia" w:ascii="宋体" w:hAnsi="宋体" w:eastAsia="宋体" w:cs="宋体"/>
                <w:color w:val="auto"/>
                <w:kern w:val="0"/>
                <w:highlight w:val="none"/>
                <w:lang w:val="zh-CN" w:bidi="zh-CN"/>
              </w:rPr>
              <w:t>按照《江苏省公路水运建设市场信用信息管理办法》，对在投标截止当天查询的投标人在江苏省公路水路建设市场从业单位信用评定结果中的信用等级分数进行评定。</w:t>
            </w:r>
          </w:p>
          <w:p w14:paraId="6FA2F1BD">
            <w:pPr>
              <w:snapToGrid w:val="0"/>
              <w:jc w:val="left"/>
              <w:rPr>
                <w:rFonts w:hint="eastAsia" w:ascii="宋体" w:hAnsi="宋体" w:eastAsia="宋体" w:cs="宋体"/>
                <w:color w:val="auto"/>
                <w:kern w:val="0"/>
                <w:highlight w:val="none"/>
                <w:lang w:val="zh-CN" w:bidi="zh-CN"/>
              </w:rPr>
            </w:pPr>
            <w:r>
              <w:rPr>
                <w:rFonts w:hint="eastAsia" w:ascii="宋体" w:hAnsi="宋体" w:eastAsia="宋体" w:cs="宋体"/>
                <w:color w:val="auto"/>
                <w:kern w:val="0"/>
                <w:highlight w:val="none"/>
                <w:lang w:val="zh-CN" w:bidi="zh-CN"/>
              </w:rPr>
              <w:t>①信用等级为AA级或红名单的企业，信用分为X分；</w:t>
            </w:r>
          </w:p>
          <w:p w14:paraId="1BECDC0E">
            <w:pPr>
              <w:snapToGrid w:val="0"/>
              <w:jc w:val="left"/>
              <w:rPr>
                <w:rFonts w:hint="eastAsia" w:ascii="宋体" w:hAnsi="宋体" w:eastAsia="宋体" w:cs="宋体"/>
                <w:color w:val="auto"/>
                <w:kern w:val="0"/>
                <w:highlight w:val="none"/>
                <w:lang w:val="zh-CN" w:bidi="zh-CN"/>
              </w:rPr>
            </w:pPr>
            <w:r>
              <w:rPr>
                <w:rFonts w:hint="eastAsia" w:ascii="宋体" w:hAnsi="宋体" w:eastAsia="宋体" w:cs="宋体"/>
                <w:color w:val="auto"/>
                <w:kern w:val="0"/>
                <w:highlight w:val="none"/>
                <w:lang w:val="zh-CN" w:bidi="zh-CN"/>
              </w:rPr>
              <w:t>②信用等级为A级（含暂定A级）的企业，信用分为0.8X～0.95X分，具体按下列公式进行计算：Y=0.15*X*（Z-85）/10+0.8*X</w:t>
            </w:r>
          </w:p>
          <w:p w14:paraId="4F1028E0">
            <w:pPr>
              <w:snapToGrid w:val="0"/>
              <w:jc w:val="left"/>
              <w:rPr>
                <w:rFonts w:hint="eastAsia" w:ascii="宋体" w:hAnsi="宋体" w:eastAsia="宋体" w:cs="宋体"/>
                <w:color w:val="auto"/>
                <w:kern w:val="0"/>
                <w:highlight w:val="none"/>
                <w:lang w:val="zh-CN" w:bidi="zh-CN"/>
              </w:rPr>
            </w:pPr>
            <w:r>
              <w:rPr>
                <w:rFonts w:hint="eastAsia" w:ascii="宋体" w:hAnsi="宋体" w:eastAsia="宋体" w:cs="宋体"/>
                <w:color w:val="auto"/>
                <w:kern w:val="0"/>
                <w:highlight w:val="none"/>
                <w:lang w:val="zh-CN" w:bidi="zh-CN"/>
              </w:rPr>
              <w:t>③信用等级为B级的企业，信用分为0.65X～0.8X分，具体按下列公式进行计算：Y=0.15*X*（Z-75）/10+0.65*X</w:t>
            </w:r>
          </w:p>
          <w:p w14:paraId="4466C8C8">
            <w:pPr>
              <w:snapToGrid w:val="0"/>
              <w:jc w:val="left"/>
              <w:rPr>
                <w:rFonts w:hint="eastAsia" w:ascii="宋体" w:hAnsi="宋体" w:eastAsia="宋体" w:cs="宋体"/>
                <w:color w:val="auto"/>
                <w:kern w:val="0"/>
                <w:highlight w:val="none"/>
                <w:lang w:val="zh-CN" w:bidi="zh-CN"/>
              </w:rPr>
            </w:pPr>
            <w:r>
              <w:rPr>
                <w:rFonts w:hint="eastAsia" w:ascii="宋体" w:hAnsi="宋体" w:eastAsia="宋体" w:cs="宋体"/>
                <w:color w:val="auto"/>
                <w:kern w:val="0"/>
                <w:highlight w:val="none"/>
                <w:lang w:val="zh-CN" w:bidi="zh-CN"/>
              </w:rPr>
              <w:t>④信用等级为C级的企业，信用分为0.45X～0.6X分，具体按下列公式进行计算： Y=0.15*X*（Z-60）/15+0.45*X</w:t>
            </w:r>
          </w:p>
          <w:p w14:paraId="33EE8D7E">
            <w:pPr>
              <w:snapToGrid w:val="0"/>
              <w:jc w:val="left"/>
              <w:rPr>
                <w:rFonts w:hint="eastAsia" w:ascii="宋体" w:hAnsi="宋体" w:eastAsia="宋体" w:cs="宋体"/>
                <w:color w:val="auto"/>
                <w:sz w:val="22"/>
                <w:highlight w:val="none"/>
              </w:rPr>
            </w:pPr>
            <w:r>
              <w:rPr>
                <w:rFonts w:hint="eastAsia" w:ascii="宋体" w:hAnsi="宋体" w:eastAsia="宋体" w:cs="宋体"/>
                <w:color w:val="auto"/>
                <w:kern w:val="0"/>
                <w:highlight w:val="none"/>
                <w:lang w:val="zh-CN" w:bidi="zh-CN"/>
              </w:rPr>
              <w:t>注：X为履约信誉分满分值（X=5），Y为投标人在本次投标活动中的履约信誉分值，Z为企业最近一次信用等级评定分值。无评定分值的A级企业，Z按85计算；暂A级企业，Z按85计算；无评定分值的B级企业，Z按75计算；无评定分值的C级企业，Z按60计算。</w:t>
            </w:r>
          </w:p>
        </w:tc>
      </w:tr>
      <w:tr w14:paraId="799F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652" w:type="dxa"/>
            <w:gridSpan w:val="4"/>
            <w:vAlign w:val="center"/>
          </w:tcPr>
          <w:p w14:paraId="350F44EE">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b/>
                <w:color w:val="auto"/>
                <w:highlight w:val="none"/>
              </w:rPr>
              <w:t>需要补充的其他内容：</w:t>
            </w:r>
          </w:p>
          <w:p w14:paraId="2ADE0F24">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color w:val="auto"/>
                <w:highlight w:val="none"/>
              </w:rPr>
              <w:t>1、第一条 评标方法</w:t>
            </w:r>
          </w:p>
          <w:p w14:paraId="7C66D7AC">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color w:val="auto"/>
                <w:highlight w:val="none"/>
              </w:rPr>
              <w:t>修改为：</w:t>
            </w:r>
          </w:p>
          <w:p w14:paraId="698C8611">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color w:val="auto"/>
                <w:highlight w:val="none"/>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14:paraId="3EF8EFB7">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color w:val="auto"/>
                <w:highlight w:val="none"/>
              </w:rPr>
              <w:t>2、第3.2.1项增加：第一信封（商务及技术文件）各评分因素细分项（履约信誉评分项除外）得分一般不得低于其权重分值的60%，且各评分因素细分项得分应以评标委员会各成员的打分平均值（保留小数点后两位，小数点后第三位“四舍五入”）确定，评标委员会成员总数为7人或7人以上时，该平均值以去掉一个最高和一个最低分后计算。评标委员会成员对某一项评分因素的评分低于权重分值60%的，应在评标</w:t>
            </w:r>
            <w:r>
              <w:rPr>
                <w:rFonts w:hint="eastAsia" w:ascii="宋体" w:hAnsi="宋体" w:eastAsia="宋体" w:cs="宋体"/>
                <w:color w:val="auto"/>
                <w:highlight w:val="none"/>
                <w:lang w:val="en-US" w:eastAsia="zh-CN"/>
              </w:rPr>
              <w:t>报告</w:t>
            </w:r>
            <w:r>
              <w:rPr>
                <w:rFonts w:hint="eastAsia" w:ascii="宋体" w:hAnsi="宋体" w:eastAsia="宋体" w:cs="宋体"/>
                <w:color w:val="auto"/>
                <w:highlight w:val="none"/>
              </w:rPr>
              <w:t>中作出说明。第一信封各评分因素细分项得分之和即为各投标人的第一信封综合得分。评标办法其他地方要求与本款内容不一致的，以本款内容为准。</w:t>
            </w:r>
          </w:p>
          <w:p w14:paraId="3DB7F910">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color w:val="auto"/>
                <w:highlight w:val="none"/>
              </w:rPr>
              <w:t>3、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268927A7">
            <w:pPr>
              <w:pStyle w:val="20"/>
              <w:adjustRightInd w:val="0"/>
              <w:snapToGrid w:val="0"/>
              <w:spacing w:after="0"/>
              <w:rPr>
                <w:rFonts w:hint="eastAsia" w:ascii="宋体" w:hAnsi="宋体" w:eastAsia="宋体" w:cs="宋体"/>
                <w:color w:val="auto"/>
                <w:highlight w:val="none"/>
              </w:rPr>
            </w:pPr>
            <w:r>
              <w:rPr>
                <w:rFonts w:hint="eastAsia" w:ascii="宋体" w:hAnsi="宋体" w:eastAsia="宋体" w:cs="宋体"/>
                <w:color w:val="auto"/>
                <w:highlight w:val="none"/>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tc>
      </w:tr>
    </w:tbl>
    <w:p w14:paraId="71C25295">
      <w:pPr>
        <w:pStyle w:val="99"/>
        <w:ind w:firstLine="482"/>
        <w:rPr>
          <w:rFonts w:hint="eastAsia" w:ascii="宋体" w:hAnsi="宋体" w:eastAsia="宋体" w:cs="宋体"/>
          <w:b/>
          <w:color w:val="auto"/>
          <w:sz w:val="24"/>
          <w:szCs w:val="24"/>
          <w:highlight w:val="none"/>
        </w:rPr>
      </w:pPr>
      <w:bookmarkStart w:id="65" w:name="_Hlk119345489"/>
    </w:p>
    <w:bookmarkEnd w:id="64"/>
    <w:p w14:paraId="5E82368D">
      <w:pPr>
        <w:pStyle w:val="20"/>
        <w:rPr>
          <w:rFonts w:hint="eastAsia" w:ascii="宋体" w:hAnsi="宋体" w:eastAsia="宋体" w:cs="宋体"/>
          <w:color w:val="auto"/>
          <w:highlight w:val="none"/>
        </w:rPr>
      </w:pPr>
      <w:r>
        <w:rPr>
          <w:rFonts w:hint="eastAsia" w:ascii="宋体" w:hAnsi="宋体" w:eastAsia="宋体" w:cs="宋体"/>
          <w:color w:val="auto"/>
          <w:highlight w:val="none"/>
        </w:rPr>
        <w:br w:type="page"/>
      </w:r>
    </w:p>
    <w:bookmarkEnd w:id="65"/>
    <w:p w14:paraId="75D246C5">
      <w:pPr>
        <w:autoSpaceDE w:val="0"/>
        <w:autoSpaceDN w:val="0"/>
        <w:adjustRightInd w:val="0"/>
        <w:snapToGrid w:val="0"/>
        <w:spacing w:line="360" w:lineRule="auto"/>
        <w:rPr>
          <w:rFonts w:hint="eastAsia" w:ascii="宋体" w:hAnsi="宋体" w:eastAsia="宋体" w:cs="宋体"/>
          <w:color w:val="auto"/>
          <w:kern w:val="0"/>
          <w:highlight w:val="none"/>
        </w:rPr>
      </w:pPr>
      <w:bookmarkStart w:id="66" w:name="_Hlk116562742"/>
      <w:r>
        <w:rPr>
          <w:rFonts w:hint="eastAsia" w:ascii="宋体" w:hAnsi="宋体" w:eastAsia="宋体" w:cs="宋体"/>
          <w:color w:val="auto"/>
          <w:kern w:val="0"/>
          <w:highlight w:val="none"/>
        </w:rPr>
        <w:t>1.  评标方法</w:t>
      </w:r>
    </w:p>
    <w:p w14:paraId="4B8E952E">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本次评标采用综合评估法。评标委员会对满足招标文件实质性要求的投标文件，按照本章第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2CA188A7">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  评审标准</w:t>
      </w:r>
    </w:p>
    <w:p w14:paraId="6A23DD61">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  初步评审标准</w:t>
      </w:r>
    </w:p>
    <w:p w14:paraId="31198FDB">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2.1.1  形式评审标准：见评标办法前附表。</w:t>
      </w:r>
    </w:p>
    <w:p w14:paraId="0C27ED3B">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2.1.2  资格评审标准：见评标办法前附表（适用于未进行资格预审的）。</w:t>
      </w:r>
    </w:p>
    <w:p w14:paraId="7E0CB8A2">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2.1.2  资格评审标准：见资格预审文件第三章“资格审查办法”详细审查标准（适用于已进行资格预审的）。</w:t>
      </w:r>
    </w:p>
    <w:p w14:paraId="7765AB2E">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2.1.3  响应性评审标准：见评标办法前附表。</w:t>
      </w:r>
    </w:p>
    <w:p w14:paraId="70509E00">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  分值构成与评分标准</w:t>
      </w:r>
    </w:p>
    <w:p w14:paraId="5DD30B15">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2.2.1  分值构成</w:t>
      </w:r>
    </w:p>
    <w:p w14:paraId="282B300C">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（1）施工组织设计：见评标办法前附表；</w:t>
      </w:r>
    </w:p>
    <w:p w14:paraId="0CD186DC">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（2）项目管理机构：见评标办法前附表；</w:t>
      </w:r>
    </w:p>
    <w:p w14:paraId="687C03CA">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（3）投标报价：见评标办法前附表；</w:t>
      </w:r>
    </w:p>
    <w:p w14:paraId="0C83C134">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（4）其他评分因素：见评标办法前附表。</w:t>
      </w:r>
    </w:p>
    <w:p w14:paraId="0409C4A5">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2.2.2  评标基准价计算</w:t>
      </w:r>
    </w:p>
    <w:p w14:paraId="36B41A64">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评标基准价计算方法：见评标办法前附表。</w:t>
      </w:r>
    </w:p>
    <w:p w14:paraId="4BC31554">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2.2.3  投标报价的偏差率计算</w:t>
      </w:r>
    </w:p>
    <w:p w14:paraId="0D24AFD9">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投标报价的偏差率计算公式：见评标办法前附表。</w:t>
      </w:r>
    </w:p>
    <w:p w14:paraId="5443E2D2">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2.2.4  评分标准</w:t>
      </w:r>
    </w:p>
    <w:p w14:paraId="20C40354">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（1）施工组织设计评分标准：见评标办法前附表；</w:t>
      </w:r>
    </w:p>
    <w:p w14:paraId="7817B54C">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（2）项目管理机构评分标准：见评标办法前附表；</w:t>
      </w:r>
    </w:p>
    <w:p w14:paraId="5773D938">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（3）投标报价评分标准：见评标办法前附表；</w:t>
      </w:r>
    </w:p>
    <w:p w14:paraId="26D386A1">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（4）其他因素评分标准：见评标办法前附表。</w:t>
      </w:r>
    </w:p>
    <w:p w14:paraId="7D6F362B">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  评标程序</w:t>
      </w:r>
    </w:p>
    <w:p w14:paraId="713AA49E">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  初步评审</w:t>
      </w:r>
    </w:p>
    <w:p w14:paraId="6C98FB9A">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3.1.1  评标委员会可以要求投标人提交第二章“投标人须知”第 3.5.1 项至第 3.5.5 项规定的有关证明和证件的原件，以便核验。评标委员会依据本章第 2.1 款规定的标准对投标文件进行初步评审。有一项不符合评审标准的，作废标处理。（适用于未进行资格预审的）</w:t>
      </w:r>
    </w:p>
    <w:p w14:paraId="021940A3">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3.1.1  评标委员会依据本章第 2.1.1 项、第 2.1.3 项规定的评审标准对投标文件进行初步</w:t>
      </w:r>
    </w:p>
    <w:p w14:paraId="5954D1E1">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position w:val="-2"/>
          <w:highlight w:val="none"/>
        </w:rPr>
        <w:t>评审。有一项不符合评审标准的，作废标处理。当投标人资格预审申请文件的内容发生重大</w:t>
      </w:r>
    </w:p>
    <w:p w14:paraId="27B7C3CD">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变化时，评标委员会依据本章第 2.1.2 项规定的标准对其更新资料进行评审。（适用于已进行资格预审的）</w:t>
      </w:r>
    </w:p>
    <w:p w14:paraId="17242F6A">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3.1.2  投标人有以下情形之一的，其投标作废标处理：</w:t>
      </w:r>
    </w:p>
    <w:p w14:paraId="0FD5E85D">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（1）第二章“投标人须知”第 1.4.3 项规定的任何一种情形的；</w:t>
      </w:r>
    </w:p>
    <w:p w14:paraId="35C10734">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（2）串通投标或弄虚作假或有其他违法行为的；</w:t>
      </w:r>
    </w:p>
    <w:p w14:paraId="6685A83C">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（3）不按评标委员会要求澄清、说明或补正的。</w:t>
      </w:r>
    </w:p>
    <w:p w14:paraId="5AFB2318">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3.1.3  投标报价有算术错误的，评标委员会按以下原则对投标报价进行修正，修正的价格经投标人书面确认后具有约束力。投标人不接受修正价格的，其投标作废标处理。</w:t>
      </w:r>
    </w:p>
    <w:p w14:paraId="2B0B7AAE">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（1）投标文件中的大写金额与小写金额不一致的，以大写金额为准；</w:t>
      </w:r>
    </w:p>
    <w:p w14:paraId="25F76BF3">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（2）总价金额与依据单价计算出的结果不一致的，以单价金额为准修正总价，但单价金额小数点有明显错误的除外。</w:t>
      </w:r>
    </w:p>
    <w:p w14:paraId="2E66A8A7">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position w:val="-2"/>
          <w:highlight w:val="none"/>
        </w:rPr>
        <w:t>3.2  详细评审</w:t>
      </w:r>
    </w:p>
    <w:p w14:paraId="0330836A">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3.2.1  评标委员会按本章第2.2款规定的量化因素和分值进行打分，并计算出综合评估得分。</w:t>
      </w:r>
    </w:p>
    <w:p w14:paraId="56A82C13">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（1）按本章第 2.2.4（1）目规定的评审因素和分值对施工组织设计计算出得分A；</w:t>
      </w:r>
    </w:p>
    <w:p w14:paraId="058BD0FD">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（2）按本章第 2.2.4（2）目规定的评审因素和分值对项目管理机构计算出得分B；</w:t>
      </w:r>
    </w:p>
    <w:p w14:paraId="5F18C574">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（3）按本章第 2.2.4（3）目规定的评审因素和分值对投标报价计算出得分C；</w:t>
      </w:r>
    </w:p>
    <w:p w14:paraId="146DA235">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（4）按本章第 2.2.4（4）目规定的评审因素和分值对其他部分计算出得分D。</w:t>
      </w:r>
    </w:p>
    <w:p w14:paraId="58A220B2">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3.2.2  评分分值计算保留小数点后两位，小数点后第三位“四舍五入”。</w:t>
      </w:r>
    </w:p>
    <w:p w14:paraId="59033108">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3.2.3  投标人得分=A+B+C+D。</w:t>
      </w:r>
    </w:p>
    <w:p w14:paraId="41D37D3F">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2AACA05B">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position w:val="-2"/>
          <w:highlight w:val="none"/>
        </w:rPr>
        <w:t>3.3  投标文件的澄清和补正</w:t>
      </w:r>
    </w:p>
    <w:p w14:paraId="5263DB5F">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0EDFA542">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3.3.2  澄清、说明和补正不得改变投标文件的实质性内容（算术性错误修正的除外）。投标人的书面澄清、说明和补正属于投标文件的组成部分。</w:t>
      </w:r>
    </w:p>
    <w:p w14:paraId="200083CA">
      <w:pPr>
        <w:autoSpaceDE w:val="0"/>
        <w:autoSpaceDN w:val="0"/>
        <w:adjustRightInd w:val="0"/>
        <w:snapToGrid w:val="0"/>
        <w:spacing w:line="360" w:lineRule="auto"/>
        <w:rPr>
          <w:rFonts w:hint="eastAsia" w:ascii="宋体" w:hAnsi="宋体" w:eastAsia="宋体" w:cs="宋体"/>
          <w:color w:val="auto"/>
          <w:kern w:val="0"/>
          <w:position w:val="-2"/>
          <w:highlight w:val="none"/>
        </w:rPr>
      </w:pPr>
      <w:r>
        <w:rPr>
          <w:rFonts w:hint="eastAsia" w:ascii="宋体" w:hAnsi="宋体" w:eastAsia="宋体" w:cs="宋体"/>
          <w:color w:val="auto"/>
          <w:kern w:val="0"/>
          <w:highlight w:val="none"/>
        </w:rPr>
        <w:t>3.3.3  评标委员会对投标人提交的澄清、说明或补正有疑问的，可以要求投标人进一步澄清、说明或补正，直至满足评标委员会的要求。</w:t>
      </w:r>
    </w:p>
    <w:p w14:paraId="2DA1E1C5">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position w:val="-2"/>
          <w:highlight w:val="none"/>
        </w:rPr>
        <w:t>3.4  评标结果</w:t>
      </w:r>
    </w:p>
    <w:p w14:paraId="2BFFD56D">
      <w:pPr>
        <w:autoSpaceDE w:val="0"/>
        <w:autoSpaceDN w:val="0"/>
        <w:adjustRightInd w:val="0"/>
        <w:snapToGrid w:val="0"/>
        <w:spacing w:line="360" w:lineRule="auto"/>
        <w:rPr>
          <w:rFonts w:hint="eastAsia" w:ascii="宋体" w:hAnsi="宋体" w:eastAsia="宋体" w:cs="宋体"/>
          <w:color w:val="auto"/>
          <w:kern w:val="0"/>
          <w:highlight w:val="none"/>
        </w:rPr>
      </w:pPr>
      <w:r>
        <w:rPr>
          <w:rFonts w:hint="eastAsia" w:ascii="宋体" w:hAnsi="宋体" w:eastAsia="宋体" w:cs="宋体"/>
          <w:color w:val="auto"/>
          <w:kern w:val="0"/>
          <w:highlight w:val="none"/>
        </w:rPr>
        <w:t>3.4.1  除第二章“投标人须知”前附表授权直接确定中标人外，评标委员会按照得分由高到低的顺序推荐中标候选人。</w:t>
      </w:r>
    </w:p>
    <w:p w14:paraId="78E2C616">
      <w:pPr>
        <w:widowControl/>
        <w:adjustRightInd w:val="0"/>
        <w:snapToGrid w:val="0"/>
        <w:spacing w:line="360" w:lineRule="auto"/>
        <w:rPr>
          <w:rFonts w:hint="eastAsia" w:ascii="宋体" w:hAnsi="宋体" w:eastAsia="宋体" w:cs="宋体"/>
          <w:color w:val="auto"/>
          <w:kern w:val="44"/>
          <w:sz w:val="52"/>
          <w:szCs w:val="52"/>
          <w:highlight w:val="none"/>
        </w:rPr>
      </w:pPr>
      <w:r>
        <w:rPr>
          <w:rFonts w:hint="eastAsia" w:ascii="宋体" w:hAnsi="宋体" w:eastAsia="宋体" w:cs="宋体"/>
          <w:color w:val="auto"/>
          <w:kern w:val="0"/>
          <w:highlight w:val="none"/>
        </w:rPr>
        <w:t>3.4.2  评标委员会完成评标后，应当向招标人提交书面评标报告。</w:t>
      </w:r>
      <w:bookmarkEnd w:id="57"/>
      <w:bookmarkEnd w:id="66"/>
      <w:r>
        <w:rPr>
          <w:rFonts w:hint="eastAsia" w:ascii="宋体" w:hAnsi="宋体" w:eastAsia="宋体" w:cs="宋体"/>
          <w:b/>
          <w:bCs/>
          <w:color w:val="auto"/>
          <w:sz w:val="52"/>
          <w:szCs w:val="52"/>
          <w:highlight w:val="none"/>
        </w:rPr>
        <w:br w:type="page"/>
      </w:r>
    </w:p>
    <w:p w14:paraId="4AF3A877">
      <w:pPr>
        <w:pStyle w:val="2"/>
        <w:spacing w:before="0" w:after="0" w:line="240" w:lineRule="auto"/>
        <w:jc w:val="center"/>
        <w:rPr>
          <w:rFonts w:hint="eastAsia" w:ascii="宋体" w:hAnsi="宋体" w:eastAsia="宋体" w:cs="宋体"/>
          <w:b w:val="0"/>
          <w:bCs w:val="0"/>
          <w:color w:val="auto"/>
          <w:sz w:val="52"/>
          <w:szCs w:val="52"/>
          <w:highlight w:val="none"/>
        </w:rPr>
      </w:pPr>
    </w:p>
    <w:p w14:paraId="5466928A">
      <w:pPr>
        <w:pStyle w:val="2"/>
        <w:spacing w:before="0" w:after="0" w:line="240" w:lineRule="auto"/>
        <w:jc w:val="center"/>
        <w:rPr>
          <w:rFonts w:hint="eastAsia" w:ascii="宋体" w:hAnsi="宋体" w:eastAsia="宋体" w:cs="宋体"/>
          <w:b w:val="0"/>
          <w:bCs w:val="0"/>
          <w:color w:val="auto"/>
          <w:sz w:val="52"/>
          <w:szCs w:val="52"/>
          <w:highlight w:val="none"/>
        </w:rPr>
      </w:pPr>
    </w:p>
    <w:p w14:paraId="4DD0E2F9">
      <w:pPr>
        <w:pStyle w:val="2"/>
        <w:spacing w:before="0" w:after="0" w:line="240" w:lineRule="auto"/>
        <w:jc w:val="center"/>
        <w:rPr>
          <w:rFonts w:hint="eastAsia" w:ascii="宋体" w:hAnsi="宋体" w:eastAsia="宋体" w:cs="宋体"/>
          <w:b w:val="0"/>
          <w:bCs w:val="0"/>
          <w:color w:val="auto"/>
          <w:sz w:val="52"/>
          <w:szCs w:val="52"/>
          <w:highlight w:val="none"/>
        </w:rPr>
      </w:pPr>
    </w:p>
    <w:p w14:paraId="1ABD7827">
      <w:pPr>
        <w:pStyle w:val="2"/>
        <w:spacing w:before="0" w:after="0" w:line="240" w:lineRule="auto"/>
        <w:jc w:val="center"/>
        <w:rPr>
          <w:rFonts w:hint="eastAsia" w:ascii="宋体" w:hAnsi="宋体" w:eastAsia="宋体" w:cs="宋体"/>
          <w:b w:val="0"/>
          <w:bCs w:val="0"/>
          <w:color w:val="auto"/>
          <w:sz w:val="52"/>
          <w:szCs w:val="52"/>
          <w:highlight w:val="none"/>
        </w:rPr>
      </w:pPr>
    </w:p>
    <w:p w14:paraId="31DEE371">
      <w:pPr>
        <w:pStyle w:val="2"/>
        <w:spacing w:before="0" w:after="0" w:line="240" w:lineRule="auto"/>
        <w:jc w:val="center"/>
        <w:rPr>
          <w:rFonts w:hint="eastAsia" w:ascii="宋体" w:hAnsi="宋体" w:eastAsia="宋体" w:cs="宋体"/>
          <w:b w:val="0"/>
          <w:bCs w:val="0"/>
          <w:color w:val="auto"/>
          <w:sz w:val="52"/>
          <w:szCs w:val="52"/>
          <w:highlight w:val="none"/>
        </w:rPr>
      </w:pPr>
    </w:p>
    <w:p w14:paraId="45F90763">
      <w:pPr>
        <w:pStyle w:val="2"/>
        <w:spacing w:before="0" w:after="0" w:line="240" w:lineRule="auto"/>
        <w:jc w:val="center"/>
        <w:rPr>
          <w:rFonts w:hint="eastAsia" w:ascii="宋体" w:hAnsi="宋体" w:eastAsia="宋体" w:cs="宋体"/>
          <w:b w:val="0"/>
          <w:bCs w:val="0"/>
          <w:color w:val="auto"/>
          <w:sz w:val="52"/>
          <w:szCs w:val="52"/>
          <w:highlight w:val="none"/>
        </w:rPr>
      </w:pPr>
    </w:p>
    <w:p w14:paraId="39BAAE06">
      <w:pPr>
        <w:pStyle w:val="2"/>
        <w:spacing w:before="0" w:after="0" w:line="240" w:lineRule="auto"/>
        <w:jc w:val="center"/>
        <w:rPr>
          <w:rFonts w:hint="eastAsia" w:ascii="宋体" w:hAnsi="宋体" w:eastAsia="宋体" w:cs="宋体"/>
          <w:b w:val="0"/>
          <w:bCs w:val="0"/>
          <w:color w:val="auto"/>
          <w:sz w:val="52"/>
          <w:szCs w:val="52"/>
          <w:highlight w:val="none"/>
        </w:rPr>
      </w:pPr>
    </w:p>
    <w:p w14:paraId="2BAC29F3">
      <w:pPr>
        <w:pStyle w:val="2"/>
        <w:spacing w:before="0" w:after="0" w:line="240" w:lineRule="auto"/>
        <w:jc w:val="center"/>
        <w:rPr>
          <w:rFonts w:hint="eastAsia" w:ascii="宋体" w:hAnsi="宋体" w:eastAsia="宋体" w:cs="宋体"/>
          <w:b w:val="0"/>
          <w:bCs w:val="0"/>
          <w:color w:val="auto"/>
          <w:sz w:val="52"/>
          <w:szCs w:val="52"/>
          <w:highlight w:val="none"/>
        </w:rPr>
      </w:pPr>
    </w:p>
    <w:p w14:paraId="7A8E98D8">
      <w:pPr>
        <w:pStyle w:val="2"/>
        <w:spacing w:before="0" w:after="0" w:line="240" w:lineRule="auto"/>
        <w:jc w:val="center"/>
        <w:rPr>
          <w:rFonts w:hint="eastAsia" w:ascii="宋体" w:hAnsi="宋体" w:eastAsia="宋体" w:cs="宋体"/>
          <w:b w:val="0"/>
          <w:bCs w:val="0"/>
          <w:color w:val="auto"/>
          <w:sz w:val="52"/>
          <w:szCs w:val="52"/>
          <w:highlight w:val="none"/>
        </w:rPr>
      </w:pPr>
    </w:p>
    <w:p w14:paraId="0BD85D90">
      <w:pPr>
        <w:pStyle w:val="2"/>
        <w:spacing w:before="0" w:after="0" w:line="240" w:lineRule="auto"/>
        <w:jc w:val="center"/>
        <w:rPr>
          <w:rFonts w:hint="eastAsia" w:ascii="宋体" w:hAnsi="宋体" w:eastAsia="宋体" w:cs="宋体"/>
          <w:b w:val="0"/>
          <w:bCs w:val="0"/>
          <w:color w:val="auto"/>
          <w:sz w:val="52"/>
          <w:szCs w:val="52"/>
          <w:highlight w:val="none"/>
        </w:rPr>
      </w:pPr>
      <w:r>
        <w:rPr>
          <w:rFonts w:hint="eastAsia" w:ascii="宋体" w:hAnsi="宋体" w:eastAsia="宋体" w:cs="宋体"/>
          <w:b w:val="0"/>
          <w:bCs w:val="0"/>
          <w:color w:val="auto"/>
          <w:sz w:val="52"/>
          <w:szCs w:val="52"/>
          <w:highlight w:val="none"/>
        </w:rPr>
        <w:t>第四章合同条款及格式</w:t>
      </w:r>
      <w:bookmarkEnd w:id="58"/>
      <w:bookmarkEnd w:id="59"/>
      <w:bookmarkEnd w:id="60"/>
      <w:bookmarkEnd w:id="61"/>
      <w:bookmarkEnd w:id="62"/>
    </w:p>
    <w:p w14:paraId="5ACFF047">
      <w:pPr>
        <w:spacing w:line="360" w:lineRule="auto"/>
        <w:ind w:right="-6"/>
        <w:jc w:val="center"/>
        <w:rPr>
          <w:rFonts w:hint="eastAsia" w:ascii="宋体" w:hAnsi="宋体" w:eastAsia="宋体" w:cs="宋体"/>
          <w:b/>
          <w:color w:val="auto"/>
          <w:sz w:val="48"/>
          <w:highlight w:val="none"/>
        </w:rPr>
      </w:pPr>
      <w:r>
        <w:rPr>
          <w:rFonts w:hint="eastAsia" w:ascii="宋体" w:hAnsi="宋体" w:eastAsia="宋体" w:cs="宋体"/>
          <w:color w:val="auto"/>
          <w:highlight w:val="none"/>
        </w:rPr>
        <w:br w:type="page"/>
      </w:r>
      <w:bookmarkStart w:id="67" w:name="_Toc360460381"/>
      <w:bookmarkStart w:id="68" w:name="_Toc366702586"/>
      <w:bookmarkStart w:id="69" w:name="_Toc133072917"/>
      <w:bookmarkStart w:id="70" w:name="_Toc149446202"/>
      <w:bookmarkStart w:id="71" w:name="_Toc149630537"/>
      <w:bookmarkStart w:id="72" w:name="_Toc196547041"/>
      <w:bookmarkStart w:id="73" w:name="_Toc149446980"/>
      <w:bookmarkStart w:id="74" w:name="_Toc149386237"/>
      <w:bookmarkStart w:id="75" w:name="_Toc40737063"/>
      <w:bookmarkStart w:id="76" w:name="_Toc366767208"/>
      <w:bookmarkStart w:id="77" w:name="_Toc410630958"/>
      <w:bookmarkStart w:id="78" w:name="_Toc468397250"/>
      <w:bookmarkStart w:id="79" w:name="_Toc149386692"/>
      <w:bookmarkStart w:id="80" w:name="_Toc148405166"/>
      <w:bookmarkStart w:id="81" w:name="_Hlk41390817"/>
      <w:bookmarkStart w:id="82" w:name="_Toc149387781"/>
      <w:bookmarkStart w:id="83" w:name="_Toc244331889"/>
      <w:bookmarkStart w:id="84" w:name="_Toc149446655"/>
      <w:bookmarkStart w:id="85" w:name="_Toc468769275"/>
      <w:bookmarkStart w:id="86" w:name="_Toc149385927"/>
      <w:bookmarkStart w:id="87" w:name="_Toc371514256"/>
      <w:bookmarkStart w:id="88" w:name="_Toc173056119"/>
      <w:bookmarkStart w:id="89" w:name="_Toc41409064"/>
      <w:bookmarkStart w:id="90" w:name="_Toc465240560"/>
      <w:r>
        <w:rPr>
          <w:rFonts w:hint="eastAsia" w:ascii="宋体" w:hAnsi="宋体" w:eastAsia="宋体" w:cs="宋体"/>
          <w:b/>
          <w:color w:val="auto"/>
          <w:sz w:val="48"/>
          <w:highlight w:val="none"/>
        </w:rPr>
        <w:t>第一节合同条款及格式</w:t>
      </w:r>
    </w:p>
    <w:p w14:paraId="6F366F3B">
      <w:pPr>
        <w:spacing w:line="264" w:lineRule="auto"/>
        <w:ind w:firstLine="360" w:firstLineChars="150"/>
        <w:rPr>
          <w:rFonts w:hint="eastAsia" w:ascii="宋体" w:hAnsi="宋体" w:eastAsia="宋体" w:cs="宋体"/>
          <w:bCs/>
          <w:color w:val="auto"/>
          <w:sz w:val="24"/>
          <w:highlight w:val="none"/>
        </w:rPr>
      </w:pPr>
    </w:p>
    <w:p w14:paraId="789407B2">
      <w:pPr>
        <w:spacing w:line="264" w:lineRule="auto"/>
        <w:ind w:firstLine="360" w:firstLineChars="15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第一节通用合同条款，</w:t>
      </w:r>
      <w:r>
        <w:rPr>
          <w:rFonts w:hint="eastAsia" w:ascii="宋体" w:hAnsi="宋体" w:eastAsia="宋体" w:cs="宋体"/>
          <w:bCs/>
          <w:color w:val="auto"/>
          <w:highlight w:val="none"/>
        </w:rPr>
        <w:t>详见</w:t>
      </w:r>
      <w:r>
        <w:rPr>
          <w:rFonts w:hint="eastAsia" w:ascii="宋体" w:hAnsi="宋体" w:eastAsia="宋体" w:cs="宋体"/>
          <w:color w:val="auto"/>
          <w:highlight w:val="none"/>
        </w:rPr>
        <w:t>《标准施工招标文件》（2007年版）</w:t>
      </w:r>
    </w:p>
    <w:p w14:paraId="5C6034AB">
      <w:pPr>
        <w:spacing w:line="264" w:lineRule="auto"/>
        <w:ind w:firstLine="360" w:firstLineChars="15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第二节专用合同条款，</w:t>
      </w:r>
    </w:p>
    <w:p w14:paraId="1518D672">
      <w:pPr>
        <w:spacing w:line="264" w:lineRule="auto"/>
        <w:ind w:firstLine="360" w:firstLineChars="15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A.专用合同条款,</w:t>
      </w:r>
      <w:r>
        <w:rPr>
          <w:rFonts w:hint="eastAsia" w:ascii="宋体" w:hAnsi="宋体" w:eastAsia="宋体" w:cs="宋体"/>
          <w:bCs/>
          <w:color w:val="auto"/>
          <w:highlight w:val="none"/>
        </w:rPr>
        <w:t>详见</w:t>
      </w:r>
      <w:r>
        <w:rPr>
          <w:rFonts w:hint="eastAsia" w:ascii="宋体" w:hAnsi="宋体" w:eastAsia="宋体" w:cs="宋体"/>
          <w:color w:val="auto"/>
          <w:kern w:val="0"/>
          <w:highlight w:val="none"/>
        </w:rPr>
        <w:t>《水</w:t>
      </w:r>
      <w:r>
        <w:rPr>
          <w:rFonts w:hint="eastAsia" w:ascii="宋体" w:hAnsi="宋体" w:eastAsia="宋体" w:cs="宋体"/>
          <w:color w:val="auto"/>
          <w:highlight w:val="none"/>
        </w:rPr>
        <w:t>运工程标准施工招标文件》（JTS 110-8-2008）</w:t>
      </w:r>
    </w:p>
    <w:p w14:paraId="5973116F">
      <w:pPr>
        <w:spacing w:line="264" w:lineRule="auto"/>
        <w:ind w:firstLine="360" w:firstLineChars="15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B.项目专用合同条款，见本章节</w:t>
      </w:r>
    </w:p>
    <w:p w14:paraId="51B98A10">
      <w:pPr>
        <w:spacing w:line="264" w:lineRule="auto"/>
        <w:ind w:firstLine="315" w:firstLineChars="150"/>
        <w:rPr>
          <w:rFonts w:hint="eastAsia" w:ascii="宋体" w:hAnsi="宋体" w:eastAsia="宋体" w:cs="宋体"/>
          <w:bCs/>
          <w:color w:val="auto"/>
          <w:highlight w:val="none"/>
        </w:rPr>
      </w:pPr>
      <w:r>
        <w:rPr>
          <w:rFonts w:hint="eastAsia" w:ascii="宋体" w:hAnsi="宋体" w:eastAsia="宋体" w:cs="宋体"/>
          <w:bCs/>
          <w:color w:val="auto"/>
          <w:highlight w:val="none"/>
        </w:rPr>
        <w:t>说明：本项目专用合同条款是适用于本项目的信息和数据的归纳与提示和补充，条款内容不一致时，以本项目专用合同条款为准。</w:t>
      </w:r>
    </w:p>
    <w:p w14:paraId="72FCA333">
      <w:pPr>
        <w:spacing w:line="264" w:lineRule="auto"/>
        <w:ind w:firstLine="360" w:firstLineChars="150"/>
        <w:rPr>
          <w:rFonts w:hint="eastAsia" w:ascii="宋体" w:hAnsi="宋体" w:eastAsia="宋体" w:cs="宋体"/>
          <w:color w:val="auto"/>
          <w:sz w:val="28"/>
          <w:szCs w:val="28"/>
          <w:highlight w:val="none"/>
        </w:rPr>
      </w:pPr>
      <w:r>
        <w:rPr>
          <w:rFonts w:hint="eastAsia" w:ascii="宋体" w:hAnsi="宋体" w:eastAsia="宋体" w:cs="宋体"/>
          <w:bCs/>
          <w:color w:val="auto"/>
          <w:sz w:val="24"/>
          <w:highlight w:val="none"/>
        </w:rPr>
        <w:t>第三节合同附件格式，</w:t>
      </w:r>
      <w:r>
        <w:rPr>
          <w:rFonts w:hint="eastAsia" w:ascii="宋体" w:hAnsi="宋体" w:eastAsia="宋体" w:cs="宋体"/>
          <w:bCs/>
          <w:color w:val="auto"/>
          <w:highlight w:val="none"/>
        </w:rPr>
        <w:t>详见</w:t>
      </w:r>
      <w:r>
        <w:rPr>
          <w:rFonts w:hint="eastAsia" w:ascii="宋体" w:hAnsi="宋体" w:eastAsia="宋体" w:cs="宋体"/>
          <w:color w:val="auto"/>
          <w:highlight w:val="none"/>
        </w:rPr>
        <w:t>《标准施工招标文件》（2007年版）和</w:t>
      </w:r>
      <w:r>
        <w:rPr>
          <w:rFonts w:hint="eastAsia" w:ascii="宋体" w:hAnsi="宋体" w:eastAsia="宋体" w:cs="宋体"/>
          <w:color w:val="auto"/>
          <w:kern w:val="0"/>
          <w:highlight w:val="none"/>
        </w:rPr>
        <w:t>《水</w:t>
      </w:r>
      <w:r>
        <w:rPr>
          <w:rFonts w:hint="eastAsia" w:ascii="宋体" w:hAnsi="宋体" w:eastAsia="宋体" w:cs="宋体"/>
          <w:color w:val="auto"/>
          <w:highlight w:val="none"/>
        </w:rPr>
        <w:t>运工程标准施工招标文件》（JTS 110-8-2008）</w:t>
      </w:r>
    </w:p>
    <w:p w14:paraId="321B3312">
      <w:pPr>
        <w:adjustRightInd w:val="0"/>
        <w:snapToGrid w:val="0"/>
        <w:spacing w:before="4800" w:beforeLines="2000"/>
        <w:jc w:val="center"/>
        <w:outlineLvl w:val="0"/>
        <w:rPr>
          <w:rFonts w:hint="eastAsia" w:ascii="宋体" w:hAnsi="宋体" w:eastAsia="宋体" w:cs="宋体"/>
          <w:color w:val="auto"/>
          <w:sz w:val="56"/>
          <w:szCs w:val="56"/>
          <w:highlight w:val="none"/>
        </w:rPr>
        <w:sectPr>
          <w:footerReference r:id="rId5" w:type="default"/>
          <w:type w:val="continuous"/>
          <w:pgSz w:w="11905" w:h="16838"/>
          <w:pgMar w:top="1474" w:right="1361" w:bottom="1474" w:left="1361" w:header="850" w:footer="992" w:gutter="0"/>
          <w:cols w:space="0" w:num="1"/>
          <w:docGrid w:linePitch="286" w:charSpace="0"/>
        </w:sectPr>
      </w:pPr>
      <w:r>
        <w:rPr>
          <w:rFonts w:hint="eastAsia" w:ascii="宋体" w:hAnsi="宋体" w:eastAsia="宋体" w:cs="宋体"/>
          <w:color w:val="auto"/>
          <w:highlight w:val="none"/>
        </w:rPr>
        <w:br w:type="page"/>
      </w:r>
      <w:r>
        <w:rPr>
          <w:rFonts w:hint="eastAsia" w:ascii="宋体" w:hAnsi="宋体" w:eastAsia="宋体" w:cs="宋体"/>
          <w:color w:val="auto"/>
          <w:sz w:val="56"/>
          <w:szCs w:val="56"/>
          <w:highlight w:val="none"/>
        </w:rPr>
        <w:t>第二节 专用合同条款</w:t>
      </w:r>
    </w:p>
    <w:p w14:paraId="4BB2F867">
      <w:pPr>
        <w:autoSpaceDE/>
        <w:autoSpaceDN/>
        <w:adjustRightInd/>
        <w:snapToGrid/>
        <w:jc w:val="left"/>
        <w:rPr>
          <w:rFonts w:hint="eastAsia" w:ascii="宋体" w:hAnsi="宋体" w:eastAsia="宋体" w:cs="宋体"/>
          <w:b/>
          <w:bCs/>
          <w:color w:val="auto"/>
          <w:kern w:val="0"/>
          <w:sz w:val="30"/>
          <w:highlight w:val="none"/>
        </w:rPr>
      </w:pPr>
      <w:r>
        <w:rPr>
          <w:rFonts w:hint="eastAsia" w:ascii="宋体" w:hAnsi="宋体" w:eastAsia="宋体" w:cs="宋体"/>
          <w:b/>
          <w:bCs/>
          <w:color w:val="auto"/>
          <w:kern w:val="0"/>
          <w:sz w:val="30"/>
          <w:highlight w:val="none"/>
        </w:rPr>
        <w:br w:type="page"/>
      </w:r>
    </w:p>
    <w:p w14:paraId="12639E85">
      <w:pPr>
        <w:autoSpaceDE w:val="0"/>
        <w:autoSpaceDN w:val="0"/>
        <w:adjustRightInd w:val="0"/>
        <w:snapToGrid w:val="0"/>
        <w:jc w:val="center"/>
        <w:rPr>
          <w:rFonts w:hint="eastAsia" w:ascii="宋体" w:hAnsi="宋体" w:eastAsia="宋体" w:cs="宋体"/>
          <w:b/>
          <w:bCs/>
          <w:color w:val="auto"/>
          <w:kern w:val="0"/>
          <w:sz w:val="30"/>
          <w:highlight w:val="none"/>
        </w:rPr>
      </w:pPr>
      <w:r>
        <w:rPr>
          <w:rFonts w:hint="eastAsia" w:ascii="宋体" w:hAnsi="宋体" w:eastAsia="宋体" w:cs="宋体"/>
          <w:b/>
          <w:bCs/>
          <w:color w:val="auto"/>
          <w:kern w:val="0"/>
          <w:sz w:val="30"/>
          <w:highlight w:val="none"/>
        </w:rPr>
        <w:t>专用合同条款数据表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2216"/>
        <w:gridCol w:w="6013"/>
      </w:tblGrid>
      <w:tr w14:paraId="790B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080EDE9">
            <w:pPr>
              <w:snapToGrid w:val="0"/>
              <w:ind w:left="-111" w:right="-101" w:rightChars="-48"/>
              <w:jc w:val="center"/>
              <w:rPr>
                <w:rFonts w:hint="eastAsia" w:ascii="宋体" w:hAnsi="宋体" w:eastAsia="宋体" w:cs="宋体"/>
                <w:color w:val="auto"/>
                <w:highlight w:val="none"/>
              </w:rPr>
            </w:pPr>
            <w:r>
              <w:rPr>
                <w:rFonts w:hint="eastAsia" w:ascii="宋体" w:hAnsi="宋体" w:eastAsia="宋体" w:cs="宋体"/>
                <w:color w:val="auto"/>
                <w:highlight w:val="none"/>
              </w:rPr>
              <w:t>条款号</w:t>
            </w:r>
          </w:p>
        </w:tc>
        <w:tc>
          <w:tcPr>
            <w:tcW w:w="2216" w:type="dxa"/>
            <w:tcBorders>
              <w:top w:val="single" w:color="auto" w:sz="4" w:space="0"/>
              <w:left w:val="single" w:color="auto" w:sz="4" w:space="0"/>
              <w:bottom w:val="single" w:color="auto" w:sz="4" w:space="0"/>
              <w:right w:val="single" w:color="auto" w:sz="4" w:space="0"/>
            </w:tcBorders>
            <w:noWrap/>
            <w:vAlign w:val="center"/>
          </w:tcPr>
          <w:p w14:paraId="5CC7B4AD">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条款内容</w:t>
            </w:r>
          </w:p>
        </w:tc>
        <w:tc>
          <w:tcPr>
            <w:tcW w:w="6013" w:type="dxa"/>
            <w:tcBorders>
              <w:top w:val="single" w:color="auto" w:sz="4" w:space="0"/>
              <w:left w:val="single" w:color="auto" w:sz="4" w:space="0"/>
              <w:bottom w:val="single" w:color="auto" w:sz="4" w:space="0"/>
              <w:right w:val="single" w:color="auto" w:sz="4" w:space="0"/>
            </w:tcBorders>
            <w:noWrap/>
            <w:vAlign w:val="center"/>
          </w:tcPr>
          <w:p w14:paraId="672168C5">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编列内容</w:t>
            </w:r>
          </w:p>
        </w:tc>
      </w:tr>
      <w:tr w14:paraId="5BA1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10239D46">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1.1.2.2</w:t>
            </w:r>
          </w:p>
        </w:tc>
        <w:tc>
          <w:tcPr>
            <w:tcW w:w="2216" w:type="dxa"/>
            <w:tcBorders>
              <w:top w:val="single" w:color="auto" w:sz="4" w:space="0"/>
              <w:left w:val="single" w:color="auto" w:sz="4" w:space="0"/>
              <w:bottom w:val="single" w:color="auto" w:sz="4" w:space="0"/>
              <w:right w:val="single" w:color="auto" w:sz="4" w:space="0"/>
            </w:tcBorders>
            <w:noWrap/>
            <w:vAlign w:val="center"/>
          </w:tcPr>
          <w:p w14:paraId="573A1E31">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发包人</w:t>
            </w:r>
          </w:p>
        </w:tc>
        <w:tc>
          <w:tcPr>
            <w:tcW w:w="6013" w:type="dxa"/>
            <w:tcBorders>
              <w:top w:val="single" w:color="auto" w:sz="4" w:space="0"/>
              <w:left w:val="single" w:color="auto" w:sz="4" w:space="0"/>
              <w:bottom w:val="single" w:color="auto" w:sz="4" w:space="0"/>
              <w:right w:val="single" w:color="auto" w:sz="4" w:space="0"/>
            </w:tcBorders>
            <w:noWrap/>
            <w:vAlign w:val="center"/>
          </w:tcPr>
          <w:p w14:paraId="49A9DD12">
            <w:pPr>
              <w:snapToGrid w:val="0"/>
              <w:rPr>
                <w:rFonts w:hint="eastAsia" w:ascii="宋体" w:hAnsi="宋体" w:eastAsia="宋体" w:cs="宋体"/>
                <w:color w:val="auto"/>
                <w:highlight w:val="none"/>
              </w:rPr>
            </w:pPr>
            <w:r>
              <w:rPr>
                <w:rFonts w:hint="eastAsia" w:ascii="宋体" w:hAnsi="宋体" w:eastAsia="宋体" w:cs="宋体"/>
                <w:color w:val="auto"/>
                <w:highlight w:val="none"/>
              </w:rPr>
              <w:t>南通市港航事业发展中心</w:t>
            </w:r>
          </w:p>
        </w:tc>
      </w:tr>
      <w:tr w14:paraId="2603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98585B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1.1.2.6</w:t>
            </w:r>
          </w:p>
        </w:tc>
        <w:tc>
          <w:tcPr>
            <w:tcW w:w="2216" w:type="dxa"/>
            <w:tcBorders>
              <w:top w:val="single" w:color="auto" w:sz="4" w:space="0"/>
              <w:left w:val="single" w:color="auto" w:sz="4" w:space="0"/>
              <w:bottom w:val="single" w:color="auto" w:sz="4" w:space="0"/>
              <w:right w:val="single" w:color="auto" w:sz="4" w:space="0"/>
            </w:tcBorders>
            <w:noWrap/>
            <w:vAlign w:val="center"/>
          </w:tcPr>
          <w:p w14:paraId="11C8ADDE">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监理人</w:t>
            </w:r>
          </w:p>
        </w:tc>
        <w:tc>
          <w:tcPr>
            <w:tcW w:w="6013" w:type="dxa"/>
            <w:tcBorders>
              <w:top w:val="single" w:color="auto" w:sz="4" w:space="0"/>
              <w:left w:val="single" w:color="auto" w:sz="4" w:space="0"/>
              <w:bottom w:val="single" w:color="auto" w:sz="4" w:space="0"/>
              <w:right w:val="single" w:color="auto" w:sz="4" w:space="0"/>
            </w:tcBorders>
            <w:noWrap/>
            <w:vAlign w:val="center"/>
          </w:tcPr>
          <w:p w14:paraId="6FE4A2FC">
            <w:pPr>
              <w:snapToGrid w:val="0"/>
              <w:rPr>
                <w:rFonts w:hint="eastAsia" w:ascii="宋体" w:hAnsi="宋体" w:eastAsia="宋体" w:cs="宋体"/>
                <w:color w:val="auto"/>
                <w:highlight w:val="none"/>
              </w:rPr>
            </w:pPr>
            <w:r>
              <w:rPr>
                <w:rFonts w:hint="eastAsia" w:ascii="宋体" w:hAnsi="宋体" w:eastAsia="宋体" w:cs="宋体"/>
                <w:color w:val="auto"/>
                <w:highlight w:val="none"/>
              </w:rPr>
              <w:t>监理人：待定。</w:t>
            </w:r>
          </w:p>
        </w:tc>
      </w:tr>
      <w:tr w14:paraId="258A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6ADB82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1.1.2.7</w:t>
            </w:r>
          </w:p>
        </w:tc>
        <w:tc>
          <w:tcPr>
            <w:tcW w:w="2216" w:type="dxa"/>
            <w:tcBorders>
              <w:top w:val="single" w:color="auto" w:sz="4" w:space="0"/>
              <w:left w:val="single" w:color="auto" w:sz="4" w:space="0"/>
              <w:bottom w:val="single" w:color="auto" w:sz="4" w:space="0"/>
              <w:right w:val="single" w:color="auto" w:sz="4" w:space="0"/>
            </w:tcBorders>
            <w:noWrap/>
            <w:vAlign w:val="center"/>
          </w:tcPr>
          <w:p w14:paraId="64DB56AB">
            <w:pPr>
              <w:snapToGrid w:val="0"/>
              <w:rPr>
                <w:rFonts w:hint="eastAsia" w:ascii="宋体" w:hAnsi="宋体" w:eastAsia="宋体" w:cs="宋体"/>
                <w:color w:val="auto"/>
                <w:highlight w:val="none"/>
              </w:rPr>
            </w:pPr>
            <w:r>
              <w:rPr>
                <w:rFonts w:hint="eastAsia" w:ascii="宋体" w:hAnsi="宋体" w:eastAsia="宋体" w:cs="宋体"/>
                <w:color w:val="auto"/>
                <w:highlight w:val="none"/>
              </w:rPr>
              <w:t>总监理工程师（总监）</w:t>
            </w:r>
          </w:p>
        </w:tc>
        <w:tc>
          <w:tcPr>
            <w:tcW w:w="6013" w:type="dxa"/>
            <w:tcBorders>
              <w:top w:val="single" w:color="auto" w:sz="4" w:space="0"/>
              <w:left w:val="single" w:color="auto" w:sz="4" w:space="0"/>
              <w:bottom w:val="single" w:color="auto" w:sz="4" w:space="0"/>
              <w:right w:val="single" w:color="auto" w:sz="4" w:space="0"/>
            </w:tcBorders>
            <w:noWrap/>
            <w:vAlign w:val="center"/>
          </w:tcPr>
          <w:p w14:paraId="46304369">
            <w:pPr>
              <w:snapToGrid w:val="0"/>
              <w:rPr>
                <w:rFonts w:hint="eastAsia" w:ascii="宋体" w:hAnsi="宋体" w:eastAsia="宋体" w:cs="宋体"/>
                <w:color w:val="auto"/>
                <w:highlight w:val="none"/>
              </w:rPr>
            </w:pPr>
            <w:r>
              <w:rPr>
                <w:rFonts w:hint="eastAsia" w:ascii="宋体" w:hAnsi="宋体" w:eastAsia="宋体" w:cs="宋体"/>
                <w:color w:val="auto"/>
                <w:highlight w:val="none"/>
              </w:rPr>
              <w:t>总监理工程师：待定。</w:t>
            </w:r>
          </w:p>
        </w:tc>
      </w:tr>
      <w:tr w14:paraId="45CB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5CFCFCE">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4.2</w:t>
            </w:r>
          </w:p>
        </w:tc>
        <w:tc>
          <w:tcPr>
            <w:tcW w:w="2216" w:type="dxa"/>
            <w:tcBorders>
              <w:top w:val="single" w:color="auto" w:sz="4" w:space="0"/>
              <w:left w:val="single" w:color="auto" w:sz="4" w:space="0"/>
              <w:bottom w:val="single" w:color="auto" w:sz="4" w:space="0"/>
              <w:right w:val="single" w:color="auto" w:sz="4" w:space="0"/>
            </w:tcBorders>
            <w:noWrap/>
            <w:vAlign w:val="center"/>
          </w:tcPr>
          <w:p w14:paraId="518EAE4E">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履约担保</w:t>
            </w:r>
          </w:p>
        </w:tc>
        <w:tc>
          <w:tcPr>
            <w:tcW w:w="6013" w:type="dxa"/>
            <w:tcBorders>
              <w:top w:val="single" w:color="auto" w:sz="4" w:space="0"/>
              <w:left w:val="single" w:color="auto" w:sz="4" w:space="0"/>
              <w:bottom w:val="single" w:color="auto" w:sz="4" w:space="0"/>
              <w:right w:val="single" w:color="auto" w:sz="4" w:space="0"/>
            </w:tcBorders>
            <w:noWrap/>
            <w:vAlign w:val="center"/>
          </w:tcPr>
          <w:p w14:paraId="3145AD33">
            <w:pPr>
              <w:snapToGrid w:val="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不要求</w:t>
            </w:r>
          </w:p>
        </w:tc>
      </w:tr>
      <w:tr w14:paraId="78AB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2C167756">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10.1</w:t>
            </w:r>
          </w:p>
        </w:tc>
        <w:tc>
          <w:tcPr>
            <w:tcW w:w="2216" w:type="dxa"/>
            <w:tcBorders>
              <w:top w:val="single" w:color="auto" w:sz="4" w:space="0"/>
              <w:left w:val="single" w:color="auto" w:sz="4" w:space="0"/>
              <w:right w:val="single" w:color="auto" w:sz="4" w:space="0"/>
            </w:tcBorders>
            <w:noWrap/>
            <w:vAlign w:val="center"/>
          </w:tcPr>
          <w:p w14:paraId="2841141F">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合同进度计划提交时间</w:t>
            </w:r>
          </w:p>
        </w:tc>
        <w:tc>
          <w:tcPr>
            <w:tcW w:w="6013" w:type="dxa"/>
            <w:tcBorders>
              <w:top w:val="single" w:color="auto" w:sz="4" w:space="0"/>
              <w:left w:val="single" w:color="auto" w:sz="4" w:space="0"/>
              <w:right w:val="single" w:color="auto" w:sz="4" w:space="0"/>
            </w:tcBorders>
            <w:noWrap/>
            <w:vAlign w:val="center"/>
          </w:tcPr>
          <w:p w14:paraId="57D6C7A3">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合同进度计划提交时间：承包人在与发包人签订合同协议后的7天内提交给监理人。</w:t>
            </w:r>
          </w:p>
        </w:tc>
      </w:tr>
      <w:tr w14:paraId="51CB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581F5001">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10.2</w:t>
            </w:r>
          </w:p>
        </w:tc>
        <w:tc>
          <w:tcPr>
            <w:tcW w:w="2216" w:type="dxa"/>
            <w:tcBorders>
              <w:top w:val="single" w:color="auto" w:sz="4" w:space="0"/>
              <w:left w:val="single" w:color="auto" w:sz="4" w:space="0"/>
              <w:right w:val="single" w:color="auto" w:sz="4" w:space="0"/>
            </w:tcBorders>
            <w:noWrap/>
            <w:vAlign w:val="center"/>
          </w:tcPr>
          <w:p w14:paraId="2E39B6C1">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合同进度计划修订提交时间</w:t>
            </w:r>
          </w:p>
        </w:tc>
        <w:tc>
          <w:tcPr>
            <w:tcW w:w="6013" w:type="dxa"/>
            <w:tcBorders>
              <w:top w:val="single" w:color="auto" w:sz="4" w:space="0"/>
              <w:left w:val="single" w:color="auto" w:sz="4" w:space="0"/>
              <w:right w:val="single" w:color="auto" w:sz="4" w:space="0"/>
            </w:tcBorders>
            <w:noWrap/>
            <w:vAlign w:val="center"/>
          </w:tcPr>
          <w:p w14:paraId="79F5B827">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w:t>
            </w:r>
          </w:p>
        </w:tc>
      </w:tr>
      <w:tr w14:paraId="264D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right w:val="single" w:color="auto" w:sz="4" w:space="0"/>
            </w:tcBorders>
            <w:noWrap/>
            <w:vAlign w:val="center"/>
          </w:tcPr>
          <w:p w14:paraId="0FBCD92B">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11.1</w:t>
            </w:r>
          </w:p>
        </w:tc>
        <w:tc>
          <w:tcPr>
            <w:tcW w:w="2216" w:type="dxa"/>
            <w:tcBorders>
              <w:top w:val="single" w:color="auto" w:sz="4" w:space="0"/>
              <w:left w:val="single" w:color="auto" w:sz="4" w:space="0"/>
              <w:right w:val="single" w:color="auto" w:sz="4" w:space="0"/>
            </w:tcBorders>
            <w:noWrap/>
            <w:vAlign w:val="center"/>
          </w:tcPr>
          <w:p w14:paraId="4A7EDAAC">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开工</w:t>
            </w:r>
          </w:p>
        </w:tc>
        <w:tc>
          <w:tcPr>
            <w:tcW w:w="6013" w:type="dxa"/>
            <w:tcBorders>
              <w:top w:val="single" w:color="auto" w:sz="4" w:space="0"/>
              <w:left w:val="single" w:color="auto" w:sz="4" w:space="0"/>
              <w:right w:val="single" w:color="auto" w:sz="4" w:space="0"/>
            </w:tcBorders>
            <w:noWrap/>
            <w:vAlign w:val="center"/>
          </w:tcPr>
          <w:p w14:paraId="13614478">
            <w:pPr>
              <w:snapToGrid w:val="0"/>
              <w:rPr>
                <w:rFonts w:hint="eastAsia" w:ascii="宋体" w:hAnsi="宋体" w:eastAsia="宋体" w:cs="宋体"/>
                <w:b/>
                <w:color w:val="auto"/>
                <w:highlight w:val="none"/>
              </w:rPr>
            </w:pPr>
            <w:r>
              <w:rPr>
                <w:rFonts w:hint="eastAsia" w:ascii="宋体" w:hAnsi="宋体" w:eastAsia="宋体" w:cs="宋体"/>
                <w:b/>
                <w:color w:val="auto"/>
                <w:highlight w:val="none"/>
              </w:rPr>
              <w:t>按监理人指示开工。</w:t>
            </w:r>
          </w:p>
        </w:tc>
      </w:tr>
      <w:tr w14:paraId="7AA7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952" w:type="dxa"/>
            <w:tcBorders>
              <w:top w:val="single" w:color="auto" w:sz="4" w:space="0"/>
              <w:left w:val="single" w:color="auto" w:sz="4" w:space="0"/>
              <w:right w:val="single" w:color="auto" w:sz="4" w:space="0"/>
            </w:tcBorders>
            <w:noWrap/>
            <w:vAlign w:val="center"/>
          </w:tcPr>
          <w:p w14:paraId="6AF4231C">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11.2</w:t>
            </w:r>
          </w:p>
        </w:tc>
        <w:tc>
          <w:tcPr>
            <w:tcW w:w="2216" w:type="dxa"/>
            <w:tcBorders>
              <w:top w:val="single" w:color="auto" w:sz="4" w:space="0"/>
              <w:left w:val="single" w:color="auto" w:sz="4" w:space="0"/>
              <w:right w:val="single" w:color="auto" w:sz="4" w:space="0"/>
            </w:tcBorders>
            <w:noWrap/>
            <w:vAlign w:val="center"/>
          </w:tcPr>
          <w:p w14:paraId="21C1C772">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竣工期限</w:t>
            </w:r>
          </w:p>
        </w:tc>
        <w:tc>
          <w:tcPr>
            <w:tcW w:w="6013" w:type="dxa"/>
            <w:tcBorders>
              <w:top w:val="single" w:color="auto" w:sz="4" w:space="0"/>
              <w:left w:val="single" w:color="auto" w:sz="4" w:space="0"/>
              <w:right w:val="single" w:color="auto" w:sz="4" w:space="0"/>
            </w:tcBorders>
            <w:noWrap/>
            <w:vAlign w:val="center"/>
          </w:tcPr>
          <w:p w14:paraId="2398B744">
            <w:pPr>
              <w:snapToGrid w:val="0"/>
              <w:rPr>
                <w:rFonts w:hint="eastAsia" w:ascii="宋体" w:hAnsi="宋体" w:eastAsia="宋体" w:cs="宋体"/>
                <w:b/>
                <w:color w:val="auto"/>
                <w:highlight w:val="none"/>
              </w:rPr>
            </w:pPr>
            <w:r>
              <w:rPr>
                <w:rFonts w:hint="eastAsia" w:ascii="宋体" w:hAnsi="宋体" w:eastAsia="宋体" w:cs="宋体"/>
                <w:color w:val="auto"/>
                <w:highlight w:val="none"/>
              </w:rPr>
              <w:t>承包人完成全部工程的期限:</w:t>
            </w:r>
            <w:r>
              <w:rPr>
                <w:rFonts w:hint="eastAsia" w:ascii="宋体" w:hAnsi="宋体" w:cs="宋体"/>
                <w:color w:val="auto"/>
                <w:highlight w:val="none"/>
                <w:lang w:val="en-US" w:eastAsia="zh-CN"/>
              </w:rPr>
              <w:t>50</w:t>
            </w:r>
            <w:r>
              <w:rPr>
                <w:rFonts w:hint="eastAsia" w:ascii="宋体" w:hAnsi="宋体" w:eastAsia="宋体" w:cs="宋体"/>
                <w:color w:val="auto"/>
                <w:highlight w:val="none"/>
                <w:lang w:val="en-US" w:eastAsia="zh-CN"/>
              </w:rPr>
              <w:t>日历天</w:t>
            </w:r>
            <w:r>
              <w:rPr>
                <w:rFonts w:hint="eastAsia" w:ascii="宋体" w:hAnsi="宋体" w:eastAsia="宋体" w:cs="宋体"/>
                <w:color w:val="auto"/>
                <w:highlight w:val="none"/>
              </w:rPr>
              <w:t>。</w:t>
            </w:r>
          </w:p>
        </w:tc>
      </w:tr>
      <w:tr w14:paraId="44BF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5888849">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11.5</w:t>
            </w:r>
          </w:p>
        </w:tc>
        <w:tc>
          <w:tcPr>
            <w:tcW w:w="2216" w:type="dxa"/>
            <w:tcBorders>
              <w:top w:val="single" w:color="auto" w:sz="4" w:space="0"/>
              <w:left w:val="single" w:color="auto" w:sz="4" w:space="0"/>
              <w:bottom w:val="single" w:color="auto" w:sz="4" w:space="0"/>
              <w:right w:val="single" w:color="auto" w:sz="4" w:space="0"/>
            </w:tcBorders>
            <w:noWrap/>
            <w:vAlign w:val="center"/>
          </w:tcPr>
          <w:p w14:paraId="1898EF8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逾期竣工违约金</w:t>
            </w:r>
          </w:p>
        </w:tc>
        <w:tc>
          <w:tcPr>
            <w:tcW w:w="6013" w:type="dxa"/>
            <w:tcBorders>
              <w:top w:val="single" w:color="auto" w:sz="4" w:space="0"/>
              <w:left w:val="single" w:color="auto" w:sz="4" w:space="0"/>
              <w:bottom w:val="single" w:color="auto" w:sz="4" w:space="0"/>
              <w:right w:val="single" w:color="auto" w:sz="4" w:space="0"/>
            </w:tcBorders>
            <w:noWrap/>
            <w:vAlign w:val="center"/>
          </w:tcPr>
          <w:p w14:paraId="522A7F19">
            <w:pPr>
              <w:snapToGrid w:val="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千元/天</w:t>
            </w:r>
          </w:p>
        </w:tc>
      </w:tr>
      <w:tr w14:paraId="4E38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4EF056C">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11.5</w:t>
            </w:r>
          </w:p>
        </w:tc>
        <w:tc>
          <w:tcPr>
            <w:tcW w:w="2216" w:type="dxa"/>
            <w:tcBorders>
              <w:top w:val="single" w:color="auto" w:sz="4" w:space="0"/>
              <w:left w:val="single" w:color="auto" w:sz="4" w:space="0"/>
              <w:bottom w:val="single" w:color="auto" w:sz="4" w:space="0"/>
              <w:right w:val="single" w:color="auto" w:sz="4" w:space="0"/>
            </w:tcBorders>
            <w:noWrap/>
            <w:vAlign w:val="center"/>
          </w:tcPr>
          <w:p w14:paraId="6D8D500C">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逾期竣工违约金限额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5699610B">
            <w:pPr>
              <w:snapToGrid w:val="0"/>
              <w:rPr>
                <w:rFonts w:hint="eastAsia" w:ascii="宋体" w:hAnsi="宋体" w:eastAsia="宋体" w:cs="宋体"/>
                <w:color w:val="auto"/>
                <w:highlight w:val="none"/>
              </w:rPr>
            </w:pPr>
            <w:r>
              <w:rPr>
                <w:rFonts w:hint="eastAsia" w:ascii="宋体" w:hAnsi="宋体" w:eastAsia="宋体" w:cs="宋体"/>
                <w:color w:val="auto"/>
                <w:highlight w:val="none"/>
              </w:rPr>
              <w:t>签约合同价的5%</w:t>
            </w:r>
          </w:p>
        </w:tc>
      </w:tr>
      <w:tr w14:paraId="71C9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05530EE">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13.1.1</w:t>
            </w:r>
          </w:p>
        </w:tc>
        <w:tc>
          <w:tcPr>
            <w:tcW w:w="2216" w:type="dxa"/>
            <w:tcBorders>
              <w:top w:val="single" w:color="auto" w:sz="4" w:space="0"/>
              <w:left w:val="single" w:color="auto" w:sz="4" w:space="0"/>
              <w:bottom w:val="single" w:color="auto" w:sz="4" w:space="0"/>
              <w:right w:val="single" w:color="auto" w:sz="4" w:space="0"/>
            </w:tcBorders>
            <w:noWrap/>
            <w:vAlign w:val="center"/>
          </w:tcPr>
          <w:p w14:paraId="286E6EC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工程质量验收标准</w:t>
            </w:r>
          </w:p>
        </w:tc>
        <w:tc>
          <w:tcPr>
            <w:tcW w:w="6013" w:type="dxa"/>
            <w:tcBorders>
              <w:top w:val="single" w:color="auto" w:sz="4" w:space="0"/>
              <w:left w:val="single" w:color="auto" w:sz="4" w:space="0"/>
              <w:bottom w:val="single" w:color="auto" w:sz="4" w:space="0"/>
              <w:right w:val="single" w:color="auto" w:sz="4" w:space="0"/>
            </w:tcBorders>
            <w:noWrap/>
            <w:vAlign w:val="center"/>
          </w:tcPr>
          <w:p w14:paraId="7812C58E">
            <w:pPr>
              <w:snapToGrid w:val="0"/>
              <w:rPr>
                <w:rFonts w:hint="eastAsia" w:ascii="宋体" w:hAnsi="宋体" w:eastAsia="宋体" w:cs="宋体"/>
                <w:color w:val="auto"/>
                <w:highlight w:val="none"/>
              </w:rPr>
            </w:pPr>
            <w:r>
              <w:rPr>
                <w:rFonts w:hint="eastAsia" w:ascii="宋体" w:hAnsi="宋体" w:eastAsia="宋体" w:cs="宋体"/>
                <w:color w:val="auto"/>
                <w:highlight w:val="none"/>
              </w:rPr>
              <w:t>达到交通运输部发布的《水运工程质量检验标准》合格等级，且达到江苏省市场监督管理局发布的《内河航道维护技术及质量评定规范》优良等级。</w:t>
            </w:r>
          </w:p>
        </w:tc>
      </w:tr>
      <w:tr w14:paraId="3520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EFE2BFE">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16</w:t>
            </w:r>
          </w:p>
        </w:tc>
        <w:tc>
          <w:tcPr>
            <w:tcW w:w="2216" w:type="dxa"/>
            <w:tcBorders>
              <w:top w:val="single" w:color="auto" w:sz="4" w:space="0"/>
              <w:left w:val="single" w:color="auto" w:sz="4" w:space="0"/>
              <w:bottom w:val="single" w:color="auto" w:sz="4" w:space="0"/>
              <w:right w:val="single" w:color="auto" w:sz="4" w:space="0"/>
            </w:tcBorders>
            <w:noWrap/>
            <w:vAlign w:val="center"/>
          </w:tcPr>
          <w:p w14:paraId="26470830">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价格调整</w:t>
            </w:r>
          </w:p>
        </w:tc>
        <w:tc>
          <w:tcPr>
            <w:tcW w:w="6013" w:type="dxa"/>
            <w:tcBorders>
              <w:top w:val="single" w:color="auto" w:sz="4" w:space="0"/>
              <w:left w:val="single" w:color="auto" w:sz="4" w:space="0"/>
              <w:bottom w:val="single" w:color="auto" w:sz="4" w:space="0"/>
              <w:right w:val="single" w:color="auto" w:sz="4" w:space="0"/>
            </w:tcBorders>
            <w:noWrap/>
            <w:vAlign w:val="center"/>
          </w:tcPr>
          <w:p w14:paraId="15751542">
            <w:pPr>
              <w:snapToGrid w:val="0"/>
              <w:rPr>
                <w:rFonts w:hint="eastAsia" w:ascii="宋体" w:hAnsi="宋体" w:eastAsia="宋体" w:cs="宋体"/>
                <w:color w:val="auto"/>
                <w:highlight w:val="none"/>
              </w:rPr>
            </w:pPr>
            <w:r>
              <w:rPr>
                <w:rFonts w:hint="eastAsia" w:ascii="宋体" w:hAnsi="宋体" w:eastAsia="宋体" w:cs="宋体"/>
                <w:color w:val="auto"/>
                <w:highlight w:val="none"/>
              </w:rPr>
              <w:t>由于人工和设备等价格波动以及材料价格波动影响合同价格时，合同价格一律不予调整。</w:t>
            </w:r>
          </w:p>
        </w:tc>
      </w:tr>
      <w:tr w14:paraId="122C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488ECED">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17.2.1</w:t>
            </w:r>
          </w:p>
        </w:tc>
        <w:tc>
          <w:tcPr>
            <w:tcW w:w="2216" w:type="dxa"/>
            <w:tcBorders>
              <w:top w:val="single" w:color="auto" w:sz="4" w:space="0"/>
              <w:left w:val="single" w:color="auto" w:sz="4" w:space="0"/>
              <w:bottom w:val="single" w:color="auto" w:sz="4" w:space="0"/>
              <w:right w:val="single" w:color="auto" w:sz="4" w:space="0"/>
            </w:tcBorders>
            <w:noWrap/>
            <w:vAlign w:val="center"/>
          </w:tcPr>
          <w:p w14:paraId="15B877C4">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预付款额度</w:t>
            </w:r>
          </w:p>
        </w:tc>
        <w:tc>
          <w:tcPr>
            <w:tcW w:w="6013" w:type="dxa"/>
            <w:tcBorders>
              <w:top w:val="single" w:color="auto" w:sz="4" w:space="0"/>
              <w:left w:val="single" w:color="auto" w:sz="4" w:space="0"/>
              <w:bottom w:val="single" w:color="auto" w:sz="4" w:space="0"/>
              <w:right w:val="single" w:color="auto" w:sz="4" w:space="0"/>
            </w:tcBorders>
            <w:noWrap/>
            <w:vAlign w:val="center"/>
          </w:tcPr>
          <w:p w14:paraId="531A8E0C">
            <w:pPr>
              <w:snapToGrid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开工预付款金额：</w:t>
            </w:r>
            <w:r>
              <w:rPr>
                <w:rFonts w:hint="eastAsia" w:ascii="宋体" w:hAnsi="宋体" w:eastAsia="宋体" w:cs="宋体"/>
                <w:color w:val="auto"/>
                <w:highlight w:val="none"/>
                <w:lang w:val="en-US" w:eastAsia="zh-CN"/>
              </w:rPr>
              <w:t>/</w:t>
            </w:r>
          </w:p>
          <w:p w14:paraId="25FDE75A">
            <w:pPr>
              <w:snapToGrid w:val="0"/>
              <w:rPr>
                <w:rFonts w:hint="eastAsia" w:ascii="宋体" w:hAnsi="宋体" w:eastAsia="宋体" w:cs="宋体"/>
                <w:color w:val="auto"/>
                <w:highlight w:val="none"/>
              </w:rPr>
            </w:pPr>
            <w:r>
              <w:rPr>
                <w:rFonts w:hint="eastAsia" w:ascii="宋体" w:hAnsi="宋体" w:eastAsia="宋体" w:cs="宋体"/>
                <w:color w:val="auto"/>
                <w:highlight w:val="none"/>
              </w:rPr>
              <w:t>不需提供保函。</w:t>
            </w:r>
          </w:p>
        </w:tc>
      </w:tr>
      <w:tr w14:paraId="4A38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50C2E0CF">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17.3.2</w:t>
            </w:r>
          </w:p>
        </w:tc>
        <w:tc>
          <w:tcPr>
            <w:tcW w:w="2216" w:type="dxa"/>
            <w:tcBorders>
              <w:top w:val="single" w:color="auto" w:sz="4" w:space="0"/>
              <w:left w:val="single" w:color="auto" w:sz="4" w:space="0"/>
              <w:bottom w:val="single" w:color="auto" w:sz="4" w:space="0"/>
              <w:right w:val="single" w:color="auto" w:sz="4" w:space="0"/>
            </w:tcBorders>
            <w:noWrap/>
            <w:vAlign w:val="center"/>
          </w:tcPr>
          <w:p w14:paraId="33BC933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进度付款申请单</w:t>
            </w:r>
          </w:p>
        </w:tc>
        <w:tc>
          <w:tcPr>
            <w:tcW w:w="6013" w:type="dxa"/>
            <w:tcBorders>
              <w:top w:val="single" w:color="auto" w:sz="4" w:space="0"/>
              <w:left w:val="single" w:color="auto" w:sz="4" w:space="0"/>
              <w:bottom w:val="single" w:color="auto" w:sz="4" w:space="0"/>
              <w:right w:val="single" w:color="auto" w:sz="4" w:space="0"/>
            </w:tcBorders>
            <w:noWrap/>
            <w:vAlign w:val="center"/>
          </w:tcPr>
          <w:p w14:paraId="72B14A20">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w:t>
            </w:r>
          </w:p>
        </w:tc>
      </w:tr>
      <w:tr w14:paraId="3EF1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BC046CA">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17.3.3</w:t>
            </w:r>
          </w:p>
        </w:tc>
        <w:tc>
          <w:tcPr>
            <w:tcW w:w="2216" w:type="dxa"/>
            <w:tcBorders>
              <w:top w:val="single" w:color="auto" w:sz="4" w:space="0"/>
              <w:left w:val="single" w:color="auto" w:sz="4" w:space="0"/>
              <w:bottom w:val="single" w:color="auto" w:sz="4" w:space="0"/>
              <w:right w:val="single" w:color="auto" w:sz="4" w:space="0"/>
            </w:tcBorders>
            <w:noWrap/>
            <w:vAlign w:val="center"/>
          </w:tcPr>
          <w:p w14:paraId="58251830">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进度付款证书和支付时间</w:t>
            </w:r>
          </w:p>
        </w:tc>
        <w:tc>
          <w:tcPr>
            <w:tcW w:w="6013" w:type="dxa"/>
            <w:tcBorders>
              <w:top w:val="single" w:color="auto" w:sz="4" w:space="0"/>
              <w:left w:val="single" w:color="auto" w:sz="4" w:space="0"/>
              <w:bottom w:val="single" w:color="auto" w:sz="4" w:space="0"/>
              <w:right w:val="single" w:color="auto" w:sz="4" w:space="0"/>
            </w:tcBorders>
            <w:noWrap/>
            <w:vAlign w:val="center"/>
          </w:tcPr>
          <w:p w14:paraId="102AD022">
            <w:pPr>
              <w:snapToGrid w:val="0"/>
              <w:rPr>
                <w:rFonts w:hint="eastAsia" w:ascii="宋体" w:hAnsi="宋体" w:eastAsia="宋体" w:cs="宋体"/>
                <w:color w:val="auto"/>
                <w:highlight w:val="none"/>
              </w:rPr>
            </w:pPr>
            <w:r>
              <w:rPr>
                <w:rFonts w:hint="eastAsia" w:ascii="宋体" w:hAnsi="宋体" w:eastAsia="宋体" w:cs="宋体"/>
                <w:color w:val="auto"/>
                <w:highlight w:val="none"/>
              </w:rPr>
              <w:t>详见专用合同条款</w:t>
            </w:r>
          </w:p>
          <w:p w14:paraId="43DFC41D">
            <w:pPr>
              <w:snapToGrid w:val="0"/>
              <w:rPr>
                <w:rFonts w:hint="eastAsia" w:ascii="宋体" w:hAnsi="宋体" w:eastAsia="宋体" w:cs="宋体"/>
                <w:color w:val="auto"/>
                <w:highlight w:val="none"/>
              </w:rPr>
            </w:pPr>
            <w:r>
              <w:rPr>
                <w:rFonts w:hint="eastAsia" w:ascii="宋体" w:hAnsi="宋体" w:eastAsia="宋体" w:cs="宋体"/>
                <w:b/>
                <w:color w:val="auto"/>
                <w:highlight w:val="none"/>
              </w:rPr>
              <w:t>承包人提供了相应数额的发票（应提供施工所在地税务部门开出的完税凭证）或盖有税务局监制章（或税务机关认可）的正式收据正本</w:t>
            </w:r>
          </w:p>
        </w:tc>
      </w:tr>
      <w:tr w14:paraId="289F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396F6E3A">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17.3.3</w:t>
            </w:r>
          </w:p>
        </w:tc>
        <w:tc>
          <w:tcPr>
            <w:tcW w:w="2216" w:type="dxa"/>
            <w:tcBorders>
              <w:top w:val="single" w:color="auto" w:sz="4" w:space="0"/>
              <w:left w:val="single" w:color="auto" w:sz="4" w:space="0"/>
              <w:bottom w:val="single" w:color="auto" w:sz="4" w:space="0"/>
              <w:right w:val="single" w:color="auto" w:sz="4" w:space="0"/>
            </w:tcBorders>
            <w:noWrap/>
            <w:vAlign w:val="center"/>
          </w:tcPr>
          <w:p w14:paraId="3AEFEDA3">
            <w:pPr>
              <w:snapToGrid w:val="0"/>
              <w:jc w:val="center"/>
              <w:rPr>
                <w:rFonts w:hint="eastAsia" w:ascii="宋体" w:hAnsi="宋体" w:eastAsia="宋体" w:cs="宋体"/>
                <w:color w:val="auto"/>
                <w:kern w:val="0"/>
                <w:highlight w:val="none"/>
              </w:rPr>
            </w:pPr>
            <w:r>
              <w:rPr>
                <w:rFonts w:hint="eastAsia" w:ascii="宋体" w:hAnsi="宋体" w:eastAsia="宋体" w:cs="宋体"/>
                <w:color w:val="auto"/>
                <w:highlight w:val="none"/>
              </w:rPr>
              <w:t>未付款额的利率</w:t>
            </w:r>
          </w:p>
        </w:tc>
        <w:tc>
          <w:tcPr>
            <w:tcW w:w="6013" w:type="dxa"/>
            <w:tcBorders>
              <w:top w:val="single" w:color="auto" w:sz="4" w:space="0"/>
              <w:left w:val="single" w:color="auto" w:sz="4" w:space="0"/>
              <w:bottom w:val="single" w:color="auto" w:sz="4" w:space="0"/>
              <w:right w:val="single" w:color="auto" w:sz="4" w:space="0"/>
            </w:tcBorders>
            <w:noWrap/>
            <w:vAlign w:val="center"/>
          </w:tcPr>
          <w:p w14:paraId="06F010AD">
            <w:pPr>
              <w:adjustRightInd w:val="0"/>
              <w:snapToGrid w:val="0"/>
              <w:rPr>
                <w:rFonts w:hint="eastAsia" w:ascii="宋体" w:hAnsi="宋体" w:eastAsia="宋体" w:cs="宋体"/>
                <w:color w:val="auto"/>
                <w:highlight w:val="none"/>
              </w:rPr>
            </w:pPr>
            <w:r>
              <w:rPr>
                <w:rFonts w:hint="eastAsia" w:ascii="宋体" w:hAnsi="宋体" w:eastAsia="宋体" w:cs="宋体"/>
                <w:color w:val="auto"/>
                <w:highlight w:val="none"/>
              </w:rPr>
              <w:t>无</w:t>
            </w:r>
          </w:p>
        </w:tc>
      </w:tr>
      <w:tr w14:paraId="19F2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6F55E330">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17.4.1</w:t>
            </w:r>
          </w:p>
        </w:tc>
        <w:tc>
          <w:tcPr>
            <w:tcW w:w="2216" w:type="dxa"/>
            <w:tcBorders>
              <w:top w:val="single" w:color="auto" w:sz="4" w:space="0"/>
              <w:left w:val="single" w:color="auto" w:sz="4" w:space="0"/>
              <w:bottom w:val="single" w:color="auto" w:sz="4" w:space="0"/>
              <w:right w:val="single" w:color="auto" w:sz="4" w:space="0"/>
            </w:tcBorders>
            <w:noWrap/>
            <w:vAlign w:val="center"/>
          </w:tcPr>
          <w:p w14:paraId="7BB2F438">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质量保证金缴纳办法及限额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4B39A877">
            <w:pPr>
              <w:pStyle w:val="20"/>
              <w:spacing w:after="0"/>
              <w:rPr>
                <w:rFonts w:hint="eastAsia" w:ascii="宋体" w:hAnsi="宋体" w:eastAsia="宋体" w:cs="宋体"/>
                <w:color w:val="auto"/>
                <w:highlight w:val="none"/>
              </w:rPr>
            </w:pPr>
            <w:r>
              <w:rPr>
                <w:rFonts w:hint="eastAsia" w:ascii="宋体" w:hAnsi="宋体" w:eastAsia="宋体" w:cs="宋体"/>
                <w:color w:val="auto"/>
                <w:highlight w:val="none"/>
              </w:rPr>
              <w:t>包含在未付的工程款中，金额为工程结算审定价的3%。</w:t>
            </w:r>
          </w:p>
        </w:tc>
      </w:tr>
      <w:tr w14:paraId="1E48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2337E08">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17.4.2</w:t>
            </w:r>
          </w:p>
        </w:tc>
        <w:tc>
          <w:tcPr>
            <w:tcW w:w="2216" w:type="dxa"/>
            <w:tcBorders>
              <w:top w:val="single" w:color="auto" w:sz="4" w:space="0"/>
              <w:left w:val="single" w:color="auto" w:sz="4" w:space="0"/>
              <w:bottom w:val="single" w:color="auto" w:sz="4" w:space="0"/>
              <w:right w:val="single" w:color="auto" w:sz="4" w:space="0"/>
            </w:tcBorders>
            <w:noWrap/>
            <w:vAlign w:val="center"/>
          </w:tcPr>
          <w:p w14:paraId="27553CC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质量保证金退还给承包人的时间</w:t>
            </w:r>
          </w:p>
        </w:tc>
        <w:tc>
          <w:tcPr>
            <w:tcW w:w="6013" w:type="dxa"/>
            <w:tcBorders>
              <w:top w:val="single" w:color="auto" w:sz="4" w:space="0"/>
              <w:left w:val="single" w:color="auto" w:sz="4" w:space="0"/>
              <w:bottom w:val="single" w:color="auto" w:sz="4" w:space="0"/>
              <w:right w:val="single" w:color="auto" w:sz="4" w:space="0"/>
            </w:tcBorders>
            <w:noWrap/>
            <w:vAlign w:val="center"/>
          </w:tcPr>
          <w:p w14:paraId="419D51A2">
            <w:pPr>
              <w:snapToGrid w:val="0"/>
              <w:rPr>
                <w:rFonts w:hint="eastAsia" w:ascii="宋体" w:hAnsi="宋体" w:eastAsia="宋体" w:cs="宋体"/>
                <w:color w:val="auto"/>
                <w:highlight w:val="none"/>
              </w:rPr>
            </w:pPr>
            <w:r>
              <w:rPr>
                <w:rFonts w:hint="eastAsia" w:ascii="宋体" w:hAnsi="宋体" w:eastAsia="宋体" w:cs="宋体"/>
                <w:color w:val="auto"/>
                <w:highlight w:val="none"/>
              </w:rPr>
              <w:t>缺陷责任期满并发给终止证书后支付。</w:t>
            </w:r>
          </w:p>
        </w:tc>
      </w:tr>
      <w:tr w14:paraId="006F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04168D04">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17.5.2</w:t>
            </w:r>
          </w:p>
        </w:tc>
        <w:tc>
          <w:tcPr>
            <w:tcW w:w="2216" w:type="dxa"/>
            <w:tcBorders>
              <w:top w:val="single" w:color="auto" w:sz="4" w:space="0"/>
              <w:left w:val="single" w:color="auto" w:sz="4" w:space="0"/>
              <w:bottom w:val="single" w:color="auto" w:sz="4" w:space="0"/>
              <w:right w:val="single" w:color="auto" w:sz="4" w:space="0"/>
            </w:tcBorders>
            <w:noWrap/>
            <w:vAlign w:val="center"/>
          </w:tcPr>
          <w:p w14:paraId="595A790D">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审签竣工付款证书支付给承包人的期限</w:t>
            </w:r>
          </w:p>
        </w:tc>
        <w:tc>
          <w:tcPr>
            <w:tcW w:w="6013" w:type="dxa"/>
            <w:tcBorders>
              <w:top w:val="single" w:color="auto" w:sz="4" w:space="0"/>
              <w:left w:val="single" w:color="auto" w:sz="4" w:space="0"/>
              <w:bottom w:val="single" w:color="auto" w:sz="4" w:space="0"/>
              <w:right w:val="single" w:color="auto" w:sz="4" w:space="0"/>
            </w:tcBorders>
            <w:noWrap/>
            <w:vAlign w:val="center"/>
          </w:tcPr>
          <w:p w14:paraId="03B532EC">
            <w:pPr>
              <w:snapToGrid w:val="0"/>
              <w:rPr>
                <w:rFonts w:hint="eastAsia" w:ascii="宋体" w:hAnsi="宋体" w:eastAsia="宋体" w:cs="宋体"/>
                <w:color w:val="auto"/>
                <w:highlight w:val="none"/>
              </w:rPr>
            </w:pPr>
            <w:r>
              <w:rPr>
                <w:rFonts w:hint="eastAsia" w:ascii="宋体" w:hAnsi="宋体" w:eastAsia="宋体" w:cs="宋体"/>
                <w:color w:val="auto"/>
                <w:highlight w:val="none"/>
              </w:rPr>
              <w:t>达到交通运输部发布的《水运工程质量检验标准》合格等级，且达到江苏省市场监督管理局发布的《内河航道维护技术及质量评定规范》优良等级。承包人提交全部竣工资料且且工程结算审核报告经发包人确认后。</w:t>
            </w:r>
          </w:p>
        </w:tc>
      </w:tr>
      <w:tr w14:paraId="6DAE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4F364C45">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19.7</w:t>
            </w:r>
          </w:p>
        </w:tc>
        <w:tc>
          <w:tcPr>
            <w:tcW w:w="2216" w:type="dxa"/>
            <w:tcBorders>
              <w:top w:val="single" w:color="auto" w:sz="4" w:space="0"/>
              <w:left w:val="single" w:color="auto" w:sz="4" w:space="0"/>
              <w:bottom w:val="single" w:color="auto" w:sz="4" w:space="0"/>
              <w:right w:val="single" w:color="auto" w:sz="4" w:space="0"/>
            </w:tcBorders>
            <w:noWrap/>
            <w:vAlign w:val="center"/>
          </w:tcPr>
          <w:p w14:paraId="5E3F733C">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工程质量保修期限</w:t>
            </w:r>
          </w:p>
        </w:tc>
        <w:tc>
          <w:tcPr>
            <w:tcW w:w="6013" w:type="dxa"/>
            <w:tcBorders>
              <w:top w:val="single" w:color="auto" w:sz="4" w:space="0"/>
              <w:left w:val="single" w:color="auto" w:sz="4" w:space="0"/>
              <w:bottom w:val="single" w:color="auto" w:sz="4" w:space="0"/>
              <w:right w:val="single" w:color="auto" w:sz="4" w:space="0"/>
            </w:tcBorders>
            <w:noWrap/>
            <w:vAlign w:val="center"/>
          </w:tcPr>
          <w:p w14:paraId="479EF3B4">
            <w:pPr>
              <w:snapToGrid w:val="0"/>
              <w:rPr>
                <w:rFonts w:hint="eastAsia" w:ascii="宋体" w:hAnsi="宋体" w:eastAsia="宋体" w:cs="宋体"/>
                <w:color w:val="auto"/>
                <w:highlight w:val="none"/>
              </w:rPr>
            </w:pPr>
            <w:r>
              <w:rPr>
                <w:rFonts w:hint="eastAsia" w:ascii="宋体" w:hAnsi="宋体" w:eastAsia="宋体" w:cs="宋体"/>
                <w:color w:val="auto"/>
                <w:highlight w:val="none"/>
              </w:rPr>
              <w:t>12个月</w:t>
            </w:r>
          </w:p>
        </w:tc>
      </w:tr>
      <w:tr w14:paraId="288E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73AF1A81">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20.4</w:t>
            </w:r>
          </w:p>
        </w:tc>
        <w:tc>
          <w:tcPr>
            <w:tcW w:w="2216" w:type="dxa"/>
            <w:tcBorders>
              <w:top w:val="single" w:color="auto" w:sz="4" w:space="0"/>
              <w:left w:val="single" w:color="auto" w:sz="4" w:space="0"/>
              <w:bottom w:val="single" w:color="auto" w:sz="4" w:space="0"/>
              <w:right w:val="single" w:color="auto" w:sz="4" w:space="0"/>
            </w:tcBorders>
            <w:noWrap/>
            <w:vAlign w:val="center"/>
          </w:tcPr>
          <w:p w14:paraId="6BF10AB3">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第三者责任险的保险金额</w:t>
            </w:r>
          </w:p>
        </w:tc>
        <w:tc>
          <w:tcPr>
            <w:tcW w:w="6013" w:type="dxa"/>
            <w:tcBorders>
              <w:top w:val="single" w:color="auto" w:sz="4" w:space="0"/>
              <w:left w:val="single" w:color="auto" w:sz="4" w:space="0"/>
              <w:bottom w:val="single" w:color="auto" w:sz="4" w:space="0"/>
              <w:right w:val="single" w:color="auto" w:sz="4" w:space="0"/>
            </w:tcBorders>
            <w:noWrap/>
            <w:vAlign w:val="center"/>
          </w:tcPr>
          <w:p w14:paraId="43003D7C">
            <w:pPr>
              <w:pStyle w:val="17"/>
              <w:rPr>
                <w:rFonts w:hint="eastAsia" w:ascii="宋体" w:hAnsi="宋体" w:eastAsia="宋体" w:cs="宋体"/>
                <w:color w:val="auto"/>
                <w:highlight w:val="none"/>
              </w:rPr>
            </w:pPr>
            <w:r>
              <w:rPr>
                <w:rFonts w:hint="eastAsia" w:ascii="宋体" w:hAnsi="宋体" w:eastAsia="宋体" w:cs="宋体"/>
                <w:color w:val="auto"/>
                <w:highlight w:val="none"/>
              </w:rPr>
              <w:t>第三者责任险保额不低于人民币</w:t>
            </w:r>
            <w:r>
              <w:rPr>
                <w:rFonts w:hint="eastAsia" w:ascii="宋体" w:hAnsi="宋体" w:eastAsia="宋体" w:cs="宋体"/>
                <w:color w:val="auto"/>
                <w:highlight w:val="none"/>
                <w:lang w:val="en-US" w:eastAsia="zh-CN"/>
              </w:rPr>
              <w:t>50</w:t>
            </w:r>
            <w:r>
              <w:rPr>
                <w:rFonts w:hint="eastAsia" w:ascii="宋体" w:hAnsi="宋体" w:eastAsia="宋体" w:cs="宋体"/>
                <w:color w:val="auto"/>
                <w:highlight w:val="none"/>
              </w:rPr>
              <w:t>万元（包括不计免赔），由承包人以发包人与承包人共同的名义投保</w:t>
            </w:r>
          </w:p>
        </w:tc>
      </w:tr>
      <w:tr w14:paraId="5EA6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52" w:type="dxa"/>
            <w:tcBorders>
              <w:top w:val="single" w:color="auto" w:sz="4" w:space="0"/>
              <w:left w:val="single" w:color="auto" w:sz="4" w:space="0"/>
              <w:bottom w:val="single" w:color="auto" w:sz="4" w:space="0"/>
              <w:right w:val="single" w:color="auto" w:sz="4" w:space="0"/>
            </w:tcBorders>
            <w:noWrap/>
            <w:vAlign w:val="center"/>
          </w:tcPr>
          <w:p w14:paraId="2B25223A">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24.1</w:t>
            </w:r>
          </w:p>
        </w:tc>
        <w:tc>
          <w:tcPr>
            <w:tcW w:w="2216" w:type="dxa"/>
            <w:tcBorders>
              <w:top w:val="single" w:color="auto" w:sz="4" w:space="0"/>
              <w:left w:val="single" w:color="auto" w:sz="4" w:space="0"/>
              <w:bottom w:val="single" w:color="auto" w:sz="4" w:space="0"/>
              <w:right w:val="single" w:color="auto" w:sz="4" w:space="0"/>
            </w:tcBorders>
            <w:noWrap/>
            <w:vAlign w:val="center"/>
          </w:tcPr>
          <w:p w14:paraId="7AD3641E">
            <w:pPr>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诉讼机构</w:t>
            </w:r>
          </w:p>
        </w:tc>
        <w:tc>
          <w:tcPr>
            <w:tcW w:w="6013" w:type="dxa"/>
            <w:tcBorders>
              <w:top w:val="single" w:color="auto" w:sz="4" w:space="0"/>
              <w:left w:val="single" w:color="auto" w:sz="4" w:space="0"/>
              <w:bottom w:val="single" w:color="auto" w:sz="4" w:space="0"/>
              <w:right w:val="single" w:color="auto" w:sz="4" w:space="0"/>
            </w:tcBorders>
            <w:noWrap/>
            <w:vAlign w:val="center"/>
          </w:tcPr>
          <w:p w14:paraId="220FC1A9">
            <w:pPr>
              <w:snapToGrid w:val="0"/>
              <w:rPr>
                <w:rFonts w:hint="eastAsia" w:ascii="宋体" w:hAnsi="宋体" w:eastAsia="宋体" w:cs="宋体"/>
                <w:color w:val="auto"/>
                <w:highlight w:val="none"/>
              </w:rPr>
            </w:pPr>
            <w:r>
              <w:rPr>
                <w:rFonts w:hint="eastAsia" w:ascii="宋体" w:hAnsi="宋体" w:eastAsia="宋体" w:cs="宋体"/>
                <w:color w:val="auto"/>
                <w:highlight w:val="none"/>
              </w:rPr>
              <w:t>工程所在地有管辖权的人民法院</w:t>
            </w:r>
          </w:p>
        </w:tc>
      </w:tr>
    </w:tbl>
    <w:p w14:paraId="043F388C">
      <w:pPr>
        <w:spacing w:line="400" w:lineRule="exact"/>
        <w:jc w:val="center"/>
        <w:rPr>
          <w:rFonts w:hint="eastAsia" w:ascii="宋体" w:hAnsi="宋体" w:eastAsia="宋体" w:cs="宋体"/>
          <w:b/>
          <w:bCs/>
          <w:color w:val="auto"/>
          <w:kern w:val="0"/>
          <w:sz w:val="30"/>
          <w:highlight w:val="none"/>
        </w:rPr>
      </w:pPr>
      <w:r>
        <w:rPr>
          <w:rFonts w:hint="eastAsia" w:ascii="宋体" w:hAnsi="宋体" w:eastAsia="宋体" w:cs="宋体"/>
          <w:color w:val="auto"/>
          <w:highlight w:val="none"/>
        </w:rPr>
        <w:br w:type="page"/>
      </w:r>
      <w:r>
        <w:rPr>
          <w:rFonts w:hint="eastAsia" w:ascii="宋体" w:hAnsi="宋体" w:eastAsia="宋体" w:cs="宋体"/>
          <w:b/>
          <w:bCs/>
          <w:color w:val="auto"/>
          <w:kern w:val="0"/>
          <w:sz w:val="30"/>
          <w:highlight w:val="none"/>
        </w:rPr>
        <w:t>专用合同条款</w:t>
      </w:r>
    </w:p>
    <w:p w14:paraId="4DE88339">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bCs/>
          <w:color w:val="auto"/>
          <w:highlight w:val="none"/>
        </w:rPr>
        <w:t>1.</w:t>
      </w:r>
      <w:r>
        <w:rPr>
          <w:rFonts w:hint="eastAsia" w:ascii="宋体" w:hAnsi="宋体" w:eastAsia="宋体" w:cs="宋体"/>
          <w:b/>
          <w:color w:val="auto"/>
          <w:highlight w:val="none"/>
        </w:rPr>
        <w:t xml:space="preserve"> 一般约定</w:t>
      </w:r>
    </w:p>
    <w:p w14:paraId="2D9032D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1.1</w:t>
      </w:r>
      <w:r>
        <w:rPr>
          <w:rFonts w:hint="eastAsia" w:ascii="宋体" w:hAnsi="宋体" w:eastAsia="宋体" w:cs="宋体"/>
          <w:b/>
          <w:color w:val="auto"/>
          <w:highlight w:val="none"/>
        </w:rPr>
        <w:t xml:space="preserve"> 词语定义</w:t>
      </w:r>
    </w:p>
    <w:p w14:paraId="7B509EA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1.1.1 合同</w:t>
      </w:r>
    </w:p>
    <w:p w14:paraId="6D91B11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1.1.1.8 已标价工程量清单：指投标文件中已标价、经算术性修正无误且承包人已经确认的最终的工程量清单。</w:t>
      </w:r>
    </w:p>
    <w:p w14:paraId="5BA05B0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本项增加第1.1.1.10目：</w:t>
      </w:r>
    </w:p>
    <w:p w14:paraId="32B939B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1.1.1.10补遗书：指发出招标文件之后由发包人向已取得招标文件的投标人发出的、编号的补充或修改书，是招标文件的组成部分。</w:t>
      </w:r>
    </w:p>
    <w:p w14:paraId="488C429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1.1.2 合同当事人和人员</w:t>
      </w:r>
    </w:p>
    <w:p w14:paraId="3236101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1.1.2.2 发包人：南通市港航事业发展中心。</w:t>
      </w:r>
    </w:p>
    <w:p w14:paraId="7452554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1.1.2.6 监理人：指发包人为实施本合同招标确定的承担本合同监理工作的单位。</w:t>
      </w:r>
    </w:p>
    <w:p w14:paraId="7E6FF70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1.1.3 工程和设备</w:t>
      </w:r>
    </w:p>
    <w:p w14:paraId="04A0F42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1.1.3.4 单位工程：见本工程招标范围内的工程。</w:t>
      </w:r>
    </w:p>
    <w:p w14:paraId="73F8034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1.1.3.10 永久占地：指</w:t>
      </w:r>
      <w:r>
        <w:rPr>
          <w:rFonts w:hint="eastAsia" w:ascii="宋体" w:hAnsi="宋体" w:eastAsia="宋体" w:cs="宋体"/>
          <w:color w:val="auto"/>
          <w:kern w:val="0"/>
          <w:highlight w:val="none"/>
        </w:rPr>
        <w:t>为实施本工程需永久占用</w:t>
      </w:r>
      <w:r>
        <w:rPr>
          <w:rFonts w:hint="eastAsia" w:ascii="宋体" w:hAnsi="宋体" w:eastAsia="宋体" w:cs="宋体"/>
          <w:color w:val="auto"/>
          <w:highlight w:val="none"/>
        </w:rPr>
        <w:t>的土地。</w:t>
      </w:r>
    </w:p>
    <w:p w14:paraId="2FED9C4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1.1.3.11 临时占地：指实施本工程需临时占用的土地。本项目</w:t>
      </w:r>
      <w:r>
        <w:rPr>
          <w:rFonts w:hint="eastAsia" w:ascii="宋体" w:hAnsi="宋体" w:eastAsia="宋体" w:cs="宋体"/>
          <w:color w:val="auto"/>
          <w:kern w:val="0"/>
          <w:highlight w:val="none"/>
        </w:rPr>
        <w:t>施工场地（包含满足工程主体范围和有效的施工作业面位置的施工水域或场地，以及临时占地）涉及租用与复耕、补偿等均由承包人自行落实解决</w:t>
      </w:r>
      <w:r>
        <w:rPr>
          <w:rFonts w:hint="eastAsia" w:ascii="宋体" w:hAnsi="宋体" w:eastAsia="宋体" w:cs="宋体"/>
          <w:color w:val="auto"/>
          <w:highlight w:val="none"/>
        </w:rPr>
        <w:t>，办理有关手续并承担费用</w:t>
      </w:r>
      <w:r>
        <w:rPr>
          <w:rFonts w:hint="eastAsia" w:ascii="宋体" w:hAnsi="宋体" w:eastAsia="宋体" w:cs="宋体"/>
          <w:color w:val="auto"/>
          <w:kern w:val="0"/>
          <w:highlight w:val="none"/>
        </w:rPr>
        <w:t>，一切费用均包含于工程量清单施工场地及绿化补偿细目中。</w:t>
      </w:r>
    </w:p>
    <w:p w14:paraId="53B9AE3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1.1.4 日期</w:t>
      </w:r>
    </w:p>
    <w:p w14:paraId="1A62AAB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1.1.4.3工期：从开工之日起至交工证书上写明的交工日期止</w:t>
      </w:r>
      <w:r>
        <w:rPr>
          <w:rFonts w:hint="eastAsia" w:ascii="宋体" w:hAnsi="宋体" w:eastAsia="宋体" w:cs="宋体"/>
          <w:color w:val="auto"/>
          <w:kern w:val="0"/>
          <w:highlight w:val="none"/>
        </w:rPr>
        <w:t>；</w:t>
      </w:r>
    </w:p>
    <w:p w14:paraId="396C73A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阶段性工期：指单位工程中某一部分工程从开工至完成的时间。</w:t>
      </w:r>
    </w:p>
    <w:p w14:paraId="5C9D2E5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1.1.4.5 缺陷责任期：12个月</w:t>
      </w:r>
      <w:r>
        <w:rPr>
          <w:rFonts w:hint="eastAsia" w:ascii="宋体" w:hAnsi="宋体" w:eastAsia="宋体" w:cs="宋体"/>
          <w:color w:val="auto"/>
          <w:szCs w:val="24"/>
          <w:highlight w:val="none"/>
        </w:rPr>
        <w:t>（自通过</w:t>
      </w:r>
      <w:r>
        <w:rPr>
          <w:rFonts w:hint="eastAsia" w:ascii="宋体" w:hAnsi="宋体" w:eastAsia="宋体" w:cs="宋体"/>
          <w:color w:val="auto"/>
          <w:szCs w:val="24"/>
          <w:highlight w:val="none"/>
          <w:lang w:val="en-US" w:eastAsia="zh-CN"/>
        </w:rPr>
        <w:t>交（</w:t>
      </w:r>
      <w:r>
        <w:rPr>
          <w:rFonts w:hint="eastAsia" w:ascii="宋体" w:hAnsi="宋体" w:eastAsia="宋体" w:cs="宋体"/>
          <w:color w:val="auto"/>
          <w:szCs w:val="24"/>
          <w:highlight w:val="none"/>
        </w:rPr>
        <w:t>竣</w:t>
      </w:r>
      <w:r>
        <w:rPr>
          <w:rFonts w:hint="eastAsia" w:ascii="宋体" w:hAnsi="宋体" w:eastAsia="宋体" w:cs="宋体"/>
          <w:color w:val="auto"/>
          <w:szCs w:val="24"/>
          <w:highlight w:val="none"/>
          <w:lang w:val="en-US" w:eastAsia="zh-CN"/>
        </w:rPr>
        <w:t>）</w:t>
      </w:r>
      <w:r>
        <w:rPr>
          <w:rFonts w:hint="eastAsia" w:ascii="宋体" w:hAnsi="宋体" w:eastAsia="宋体" w:cs="宋体"/>
          <w:color w:val="auto"/>
          <w:szCs w:val="24"/>
          <w:highlight w:val="none"/>
        </w:rPr>
        <w:t>工验收之日起计算）</w:t>
      </w:r>
      <w:r>
        <w:rPr>
          <w:rFonts w:hint="eastAsia" w:ascii="宋体" w:hAnsi="宋体" w:eastAsia="宋体" w:cs="宋体"/>
          <w:color w:val="auto"/>
          <w:highlight w:val="none"/>
        </w:rPr>
        <w:t>。</w:t>
      </w:r>
    </w:p>
    <w:p w14:paraId="117D4753">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增加：</w:t>
      </w:r>
    </w:p>
    <w:p w14:paraId="174F62E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“1.1.5.8货币：本标段以人民币进行支付和结算。”</w:t>
      </w:r>
    </w:p>
    <w:p w14:paraId="02753F4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1.1.6.2 转包：凡承包人违反法律和不履行合同规定的责任和义务，将中标工程全部委托，或以专业分包的名义将中标工程肢解后全部委托给其它施工企业施工的行为。</w:t>
      </w:r>
    </w:p>
    <w:p w14:paraId="65EEBB2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1.4 </w:t>
      </w:r>
      <w:r>
        <w:rPr>
          <w:rFonts w:hint="eastAsia" w:ascii="宋体" w:hAnsi="宋体" w:eastAsia="宋体" w:cs="宋体"/>
          <w:b/>
          <w:color w:val="auto"/>
          <w:highlight w:val="none"/>
        </w:rPr>
        <w:t>合同文件的优先顺序</w:t>
      </w:r>
    </w:p>
    <w:p w14:paraId="73473FC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通用条款本款修改为：</w:t>
      </w:r>
    </w:p>
    <w:p w14:paraId="17194E9B">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(1)合同协议书及各种合同附件(含评标期间和合同谈判过程中的澄清文件和补充资料)；</w:t>
      </w:r>
    </w:p>
    <w:p w14:paraId="509A2F9D">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(2)中标通知书；</w:t>
      </w:r>
    </w:p>
    <w:p w14:paraId="55C9E8B1">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(3)招标补遗书；</w:t>
      </w:r>
    </w:p>
    <w:p w14:paraId="7E71F878">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(4)投标函及投标函附录；</w:t>
      </w:r>
    </w:p>
    <w:p w14:paraId="44847714">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(5)专用合同条款；</w:t>
      </w:r>
    </w:p>
    <w:p w14:paraId="6751F62D">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(6)通用合同条款；</w:t>
      </w:r>
    </w:p>
    <w:p w14:paraId="14985DBF">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(7)招标工程量清单（含工程量计价规则）</w:t>
      </w:r>
    </w:p>
    <w:p w14:paraId="330BB38A">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 xml:space="preserve">(8)技术标准和要求； </w:t>
      </w:r>
    </w:p>
    <w:p w14:paraId="11E9650B">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(9)图纸；</w:t>
      </w:r>
    </w:p>
    <w:p w14:paraId="5D3176B0">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(10)已标价工程量清单；</w:t>
      </w:r>
    </w:p>
    <w:p w14:paraId="66E05A8F">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(11)投标文件中有关人员、设备投入的承诺和施工组织设计；</w:t>
      </w:r>
    </w:p>
    <w:p w14:paraId="16FDAA82">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(12)构成本合同组成部分的其他文件。</w:t>
      </w:r>
    </w:p>
    <w:p w14:paraId="7AE5A699">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1.5 合同协议书</w:t>
      </w:r>
    </w:p>
    <w:p w14:paraId="157C28F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本款补充：</w:t>
      </w:r>
    </w:p>
    <w:p w14:paraId="7D666BB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制备本合同文件的费用由发包人承担。在合同协议书签订并生效前，投标函和中标通知书将约束双方。</w:t>
      </w:r>
    </w:p>
    <w:p w14:paraId="594E87A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1.6 </w:t>
      </w:r>
      <w:r>
        <w:rPr>
          <w:rFonts w:hint="eastAsia" w:ascii="宋体" w:hAnsi="宋体" w:eastAsia="宋体" w:cs="宋体"/>
          <w:b/>
          <w:color w:val="auto"/>
          <w:highlight w:val="none"/>
        </w:rPr>
        <w:t>图纸</w:t>
      </w:r>
    </w:p>
    <w:p w14:paraId="5758D3C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1.6.1图纸的提供</w:t>
      </w:r>
    </w:p>
    <w:p w14:paraId="74535E2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通用条款本款后增加1.6.6款：</w:t>
      </w:r>
    </w:p>
    <w:p w14:paraId="3322551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发包人提供图纸的数量：2套；</w:t>
      </w:r>
    </w:p>
    <w:p w14:paraId="4A9FBE7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发包人提供图纸的期限：合同签订之日起7日内。</w:t>
      </w:r>
    </w:p>
    <w:p w14:paraId="36D5BB8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1.6.2 承包人提供的图纸</w:t>
      </w:r>
    </w:p>
    <w:p w14:paraId="5B6D6AB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本项细化为：</w:t>
      </w:r>
    </w:p>
    <w:p w14:paraId="5A246DB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为使1.6.1款所述的施工图纸适合于经施工测量后的纵、横断面或现场具体地形或尺寸与位置变化而引起局部变更，或因合同要求与施工需要，承包人应免费向监理人提交该部分工程的施工图纸3份，并附必要的计算书、技术资料、或施工工艺图各2份供监理人批准。此类图纸应按监理人规定的格式和图幅绘制。监理人在收到承包人绘制的上述工程、工艺图、计算书和有关技术资料后14天内应予以批准或提出修改要求，承包人应按监理人提出的要求做出修改，重新向监理人提交，监理人应在7天内批准或提出进一步的修改意见。</w:t>
      </w:r>
    </w:p>
    <w:p w14:paraId="00DFFB4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1.6.3 图纸的修改</w:t>
      </w:r>
    </w:p>
    <w:p w14:paraId="69F5166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修改图纸签发期限：该工程或工程相应部位施工前7天。</w:t>
      </w:r>
    </w:p>
    <w:p w14:paraId="22D8698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1.6.4 图纸的错误</w:t>
      </w:r>
    </w:p>
    <w:p w14:paraId="4DA7D10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本项细化为：</w:t>
      </w:r>
    </w:p>
    <w:p w14:paraId="257EC7A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招标人视投标人为有经验的承包人，因此承包人必须及时发现以下图纸方面的错误。当承包人在查阅合同文件或在合同工程实施过程中，发现有关的工程设计、技术标准和要求、图纸或其他资料中的任何错误、遗漏或缺陷后，应及时通知监理人。监理人接到该通知后，应立即就此做出决定、并通知承包人和发包人。</w:t>
      </w:r>
    </w:p>
    <w:p w14:paraId="5F7F7D7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增加1.6.7款：</w:t>
      </w:r>
    </w:p>
    <w:p w14:paraId="756FEBC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1.发包人提供的图纸中的工程数量表内数值，仅供施工作业时参考，并不代表支付项目，因此不能作为计量与支付的依据。</w:t>
      </w:r>
    </w:p>
    <w:p w14:paraId="7367D6A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2.承包人施工时应核对图中标注的构造物尺寸和标高。发现错误时，应立即和监理人联系，按照监理人批准的尺寸及标高实施。</w:t>
      </w:r>
    </w:p>
    <w:p w14:paraId="323B288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合同授予后，监理人（发包人）可提供进一步的详细图纸或补充图纸，供完成施工工艺图参考。但这并不免除承包人完成施工工艺图和对施工质量负责的任何义务。承包人应向监理人提出图纸使用计划，以保证施工进度不被延误。</w:t>
      </w:r>
    </w:p>
    <w:p w14:paraId="22249A6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1.7 联络</w:t>
      </w:r>
    </w:p>
    <w:p w14:paraId="7CA96EF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1.7.2来往函件送达的期限：7日内。</w:t>
      </w:r>
    </w:p>
    <w:p w14:paraId="14144F2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1.9 严禁贿赂</w:t>
      </w:r>
    </w:p>
    <w:p w14:paraId="1FFC541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本款补充：</w:t>
      </w:r>
    </w:p>
    <w:p w14:paraId="4B268C6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合同执行过程中，发包人和承包人应严格履行《廉洁合同》约定的双方在廉政建设方面的权利和义务以及应承担的违约责任。承包人如果用行贿、送礼或其他不正当手段企图影响或已经影响了发包人或监理人员行为和(或)欲获得或已获得超出合同规定以外的额外费用，则发包人除应按有关法纪严肃处理当事人(含发包人人员和监理人员)外，因承包人的上述行为造成的工程损害、发包人的经济损失等，承包人应负一切责任，并予赔偿。情节严重者，发包人有权终止承包人在本合同项下的承包。发包人将廉政情况上报交通工程建设主管部门，按照《江苏省交通厅关于限制违反廉政合同的投标人进入交通工程建设市场的若干规定》的标准及相应处罚的规定给予承包人信用等级降低或一至三年内不得进入本省交通建设市场的处罚。</w:t>
      </w:r>
    </w:p>
    <w:p w14:paraId="1799A680">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 </w:t>
      </w:r>
      <w:r>
        <w:rPr>
          <w:rFonts w:hint="eastAsia" w:ascii="宋体" w:hAnsi="宋体" w:eastAsia="宋体" w:cs="宋体"/>
          <w:b/>
          <w:color w:val="auto"/>
          <w:highlight w:val="none"/>
        </w:rPr>
        <w:t>发包人义务</w:t>
      </w:r>
    </w:p>
    <w:p w14:paraId="48BF9A3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bCs/>
          <w:color w:val="auto"/>
          <w:highlight w:val="none"/>
        </w:rPr>
        <w:t xml:space="preserve">2.3 </w:t>
      </w:r>
      <w:r>
        <w:rPr>
          <w:rFonts w:hint="eastAsia" w:ascii="宋体" w:hAnsi="宋体" w:eastAsia="宋体" w:cs="宋体"/>
          <w:b/>
          <w:color w:val="auto"/>
          <w:highlight w:val="none"/>
        </w:rPr>
        <w:t>及时提供施工场地</w:t>
      </w:r>
    </w:p>
    <w:p w14:paraId="323347A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本款调整为：</w:t>
      </w:r>
    </w:p>
    <w:p w14:paraId="6F4978F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2.3.1本项目施工场地由承包人根据其施工组织计划自行落实，发包人提供协助。投标人应进行必要的现场踏勘，了解项目实施地的施工场地及周边地貌情况，施工场地（包含满足工程主体范围和有效的施工作业面位置的施工水域或场地，以及陆上临时占地、弃土区用地）的使用费用、弃土防尘环境保护费用及施工场地中的绿化、管线等其他设施的迁移、复原以及绿化养护等的一切费用均包含在相关子目报价中，不另行计量支付。</w:t>
      </w:r>
    </w:p>
    <w:p w14:paraId="031BF6B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2.3.2施工道路、施工用水、用电、通讯等由承包人自行落实解决。</w:t>
      </w:r>
    </w:p>
    <w:p w14:paraId="6F726F9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2.5 组织设计交底</w:t>
      </w:r>
    </w:p>
    <w:p w14:paraId="243F94D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增加：向承包人交验测量放样水准点与坐标控制点。</w:t>
      </w:r>
    </w:p>
    <w:p w14:paraId="35596BF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2.7 </w:t>
      </w:r>
      <w:r>
        <w:rPr>
          <w:rFonts w:hint="eastAsia" w:ascii="宋体" w:hAnsi="宋体" w:eastAsia="宋体" w:cs="宋体"/>
          <w:b/>
          <w:color w:val="auto"/>
          <w:highlight w:val="none"/>
        </w:rPr>
        <w:t>及时组织交工验收</w:t>
      </w:r>
    </w:p>
    <w:p w14:paraId="2895569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发包人组织交工验收的期限：承包人可就此向监理人提出交工验收申请报告后的56天。</w:t>
      </w:r>
    </w:p>
    <w:p w14:paraId="32B8F391">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3. </w:t>
      </w:r>
      <w:r>
        <w:rPr>
          <w:rFonts w:hint="eastAsia" w:ascii="宋体" w:hAnsi="宋体" w:eastAsia="宋体" w:cs="宋体"/>
          <w:b/>
          <w:color w:val="auto"/>
          <w:highlight w:val="none"/>
        </w:rPr>
        <w:t>监理人</w:t>
      </w:r>
    </w:p>
    <w:p w14:paraId="6CF9A62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3.1 </w:t>
      </w:r>
      <w:r>
        <w:rPr>
          <w:rFonts w:hint="eastAsia" w:ascii="宋体" w:hAnsi="宋体" w:eastAsia="宋体" w:cs="宋体"/>
          <w:b/>
          <w:color w:val="auto"/>
          <w:highlight w:val="none"/>
        </w:rPr>
        <w:t>监理人的职责和权力</w:t>
      </w:r>
    </w:p>
    <w:p w14:paraId="497662B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3.1.1通用条款本款内容修改为：“总监理工程师（监理人）行使的权限必须已得到发包人的批准，同时在合同实施过程中总监理工程师在其权限范围内行使其职责，须报经发包人批准后通知承包人实施。”</w:t>
      </w:r>
    </w:p>
    <w:p w14:paraId="5221706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本项补充：</w:t>
      </w:r>
    </w:p>
    <w:p w14:paraId="4851741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监理人在行使下列权利前需要经发包人事先批准：</w:t>
      </w:r>
    </w:p>
    <w:p w14:paraId="11E455F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（1）根据第4.11款下产生的费用增加额；</w:t>
      </w:r>
    </w:p>
    <w:p w14:paraId="1646540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（2）根据第11.3款、12.3款、12.4款发布开工通知、暂停施工指示或复工通知；</w:t>
      </w:r>
    </w:p>
    <w:p w14:paraId="61EC593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（3）决定第11.3款、11.4款下的工期延长；</w:t>
      </w:r>
    </w:p>
    <w:p w14:paraId="4E40349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（4）审查批准技术标准和要求或设计的变更；</w:t>
      </w:r>
    </w:p>
    <w:p w14:paraId="7494C8A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（5）根据第15.3款发出的变更指令，确定变更价格；</w:t>
      </w:r>
    </w:p>
    <w:p w14:paraId="49F16D5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（6）确定第15.4款下变更工作的单价；</w:t>
      </w:r>
    </w:p>
    <w:p w14:paraId="76E4126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（7）按照第15.6款决定有关暂列金额的使用；</w:t>
      </w:r>
    </w:p>
    <w:p w14:paraId="3A7FCE4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（8）确定第15.8款项下的暂估列金额；</w:t>
      </w:r>
    </w:p>
    <w:p w14:paraId="6A7EBB6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（9）确定第23.1款项下的索赔额；</w:t>
      </w:r>
    </w:p>
    <w:p w14:paraId="0C054E5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果发生紧急情况，监理人认为将造成人员伤亡，或危及本工程或邻近的财产需立即采取行动，监理人有权在未征得发包人的批准的情况下发布处理紧急情况所必需的指令，承包人应予执行。监理人应按第3.5款商定或确定因上述指令产生的合同价格的增加额。</w:t>
      </w:r>
    </w:p>
    <w:p w14:paraId="4AD3D55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增加：</w:t>
      </w:r>
    </w:p>
    <w:p w14:paraId="37365A6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“3.1.4 监理人还应遵照《水运工程施工监理规范》以及监理规程行使职权。发包人将根据江苏省交通行业有关监理规定的文件编制适合本标段的监理管理办法，监理人应遵守上述办法规定。</w:t>
      </w:r>
    </w:p>
    <w:p w14:paraId="7E06939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3.1.5 监理人的职责和权限尚应遵守监理合同中的规定。发包人将对监理人员实行考勤制度，必须保证监理人员每月至少有21天在现场。”</w:t>
      </w:r>
    </w:p>
    <w:p w14:paraId="4C07ACF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3.3 监理人员</w:t>
      </w:r>
    </w:p>
    <w:p w14:paraId="22EA926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3.3.4 第3.5款约定的责任和权力能否授权或委托给其他监理人员：否。</w:t>
      </w:r>
    </w:p>
    <w:p w14:paraId="69E0426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3.4 监理人的指示</w:t>
      </w:r>
    </w:p>
    <w:p w14:paraId="5031891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通用条款3.4.5内容修改为：“由于监理人未能按合同约定发出指示、指示延误或指示错误而导致承包人费用增加和（或）工期延误的，由监理人承担赔偿责任。”</w:t>
      </w:r>
    </w:p>
    <w:p w14:paraId="6A90204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3.5 商定或确定</w:t>
      </w:r>
    </w:p>
    <w:p w14:paraId="4AF44FF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3.5.1项补充：</w:t>
      </w:r>
    </w:p>
    <w:p w14:paraId="74CFF4A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如果这项商定或确定导致费用增加和（或）工期延长，或者涉及确定变更工程的价格，则总监理工程师在发出通知前，应征得发包人的同意。</w:t>
      </w:r>
    </w:p>
    <w:p w14:paraId="46C8C63A">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 </w:t>
      </w:r>
      <w:r>
        <w:rPr>
          <w:rFonts w:hint="eastAsia" w:ascii="宋体" w:hAnsi="宋体" w:eastAsia="宋体" w:cs="宋体"/>
          <w:b/>
          <w:color w:val="auto"/>
          <w:highlight w:val="none"/>
        </w:rPr>
        <w:t>承包人</w:t>
      </w:r>
    </w:p>
    <w:p w14:paraId="764446B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4.1 </w:t>
      </w:r>
      <w:r>
        <w:rPr>
          <w:rFonts w:hint="eastAsia" w:ascii="宋体" w:hAnsi="宋体" w:eastAsia="宋体" w:cs="宋体"/>
          <w:b/>
          <w:color w:val="auto"/>
          <w:highlight w:val="none"/>
        </w:rPr>
        <w:t>承包人的一般义务</w:t>
      </w:r>
    </w:p>
    <w:p w14:paraId="6F6A6FC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4.1.3 完成各项承包工作</w:t>
      </w:r>
    </w:p>
    <w:p w14:paraId="61AD416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承包人是否提供完成合同工作所需的劳务、材料、施工设备、工程设备和其他物品：</w:t>
      </w:r>
      <w:r>
        <w:rPr>
          <w:rFonts w:hint="eastAsia" w:ascii="宋体" w:hAnsi="宋体" w:eastAsia="宋体" w:cs="宋体"/>
          <w:color w:val="auto"/>
          <w:highlight w:val="none"/>
          <w:u w:val="single"/>
        </w:rPr>
        <w:t>是</w:t>
      </w:r>
      <w:r>
        <w:rPr>
          <w:rFonts w:hint="eastAsia" w:ascii="宋体" w:hAnsi="宋体" w:eastAsia="宋体" w:cs="宋体"/>
          <w:color w:val="auto"/>
          <w:highlight w:val="none"/>
        </w:rPr>
        <w:t>。</w:t>
      </w:r>
    </w:p>
    <w:p w14:paraId="262F315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承包人是否负责临时设施的设计、建造、运行、维护、管理和拆除：</w:t>
      </w:r>
      <w:r>
        <w:rPr>
          <w:rFonts w:hint="eastAsia" w:ascii="宋体" w:hAnsi="宋体" w:eastAsia="宋体" w:cs="宋体"/>
          <w:color w:val="auto"/>
          <w:highlight w:val="none"/>
          <w:u w:val="single"/>
        </w:rPr>
        <w:t>是</w:t>
      </w:r>
      <w:r>
        <w:rPr>
          <w:rFonts w:hint="eastAsia" w:ascii="宋体" w:hAnsi="宋体" w:eastAsia="宋体" w:cs="宋体"/>
          <w:color w:val="auto"/>
          <w:highlight w:val="none"/>
        </w:rPr>
        <w:t>。</w:t>
      </w:r>
    </w:p>
    <w:p w14:paraId="224C7DA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4.1.10 其他义务</w:t>
      </w:r>
    </w:p>
    <w:p w14:paraId="50E122D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其他义务为：</w:t>
      </w:r>
    </w:p>
    <w:p w14:paraId="6E51050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（1）在本项目竣工验收后的有效使用期内，承包人应继续承担因施工原因而引起的质量责任。</w:t>
      </w:r>
    </w:p>
    <w:p w14:paraId="45BA740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必须加强对相关隐蔽设施的保护，承包人必须事先查明情况，办理相关施工交底手续后，方可进行对隐蔽设施可能产生影响的相关项目施工，否则造成后果，除了由承包人自行承担一切责任外，发包人还将严肃追究承包人的违约责任。</w:t>
      </w:r>
    </w:p>
    <w:p w14:paraId="18697FE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承包人负责办理相关水上、水下施工许可证（如需）；承包人必须组织采用证照、手续齐全，性能良好，确保能安全施工的车辆、设备进行各项施工，在施工过程中所发生的一切安全责任均由承包人自行承担。</w:t>
      </w:r>
    </w:p>
    <w:p w14:paraId="0620F09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（4）因征地拆迁和设计变更影响，承包人应及时对施工组织和生产要素（工、料、机等）作好调整安排，避免造成停工停机损失。发包人不承担由此引起的索赔和补偿。</w:t>
      </w:r>
    </w:p>
    <w:p w14:paraId="6367CD17">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color w:val="auto"/>
          <w:highlight w:val="none"/>
        </w:rPr>
        <w:t>（5）</w:t>
      </w:r>
      <w:r>
        <w:rPr>
          <w:rFonts w:hint="eastAsia" w:ascii="宋体" w:hAnsi="宋体" w:eastAsia="宋体" w:cs="宋体"/>
          <w:b/>
          <w:bCs/>
          <w:color w:val="auto"/>
          <w:highlight w:val="none"/>
        </w:rPr>
        <w:t>承包人在施工作业时，应充分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p>
    <w:p w14:paraId="083EB64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a、承包人应合理组织施工。如因承包人采取的措施不力，造成影响公用道路、航道正常安全运营而给其它部门或个人造成的一切损失、或由上述原因造成本工程工期的拖延或施工费用的增加，均由承包人自行负责。</w:t>
      </w:r>
    </w:p>
    <w:p w14:paraId="219A50F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b、在通航水域施工时，应与地方当局取得联系，设置必要的导航标志，及时发布航行通告，确保施工水域安全，合理安排施工组织计划，采取有效措施保证施工安全；标段内与其他在建工程有互扰的地段，承包人应做好与其它施工单位的协调工作。</w:t>
      </w:r>
    </w:p>
    <w:p w14:paraId="606CA73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c、</w:t>
      </w:r>
      <w:r>
        <w:rPr>
          <w:rFonts w:hint="eastAsia" w:ascii="宋体" w:hAnsi="宋体" w:eastAsia="宋体" w:cs="宋体"/>
          <w:bCs/>
          <w:color w:val="auto"/>
          <w:highlight w:val="none"/>
        </w:rPr>
        <w:t>结合当地的实际情况</w:t>
      </w:r>
      <w:r>
        <w:rPr>
          <w:rFonts w:hint="eastAsia" w:ascii="宋体" w:hAnsi="宋体" w:eastAsia="宋体" w:cs="宋体"/>
          <w:color w:val="auto"/>
          <w:highlight w:val="none"/>
        </w:rPr>
        <w:t>，一个有经验的承包人应考虑到施工过程中会发生的由于施工及各种原因造成的地方矛盾和阻工问题，承包人自行负责解决，并支付所发生的一切费用。发包人协助做好协调工作。发包人的协调不免除承包人自行解决矛盾的任何责任。</w:t>
      </w:r>
    </w:p>
    <w:p w14:paraId="0B8F4CA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（6）工程竣工时承包人应负责将便道、临时占地恢复至原来状况或满足监理人和发包人要求，复耕、整治费用由承包人承担。</w:t>
      </w:r>
    </w:p>
    <w:p w14:paraId="68C4B69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工程施工过程中，如工程确需影响到交通、航道等的正常运营以及附近建筑物的，承包人应申报监理人与发包人，并自行向相关部门申报（发包人可协助协调）获得批准后方可继续施工，并尽可能地缩短影响时间，因承包人的不作为或未按上述要求办理相关事宜而造成的有关部门的损失或相关费用，由承包人承担。</w:t>
      </w:r>
    </w:p>
    <w:p w14:paraId="6116AED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（8）鼓励承包人针对本项目进行科研试验实施，其科研成果为发包人和承包人共同拥有，相关费用由承包人自行承担。</w:t>
      </w:r>
    </w:p>
    <w:p w14:paraId="7994789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（9）合同实施期间，如果相关国家或相关行业颁发新的或更高的标准、规范，应采用新的或更高的标准或规范，合同价格不予调整。</w:t>
      </w:r>
    </w:p>
    <w:p w14:paraId="10B0BC4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10）除非合同另有规定，承包人应自行聘（雇）用当地或其他来源的职员或工人，但不得从为发包人或监理人服务的人员中招聘雇员和工人。承包人雇用员工应完善劳务注册手续，并与他雇用的员工订立劳务合同，以明确双方的权利和义务。承包人应按监理人规定的格式和间隔时间，向监理人提交一份承包人在现场的各类职员和各个工种、各等级的工人人数及装备数量统计表，这些人员和装备必须满足或超过在投标函中所列的数量和质量。若监理人认为承包人的装备和人员不能满足工程进度和质量要求，应向承包人发出增加人员和装备的指令，承包人在接到指令后14天内，必须按指令要求调整人员和装备。否则，按第22款承包人违约处理。</w:t>
      </w:r>
    </w:p>
    <w:p w14:paraId="0CFE6CB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（11）承包人应负责为其雇员安排食宿并提供各种必需的生活设施，并应采取合理的卫生防护措施和安全措施以保护其雇员的健康和安全。</w:t>
      </w:r>
    </w:p>
    <w:p w14:paraId="1F1F8DB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（12）承包人应负责其雇员的人身安全，并应按合同条款第20款的规定为其投保人身意外伤害险。</w:t>
      </w:r>
    </w:p>
    <w:p w14:paraId="659CE05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（13）承包人在处理劳务事宜时，应充分考虑和尊重法定的节假日和公认的农作季节，尊重宗教习惯和风俗习惯，由于承包人处理不当引起的费用或纠纷等责任由承包人自负。</w:t>
      </w:r>
    </w:p>
    <w:p w14:paraId="6095A09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14）施工总承包单位对承包工程项目的农民工工资支付工作负总责。如果发生违反规定拖欠或克扣民工工资行为，造成民工上访，承包人必须接受发包人暂停承包人1年期间参加发包人招标项目投标资格的违约责任，同时接受交通行政主管部门依照有关规定作出的其它处罚决定。</w:t>
      </w:r>
    </w:p>
    <w:p w14:paraId="3F7E2B9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承包人在合同执行期间应该严格执行《保障农民工工资支付条例》、《省交通运输厅关于交通工程建设领域保障农民工工资支付的意见》（苏交规〔2021〕2号）、《江苏省工程建设领域农民工工资专用账户管理细则》（苏人社规【2022】3号）、《关于进一步落实工程建设领域按月足额支付工资规定的实施意见》（苏人保监【2020】17号）、“南通市人力资源和社会保障局等七部门关于印发《江苏省工程建设领域农名工工资专用账户管理细则》的通知（通人社监【2022】5号）”、“《关于加强工程建设领域劳资专管员队伍建设和管理的通知》通治欠办发【2023】11号”、“《关于进一步推进工程项目农民工工资“月结月清”工作的通知》通人社监[2024]3号”等相关文件的规定，切实做好农民工工资保障工作，具体措施包括： </w:t>
      </w:r>
    </w:p>
    <w:p w14:paraId="1398DEC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承包人应实行农民工实名制管理制度，建立健全农民工实名制管理制度。坚持与农民工先依法签订劳动合同后进场施工，对其进行基本安全培训。承包人应配备劳资专管员，对所招用农民工的实名制管理和工资支付负直接责任。承包人应及时支付相应工资时间期限内的农民工工资，并建立进场农民工实名制管理台账，反映农民工基本信息（包括姓名、年龄、籍贯、身份证号、家庭地址、工资卡号、联系方式）、岗位技能信息（文化程度、培训信息、技能水平）、劳动合同信息、进退场时间、在岗考勤、工资支付（应发工资项目及数额，代扣、代缴、扣除项目和数额，实发工资数额，银行代发工资凭证或者农民工签字）、诚信信息等，台账报发包人备案，并至少保存至项目交工且农民工工资全部结清后三年。</w:t>
      </w:r>
    </w:p>
    <w:p w14:paraId="69208D9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b. 承包人应当按照有关规定在合同签订之日起30日内开设农民工工资专用账户，专项用于支付该工程建设项目农民工工资。开设、使用农民工工资专用账户有关资料应当由承包人妥善保存备查。</w:t>
      </w:r>
    </w:p>
    <w:p w14:paraId="46CFA41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保障每月农民工工资专用账户中的资金数额不低于当月进度款的10%，当月应发工资高于进度款10%的，承包人应当核定后上报农民工工资占工程款的比例，发包人按照最终确定的比例向工资专用账户补足不低于该比例的资金，专项用于农民工工资发放。</w:t>
      </w:r>
    </w:p>
    <w:p w14:paraId="4D31D47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c.农民工工资应当以货币形式按月支付给劳动者本人。不得克扣或者无故拖欠劳动者的工资。要确保所有参建农民工通过银行卡按月足额发放，改变只发当地最低工资标准，年终结算总额的做法。建设单位应当按照合同约定，根据施工企业的申报，按月或者按阶段将工程款中的农民工工资款项单独足额拨付到施工企业的专用账户。并对农民工工资支付情况进行监督，及时协调解决工资发放中存在的问题。</w:t>
      </w:r>
    </w:p>
    <w:p w14:paraId="4D2BCC7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d.承包人应在项目开工前，在养护现场显著位置设置“维权告示牌”，明示建设单位、养护单位及所在项目部、行业监管部门、劳资专管员，当地最低工资标准、工资支付日期等基本信息以及劳动保障监察举报投诉电话、劳动争议调解仲裁申请渠道、法律援助申请渠道、公共法律服务热线等信息。</w:t>
      </w:r>
    </w:p>
    <w:p w14:paraId="08971A6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e.支付保障管理。本项目承包人须严格按照“关于印发《江苏省工程建设领域农民工工资保证金管理办法》的通知（苏人社规〔2022〕4号）”及“《关于做好全市工程建设领域农民工工资保证金管理工作的通知》（通人社监〔2023〕2 号）”及“《关于进一步推进工程项目农民工工资“月结月清”工作的通知》（通人社监[2024]3号）”等文件的规定缴纳农民工工资保证金。由发包人或付款单位出具有权部门的相应资金来源证明作为支付担保凭证，并畅通工程款拖欠投诉举报和沟通渠道，确保工程款按约定支付，确保农民工工资按月足额支付，月结月清。 </w:t>
      </w:r>
    </w:p>
    <w:p w14:paraId="07ACFBD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（特别提醒：承包人应主动与市人力资源和社会保障局对接，并按相关文件要求及规定及时缴纳农民工工资保证金。）</w:t>
      </w:r>
    </w:p>
    <w:p w14:paraId="5E57177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f.清偿职责。因发包人未按照合同约定及时拨付工程款导致农民工工资拖欠的，发包人应当以未结清的工程款为限先行垫付被拖欠的农民工工资。因承包人拖欠工资的，应按苏人社规【2022】4号《江苏省工程建设领域农民工工资保证金管理办法》或当时所下发的最新的农民工工资保证金相关文件规定支付被拖欠的工资。且承包人必须接受发包人暂停承包人1年期间参加发包人招标项目投标资格的处罚，同时接受交通行政主管部门依照有关规定作出的其它处罚决定。</w:t>
      </w:r>
    </w:p>
    <w:p w14:paraId="44B3761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（15）根据“交通运输部《公路水运工程安全生产监督管理办法》（[2017]第25号）”的规定，承包人应配备相应的安全生产管理人员及设备；</w:t>
      </w:r>
    </w:p>
    <w:p w14:paraId="67D2EB8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（16）施工期间承包人应严格执行关于排污的环保要求。严禁随意将生活垃圾和生活污水及废弃油料直接排入水域，防止施工机械的油料泄漏。排放污染物应进行必要的处理，达到排污标准以后方可排放。</w:t>
      </w:r>
    </w:p>
    <w:p w14:paraId="3745943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（17）承包人必须使用工程所在地消防部门认可的设备，并确保通过工程所在地消防部门的验收，消防验收的相关费用包含在相关工程的单价中，不另行单独计量支付。</w:t>
      </w:r>
    </w:p>
    <w:p w14:paraId="3BF5C7C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（18）在项目实施过程中因为本工程施工或施工组织不力而导致的一切上述纠纷或安全事故及造成的一切损失均由承包人负责。</w:t>
      </w:r>
    </w:p>
    <w:p w14:paraId="1A45B97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（19）承包人应根据工程施工情况及监理人的指令，及时向监理人提交开工报告、测量报告、试验检验报告、工程质量自检报告、竣工验收申请报告及工程事故报告等。</w:t>
      </w:r>
    </w:p>
    <w:p w14:paraId="093EC5F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（20）承包人应充分认识到本标段的场地条件、自然条件、施工安全要求的特点和难点，采取适当的措施保证工程的顺利实施，并承担相应责任。</w:t>
      </w:r>
    </w:p>
    <w:p w14:paraId="783AEDE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（21）用于工程施工的一切施工机械，必须类型齐全、配套完整，并与施工质量和进度相适应，其状况应能满足工程要求，并能完成保证质量的作业。</w:t>
      </w:r>
    </w:p>
    <w:p w14:paraId="42CE4C3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（22）施工机械的使用与操作，应不使地基、结构物、邻近的公用设施、财产或其它道路受到损伤、损坏或造成污染。</w:t>
      </w:r>
    </w:p>
    <w:p w14:paraId="52C1417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（23）承包人在投标书中承诺的施工机械设备计划，必须严格执行。若监理人发出了变更指令，承包人就应按监理人的变更指令执行。</w:t>
      </w:r>
    </w:p>
    <w:p w14:paraId="2A02EFB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24）根据工程的实施，承包人在提交进度计划时应附上一份详细的进场施工机械和。表中应包括各种机械的型式、能量大小、功率、产地、出厂日期、数量以及进入工地的日期，并报监理人批准。承包人应在监理人批准的时间内将表列所有施工机械运至工地。没有监理人的书面同意，承包人不得将其运出工地。</w:t>
      </w:r>
    </w:p>
    <w:p w14:paraId="08B2650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25）承包人应遵守《中华人民共和国安全生产法》及有关指导安全、健康与环保卫生方面的法规和规范，并应提供相应的安全设施和保护器材及采取其他有效安全措施，以保护现场施工和监理人员的生命、健康及安全。</w:t>
      </w:r>
    </w:p>
    <w:p w14:paraId="7FCEDCF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（26）承包人应自费保管工程进度、隐蔽工程、试验报告、障碍物拆除以及所有影响工程的记录（包括资料、设备的来源），以备需要评定工程进度和工程质量时查阅。</w:t>
      </w:r>
    </w:p>
    <w:p w14:paraId="23E0C0E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当分部工程完成时，承包人须按施工技术总结及竣工文件编制要求，将上述原始记录、施工记录、进度照片、录像等资料编订成册，并复印2份，提交监理人。其中发包人和监理人各保存一份，原始资料由承包人保存。</w:t>
      </w:r>
    </w:p>
    <w:p w14:paraId="389749D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28）当工程接近完成时，承包人须按交通运输部相关竣工验收办法编制交工验收所需的施工技术总结及竣工文件6套，包括竣工图表和设计、施工文件两部分，最终的竣工CAD图纸文件。该文件应在交工验收前42日内提交监理人审查。</w:t>
      </w:r>
    </w:p>
    <w:p w14:paraId="40E97AA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（29）承包人应按合同条款规定制定施工场地计划表自行向当地相关部门申请，除另有规定外，施工场地退还前，承包人应自费恢复到使用前的状况。涉及工程占地所发生的一切费用和责任由承包人承担。</w:t>
      </w:r>
    </w:p>
    <w:p w14:paraId="1001E24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30）施工期间承包人应严格执行中央及省市地方政府关于施工环境保护的要求。严禁随意将生活垃圾和生活污水及废弃油料直接排入水域，防止施工机械的油料泄漏。排放污染物应进行必要的处理，达到排污标准以后方可排放。</w:t>
      </w:r>
    </w:p>
    <w:p w14:paraId="27F08CA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本项目弃土、废浆、废弃物和垃圾清理外运、处理工作由本项目承包人负全责。</w:t>
      </w:r>
    </w:p>
    <w:p w14:paraId="58FDDEA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 、承包人应按省市及地方相关管理单位弃土、排放泥浆的有关规定办理相关手续并承担相关费用，承包人弃土工作、垃圾处理必须满足发包人、环保等有关部门的相关规定，外运土方须按南通市有关渣土管理规定执行，土方、垃圾抛弃点由承包人自行考虑并承担相关费用。</w:t>
      </w:r>
    </w:p>
    <w:p w14:paraId="13FA6F5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b、承包人进场后，应布设好场内的排水系统，施工排水必须经沉淀后才能排入附近河流或下水道，排放工作由承包人负全责；</w:t>
      </w:r>
    </w:p>
    <w:p w14:paraId="1D739DF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c 、承包人不得将泥浆等废弃物和废水直接丢弃或排放于河中，应采用循环利用或统一处理，并应满足环保的相关要求；</w:t>
      </w:r>
    </w:p>
    <w:p w14:paraId="5E2CA71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d、在施工期间，承包人应对土方运输工作实行统一扎口管理，加大管理力度，完善管理制度，避免发生重大跑、冒、滴、漏现象和运输交通事故；交管部门规定若只能在夜间出土，承包人应服从交管部门的指令，合理安排施工计划；</w:t>
      </w:r>
    </w:p>
    <w:p w14:paraId="4656355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e 、在施工期间，承包人应保证各种包装的完整，严禁运输装卸过程中抛漏。</w:t>
      </w:r>
    </w:p>
    <w:p w14:paraId="5D6A0AC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f、对于弃土(泥浆)工作，应满足以下要求：</w:t>
      </w:r>
    </w:p>
    <w:p w14:paraId="7A87857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①承包人自行办理相关的土方运输许可及运输手续，所有安全文明施工及手续符合南通市渣土 运输的相关管理规定。</w:t>
      </w:r>
    </w:p>
    <w:p w14:paraId="13D0B10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②业主不提供临时堆土场与渣土堆放场地，承包人应自行调查、解决，且渣土堆放应符合南通市相关的环保管理规定。本项目外借土方发包人不提供土源，承包人自行解决。</w:t>
      </w:r>
    </w:p>
    <w:p w14:paraId="7BED3DF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③土方运输过程中不得有抛洒滴漏现象，同时按地方相关规定加强运输期间场地、道路的保洁工作；</w:t>
      </w:r>
    </w:p>
    <w:p w14:paraId="67D5655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④土方运输所经道路如发生意外抛洒滴漏的，承包人因安排保洁人员及时清理，并对道路进行冲洗。</w:t>
      </w:r>
    </w:p>
    <w:p w14:paraId="3144F5C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⑤承包人应做好土方运输管理工作，所有土方不得有私拉乱倒现象发生。</w:t>
      </w:r>
    </w:p>
    <w:p w14:paraId="4CDCE03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⑥承包人运输及回填前需提前与发包人、监理确认土方堆放地点及场地平整要求和临时覆盖事 宜。</w:t>
      </w:r>
    </w:p>
    <w:p w14:paraId="2786F8C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⑦承包人应严格进行土方运输、堆放期间的各项安全管理；临时土方堆场不做硬质化处理，土方堆放期间需按要求设置必须采取彩钢板围挡全封闭，不得透光，围挡应整洁美观，并做好防尘措施；</w:t>
      </w:r>
    </w:p>
    <w:p w14:paraId="17F4BA7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在施工期间，若因承包人违规施工而造成环境与设施的污染、破坏，发包人将要求追究承包人所有责任。</w:t>
      </w:r>
    </w:p>
    <w:p w14:paraId="7EF81CC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承包人因执行以上各项要求而发生的一切费用应含在相关细目报价中并包干使用，不单独计量 与支付。</w:t>
      </w:r>
    </w:p>
    <w:p w14:paraId="31B88CE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4.2 </w:t>
      </w:r>
      <w:r>
        <w:rPr>
          <w:rFonts w:hint="eastAsia" w:ascii="宋体" w:hAnsi="宋体" w:eastAsia="宋体" w:cs="宋体"/>
          <w:b/>
          <w:color w:val="auto"/>
          <w:highlight w:val="none"/>
        </w:rPr>
        <w:t>履约担保</w:t>
      </w:r>
    </w:p>
    <w:p w14:paraId="23457F5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修改为：</w:t>
      </w:r>
      <w:r>
        <w:rPr>
          <w:rFonts w:hint="eastAsia" w:ascii="宋体" w:hAnsi="宋体" w:cs="宋体"/>
          <w:color w:val="auto"/>
          <w:highlight w:val="none"/>
          <w:lang w:val="en-US" w:eastAsia="zh-CN"/>
        </w:rPr>
        <w:t>免收。</w:t>
      </w:r>
    </w:p>
    <w:p w14:paraId="56DF0512">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4.3 </w:t>
      </w:r>
      <w:r>
        <w:rPr>
          <w:rFonts w:hint="eastAsia" w:ascii="宋体" w:hAnsi="宋体" w:eastAsia="宋体" w:cs="宋体"/>
          <w:b/>
          <w:color w:val="auto"/>
          <w:highlight w:val="none"/>
        </w:rPr>
        <w:t>分包</w:t>
      </w:r>
    </w:p>
    <w:p w14:paraId="28640BB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本项目不允许分包。</w:t>
      </w:r>
    </w:p>
    <w:p w14:paraId="68F1616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4.4 </w:t>
      </w:r>
      <w:r>
        <w:rPr>
          <w:rFonts w:hint="eastAsia" w:ascii="宋体" w:hAnsi="宋体" w:eastAsia="宋体" w:cs="宋体"/>
          <w:b/>
          <w:color w:val="auto"/>
          <w:highlight w:val="none"/>
        </w:rPr>
        <w:t>联合体</w:t>
      </w:r>
    </w:p>
    <w:p w14:paraId="27E3329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本次项目不接受联合体。</w:t>
      </w:r>
    </w:p>
    <w:p w14:paraId="4DCA24A5">
      <w:pPr>
        <w:pStyle w:val="7"/>
        <w:pageBreakBefore w:val="0"/>
        <w:kinsoku/>
        <w:wordWrap/>
        <w:overflowPunct/>
        <w:topLinePunct w:val="0"/>
        <w:bidi w:val="0"/>
        <w:adjustRightInd w:val="0"/>
        <w:snapToGrid w:val="0"/>
        <w:spacing w:before="0" w:after="0"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Cs w:val="0"/>
          <w:color w:val="auto"/>
          <w:sz w:val="21"/>
          <w:szCs w:val="21"/>
          <w:highlight w:val="none"/>
        </w:rPr>
        <w:t>4.5 承包人项目经理</w:t>
      </w:r>
    </w:p>
    <w:p w14:paraId="4C73742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4.5.1增加：“承包人的项目经理目前应没有参加其它在建工程，并能确保在发包人规定的时间内进场，开展本工程。中标后，在整个工程实施过程中，承包人成立项目经理部，派出投标文件中承诺的项目经理。发包人将对项目经理实行考勤制度，必须保证每月至少有21天在工地现场。”</w:t>
      </w:r>
    </w:p>
    <w:p w14:paraId="00A6ED7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4.6 </w:t>
      </w:r>
      <w:r>
        <w:rPr>
          <w:rFonts w:hint="eastAsia" w:ascii="宋体" w:hAnsi="宋体" w:eastAsia="宋体" w:cs="宋体"/>
          <w:b/>
          <w:color w:val="auto"/>
          <w:highlight w:val="none"/>
        </w:rPr>
        <w:t>承包人人员的管理</w:t>
      </w:r>
    </w:p>
    <w:p w14:paraId="62EE03C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4.6.1 通用条款本款内容“28天内”修改为“7天内”</w:t>
      </w:r>
    </w:p>
    <w:p w14:paraId="48F0B3D9">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4.7 </w:t>
      </w:r>
      <w:r>
        <w:rPr>
          <w:rFonts w:hint="eastAsia" w:ascii="宋体" w:hAnsi="宋体" w:eastAsia="宋体" w:cs="宋体"/>
          <w:b/>
          <w:color w:val="auto"/>
          <w:highlight w:val="none"/>
        </w:rPr>
        <w:t>撤换承包人项目经理和其他人员</w:t>
      </w:r>
    </w:p>
    <w:p w14:paraId="69E52EF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增加：“发包人认为工程实施情况需要时，发包人即有权要求承包人立即更换项目经理</w:t>
      </w:r>
      <w:r>
        <w:rPr>
          <w:rFonts w:hint="eastAsia" w:ascii="宋体" w:hAnsi="宋体" w:eastAsia="宋体" w:cs="宋体"/>
          <w:bCs/>
          <w:color w:val="auto"/>
          <w:highlight w:val="none"/>
        </w:rPr>
        <w:t>和其他人员</w:t>
      </w:r>
      <w:r>
        <w:rPr>
          <w:rFonts w:hint="eastAsia" w:ascii="宋体" w:hAnsi="宋体" w:eastAsia="宋体" w:cs="宋体"/>
          <w:color w:val="auto"/>
          <w:highlight w:val="none"/>
        </w:rPr>
        <w:t>。对此，承包人不得拒绝。承包人无条件更换的项目经理</w:t>
      </w:r>
      <w:r>
        <w:rPr>
          <w:rFonts w:hint="eastAsia" w:ascii="宋体" w:hAnsi="宋体" w:eastAsia="宋体" w:cs="宋体"/>
          <w:bCs/>
          <w:color w:val="auto"/>
          <w:highlight w:val="none"/>
        </w:rPr>
        <w:t>和其他人员须</w:t>
      </w:r>
      <w:r>
        <w:rPr>
          <w:rFonts w:hint="eastAsia" w:ascii="宋体" w:hAnsi="宋体" w:eastAsia="宋体" w:cs="宋体"/>
          <w:color w:val="auto"/>
          <w:highlight w:val="none"/>
        </w:rPr>
        <w:t>经发包人认可。</w:t>
      </w:r>
    </w:p>
    <w:p w14:paraId="76C09FA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若承包人未经发包人同意擅自更换管理人员的，发包人将向承包人收取违约金并可在当期工程价款支付中扣除。其标准是：</w:t>
      </w:r>
    </w:p>
    <w:p w14:paraId="34F49E1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项目经理：</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万元/人•次</w:t>
      </w:r>
    </w:p>
    <w:p w14:paraId="1E4F9CD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总工、项目副经理（如有）：</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万元/人•次</w:t>
      </w:r>
    </w:p>
    <w:p w14:paraId="1D59156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安全员：</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万元/人•次</w:t>
      </w:r>
    </w:p>
    <w:p w14:paraId="7BAB16D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4.8 保障承包人人员的合法权益</w:t>
      </w:r>
    </w:p>
    <w:p w14:paraId="712A6DC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本款增加第4.8.7项：</w:t>
      </w:r>
    </w:p>
    <w:p w14:paraId="0DE6319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4.8.7 承包人应自费采取必须的卫生防护措施，经常保持现场及其驻地整洁和卫生，以保护职员和工人的健康，并应与当地卫生部门合作，根据要求在整个合同执行期间配备医务人员，防止传染病和准备常用的急救药物。在炎热的高温条件下施工时，承包人应注意采取防暑降温措施。</w:t>
      </w:r>
    </w:p>
    <w:p w14:paraId="521CCBE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4.9 </w:t>
      </w:r>
      <w:r>
        <w:rPr>
          <w:rFonts w:hint="eastAsia" w:ascii="宋体" w:hAnsi="宋体" w:eastAsia="宋体" w:cs="宋体"/>
          <w:b/>
          <w:color w:val="auto"/>
          <w:highlight w:val="none"/>
        </w:rPr>
        <w:t>工程价款应专款专用</w:t>
      </w:r>
    </w:p>
    <w:p w14:paraId="50883FA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内容修改为：“发包人按合同约定支付给承包人的各项价款应专用于合同工程。承包人应向发包人授权进行本标段的专款专用资金，不得转移或用于其他工程。发包人有权不定期对承包人工程资金使用情况进行检查，若发现承包人未能专款专用的，发包人有权暂停支付工程进度款，直至承包人的资金使用达到专款专用的要求为止。</w:t>
      </w:r>
    </w:p>
    <w:p w14:paraId="2DF7E7B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4.11 </w:t>
      </w:r>
      <w:r>
        <w:rPr>
          <w:rFonts w:hint="eastAsia" w:ascii="宋体" w:hAnsi="宋体" w:eastAsia="宋体" w:cs="宋体"/>
          <w:b/>
          <w:color w:val="auto"/>
          <w:highlight w:val="none"/>
        </w:rPr>
        <w:t>不利物质条件</w:t>
      </w:r>
    </w:p>
    <w:p w14:paraId="4C3616D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本款增加第4.11.3项：</w:t>
      </w:r>
    </w:p>
    <w:p w14:paraId="424BBA7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4.11.3 可预见的不利物质条件</w:t>
      </w:r>
    </w:p>
    <w:p w14:paraId="252D944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(1)对于合同中已经明确指出的不利物质条件无论承包人是否有其经历和经验均视为承包人在接受合同时已预见其影响，并已在签约合同价中计入其影响而可能发生的一切费用。</w:t>
      </w:r>
    </w:p>
    <w:p w14:paraId="30E5BB8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(2)对于合同未明确指出，但是在不利物质条件发生之前，监理人已经指示承包人有可能发生，但承包人未能及时采取有效措施，而导致的损失和后果均由承包人承担。</w:t>
      </w:r>
    </w:p>
    <w:p w14:paraId="7B075B8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(3)对于在没有监理人具体指令情况下，承包人已经及时采取了合理而恰当的措施，并事后为监理人接受，监理人应报发包人同意后适当考虑承包人因此增加的费用或工期。</w:t>
      </w:r>
    </w:p>
    <w:p w14:paraId="67B279BD">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bCs/>
          <w:color w:val="auto"/>
          <w:highlight w:val="none"/>
        </w:rPr>
        <w:t xml:space="preserve">5. </w:t>
      </w:r>
      <w:r>
        <w:rPr>
          <w:rFonts w:hint="eastAsia" w:ascii="宋体" w:hAnsi="宋体" w:eastAsia="宋体" w:cs="宋体"/>
          <w:b/>
          <w:color w:val="auto"/>
          <w:highlight w:val="none"/>
        </w:rPr>
        <w:t>材料和工程设备</w:t>
      </w:r>
    </w:p>
    <w:p w14:paraId="00F5527D">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5.3 </w:t>
      </w:r>
      <w:r>
        <w:rPr>
          <w:rFonts w:hint="eastAsia" w:ascii="宋体" w:hAnsi="宋体" w:eastAsia="宋体" w:cs="宋体"/>
          <w:b/>
          <w:color w:val="auto"/>
          <w:highlight w:val="none"/>
        </w:rPr>
        <w:t>材料和工程设备专用于合同工程</w:t>
      </w:r>
    </w:p>
    <w:p w14:paraId="6F4E415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通用条款本款5.3.1末增加：“否则将按第22.1款视为承包人违约。”</w:t>
      </w:r>
    </w:p>
    <w:p w14:paraId="2A79A6C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5.4 禁止使用不合格的材料和工程设备</w:t>
      </w:r>
    </w:p>
    <w:p w14:paraId="6B66C76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删除通用条款本款5.4.3内容。</w:t>
      </w:r>
    </w:p>
    <w:p w14:paraId="38270D5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bCs/>
          <w:color w:val="auto"/>
          <w:highlight w:val="none"/>
        </w:rPr>
        <w:t xml:space="preserve">6. </w:t>
      </w:r>
      <w:r>
        <w:rPr>
          <w:rFonts w:hint="eastAsia" w:ascii="宋体" w:hAnsi="宋体" w:eastAsia="宋体" w:cs="宋体"/>
          <w:b/>
          <w:color w:val="auto"/>
          <w:highlight w:val="none"/>
        </w:rPr>
        <w:t>施工设备和临时设施</w:t>
      </w:r>
    </w:p>
    <w:p w14:paraId="07270F6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6.1 </w:t>
      </w:r>
      <w:r>
        <w:rPr>
          <w:rFonts w:hint="eastAsia" w:ascii="宋体" w:hAnsi="宋体" w:eastAsia="宋体" w:cs="宋体"/>
          <w:b/>
          <w:color w:val="auto"/>
          <w:highlight w:val="none"/>
        </w:rPr>
        <w:t>承包人提供的施工设备和临时设施</w:t>
      </w:r>
    </w:p>
    <w:p w14:paraId="64B75AD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删除通用条款本款内容，改为：</w:t>
      </w:r>
    </w:p>
    <w:p w14:paraId="2125788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“6.1.1 为实施和完成本合同工程及其缺陷的修复，承包人应按“资格审查资料”中所报的设备型号、规格、数量和时间向现场调遣或租用主要施工机械及材料试验、质检仪器设备，进入施工现场的承包人设备需经监理人和发包人核查后才能投入使用。承包人更换合同约定的承包人设备的，应报监理人和发包人批准。所有施工设备不得拖延、短缺或任意更换，否则将按第22.1款视为承包人违约。</w:t>
      </w:r>
    </w:p>
    <w:p w14:paraId="37083D7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尽管承包人已按“资格审查资料”的要求提供了上述机械、设备和仪器，但当监理人或发包人认为仍不能满足现场施工的需要或不能保证工程安全和质量时，监理人或发包人有权要求承包人继续调遣或租用某些设备、仪器。承包人在接到指令后应立即执行，否则将按第22.1款视为承包人违约。</w:t>
      </w:r>
    </w:p>
    <w:p w14:paraId="6A4BBD5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6.1.2  承包人修建临时设施和（或）需要临时占地的，应由承包人办理申请手续并承担相应费用，发包人可提供协助。”</w:t>
      </w:r>
    </w:p>
    <w:p w14:paraId="1C68BC4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增加下列项：</w:t>
      </w:r>
    </w:p>
    <w:p w14:paraId="7911A0C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6.1.3 实施程序</w:t>
      </w:r>
    </w:p>
    <w:p w14:paraId="25DEF42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（1）承包人应在合同签订后的21天内将有关临时工程与设施的布置、结构等施工图纸和相关资料提交监理人审查，有义务对监理人的疑问进行解答，并在必要时修改设计直至完全获得监理人的同意。</w:t>
      </w:r>
    </w:p>
    <w:p w14:paraId="45085D2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（2）任何临时工程与设施的开工，均需经监理人书面同意。承包人应在计划的开工日期7天前向监理人书面提出相应临时工程与设施的开工申请。</w:t>
      </w:r>
    </w:p>
    <w:p w14:paraId="1B559C7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（3）临时工程与设施需经监理人验收同意后方可投入使用，但为此不应减轻承包人对其质量负责。</w:t>
      </w:r>
    </w:p>
    <w:p w14:paraId="626E15A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6.1.4 协助与拆除</w:t>
      </w:r>
    </w:p>
    <w:p w14:paraId="72B6A49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临时工程与设施开工前承包人应向当地政府有关部门（水利、航政、土地管理等机构）提出申请，并应得到其书面批准。发包人和监理人应在获得批准方面给予帮助，不论效果怎样，均不能减轻承包人在合同范围内应负的责任。</w:t>
      </w:r>
    </w:p>
    <w:p w14:paraId="2650746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（2）在不影响主体工程施工的情况下，承包人有义务为现场的其它承包人对临时工程与设施的使用提供协助配合，并不因此增加额外的费用。</w:t>
      </w:r>
    </w:p>
    <w:p w14:paraId="3C93B1D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（3）除非另有协议或监理人另有指示，永久工程竣工后，承包人应撤走、拆除和处理全部临时工程与设施。拆除的临时工程材料应尽快运出工地，直至监理人满意。</w:t>
      </w:r>
    </w:p>
    <w:p w14:paraId="7BCDD3A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6.1.5责任与义务</w:t>
      </w:r>
    </w:p>
    <w:p w14:paraId="4FCE72A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（1）由于临时工程与设施未能及时交付使用或质量问题等而造成的工程延误或可能的费用增加应由承包人负责。</w:t>
      </w:r>
    </w:p>
    <w:p w14:paraId="7DA3F46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（2）承包人应确保临时工程与设施在使用期间安全可靠，监理人对有关设计文件资料的批复不减轻承包人的任何责任。</w:t>
      </w:r>
    </w:p>
    <w:p w14:paraId="35898CF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（3）所有用于临时工程与设施的材料、设备必须符合经监理人批准的设计资料的要求，特别对于反复使用的材料和设备须通过性能检测，经监理人验收同意方可进入现场使用。</w:t>
      </w:r>
    </w:p>
    <w:p w14:paraId="58CF7E7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（4）承包人有义务对临时工程与设施在施工期的观测资料进行及时的分析、整理，并报送监理人。因承包人未能及时将有关异常的观测信息反馈给监理人而造成的延误和损失由承包人承担。</w:t>
      </w:r>
    </w:p>
    <w:p w14:paraId="2E80B3B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（5）工程实施过程中，承包人应做好与地方政府、水利、环保等行政主管部门的沟通、协调工作，相关费用由承包人自行承担。</w:t>
      </w:r>
    </w:p>
    <w:p w14:paraId="52CC843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6.1.6 其它规定</w:t>
      </w:r>
    </w:p>
    <w:p w14:paraId="4280EA0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6.1.6.1临时交通</w:t>
      </w:r>
    </w:p>
    <w:p w14:paraId="2978573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临时交通包括为保证本合同规定的工程所需的设备、材料和施工机具的运输而修建的以及因永久工程的施工需要而修建的临时道路、桥梁、码头及其附属设施等。工作内容包括临时交通的设计、施工、维护、拆除等。</w:t>
      </w:r>
    </w:p>
    <w:p w14:paraId="2D0B721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（2）要求</w:t>
      </w:r>
    </w:p>
    <w:p w14:paraId="7966672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1）承包人应将拟修建的临时道路、桥梁、码头及其附属设施的详细设计与说明，提交监理人批准。</w:t>
      </w:r>
    </w:p>
    <w:p w14:paraId="36E9359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2）本工程的施工与现有的道路、桥涵发生冲突和干扰之处，承包人都要在本工程施工之前完成改道施工或修建临时道路。临时道路应满足现有交通量的要求。</w:t>
      </w:r>
    </w:p>
    <w:p w14:paraId="389E64F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果承包人利用现有的道路作为临时道路，应将该道路进行修整、加宽、加固及设置必要的交通标志，并经监理人验收合格后方可通行。给原有道路造成损害的，应及时予以修补、加固，不得给发包人带来投诉等不良影响。</w:t>
      </w:r>
    </w:p>
    <w:p w14:paraId="79F3A0C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4）工程施工期间，承包人应配备人员对临时道路进行养护，以保证临时道路和结构物的正常通行。</w:t>
      </w:r>
    </w:p>
    <w:p w14:paraId="289CEAE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5）工程结束时，除监理人另有批准外，应将临时道路和结构物做一次全面维修保养，恢复原有的交通标志。凡因施工需要而临时增加的设施均应拆除，并应经监理人检验合格。</w:t>
      </w:r>
    </w:p>
    <w:p w14:paraId="514D0CA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6.1.6.2临时供电</w:t>
      </w:r>
    </w:p>
    <w:p w14:paraId="00A18F3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（1）临时供电包括工程的实施与保修以及承包人职工生活（包括监理人的驻地和工地实验室）所需的全部电力供应。</w:t>
      </w:r>
    </w:p>
    <w:p w14:paraId="2D27F16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（2）要求</w:t>
      </w:r>
    </w:p>
    <w:p w14:paraId="484B0A4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1）发包人不提供供电接口，承包人自行考虑。</w:t>
      </w:r>
    </w:p>
    <w:p w14:paraId="118BB24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2）电力安装工作应符合当地供电部门的规定。</w:t>
      </w:r>
    </w:p>
    <w:p w14:paraId="5F1BF80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3）承包人应配备自行发电设备以保证由于地方电网供电发生故障时或供应不足时，提供工地所需用电。发包人不承担由于承包人电力设备故障引起的损失责任。</w:t>
      </w:r>
    </w:p>
    <w:p w14:paraId="50E5E80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4）工程竣工后，经监理人同意，应拆除全部（包括自发电）临时供电线路和有关附属设备。</w:t>
      </w:r>
    </w:p>
    <w:p w14:paraId="23EF28A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6.1.6.3临时供、排水</w:t>
      </w:r>
    </w:p>
    <w:p w14:paraId="398B377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（1）临时供、排水包括本工程施工及保修的生产和职工生活所需全部用水的提供以及施工期生活污水、生产污水、雨水的排放，承包人应自行解决并承担所有费用。</w:t>
      </w:r>
    </w:p>
    <w:p w14:paraId="5870810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（2）要求</w:t>
      </w:r>
    </w:p>
    <w:p w14:paraId="5627DD4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1）承包人应将拟安装的供水管线图提交监理人审批。</w:t>
      </w:r>
    </w:p>
    <w:p w14:paraId="58BF2DD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2）生产用水应滤除飘浮杂物，水质应符合本技术标准和要求各有关项目对生产用水水质的要求。</w:t>
      </w:r>
    </w:p>
    <w:p w14:paraId="404FFED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3）生产现场要做好排水设施，保持施工场地干燥整洁，便于施工，同时减小环境污染。特别是施工机械油污水应经收集妥善处理后排放，生产、生活污水的排放应该符合国家标准《污水综合排放标准》（GB 8978-1996）的要求。</w:t>
      </w:r>
    </w:p>
    <w:p w14:paraId="7F9843E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4）生活饮用水应符合国家有关饮用水的标准和当地卫生部门的规定。室外水管冬季应采取防冻措施，避免冻裂影响生产与生活。</w:t>
      </w:r>
    </w:p>
    <w:p w14:paraId="0CBCDD0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6.1.6.4临时通信</w:t>
      </w:r>
      <w:r>
        <w:rPr>
          <w:rFonts w:hint="eastAsia" w:ascii="宋体" w:hAnsi="宋体" w:eastAsia="宋体" w:cs="宋体"/>
          <w:color w:val="auto"/>
          <w:highlight w:val="none"/>
        </w:rPr>
        <w:tab/>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441A1E6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（1）临时通信包括安设开通承包人使用的有线或无线通话设施，并承担上述线路设施的租用、安装、连接、服务等一切费用以及在合同履行期间的通信费。</w:t>
      </w:r>
    </w:p>
    <w:p w14:paraId="543A0A3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（2）要求</w:t>
      </w:r>
    </w:p>
    <w:p w14:paraId="63B9932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1）承包人如使用无线电通信设备（如对讲机等）时，应向当地无线电管理委员会注册登记，服从管理。</w:t>
      </w:r>
    </w:p>
    <w:p w14:paraId="480AEC8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2）承包人应及时缴纳通信费用，确保合同履行期间的通信畅通。</w:t>
      </w:r>
    </w:p>
    <w:p w14:paraId="418421C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6.2 </w:t>
      </w:r>
      <w:r>
        <w:rPr>
          <w:rFonts w:hint="eastAsia" w:ascii="宋体" w:hAnsi="宋体" w:eastAsia="宋体" w:cs="宋体"/>
          <w:b/>
          <w:color w:val="auto"/>
          <w:highlight w:val="none"/>
        </w:rPr>
        <w:t>发包人提供的施工设备和临时设施</w:t>
      </w:r>
    </w:p>
    <w:p w14:paraId="62387C7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发包人提供的施工设备或临时设施：</w:t>
      </w:r>
      <w:r>
        <w:rPr>
          <w:rFonts w:hint="eastAsia" w:ascii="宋体" w:hAnsi="宋体" w:eastAsia="宋体" w:cs="宋体"/>
          <w:color w:val="auto"/>
          <w:highlight w:val="none"/>
          <w:u w:val="single"/>
          <w:lang w:val="en-GB"/>
        </w:rPr>
        <w:t>无</w:t>
      </w:r>
      <w:r>
        <w:rPr>
          <w:rFonts w:hint="eastAsia" w:ascii="宋体" w:hAnsi="宋体" w:eastAsia="宋体" w:cs="宋体"/>
          <w:color w:val="auto"/>
          <w:highlight w:val="none"/>
          <w:u w:val="single"/>
        </w:rPr>
        <w:t>。</w:t>
      </w:r>
    </w:p>
    <w:p w14:paraId="0C1F2922">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7. </w:t>
      </w:r>
      <w:r>
        <w:rPr>
          <w:rFonts w:hint="eastAsia" w:ascii="宋体" w:hAnsi="宋体" w:eastAsia="宋体" w:cs="宋体"/>
          <w:b/>
          <w:color w:val="auto"/>
          <w:highlight w:val="none"/>
        </w:rPr>
        <w:t>交通运输</w:t>
      </w:r>
    </w:p>
    <w:p w14:paraId="7B10C541">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7.2 </w:t>
      </w:r>
      <w:r>
        <w:rPr>
          <w:rFonts w:hint="eastAsia" w:ascii="宋体" w:hAnsi="宋体" w:eastAsia="宋体" w:cs="宋体"/>
          <w:b/>
          <w:color w:val="auto"/>
          <w:highlight w:val="none"/>
        </w:rPr>
        <w:t>场内施工道路</w:t>
      </w:r>
    </w:p>
    <w:p w14:paraId="49368086">
      <w:pPr>
        <w:pageBreakBefore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通用条款7.2.2内容修改为：“除专用合同条款另有约定外，承包人修建的临时道路和交通设施应免费提供发包人、监理人和其他发包人认可的承包人使用。</w:t>
      </w:r>
    </w:p>
    <w:p w14:paraId="08DA98B6">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8. </w:t>
      </w:r>
      <w:r>
        <w:rPr>
          <w:rFonts w:hint="eastAsia" w:ascii="宋体" w:hAnsi="宋体" w:eastAsia="宋体" w:cs="宋体"/>
          <w:b/>
          <w:color w:val="auto"/>
          <w:highlight w:val="none"/>
        </w:rPr>
        <w:t>测量放线</w:t>
      </w:r>
    </w:p>
    <w:p w14:paraId="5ED45C6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8.1 </w:t>
      </w:r>
      <w:r>
        <w:rPr>
          <w:rFonts w:hint="eastAsia" w:ascii="宋体" w:hAnsi="宋体" w:eastAsia="宋体" w:cs="宋体"/>
          <w:b/>
          <w:color w:val="auto"/>
          <w:highlight w:val="none"/>
        </w:rPr>
        <w:t>施工控制网</w:t>
      </w:r>
    </w:p>
    <w:p w14:paraId="6905782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删除通用条款本款原内容，改为：</w:t>
      </w:r>
    </w:p>
    <w:p w14:paraId="61DA8F7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“(1)发包人施工单位进场后开工前，通过监理人向承包人提供原始控制网(基准点、基准高程等)书面资料，并现场向承包人交桩，做好交桩记录，交桩记录必须经监理人、承包人双方签字确认。</w:t>
      </w:r>
    </w:p>
    <w:p w14:paraId="0C79123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“(2)承包人应根据监理人书面移交的控制网数据，负责对原始控制网数据的复测，根据工程 施工放样的需要对控制网进行加密；</w:t>
      </w:r>
    </w:p>
    <w:p w14:paraId="0D3D142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“(3)承包人应根据本标段的测量控制需要，对已完相邻工程进行必要的复测，向监理人提出 复测报告，其费用由承包人承担；</w:t>
      </w:r>
    </w:p>
    <w:p w14:paraId="6699F9E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“(4)承包人应根据国家测绘基准、测绘系统和工程测量技术规范，按上述基准点(线)以及合同工程精度要求，测设满足施工及相关规范要求的测量控制网，并在开工之日 7 天内，将施工控制网资料报送监理人审批；</w:t>
      </w:r>
    </w:p>
    <w:p w14:paraId="3326623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承包人应负责管理施工控制网点。施工控制网点丢失或损坏的，承包人应及时修复。承包人应承担施工控制网点的管理与修复费用，并在工程竣工后将施工控制网点移交发包人。对因自身原因造成原始控制点的破坏根据相关法律法规承担相应责任，且不得因此向发包人索取可能延长的工期和可能增加的费用。”</w:t>
      </w:r>
    </w:p>
    <w:p w14:paraId="26AA811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8.2 施工测量</w:t>
      </w:r>
    </w:p>
    <w:p w14:paraId="334409C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通用条款本款增加：</w:t>
      </w:r>
    </w:p>
    <w:p w14:paraId="7596DC2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8.2.3 项: (1)承包人应对监理人提供的资料进行复测验算，以检查其准确性，承包人在得到资 料后 14 天内向监理人提交复测结果，如对上述资料有异议时，应同时通知监理人，并与其共同进行必要的检查核实，经核查的测量资料应由监理人再次以书面形式交付承包人；</w:t>
      </w:r>
    </w:p>
    <w:p w14:paraId="45593C5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应为拟建建筑物所需的结构精确地测绘定位放样负责。承包人在合同签订后21天内应将他拟定的工程测量放样计划提交监理人审查。在建筑物放样前承包人应对不同编号图纸上的高程尺寸进行核对无误后，方可按图放样；</w:t>
      </w:r>
    </w:p>
    <w:p w14:paraId="09D8006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(3)在合同执行期间，承包人应将施工中所有的标桩，进行加固保护，并对水准点、三角网点等树立易于识别的标志。承包人应对永久性测量标志进行保护，直至工程竣工验收后，完整地交监理人。</w:t>
      </w:r>
    </w:p>
    <w:p w14:paraId="4836A16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(4)承包人应负责施工期间的变形测量和观测，具体要求应符合《水运工程测量规范》相关的规定。</w:t>
      </w:r>
    </w:p>
    <w:p w14:paraId="6A962C2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内容，增加：“承包人负责提供与放样工作有关的劳务、机具及仪器设备。应经常对使用的测量仪器进行定期检查与校正，填写检查证书报监理人核查。在本合同工程施工过程中，如果工程任何部分的位置、标高、尺寸或线形出现超出合同规定的误差，一经发现，承包人应自费纠正，直到监理人认为符合合同规定为止。 ”</w:t>
      </w:r>
    </w:p>
    <w:p w14:paraId="7017639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8.3 基准资料错误的责任</w:t>
      </w:r>
    </w:p>
    <w:p w14:paraId="73D0D51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本款末增加：“承包人应对发包人提供的基准资料进行核实，发现错误，应及时通知监理人和发包人，否则应承担相应责任。”</w:t>
      </w:r>
    </w:p>
    <w:p w14:paraId="4B301B7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8.4 监理人使用施工控制网</w:t>
      </w:r>
    </w:p>
    <w:p w14:paraId="421E3BA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通用条款本款内容修改为：“监理人使用施工控制网的，承包人应提供必要的协助，发包人不再为此支付费用。施工控制网应无偿提供给发包人、监理人、发包人许可的其它承包人使用。”</w:t>
      </w:r>
    </w:p>
    <w:p w14:paraId="49FA8937">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9. 施工安全、治安保卫和环境保护</w:t>
      </w:r>
    </w:p>
    <w:p w14:paraId="148B0DD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9.1 发包人的施工安全责任</w:t>
      </w:r>
    </w:p>
    <w:p w14:paraId="102BD3CC">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通用条款本款末增加：</w:t>
      </w:r>
    </w:p>
    <w:p w14:paraId="7134C301">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9.1.3 项补充：“如果承包人或其雇员也对上述人身伤亡或财产损失负有部分责任时，承包人也应承担相应赔偿责任。 ”</w:t>
      </w:r>
    </w:p>
    <w:p w14:paraId="0E34AE7A">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删除本款(2)内容。</w:t>
      </w:r>
    </w:p>
    <w:p w14:paraId="67809665">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9.1.4 开展本工程安全生产经验交流，促进安全生产知识水平的提高；</w:t>
      </w:r>
    </w:p>
    <w:p w14:paraId="69F1F05B">
      <w:pPr>
        <w:pStyle w:val="47"/>
        <w:pageBreakBefore w:val="0"/>
        <w:kinsoku/>
        <w:wordWrap/>
        <w:overflowPunct/>
        <w:topLinePunct w:val="0"/>
        <w:bidi w:val="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9.1.5 法律、法规规定的其他职责。</w:t>
      </w:r>
    </w:p>
    <w:p w14:paraId="3EF538B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9.2 承包人的施工安全责任</w:t>
      </w:r>
    </w:p>
    <w:p w14:paraId="32D6FF2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15934C8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“9.2.1项细化为：</w:t>
      </w:r>
    </w:p>
    <w:p w14:paraId="4529538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应按合同约定履行安全职责，严格执行国家、地方政府有关施工安全管理方面的法律、法规及规章制度，同时严格执行发包人制订的本标段安全生产管理方面的规章制度、安全检查程序及施工安全管理要求，以及监理人有关安全工作的指示。</w:t>
      </w:r>
    </w:p>
    <w:p w14:paraId="5B4A97B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应根据本工程的实际安全施工要求，编制本工程的实施性施工安全组织设计，报监理人和发包人批准。该施组包括(但不限于)施工安全保障体系，安全生产责任制，安全生产管理规章制度，安全防护施工方案，施工现场临时用电方案，施工安全评估，安全预控及保证措施方案、工地出入管理制度、环境卫生制度、防火制度，紧急应变措施，安全标识、警示和围护方案、周围及邻近环境保护规则等。对影响安全的重要工序和下列危险性较大的工程应编制专项施工方案，并附安全验算结果，经承包人技术负责人签字并报监理人和发包人批准后实施，由专职安全生产管理人员进行现场监督。</w:t>
      </w:r>
    </w:p>
    <w:p w14:paraId="7669D8A6">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对承包人按此采取的安全保护措施,</w:t>
      </w:r>
      <w:r>
        <w:rPr>
          <w:rFonts w:hint="eastAsia" w:ascii="宋体" w:hAnsi="宋体" w:eastAsia="宋体" w:cs="宋体"/>
          <w:color w:val="auto"/>
          <w:highlight w:val="none"/>
        </w:rPr>
        <w:t>发包人和监理人有权监督，并向承包人提出整改要求,对此承包人应遵照执行,并承担可能发生的一切费用。</w:t>
      </w:r>
    </w:p>
    <w:p w14:paraId="3555173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监理人和发包人在检查中发现有安全问题或有违反安全管理规章制度的情况时，可视其情节轻重，分别给予承包人通报批评、警告、责令停工等处罚。</w:t>
      </w:r>
    </w:p>
    <w:p w14:paraId="4907AF4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9.2.8 承包人应调查了解施工地点的水文、地质、气象及海潮等情况，负责本标段的防潮和防汛的工作。为执行本款要求而发生的费用均应认为已计入承包人的报价之中，发包人将不另行支付。凡因承包人采取措施不力而造成本标段的一切损失、工期拖延及施工费用的增加等均由承包人自行负责。</w:t>
      </w:r>
    </w:p>
    <w:p w14:paraId="167041E0">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9.2.9根据“交通运输部《公路水运工程安全生产监督管理办法》（[2017]第25号）”和“</w:t>
      </w:r>
      <w:r>
        <w:rPr>
          <w:rFonts w:hint="eastAsia" w:ascii="宋体" w:hAnsi="宋体" w:eastAsia="宋体" w:cs="宋体"/>
          <w:b/>
          <w:color w:val="auto"/>
          <w:kern w:val="0"/>
          <w:highlight w:val="none"/>
          <w:lang w:val="zh-CN"/>
        </w:rPr>
        <w:t>关于印发《企业安全生产费用提取和使用管理办法》的通知(财资〔2022〕136号)</w:t>
      </w:r>
      <w:r>
        <w:rPr>
          <w:rFonts w:hint="eastAsia" w:ascii="宋体" w:hAnsi="宋体" w:eastAsia="宋体" w:cs="宋体"/>
          <w:b/>
          <w:color w:val="auto"/>
          <w:kern w:val="0"/>
          <w:highlight w:val="none"/>
        </w:rPr>
        <w:t>”的规定，承包人“安全生产费用”按招标人设定的投标控制价上限（总价）的1.5％</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lang w:val="en-US" w:eastAsia="zh-CN"/>
        </w:rPr>
        <w:t>不足1万按1万计</w:t>
      </w:r>
      <w:r>
        <w:rPr>
          <w:rFonts w:hint="eastAsia" w:ascii="宋体" w:hAnsi="宋体" w:eastAsia="宋体" w:cs="宋体"/>
          <w:b/>
          <w:color w:val="auto"/>
          <w:kern w:val="0"/>
          <w:highlight w:val="none"/>
          <w:lang w:eastAsia="zh-CN"/>
        </w:rPr>
        <w:t>）</w:t>
      </w:r>
      <w:r>
        <w:rPr>
          <w:rFonts w:hint="eastAsia" w:ascii="宋体" w:hAnsi="宋体" w:eastAsia="宋体" w:cs="宋体"/>
          <w:b/>
          <w:color w:val="auto"/>
          <w:kern w:val="0"/>
          <w:highlight w:val="none"/>
        </w:rPr>
        <w:t>计列在工程量报价汇总表中。项目实施过程中由发包人根据监理人对工程安全生产情况的签字确认进行支付(按实计量)，支付上限为投标报价中的安全生产费报价。投标人在投标报价时不得对该金额进行调整。除合同另有规定，承包人在施工过程中用于安全生产的费用若超出了安全生产费总额，超出部分费用视已包括在相关项目单价或总额价内，发包人不另行计量与支付。</w:t>
      </w:r>
    </w:p>
    <w:p w14:paraId="09C504E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(1)特殊工种(电工、电梯工、起重工、电焊工、车船驾驶员、爆破工、潜水工、瓦斯检验员等)应经过专业培训，并持有专业主管部门签发的合格证上岗；</w:t>
      </w:r>
    </w:p>
    <w:p w14:paraId="1E542B0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(2)对于易燃易爆的材料除应专门妥善保管之外，还应配备有足够的消防设备，所有施工人员都应熟悉消防设备的性能和使用方法：</w:t>
      </w:r>
    </w:p>
    <w:p w14:paraId="06146F3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(3)所有施工机具设备和高空作业设备均应定期检查，并有安全员的签字记录；</w:t>
      </w:r>
    </w:p>
    <w:p w14:paraId="11730DE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9.2.10 为了保护本标段免遭损坏，或为了现场附近和过往群众的安全与方便，在确有必要的时候和地方，或当监理人或有关主管部门要求时，承包人应自费提供照明、警卫、护栅、警告标志等安全防护设施。</w:t>
      </w:r>
    </w:p>
    <w:p w14:paraId="61EB2B0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9.2.11承包人应与地方当局取得联系，在通航水域设置必要的导航标志，及时发布航行通告，确保施工水域安全。</w:t>
      </w:r>
    </w:p>
    <w:p w14:paraId="63526E4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9.2.12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8FEECF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9.2.13发包人和监理人在检查中发现有安全违法违规行为，或对发包人、监理人检查指出问题整改不及时不闭合，或内业资料形成不及时、不完整、不规范等情况时，有权视情节轻重采取通报批评、责令停工、约谈等措施，同时有权按照《南通市航道养护专项工程安全管理处罚实施细则》进行罚款，并可在当期计量支付款中扣除。</w:t>
      </w:r>
    </w:p>
    <w:p w14:paraId="2B1A4BF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9.3 治安保卫</w:t>
      </w:r>
    </w:p>
    <w:p w14:paraId="1026D64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63AA461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9.3.4承包人应在现场建立治安管理机构或联防组织并承担相应费用，服从发包人的管理。同时承包人应加强对所有现场施工人员的管理，尽量减少对交通等正常运营的干扰。</w:t>
      </w:r>
    </w:p>
    <w:p w14:paraId="6AEDE77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9.4 环境保护</w:t>
      </w:r>
    </w:p>
    <w:p w14:paraId="49940CA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11C8A13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“9.4.7施工期间承包人应严格执行关于生态的环保措施要求，严禁捕捞和捕杀珍稀水生生物。禁止将废弃物、散体施工材料抛入河中、湖中、江中。</w:t>
      </w:r>
    </w:p>
    <w:p w14:paraId="59D0DE3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9.4.8 承包人应严格遵守海事、水利、航政、环保、渔政等有关部门的规定，切实执行保证航行安全的各项安全防护措施，并保证施工安全，严格防止污染水域，严格执行各项环保措施。</w:t>
      </w:r>
    </w:p>
    <w:p w14:paraId="039B4FC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9.4.9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80B557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9.4.10 在施工期间，承包人应随时保持现场整洁，施工设备和材料、工程设备应整齐妥善存放和贮存，废料与垃圾及不再需要的临时设施应及时从现场清除、拆除并运走。</w:t>
      </w:r>
    </w:p>
    <w:p w14:paraId="0F28D86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9.4.11承包人应对在整个施工过程中钻孔桩施工所产生的泥浆及其他污染物采取防护措施，及时将所产生泥浆等收集并运走，避免对水质及环境造成影响。</w:t>
      </w:r>
    </w:p>
    <w:p w14:paraId="2005580F">
      <w:pPr>
        <w:pageBreakBefore w:val="0"/>
        <w:widowControl/>
        <w:kinsoku/>
        <w:wordWrap/>
        <w:overflowPunct/>
        <w:topLinePunct w:val="0"/>
        <w:bidi w:val="0"/>
        <w:adjustRightInd w:val="0"/>
        <w:snapToGrid w:val="0"/>
        <w:spacing w:line="360" w:lineRule="auto"/>
        <w:ind w:firstLine="420" w:firstLineChars="200"/>
        <w:jc w:val="left"/>
        <w:rPr>
          <w:rFonts w:hint="eastAsia" w:ascii="宋体" w:hAnsi="宋体" w:eastAsia="宋体" w:cs="宋体"/>
          <w:color w:val="auto"/>
          <w:highlight w:val="none"/>
          <w:lang w:val="zh-CN"/>
        </w:rPr>
      </w:pPr>
      <w:r>
        <w:rPr>
          <w:rFonts w:hint="eastAsia" w:ascii="宋体" w:hAnsi="宋体" w:eastAsia="宋体" w:cs="宋体"/>
          <w:color w:val="auto"/>
          <w:highlight w:val="none"/>
        </w:rPr>
        <w:t>9.4.12</w:t>
      </w:r>
      <w:r>
        <w:rPr>
          <w:rFonts w:hint="eastAsia" w:ascii="宋体" w:hAnsi="宋体" w:eastAsia="宋体" w:cs="宋体"/>
          <w:color w:val="auto"/>
          <w:highlight w:val="none"/>
          <w:lang w:val="zh-CN"/>
        </w:rPr>
        <w:t>本项目位于市城区中心地带，周围有大量居民区、办公楼等民用建筑，承包人在施工过程中必须作好防尘（包括车辆及机械设备等出入清洗）、降噪（不得影响附近居民办公休息）等工作。</w:t>
      </w:r>
    </w:p>
    <w:p w14:paraId="0C70B93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如果由于承包人未执行有关规定而发生赔偿，一切损失及费用应由承包人自行承担。”</w:t>
      </w:r>
    </w:p>
    <w:p w14:paraId="683DF75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10. </w:t>
      </w:r>
      <w:r>
        <w:rPr>
          <w:rFonts w:hint="eastAsia" w:ascii="宋体" w:hAnsi="宋体" w:eastAsia="宋体" w:cs="宋体"/>
          <w:b/>
          <w:color w:val="auto"/>
          <w:highlight w:val="none"/>
        </w:rPr>
        <w:t>进度计划</w:t>
      </w:r>
    </w:p>
    <w:p w14:paraId="13E754E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10.1 </w:t>
      </w:r>
      <w:r>
        <w:rPr>
          <w:rFonts w:hint="eastAsia" w:ascii="宋体" w:hAnsi="宋体" w:eastAsia="宋体" w:cs="宋体"/>
          <w:b/>
          <w:color w:val="auto"/>
          <w:highlight w:val="none"/>
        </w:rPr>
        <w:t>合同进度计划</w:t>
      </w:r>
    </w:p>
    <w:p w14:paraId="4EA3077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删除通用条款本款原内容，改为：</w:t>
      </w:r>
    </w:p>
    <w:p w14:paraId="5EA7070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应在签订合同协议书后28天内，向监理人和发包人提交8份符合合同规定的工程进度计划，以及为完成该计划而建议采用的实施性的施工安排和施工方案的说明。监理人和发包人应在收到该计划后的14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14:paraId="3BBCBF4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10.2 </w:t>
      </w:r>
      <w:r>
        <w:rPr>
          <w:rFonts w:hint="eastAsia" w:ascii="宋体" w:hAnsi="宋体" w:eastAsia="宋体" w:cs="宋体"/>
          <w:b/>
          <w:color w:val="auto"/>
          <w:highlight w:val="none"/>
        </w:rPr>
        <w:t>合同进度计划的修订</w:t>
      </w:r>
    </w:p>
    <w:p w14:paraId="5F6BC05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删除通用条款本款原内容，改为：</w:t>
      </w:r>
    </w:p>
    <w:p w14:paraId="260B0A0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应在确保合同工期的前提下，每1个月对进度计划进行一次修订，并应在前一个进度计划的最后一个月的25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14天内将修订后的进度计划提交给监理人和发包人。修改后的工程进度计划，仍应保证本合同工程在合同规定的工期内完成。</w:t>
      </w:r>
    </w:p>
    <w:p w14:paraId="3BD9143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合同总工期未变的前提下，发包人或监理人根据工程实际情况或他认为有必要的任何其它理由而对工程分阶段所进行的进度计划调整，承包人应无条件地服从。由此而可能引起工程费用投入的变化发包人将不另考虑。”</w:t>
      </w:r>
    </w:p>
    <w:p w14:paraId="7B54CB47">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11. </w:t>
      </w:r>
      <w:r>
        <w:rPr>
          <w:rFonts w:hint="eastAsia" w:ascii="宋体" w:hAnsi="宋体" w:eastAsia="宋体" w:cs="宋体"/>
          <w:b/>
          <w:color w:val="auto"/>
          <w:highlight w:val="none"/>
        </w:rPr>
        <w:t>开工和竣工</w:t>
      </w:r>
    </w:p>
    <w:p w14:paraId="0582B93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11.1 </w:t>
      </w:r>
      <w:r>
        <w:rPr>
          <w:rFonts w:hint="eastAsia" w:ascii="宋体" w:hAnsi="宋体" w:eastAsia="宋体" w:cs="宋体"/>
          <w:b/>
          <w:color w:val="auto"/>
          <w:highlight w:val="none"/>
        </w:rPr>
        <w:t>开工</w:t>
      </w:r>
    </w:p>
    <w:p w14:paraId="5FA94D3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删除通用条款本款原内容，改为：</w:t>
      </w:r>
    </w:p>
    <w:p w14:paraId="21E1523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“工程开工分项目开工和分部工程开工两种：</w:t>
      </w:r>
    </w:p>
    <w:p w14:paraId="2CB4CA3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项目开工：承包人应在签订合同协议书后14天内向监理人提交开工报告，主要内容应包括：施工管理机构的建立，劳务、机械设备、材料的进场情况，临时设施的修建及总体施工组织设计等。开工报告经监理人审查通过并报发包人同意后，由监理人发出项目开工通知，工期自监理人发出开工令之日起计算。承包人应在开工日期后应尽快连续的施工。</w:t>
      </w:r>
    </w:p>
    <w:p w14:paraId="3176AB6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分部工程开工：承包人应在分部工程开工前14天向监理人提交分部工程开工报告，若承包人的开工准备、工作计划和质量控制方法是可接受的且已获得批准，分部工程开工报告经监理人通过并报发包人同意后，分部工程才能开工。”</w:t>
      </w:r>
    </w:p>
    <w:p w14:paraId="1D155CD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11.3</w:t>
      </w:r>
      <w:r>
        <w:rPr>
          <w:rFonts w:hint="eastAsia" w:ascii="宋体" w:hAnsi="宋体" w:eastAsia="宋体" w:cs="宋体"/>
          <w:b/>
          <w:color w:val="auto"/>
          <w:highlight w:val="none"/>
        </w:rPr>
        <w:t>发包人的工期延误</w:t>
      </w:r>
    </w:p>
    <w:p w14:paraId="50BA848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本款末增加：</w:t>
      </w:r>
    </w:p>
    <w:p w14:paraId="13ABAB6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由于发包人的延误或阻碍，影响关键线路变化的，工期延长，费用不调整；不影响关键线路变化的，工期、费用均不调整。</w:t>
      </w:r>
    </w:p>
    <w:p w14:paraId="29875CE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11.4 </w:t>
      </w:r>
      <w:r>
        <w:rPr>
          <w:rFonts w:hint="eastAsia" w:ascii="宋体" w:hAnsi="宋体" w:eastAsia="宋体" w:cs="宋体"/>
          <w:b/>
          <w:color w:val="auto"/>
          <w:highlight w:val="none"/>
        </w:rPr>
        <w:t>异常恶劣的气候条件</w:t>
      </w:r>
    </w:p>
    <w:p w14:paraId="45424AF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删除通用条款本款原内容，改为：</w:t>
      </w:r>
    </w:p>
    <w:p w14:paraId="7E5C98AB">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承包人应充分研究、估计本工程实施中的各项异常恶劣的气候条件及各项风险，合理计划安排，采取相应措施保证工期，由于气候条件影响的工期不予延长。</w:t>
      </w:r>
    </w:p>
    <w:p w14:paraId="351E6E87">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11.5 </w:t>
      </w:r>
      <w:r>
        <w:rPr>
          <w:rFonts w:hint="eastAsia" w:ascii="宋体" w:hAnsi="宋体" w:eastAsia="宋体" w:cs="宋体"/>
          <w:b/>
          <w:color w:val="auto"/>
          <w:highlight w:val="none"/>
        </w:rPr>
        <w:t>承包人的工期延误</w:t>
      </w:r>
    </w:p>
    <w:p w14:paraId="3CF0E14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通用条款本款内容修改为：“</w:t>
      </w:r>
      <w:r>
        <w:rPr>
          <w:rFonts w:hint="eastAsia" w:ascii="宋体" w:hAnsi="宋体" w:eastAsia="宋体" w:cs="宋体"/>
          <w:color w:val="auto"/>
          <w:kern w:val="0"/>
          <w:highlight w:val="none"/>
        </w:rPr>
        <w:t>由于承包人原因，未能按合同进度计划完成工作，或监理人和发包人认为承包人施工进度不能满足合同工期要求的，承包人应采取措施加快进度，并承担加快进度所增加的费用。</w:t>
      </w:r>
      <w:r>
        <w:rPr>
          <w:rFonts w:hint="eastAsia" w:ascii="宋体" w:hAnsi="宋体" w:eastAsia="宋体" w:cs="宋体"/>
          <w:b/>
          <w:color w:val="auto"/>
          <w:highlight w:val="none"/>
        </w:rPr>
        <w:t>如果承包人未能按11.2款的工期要求竣工，发包人将对承包人处以逾期竣工违约金，逾期违约金按前附表执行。</w:t>
      </w:r>
    </w:p>
    <w:p w14:paraId="65DEFAB1">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11.6 </w:t>
      </w:r>
      <w:r>
        <w:rPr>
          <w:rFonts w:hint="eastAsia" w:ascii="宋体" w:hAnsi="宋体" w:eastAsia="宋体" w:cs="宋体"/>
          <w:b/>
          <w:color w:val="auto"/>
          <w:highlight w:val="none"/>
        </w:rPr>
        <w:t>工期提前</w:t>
      </w:r>
    </w:p>
    <w:p w14:paraId="232CC0C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删除通用条款本款最后一句“</w:t>
      </w:r>
      <w:r>
        <w:rPr>
          <w:rFonts w:hint="eastAsia" w:ascii="宋体" w:hAnsi="宋体" w:eastAsia="宋体" w:cs="宋体"/>
          <w:b/>
          <w:color w:val="auto"/>
          <w:highlight w:val="none"/>
        </w:rPr>
        <w:t>发包人应承担承包人由此增加的费用，并向承包人支付专用合同条款约定的相应奖金”</w:t>
      </w:r>
      <w:r>
        <w:rPr>
          <w:rFonts w:hint="eastAsia" w:ascii="宋体" w:hAnsi="宋体" w:eastAsia="宋体" w:cs="宋体"/>
          <w:color w:val="auto"/>
          <w:highlight w:val="none"/>
        </w:rPr>
        <w:t>。</w:t>
      </w:r>
    </w:p>
    <w:p w14:paraId="2C15D572">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12.</w:t>
      </w:r>
      <w:r>
        <w:rPr>
          <w:rFonts w:hint="eastAsia" w:ascii="宋体" w:hAnsi="宋体" w:eastAsia="宋体" w:cs="宋体"/>
          <w:b/>
          <w:color w:val="auto"/>
          <w:highlight w:val="none"/>
        </w:rPr>
        <w:t>暂停施工</w:t>
      </w:r>
    </w:p>
    <w:p w14:paraId="4B14974A">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12.1 </w:t>
      </w:r>
      <w:r>
        <w:rPr>
          <w:rFonts w:hint="eastAsia" w:ascii="宋体" w:hAnsi="宋体" w:eastAsia="宋体" w:cs="宋体"/>
          <w:b/>
          <w:color w:val="auto"/>
          <w:highlight w:val="none"/>
        </w:rPr>
        <w:t>承包人暂停施工的责任</w:t>
      </w:r>
    </w:p>
    <w:p w14:paraId="54F5A6A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通用条款12.1.（2）内容，改为：“为工程合理施工和安全保障所必需的暂停施工；”</w:t>
      </w:r>
    </w:p>
    <w:p w14:paraId="2BAD3B8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通用条款12.1.（5）内容，改为：“由于气候条件引起的的暂停施工；”</w:t>
      </w:r>
    </w:p>
    <w:p w14:paraId="5E2D97D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12.2 </w:t>
      </w:r>
      <w:r>
        <w:rPr>
          <w:rFonts w:hint="eastAsia" w:ascii="宋体" w:hAnsi="宋体" w:eastAsia="宋体" w:cs="宋体"/>
          <w:b/>
          <w:color w:val="auto"/>
          <w:highlight w:val="none"/>
        </w:rPr>
        <w:t>发包人暂停施工的责任</w:t>
      </w:r>
    </w:p>
    <w:p w14:paraId="59FA4AC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通用条款本款内容修改为：“由于发包人原因引起的暂停施工所造成的工期延误的，工期延长，费用不调整。”</w:t>
      </w:r>
    </w:p>
    <w:p w14:paraId="3EE2420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12.4 </w:t>
      </w:r>
      <w:r>
        <w:rPr>
          <w:rFonts w:hint="eastAsia" w:ascii="宋体" w:hAnsi="宋体" w:eastAsia="宋体" w:cs="宋体"/>
          <w:b/>
          <w:color w:val="auto"/>
          <w:highlight w:val="none"/>
        </w:rPr>
        <w:t>暂停施工后的复工</w:t>
      </w:r>
    </w:p>
    <w:p w14:paraId="029E3F8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通用条款12.4.2款内容修改为：“承包人无故拖延和拒绝复工的，由此增加的费用和工期延误由承包人承担；因发包人原因无法按时复工的，工期给予延长，费用不调整。”</w:t>
      </w:r>
    </w:p>
    <w:p w14:paraId="48387790">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13. 工程质量</w:t>
      </w:r>
    </w:p>
    <w:p w14:paraId="5CC1167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13.1</w:t>
      </w:r>
      <w:r>
        <w:rPr>
          <w:rFonts w:hint="eastAsia" w:ascii="宋体" w:hAnsi="宋体" w:eastAsia="宋体" w:cs="宋体"/>
          <w:b/>
          <w:color w:val="auto"/>
          <w:highlight w:val="none"/>
        </w:rPr>
        <w:t>工程质量要求</w:t>
      </w:r>
    </w:p>
    <w:p w14:paraId="3B757A8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13.1.1工程质量要求：达到交通运输部发布的《水运工程质量检验标准》合格等级，且达到江苏省市场监督管理局发布的《内河航道维护技术及质量评定规范》优良等级。</w:t>
      </w:r>
    </w:p>
    <w:p w14:paraId="40E0B9B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13.2 </w:t>
      </w:r>
      <w:r>
        <w:rPr>
          <w:rFonts w:hint="eastAsia" w:ascii="宋体" w:hAnsi="宋体" w:eastAsia="宋体" w:cs="宋体"/>
          <w:b/>
          <w:color w:val="auto"/>
          <w:highlight w:val="none"/>
        </w:rPr>
        <w:t>承包人的质量管理</w:t>
      </w:r>
    </w:p>
    <w:p w14:paraId="2252B8A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4A50FD4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“13.2.3 建立质量责任制。分项施工的现场应实行标示牌管理，写明作业内容和质量要求，要认真执行三检制度，即：自检、互检、工序交接检验制度，要根据合同的规定切实作好隐蔽工程的检查工作。</w:t>
      </w:r>
    </w:p>
    <w:p w14:paraId="2706508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13.2.4 分项工程开工前必须按合同要求执行先试验再铺开的程序。</w:t>
      </w:r>
    </w:p>
    <w:p w14:paraId="623514B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13.2.5 要建立质量奖罚制度，对质量事故要严肃处理，坚持三不放过：事故原因不明不放过，不分清责任不放过，没有改进措施不放过。”</w:t>
      </w:r>
    </w:p>
    <w:p w14:paraId="7DEBC9D0">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13.3 </w:t>
      </w:r>
      <w:r>
        <w:rPr>
          <w:rFonts w:hint="eastAsia" w:ascii="宋体" w:hAnsi="宋体" w:eastAsia="宋体" w:cs="宋体"/>
          <w:b/>
          <w:color w:val="auto"/>
          <w:highlight w:val="none"/>
        </w:rPr>
        <w:t>承包人的质量检查</w:t>
      </w:r>
    </w:p>
    <w:p w14:paraId="4E548A2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6EFCB68A">
      <w:pPr>
        <w:pageBreakBefore w:val="0"/>
        <w:tabs>
          <w:tab w:val="left" w:pos="1701"/>
        </w:tabs>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“13.3.1 必须完备检验手段，要根据技术规范的规定配齐检测和试验仪器、仪表，并应及时校正确保其精度，要根据合同要求加强工地试验室的管理，要加强标准计量基础工作和材料检验工作，不得违规计量，不合格材料严禁用于本工程。</w:t>
      </w:r>
    </w:p>
    <w:p w14:paraId="43C2875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13.3.2 要加强质量监控，确保规范规定的检验、抽检频率，现场质检的原始资料必须真实、准确、可靠，不得追记，接受质量检查时必须出示原始资料。监理人有指令时，重要的隐蔽工程覆盖前应进行摄像或照相并保存现场记录。”</w:t>
      </w:r>
    </w:p>
    <w:p w14:paraId="14A2672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13.6 </w:t>
      </w:r>
      <w:r>
        <w:rPr>
          <w:rFonts w:hint="eastAsia" w:ascii="宋体" w:hAnsi="宋体" w:eastAsia="宋体" w:cs="宋体"/>
          <w:b/>
          <w:color w:val="auto"/>
          <w:highlight w:val="none"/>
        </w:rPr>
        <w:t>清除不合格工程</w:t>
      </w:r>
    </w:p>
    <w:p w14:paraId="13B56FD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删除通用条款13.6.2款。</w:t>
      </w:r>
    </w:p>
    <w:p w14:paraId="1080EFF6">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14. </w:t>
      </w:r>
      <w:r>
        <w:rPr>
          <w:rFonts w:hint="eastAsia" w:ascii="宋体" w:hAnsi="宋体" w:eastAsia="宋体" w:cs="宋体"/>
          <w:b/>
          <w:color w:val="auto"/>
          <w:highlight w:val="none"/>
        </w:rPr>
        <w:t>试验和检验</w:t>
      </w:r>
    </w:p>
    <w:p w14:paraId="38B6FFF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14.1 </w:t>
      </w:r>
      <w:r>
        <w:rPr>
          <w:rFonts w:hint="eastAsia" w:ascii="宋体" w:hAnsi="宋体" w:eastAsia="宋体" w:cs="宋体"/>
          <w:b/>
          <w:color w:val="auto"/>
          <w:highlight w:val="none"/>
        </w:rPr>
        <w:t>材料</w:t>
      </w:r>
      <w:r>
        <w:rPr>
          <w:rFonts w:hint="eastAsia" w:ascii="宋体" w:hAnsi="宋体" w:eastAsia="宋体" w:cs="宋体"/>
          <w:b/>
          <w:bCs/>
          <w:color w:val="auto"/>
          <w:highlight w:val="none"/>
        </w:rPr>
        <w:t>、</w:t>
      </w:r>
      <w:r>
        <w:rPr>
          <w:rFonts w:hint="eastAsia" w:ascii="宋体" w:hAnsi="宋体" w:eastAsia="宋体" w:cs="宋体"/>
          <w:b/>
          <w:color w:val="auto"/>
          <w:highlight w:val="none"/>
        </w:rPr>
        <w:t>工程设备和工程的试验和检验</w:t>
      </w:r>
    </w:p>
    <w:p w14:paraId="7005ED9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删除通用条款14.1.3款中 “并支付承包人合理利润”内容。</w:t>
      </w:r>
    </w:p>
    <w:p w14:paraId="20166AC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14.2 现场材料试验</w:t>
      </w:r>
    </w:p>
    <w:p w14:paraId="409FA9C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删除通用条款本款原内容，改为：</w:t>
      </w:r>
    </w:p>
    <w:p w14:paraId="6AE3051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“14.2.1 所有用于本工程的材料和设备进场以前，承包人必须向监理人提交生产厂商出具的质量合格证书和承包人检验合格证书，证明材料、设备质量符合本合同技术标准和要求的规定，以供监理人审核、批准，并报发包人备案。</w:t>
      </w:r>
    </w:p>
    <w:p w14:paraId="11F1305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14.2.2 承包人应随时按监理人的指令在制造、加工或施工现场对材料和设备进行检验。 </w:t>
      </w:r>
    </w:p>
    <w:p w14:paraId="4E77A06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14.2.3 承包人应为监理人对材料或设备的检验提供一切必要的协助，在材料用于工程之前，承包人应按监理人以及发包人的要求提供材料样品以供检验。</w:t>
      </w:r>
    </w:p>
    <w:p w14:paraId="0CAF118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14.2.4所有施工操作工艺均应符合本合同的规定，或监理人的指令。”</w:t>
      </w:r>
    </w:p>
    <w:p w14:paraId="1CF84E5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14.4 </w:t>
      </w:r>
      <w:r>
        <w:rPr>
          <w:rFonts w:hint="eastAsia" w:ascii="宋体" w:hAnsi="宋体" w:eastAsia="宋体" w:cs="宋体"/>
          <w:b/>
          <w:color w:val="auto"/>
          <w:highlight w:val="none"/>
        </w:rPr>
        <w:t>进场材料试验和检验</w:t>
      </w:r>
    </w:p>
    <w:p w14:paraId="573B535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增加本款内容：</w:t>
      </w:r>
    </w:p>
    <w:p w14:paraId="2DE79F2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(1)承包人应负责提供进行试验和检验所需的全部样品，并提供试验和检验条件。</w:t>
      </w:r>
    </w:p>
    <w:p w14:paraId="415CE0C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如果监理人所要求做的检(试)验或是在该材料或工程设备的制造、加工、制配场地以外的场所进行的，则检验结束后，如表明操作工艺或材料、工程设备未能符合合同规定，其费用应由承包人承担，否则，由发包人另行支付。</w:t>
      </w:r>
    </w:p>
    <w:p w14:paraId="0B21407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(3)发包人以及上级部门组织工程检查并发现不合格时，发包人除对承包人、监理人按规定进行处理外，所有检查费用由承包人承担。</w:t>
      </w:r>
    </w:p>
    <w:p w14:paraId="08A1F4B8">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15. 变更</w:t>
      </w:r>
    </w:p>
    <w:p w14:paraId="5A55B2B2">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15.3.1 变更的提出</w:t>
      </w:r>
    </w:p>
    <w:p w14:paraId="3561E08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3CB1923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(5)若取消工程量清单中某一子目工作，则该子目的费用不予支付；”</w:t>
      </w:r>
    </w:p>
    <w:p w14:paraId="7BB743B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15.4 </w:t>
      </w:r>
      <w:r>
        <w:rPr>
          <w:rFonts w:hint="eastAsia" w:ascii="宋体" w:hAnsi="宋体" w:eastAsia="宋体" w:cs="宋体"/>
          <w:b/>
          <w:color w:val="auto"/>
          <w:highlight w:val="none"/>
        </w:rPr>
        <w:t>变更的估价原则</w:t>
      </w:r>
    </w:p>
    <w:p w14:paraId="5B6EBF7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本款补充：</w:t>
      </w:r>
    </w:p>
    <w:p w14:paraId="44F230F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15.4.4 如果本工程的变更指示是因承包人过错、承包人违反合同或承包人责任造成的，则这种违约引起的任何额外费用应由承包人承担。</w:t>
      </w:r>
    </w:p>
    <w:p w14:paraId="03371CB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15.5 承包人的合理化建议</w:t>
      </w:r>
    </w:p>
    <w:p w14:paraId="2509AD4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15.5.2 承包人提出的合理化建议的奖励办法：由发包人与承包人按照实际效益协商确定。</w:t>
      </w:r>
    </w:p>
    <w:p w14:paraId="2D5B42A3">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15.6 暂列金额</w:t>
      </w:r>
    </w:p>
    <w:p w14:paraId="343EC7B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暂列金额只能按照监理人的指示使用，并对合同价格进行相应调整。</w:t>
      </w:r>
    </w:p>
    <w:p w14:paraId="0F59838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15.7</w:t>
      </w:r>
      <w:r>
        <w:rPr>
          <w:rFonts w:hint="eastAsia" w:ascii="宋体" w:hAnsi="宋体" w:eastAsia="宋体" w:cs="宋体"/>
          <w:b/>
          <w:color w:val="auto"/>
          <w:highlight w:val="none"/>
        </w:rPr>
        <w:t>计日工</w:t>
      </w:r>
    </w:p>
    <w:p w14:paraId="5BDF2A7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删除通用条款本款全文。</w:t>
      </w:r>
    </w:p>
    <w:p w14:paraId="17AF16B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color w:val="auto"/>
          <w:highlight w:val="none"/>
        </w:rPr>
      </w:pPr>
      <w:r>
        <w:rPr>
          <w:rFonts w:hint="eastAsia" w:ascii="宋体" w:hAnsi="宋体" w:eastAsia="宋体" w:cs="宋体"/>
          <w:b/>
          <w:color w:val="auto"/>
          <w:highlight w:val="none"/>
        </w:rPr>
        <w:t>15.9款 工程变更</w:t>
      </w:r>
    </w:p>
    <w:p w14:paraId="64FABDEE">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增加15.9款：工程变更</w:t>
      </w:r>
    </w:p>
    <w:p w14:paraId="3C016EA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1.施工过程中，出现下列情况时，可以进行工程项目的增减、结构形式的局部更改、结构物位置的变动等工程变更。</w:t>
      </w:r>
    </w:p>
    <w:p w14:paraId="36F5FA2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（1）发包人认为有必要提出的工程变更；</w:t>
      </w:r>
    </w:p>
    <w:p w14:paraId="025C485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（2）施工中发现设计图纸有错误、遗漏者；</w:t>
      </w:r>
    </w:p>
    <w:p w14:paraId="475A1BB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（3）施工中发现地质条件与设计图纸不符，工程不变更就不能保证其质量者；</w:t>
      </w:r>
    </w:p>
    <w:p w14:paraId="5552A0D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（4）施工中附近建筑物或环境发生变化，不变更将影响总体布置或其它已有建筑物者。</w:t>
      </w:r>
    </w:p>
    <w:p w14:paraId="5C1B820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2.发包人提出的工程变更，由监理人向承包人下达变更令后执行。</w:t>
      </w:r>
    </w:p>
    <w:p w14:paraId="234DB7B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承包人提出的工程变更，必须报经监理人审查批准，必要时报发包人同意。复杂的工程变更，或其变更涉及或影响到主体工程结构的变化，应经由监理人会同原设计单位研究解决，重大的变更应由原设计单位进行变更设计，并应按设计文件报批程序进行审批。所有的工程变更均须由监理人向承包人下达变更令后执行。</w:t>
      </w:r>
    </w:p>
    <w:p w14:paraId="6ACC7B1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4.由于工程变更而出现的工程价格、工期等问题，应按合同条款第15、16条的规定办理。</w:t>
      </w:r>
    </w:p>
    <w:p w14:paraId="1A74E4A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16. </w:t>
      </w:r>
      <w:r>
        <w:rPr>
          <w:rFonts w:hint="eastAsia" w:ascii="宋体" w:hAnsi="宋体" w:eastAsia="宋体" w:cs="宋体"/>
          <w:b/>
          <w:color w:val="auto"/>
          <w:highlight w:val="none"/>
        </w:rPr>
        <w:t>价格调整</w:t>
      </w:r>
    </w:p>
    <w:p w14:paraId="76CC6649">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16.1 </w:t>
      </w:r>
      <w:r>
        <w:rPr>
          <w:rFonts w:hint="eastAsia" w:ascii="宋体" w:hAnsi="宋体" w:eastAsia="宋体" w:cs="宋体"/>
          <w:b/>
          <w:color w:val="auto"/>
          <w:highlight w:val="none"/>
        </w:rPr>
        <w:t>物价波动引起的价格调整</w:t>
      </w:r>
    </w:p>
    <w:p w14:paraId="3B04F627">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本款细化为：</w:t>
      </w:r>
    </w:p>
    <w:p w14:paraId="452550E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由于人工和设备等价格波动以及材料价格波动影响合同价格时，合同价格一律不予调整。</w:t>
      </w:r>
    </w:p>
    <w:p w14:paraId="602300D7">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17. 计量与支付</w:t>
      </w:r>
    </w:p>
    <w:p w14:paraId="158CE748">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17.1计量</w:t>
      </w:r>
    </w:p>
    <w:p w14:paraId="69C86FA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17.1.2计量方法</w:t>
      </w:r>
    </w:p>
    <w:p w14:paraId="151ACED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04BAD4B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工程量清单及技术规范的计量符合下列规定：</w:t>
      </w:r>
    </w:p>
    <w:p w14:paraId="5A40C0F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（1）本技术标准和要求所有工程项目，除个别注明者外，均采用中国法定的计量单位，即国际单位及国际单位制导出的辅助单位进行计量；</w:t>
      </w:r>
    </w:p>
    <w:p w14:paraId="3765E72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（2）本技术标准和要求的计量与支付，应与合同条款、工程量清单以及图纸同时阅读，工程量清单中的支付项目号和本技术标准和要求的章节编号是一致的；</w:t>
      </w:r>
    </w:p>
    <w:p w14:paraId="589DA0B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（3）任何工程项目的计量，均应按本技术标准和要求规定或监理人书面指示进行；</w:t>
      </w:r>
    </w:p>
    <w:p w14:paraId="7D1E69D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按合同提供的材料数量和完成的工程量所采用的测量与计算方法，应符合本技术标准和要求的规定。所有这些方法，应经监理人批准或指令。承包人应提供一切计量设备和条件，并保证其设备精度符合要求；</w:t>
      </w:r>
    </w:p>
    <w:p w14:paraId="244CE8F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（5）除非监理人另有准许，一切计量工作都应在监理人在场的情况下，由承包人测量、记录。有承包人签名的计量记录原本，应提交给监理人审查和保存；</w:t>
      </w:r>
    </w:p>
    <w:p w14:paraId="2B72FB2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（6）工程量应由承包人计算，由监理人审核。工程量计算的副本应提交给监理人并由监理人保存；</w:t>
      </w:r>
    </w:p>
    <w:p w14:paraId="533BE51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（7）全部必需的模板、脚手架、装备、机具、螺栓、垫圈和钢制件等其他材料，应包括在工程量清单中所列的有关支付项目中，均不单独计量；</w:t>
      </w:r>
    </w:p>
    <w:p w14:paraId="6D4B69A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（8）除监理人另有批准外，凡超过图纸所示的面积或体积，都不予计量与支付；</w:t>
      </w:r>
    </w:p>
    <w:p w14:paraId="6226A1F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承包人应严格标准计量基础工作和材料采购检验工作。水泥混凝土、高强度水泥砂浆、沥青混凝土、沥青碎石的施工现场必须使用电子计量设备称重。因不符合计量规定引发的质量问题，所发生的费用由承包人承担；</w:t>
      </w:r>
    </w:p>
    <w:p w14:paraId="0262666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（10）如本技术标准和要求规定的任何分项工程或其细目未在工程量清单中出现，则应被认为是其他相关工程的附属工作，不再另行计量。</w:t>
      </w:r>
    </w:p>
    <w:p w14:paraId="3BB0224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17.1.4 单价子目的计量</w:t>
      </w:r>
    </w:p>
    <w:p w14:paraId="022148B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通用条款本款增加：</w:t>
      </w:r>
    </w:p>
    <w:p w14:paraId="16A65BE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(7)承包人未在已标价工程量清单中填入单价或总额价的工程子目，将被认为其己包含在本合同的其他子目的单价和总额价中，发包人将不另行支付。</w:t>
      </w:r>
    </w:p>
    <w:p w14:paraId="1ED65102">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17.2 </w:t>
      </w:r>
      <w:r>
        <w:rPr>
          <w:rFonts w:hint="eastAsia" w:ascii="宋体" w:hAnsi="宋体" w:eastAsia="宋体" w:cs="宋体"/>
          <w:b/>
          <w:color w:val="auto"/>
          <w:highlight w:val="none"/>
        </w:rPr>
        <w:t>预付款</w:t>
      </w:r>
    </w:p>
    <w:p w14:paraId="56607775">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 w:val="0"/>
          <w:bCs w:val="0"/>
          <w:color w:val="auto"/>
          <w:highlight w:val="none"/>
        </w:rPr>
      </w:pPr>
      <w:r>
        <w:rPr>
          <w:rFonts w:hint="eastAsia" w:ascii="宋体" w:hAnsi="宋体" w:eastAsia="宋体" w:cs="宋体"/>
          <w:color w:val="auto"/>
          <w:highlight w:val="none"/>
          <w:lang w:val="en-US" w:eastAsia="zh-CN"/>
        </w:rPr>
        <w:t>本项目不设</w:t>
      </w:r>
      <w:r>
        <w:rPr>
          <w:rFonts w:hint="eastAsia" w:ascii="宋体" w:hAnsi="宋体" w:eastAsia="宋体" w:cs="宋体"/>
          <w:color w:val="auto"/>
          <w:highlight w:val="none"/>
        </w:rPr>
        <w:t>预付款</w:t>
      </w:r>
      <w:r>
        <w:rPr>
          <w:rFonts w:hint="eastAsia" w:ascii="宋体" w:hAnsi="宋体" w:eastAsia="宋体" w:cs="宋体"/>
          <w:b w:val="0"/>
          <w:bCs w:val="0"/>
          <w:color w:val="auto"/>
          <w:highlight w:val="none"/>
        </w:rPr>
        <w:t>。</w:t>
      </w:r>
    </w:p>
    <w:p w14:paraId="78707A3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17.3 工程进度付款</w:t>
      </w:r>
    </w:p>
    <w:p w14:paraId="24796E3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17.3.5 本项目的工程进度付款如下：</w:t>
      </w:r>
      <w:r>
        <w:rPr>
          <w:rFonts w:hint="eastAsia" w:ascii="宋体" w:hAnsi="宋体" w:eastAsia="宋体" w:cs="宋体"/>
          <w:color w:val="auto"/>
          <w:highlight w:val="none"/>
          <w:lang w:val="en-US" w:eastAsia="zh-CN"/>
        </w:rPr>
        <w:t>项目</w:t>
      </w:r>
      <w:r>
        <w:rPr>
          <w:rFonts w:hint="eastAsia" w:ascii="宋体" w:hAnsi="宋体" w:eastAsia="宋体" w:cs="宋体"/>
          <w:color w:val="auto"/>
          <w:highlight w:val="none"/>
        </w:rPr>
        <w:t>通过工程</w:t>
      </w:r>
      <w:r>
        <w:rPr>
          <w:rFonts w:hint="eastAsia" w:ascii="宋体" w:hAnsi="宋体" w:eastAsia="宋体" w:cs="宋体"/>
          <w:color w:val="auto"/>
          <w:highlight w:val="none"/>
          <w:lang w:val="en-US" w:eastAsia="zh-CN"/>
        </w:rPr>
        <w:t>交（</w:t>
      </w:r>
      <w:r>
        <w:rPr>
          <w:rFonts w:hint="eastAsia" w:ascii="宋体" w:hAnsi="宋体" w:eastAsia="宋体" w:cs="宋体"/>
          <w:color w:val="auto"/>
          <w:highlight w:val="none"/>
        </w:rPr>
        <w:t>竣</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工验收并达到质量要求且工程结算审核报告已经确认后支付至审定价的97%；余款在缺陷责任期满后付清；支付工程款的同时要求承包人向发包人提供有效发票。以上付款均不计利息。</w:t>
      </w:r>
    </w:p>
    <w:p w14:paraId="151C8F8C">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17.4 质量保证金</w:t>
      </w:r>
    </w:p>
    <w:p w14:paraId="60B43729">
      <w:pPr>
        <w:keepNext/>
        <w:keepLines/>
        <w:pageBreakBefore w:val="0"/>
        <w:kinsoku/>
        <w:wordWrap/>
        <w:overflowPunct/>
        <w:topLinePunct w:val="0"/>
        <w:bidi w:val="0"/>
        <w:adjustRightInd w:val="0"/>
        <w:snapToGrid w:val="0"/>
        <w:spacing w:line="360" w:lineRule="auto"/>
        <w:ind w:firstLine="420" w:firstLineChars="200"/>
        <w:jc w:val="left"/>
        <w:textAlignment w:val="baseline"/>
        <w:outlineLvl w:val="6"/>
        <w:rPr>
          <w:rFonts w:hint="eastAsia" w:ascii="宋体" w:hAnsi="宋体" w:eastAsia="宋体" w:cs="宋体"/>
          <w:color w:val="auto"/>
          <w:highlight w:val="none"/>
        </w:rPr>
      </w:pPr>
      <w:r>
        <w:rPr>
          <w:rFonts w:hint="eastAsia" w:ascii="宋体" w:hAnsi="宋体" w:eastAsia="宋体" w:cs="宋体"/>
          <w:color w:val="auto"/>
          <w:highlight w:val="none"/>
        </w:rPr>
        <w:t>17.4.1 删除通用条款内容并进行调整，具体详见专用合同条款数据表。</w:t>
      </w:r>
    </w:p>
    <w:p w14:paraId="40CC934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17.4.2 在第1.1.4.5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6713F3F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17.4.3 在第1.1.4.5 目约定的缺陷责任期满时，承包人没有完成缺陷责任的，发包人有权扣留与未履行责任剩余工作所需金额相应的质量保证金余额，并有权根据第19.3款约定要求延长缺陷责任期，直至完成剩余工作为止。</w:t>
      </w:r>
    </w:p>
    <w:p w14:paraId="5BF7147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17.5 竣工结算</w:t>
      </w:r>
    </w:p>
    <w:p w14:paraId="27AFABD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17.5.1</w:t>
      </w:r>
      <w:r>
        <w:rPr>
          <w:rFonts w:hint="eastAsia" w:ascii="宋体" w:hAnsi="宋体" w:eastAsia="宋体" w:cs="宋体"/>
          <w:color w:val="auto"/>
          <w:kern w:val="0"/>
          <w:highlight w:val="none"/>
        </w:rPr>
        <w:t>竣工付款申请单</w:t>
      </w:r>
    </w:p>
    <w:p w14:paraId="252E0DC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在合同工程通过竣工验收后28天内，承包人向监理人提交一份竣工结算文件即竣工付款申请单和相关证明文件，竣工付款申请单应包括下列内容：竣工结算合同总价、发包人已支付承包人的工程价款、应支付的竣工付款金额以及承包人根据合同规定认为应该付给他的任何其他的款项。</w:t>
      </w:r>
    </w:p>
    <w:p w14:paraId="2D99C73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（2）监理人对竣工付款申请单有异议的，有权要求承包人进行修正和提供补充资料。经监理人和承包人协商后，由承包人向监理人提交修正后的竣工付款申请单。</w:t>
      </w:r>
    </w:p>
    <w:p w14:paraId="54E7E40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17.5.2竣工付款证书及支付时间</w:t>
      </w:r>
    </w:p>
    <w:p w14:paraId="3AAB2C1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（1）监理人在收到承包人提交的竣工付款申请单后的14 天内完成核查，提出发包人到期应支付给承包人的价款送发包人审核并抄送承包人。说明：</w:t>
      </w:r>
    </w:p>
    <w:p w14:paraId="1456007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a、监理人认为根据合同规定的最后应付的款项；以及</w:t>
      </w:r>
    </w:p>
    <w:p w14:paraId="750E092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b、在对发包人以前所付的全部款项和发包人根据合同规定应得的全部款项予以确认后，发包人欠承包人或承包人欠发包人的差额(如有)。</w:t>
      </w:r>
    </w:p>
    <w:p w14:paraId="394E7BB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发包人应在收到后28 天内审核完毕，由监理人向承包人出具经发包人签认的竣工付款证书。</w:t>
      </w:r>
    </w:p>
    <w:p w14:paraId="0A2B00A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highlight w:val="none"/>
        </w:rPr>
        <w:t>（2）发包人应在监理人出具竣工付款证书后的28天內，将以上竣工结算款项支付给承包人。</w:t>
      </w:r>
    </w:p>
    <w:p w14:paraId="1757FC8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（3）承包人对发包人签认的竣工付款证书有异议的，发包人可出具竣工付款申请单中承包人已同意部分的临时付款证书。存在争议的部分，按第24 条的约定办理。</w:t>
      </w:r>
    </w:p>
    <w:p w14:paraId="423CD7B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（4）竣工付款涉及政府投资资金的，按第17.3.3（４）目的约定办理。</w:t>
      </w:r>
    </w:p>
    <w:p w14:paraId="43E7D90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17．6最终结清</w:t>
      </w:r>
    </w:p>
    <w:p w14:paraId="4052156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17.6.1最终结清申请单</w:t>
      </w:r>
    </w:p>
    <w:p w14:paraId="7D22298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 承包人内向监理人提交最终结清申请单(包括相关证明材料)的份数：</w:t>
      </w:r>
      <w:r>
        <w:rPr>
          <w:rFonts w:hint="eastAsia" w:ascii="宋体" w:hAnsi="宋体" w:eastAsia="宋体" w:cs="宋体"/>
          <w:color w:val="auto"/>
          <w:highlight w:val="none"/>
          <w:u w:val="single"/>
        </w:rPr>
        <w:t>一式六份。</w:t>
      </w:r>
      <w:r>
        <w:rPr>
          <w:rFonts w:hint="eastAsia" w:ascii="宋体" w:hAnsi="宋体" w:eastAsia="宋体" w:cs="宋体"/>
          <w:color w:val="auto"/>
          <w:highlight w:val="none"/>
        </w:rPr>
        <w:t>最终结清申请单中的总金额应认为是代表了根据合同规定应付给承包人的全部款项的最后结算。</w:t>
      </w:r>
    </w:p>
    <w:p w14:paraId="6010F74F">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18  竣工验收</w:t>
      </w:r>
    </w:p>
    <w:p w14:paraId="42C273A0">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18.1 竣工验收的含义</w:t>
      </w:r>
    </w:p>
    <w:p w14:paraId="274B0A5E">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本款增加第18.1.4项</w:t>
      </w:r>
    </w:p>
    <w:p w14:paraId="699961B6">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18.1.4 交(竣)工验收按照交通运输部发布的《水运工程质量检验标准》和江苏省市场监督管理局发布的《内河航道维护技术及质量评定规范》等相关规定执行。</w:t>
      </w:r>
    </w:p>
    <w:p w14:paraId="47E902E1">
      <w:pPr>
        <w:pStyle w:val="27"/>
        <w:pageBreakBefore w:val="0"/>
        <w:tabs>
          <w:tab w:val="left" w:pos="6326"/>
        </w:tabs>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18.3  验收</w:t>
      </w:r>
      <w:r>
        <w:rPr>
          <w:rFonts w:hint="eastAsia" w:ascii="宋体" w:hAnsi="宋体" w:eastAsia="宋体" w:cs="宋体"/>
          <w:b/>
          <w:snapToGrid w:val="0"/>
          <w:color w:val="auto"/>
          <w:kern w:val="0"/>
          <w:sz w:val="21"/>
          <w:szCs w:val="21"/>
          <w:highlight w:val="none"/>
        </w:rPr>
        <w:tab/>
      </w:r>
    </w:p>
    <w:p w14:paraId="0DA66459">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18.3.2 项补充</w:t>
      </w:r>
    </w:p>
    <w:p w14:paraId="4FEFF12C">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竣工验收由发包人主持，由发包人、监理人、质监、设计、施工、运营、管理、养护等有关部门代表组成竣工验收委员会、对本标段的工程质量进行评定，并写出竣工验收报告报交通主管部门备案。承包人应按发包人的要求提供竣工资料，并完成竣工验收准备工作。</w:t>
      </w:r>
    </w:p>
    <w:p w14:paraId="58DA1160">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18.3.5 项约定为：</w:t>
      </w:r>
    </w:p>
    <w:p w14:paraId="242259B0">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经验收合格工程的实际竣工日期，以最终提交竣工验收申请报告的提起为准，并在工程接收证 书中写明。</w:t>
      </w:r>
    </w:p>
    <w:p w14:paraId="78A2DC9B">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本款增加第 18.3.7 项</w:t>
      </w:r>
    </w:p>
    <w:p w14:paraId="0911CA72">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组织办理竣工验收和签发工程验收证书的费用由发包人承担。但按照 18.3.4 项规定达不到质量要求的竣工验收费用由承包人承担。</w:t>
      </w:r>
    </w:p>
    <w:p w14:paraId="76F3BCB3">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本条增加第 18.9 款：</w:t>
      </w:r>
    </w:p>
    <w:p w14:paraId="5A888A43">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18.9  施工技术总结及竣工文件</w:t>
      </w:r>
    </w:p>
    <w:p w14:paraId="6312ED3F">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承包人应按照《江苏省内河航道养护档案管理办法》的规定编制竣工图表和施工技术总结及竣工文件。各分部(项)工程的竣工图须在有关工程完成后，在竣工验收前 56 天，承包人须将施工技术总结及竣工文件提交监理人审查，全部工程完成后，在全部工程的工程接收证书签发前，承包人须向发包人提交 6 套监理人认为完整、合格的竣工文件。在规定期限内承包人应补充竣工资料， 并提交。</w:t>
      </w:r>
    </w:p>
    <w:p w14:paraId="04180ABF">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承包人须向监理人提交竣工文件。</w:t>
      </w:r>
    </w:p>
    <w:p w14:paraId="0ADC9B1D">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竣工文件要求：</w:t>
      </w:r>
    </w:p>
    <w:p w14:paraId="61AF5DBB">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(1)根据有关规定，本标段档案在竣工验收前必须通过档案专项验收。</w:t>
      </w:r>
    </w:p>
    <w:p w14:paraId="00A3004B">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(2)档案管理职责：负责施工文件和竣工图的收集、整理和归档工作。工程总承包单位对其 分包单位竣工档案负责。</w:t>
      </w:r>
    </w:p>
    <w:p w14:paraId="6FC0CC79">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(3)档案质量：</w:t>
      </w:r>
    </w:p>
    <w:p w14:paraId="0303A5AB">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a、所有归档文件内容真实，数据可靠，签字手续齐全，符合归档要求；</w:t>
      </w:r>
    </w:p>
    <w:p w14:paraId="1297082E">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b、竣工图编制准确、修改到位，签署完备，与实物相符。</w:t>
      </w:r>
    </w:p>
    <w:p w14:paraId="51EF2A1C">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c、档案收集齐全完整，并进行系统整理。案卷质量符合有关标准。</w:t>
      </w:r>
    </w:p>
    <w:p w14:paraId="539CC372">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rPr>
      </w:pPr>
      <w:r>
        <w:rPr>
          <w:rFonts w:hint="eastAsia" w:ascii="宋体" w:hAnsi="宋体" w:eastAsia="宋体" w:cs="宋体"/>
          <w:b/>
          <w:snapToGrid w:val="0"/>
          <w:color w:val="auto"/>
          <w:kern w:val="0"/>
          <w:sz w:val="21"/>
          <w:szCs w:val="21"/>
          <w:highlight w:val="none"/>
        </w:rPr>
        <w:t>(4)提交档案时间：在项目完成后三个月内向发包人提交。</w:t>
      </w:r>
    </w:p>
    <w:p w14:paraId="7CE83D74">
      <w:pPr>
        <w:pStyle w:val="27"/>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snapToGrid w:val="0"/>
          <w:color w:val="auto"/>
          <w:kern w:val="0"/>
          <w:sz w:val="21"/>
          <w:szCs w:val="21"/>
          <w:highlight w:val="none"/>
        </w:rPr>
        <w:t>(5)档案数量：竣工文件一式 2 份，竣工图 2 套。</w:t>
      </w:r>
    </w:p>
    <w:p w14:paraId="509883BB">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19. </w:t>
      </w:r>
      <w:r>
        <w:rPr>
          <w:rFonts w:hint="eastAsia" w:ascii="宋体" w:hAnsi="宋体" w:eastAsia="宋体" w:cs="宋体"/>
          <w:b/>
          <w:color w:val="auto"/>
          <w:highlight w:val="none"/>
        </w:rPr>
        <w:t>缺陷责任与保修责任</w:t>
      </w:r>
    </w:p>
    <w:p w14:paraId="1E888AC4">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19.1  缺陷责任期</w:t>
      </w:r>
    </w:p>
    <w:p w14:paraId="3C6F361D">
      <w:pPr>
        <w:pageBreakBefore w:val="0"/>
        <w:kinsoku/>
        <w:wordWrap/>
        <w:overflowPunct/>
        <w:topLinePunct w:val="0"/>
        <w:bidi w:val="0"/>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本标段缺陷责任期为12 个月</w:t>
      </w:r>
      <w:r>
        <w:rPr>
          <w:rFonts w:hint="eastAsia" w:ascii="宋体" w:hAnsi="宋体" w:eastAsia="宋体" w:cs="宋体"/>
          <w:color w:val="auto"/>
          <w:szCs w:val="24"/>
          <w:highlight w:val="none"/>
        </w:rPr>
        <w:t>（自通过</w:t>
      </w:r>
      <w:r>
        <w:rPr>
          <w:rFonts w:hint="eastAsia" w:ascii="宋体" w:hAnsi="宋体" w:eastAsia="宋体" w:cs="宋体"/>
          <w:color w:val="auto"/>
          <w:szCs w:val="24"/>
          <w:highlight w:val="none"/>
          <w:lang w:val="en-US" w:eastAsia="zh-CN"/>
        </w:rPr>
        <w:t>交（</w:t>
      </w:r>
      <w:r>
        <w:rPr>
          <w:rFonts w:hint="eastAsia" w:ascii="宋体" w:hAnsi="宋体" w:eastAsia="宋体" w:cs="宋体"/>
          <w:color w:val="auto"/>
          <w:szCs w:val="24"/>
          <w:highlight w:val="none"/>
        </w:rPr>
        <w:t>竣</w:t>
      </w:r>
      <w:r>
        <w:rPr>
          <w:rFonts w:hint="eastAsia" w:ascii="宋体" w:hAnsi="宋体" w:eastAsia="宋体" w:cs="宋体"/>
          <w:color w:val="auto"/>
          <w:szCs w:val="24"/>
          <w:highlight w:val="none"/>
          <w:lang w:val="en-US" w:eastAsia="zh-CN"/>
        </w:rPr>
        <w:t>）</w:t>
      </w:r>
      <w:r>
        <w:rPr>
          <w:rFonts w:hint="eastAsia" w:ascii="宋体" w:hAnsi="宋体" w:eastAsia="宋体" w:cs="宋体"/>
          <w:color w:val="auto"/>
          <w:szCs w:val="24"/>
          <w:highlight w:val="none"/>
        </w:rPr>
        <w:t>工验收之日起计算）</w:t>
      </w:r>
      <w:r>
        <w:rPr>
          <w:rFonts w:hint="eastAsia" w:ascii="宋体" w:hAnsi="宋体" w:eastAsia="宋体" w:cs="宋体"/>
          <w:b/>
          <w:bCs/>
          <w:color w:val="auto"/>
          <w:highlight w:val="none"/>
        </w:rPr>
        <w:t>。</w:t>
      </w:r>
    </w:p>
    <w:p w14:paraId="76A882DC">
      <w:pPr>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19.3 缺陷责任期的延长</w:t>
      </w:r>
    </w:p>
    <w:p w14:paraId="0DB8535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3D3F1AB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19.5 承包人的进入权</w:t>
      </w:r>
    </w:p>
    <w:p w14:paraId="467EF9E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本款补充：</w:t>
      </w:r>
    </w:p>
    <w:p w14:paraId="4E47F92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承包人在缺陷修复施工过程中，应服从管养单位的有关安全管理规定，由于承包人自身原因造成的人员伤亡、设备和材料的损毁及罚款等责任由承包人自负。</w:t>
      </w:r>
    </w:p>
    <w:p w14:paraId="65DA19D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19.7 保修责任</w:t>
      </w:r>
    </w:p>
    <w:p w14:paraId="4285402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本款细化为 ：</w:t>
      </w:r>
    </w:p>
    <w:p w14:paraId="53D0B89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工程保修范围为本合同所有工程，质量保修期限为缺陷责任期，承包人在缺陷负责返修以承包人原因造成的工程任何缺陷损坏，返修费用由承包人承担。因非承包人原因造成的损坏，承包人应予修复，费用由发包人承担。</w:t>
      </w:r>
    </w:p>
    <w:p w14:paraId="33D1CF4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(2)在全部工程交工验收前，已经发包人提前验收的单位工程，其保修期的起算日期相应提前。</w:t>
      </w:r>
    </w:p>
    <w:p w14:paraId="57C896A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(3)缺陷责任期内，对应由承包人负责的返修内容，承包人应在接到返修通知后 14 天内开始实施返修，并在发包人与承包人双方商定的时间内修理完毕，否则发包人有权委托其他单位或人员进行修理，其费用由承包人承担。</w:t>
      </w:r>
    </w:p>
    <w:p w14:paraId="4DB56CA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(4)缺陷责任期终止后28天内，监理人签发缺陷责任期终止证书。</w:t>
      </w:r>
    </w:p>
    <w:p w14:paraId="47FED77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(5)若承包人不履行保修义务和责任，则承包人应承担由于违约造成的法律后果，并由发包人将其违约行为上报省级交通主管部门，作为不良记录纳入信用信息管理系统。</w:t>
      </w:r>
    </w:p>
    <w:p w14:paraId="44EC74A4">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20. </w:t>
      </w:r>
      <w:r>
        <w:rPr>
          <w:rFonts w:hint="eastAsia" w:ascii="宋体" w:hAnsi="宋体" w:eastAsia="宋体" w:cs="宋体"/>
          <w:b/>
          <w:color w:val="auto"/>
          <w:highlight w:val="none"/>
        </w:rPr>
        <w:t>保险</w:t>
      </w:r>
    </w:p>
    <w:p w14:paraId="20012A8F">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20.1 </w:t>
      </w:r>
      <w:r>
        <w:rPr>
          <w:rFonts w:hint="eastAsia" w:ascii="宋体" w:hAnsi="宋体" w:eastAsia="宋体" w:cs="宋体"/>
          <w:b/>
          <w:color w:val="auto"/>
          <w:highlight w:val="none"/>
        </w:rPr>
        <w:t>工程保险</w:t>
      </w:r>
    </w:p>
    <w:p w14:paraId="3F7BA59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删除通用条款本款内容，改为：</w:t>
      </w:r>
    </w:p>
    <w:p w14:paraId="787B660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w:t>
      </w:r>
      <w:r>
        <w:rPr>
          <w:rFonts w:hint="eastAsia" w:ascii="宋体" w:hAnsi="宋体" w:eastAsia="宋体" w:cs="宋体"/>
          <w:color w:val="auto"/>
          <w:kern w:val="0"/>
          <w:highlight w:val="none"/>
        </w:rPr>
        <w:t>工程一切险与第三方责任险由投标人自行投保，其费用</w:t>
      </w:r>
      <w:r>
        <w:rPr>
          <w:rFonts w:hint="eastAsia" w:ascii="宋体" w:hAnsi="宋体" w:eastAsia="宋体" w:cs="宋体"/>
          <w:color w:val="auto"/>
          <w:kern w:val="0"/>
          <w:highlight w:val="none"/>
          <w:lang w:val="en-US" w:eastAsia="zh-CN"/>
        </w:rPr>
        <w:t>按工程量清单中报价</w:t>
      </w:r>
      <w:r>
        <w:rPr>
          <w:rFonts w:hint="eastAsia" w:ascii="宋体" w:hAnsi="宋体" w:eastAsia="宋体" w:cs="宋体"/>
          <w:color w:val="auto"/>
          <w:kern w:val="0"/>
          <w:highlight w:val="none"/>
        </w:rPr>
        <w:t>包干使用。</w:t>
      </w:r>
      <w:r>
        <w:rPr>
          <w:rFonts w:hint="eastAsia" w:ascii="宋体" w:hAnsi="宋体" w:eastAsia="宋体" w:cs="宋体"/>
          <w:color w:val="auto"/>
          <w:highlight w:val="none"/>
        </w:rPr>
        <w:t>”</w:t>
      </w:r>
    </w:p>
    <w:p w14:paraId="42A2CE1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20.4 第三者责任险</w:t>
      </w:r>
    </w:p>
    <w:p w14:paraId="45BC53D3">
      <w:pPr>
        <w:pageBreakBefore w:val="0"/>
        <w:tabs>
          <w:tab w:val="left" w:pos="3261"/>
        </w:tabs>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20.4.2 删除通用条款本款内容，修改为“</w:t>
      </w:r>
      <w:r>
        <w:rPr>
          <w:rFonts w:hint="eastAsia" w:ascii="宋体" w:hAnsi="宋体" w:eastAsia="宋体" w:cs="宋体"/>
          <w:color w:val="auto"/>
          <w:kern w:val="0"/>
          <w:highlight w:val="none"/>
        </w:rPr>
        <w:t>工程一切险与第三方责任险由投标人自行投保，其费用按工程量清单中报价包干使用。</w:t>
      </w:r>
      <w:r>
        <w:rPr>
          <w:rFonts w:hint="eastAsia" w:ascii="宋体" w:hAnsi="宋体" w:eastAsia="宋体" w:cs="宋体"/>
          <w:color w:val="auto"/>
          <w:highlight w:val="none"/>
        </w:rPr>
        <w:t>”</w:t>
      </w:r>
    </w:p>
    <w:p w14:paraId="186540A6">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20.6 对各项保险的一般要求</w:t>
      </w:r>
    </w:p>
    <w:p w14:paraId="4E1DB00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20.6.1 保险凭证和条件</w:t>
      </w:r>
    </w:p>
    <w:p w14:paraId="741B119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删除通用条款本款内容。</w:t>
      </w:r>
    </w:p>
    <w:p w14:paraId="5AB98794">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21. </w:t>
      </w:r>
      <w:r>
        <w:rPr>
          <w:rFonts w:hint="eastAsia" w:ascii="宋体" w:hAnsi="宋体" w:eastAsia="宋体" w:cs="宋体"/>
          <w:b/>
          <w:color w:val="auto"/>
          <w:highlight w:val="none"/>
        </w:rPr>
        <w:t>不可抗力</w:t>
      </w:r>
    </w:p>
    <w:p w14:paraId="32D10369">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21.1 不可抗力的确认</w:t>
      </w:r>
    </w:p>
    <w:p w14:paraId="73DE030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21.1.1 修改为：“21.1.1 不可抗力是指承包人和发包人在订立合同时不可预见，在工程施工过程中不可避免发生并不能克服的自然灾害和社会性突发事件。包括但不限于：</w:t>
      </w:r>
    </w:p>
    <w:p w14:paraId="5022CDE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(1)地震、海啸、火山爆发、泥石流、暴雨(雪)、台风、龙卷风、水灾等自然灾害；</w:t>
      </w:r>
    </w:p>
    <w:p w14:paraId="1D888F7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(2)战争、骚乱、暴动，但纯属承包人或其分包人派遣与雇用的人员由于本标段施工原因引起者除外；</w:t>
      </w:r>
    </w:p>
    <w:p w14:paraId="7B58167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(3)核反应、辐射或放射性污染；</w:t>
      </w:r>
    </w:p>
    <w:p w14:paraId="6F6349A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(4)空中飞行物体坠落或非发包人或承包人责任造成的爆炸、火灾；</w:t>
      </w:r>
    </w:p>
    <w:p w14:paraId="33094AB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(5)瘟疫。”</w:t>
      </w:r>
    </w:p>
    <w:p w14:paraId="7EF2747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color w:val="auto"/>
          <w:highlight w:val="none"/>
        </w:rPr>
      </w:pPr>
      <w:r>
        <w:rPr>
          <w:rFonts w:hint="eastAsia" w:ascii="宋体" w:hAnsi="宋体" w:eastAsia="宋体" w:cs="宋体"/>
          <w:b/>
          <w:color w:val="auto"/>
          <w:highlight w:val="none"/>
        </w:rPr>
        <w:t>21.3 不可抗力后果及其处理</w:t>
      </w:r>
    </w:p>
    <w:p w14:paraId="00BD9F7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21.3.1 不可抗力造成损害的责任</w:t>
      </w:r>
    </w:p>
    <w:p w14:paraId="0783EF4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通用条款第一句内容修改为：</w:t>
      </w:r>
    </w:p>
    <w:p w14:paraId="15E4597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“由于任何一种已投保的风险造成的损失或损害，承包人应在事故发生后根据保险方案的时限报告监理人和保险公司并向保险公司提出索赔。</w:t>
      </w:r>
    </w:p>
    <w:p w14:paraId="02F20D4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任何一种无法投保的风险造成的损失或损害，承包人应在监理人要求的范围内弥补损失或损害。同时，监理人应按照第23条规定在与承包人协商并报发包人批准后，确定合同价格的增加额，通知承包人，并抄送发包人。”</w:t>
      </w:r>
    </w:p>
    <w:p w14:paraId="0331A45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21.3.4 因不可抗力解除合同</w:t>
      </w:r>
    </w:p>
    <w:p w14:paraId="29D47DC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14:paraId="2F56DEBD">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22. </w:t>
      </w:r>
      <w:r>
        <w:rPr>
          <w:rFonts w:hint="eastAsia" w:ascii="宋体" w:hAnsi="宋体" w:eastAsia="宋体" w:cs="宋体"/>
          <w:b/>
          <w:color w:val="auto"/>
          <w:highlight w:val="none"/>
        </w:rPr>
        <w:t>违约</w:t>
      </w:r>
    </w:p>
    <w:p w14:paraId="185CBEE1">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22.1 承包人违约</w:t>
      </w:r>
    </w:p>
    <w:p w14:paraId="7554049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22.1.2 对承包人违约的处理</w:t>
      </w:r>
    </w:p>
    <w:p w14:paraId="5755DE8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3C4FC75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“如果承包人发生下列违约情况，发包人将按从工程期中支付证书或履约保函或质量保证金中课以承包人违约金：</w:t>
      </w:r>
    </w:p>
    <w:p w14:paraId="75BDAB1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（a） 承包人在签署了合同协议书之日后，投标函附表所列的工地人员必须在监理人指定的日期进场，以保证项目管理机构的有效运转。对未经监理人同意，没有按时进场或未经批准离开工地的项目经理、总工、安全工程师（员），发包人将按</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000元/人·天课以违约金；对未按时进场或未经批准离开工地的工地其他主要人员，发包人将按500元/人·天课以违约金，直至缺员进场为止。</w:t>
      </w:r>
    </w:p>
    <w:p w14:paraId="4316A5D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（b） 承包人在签署了合同协议书之日后，必须保证投标函附表所列的主要施工机械设备和材料检验、质检仪器设备在监理人指定的日期到场，以保证工程顺利开工。若“表8 拟投入本标段的主要施工、检测机械表”中所列设备不能按时进场，发包人将按</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000元/台·天课以违约金，直到设备进场为止。如果主要施工机械进场后长期不能使用，发包人有权要求承包人及时修复或更换该机械设备，直至发包人满意为止，并处</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000元/台·天课以违约金。</w:t>
      </w:r>
    </w:p>
    <w:p w14:paraId="59F0648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（c） 在工程实施期间，未经监理人和发包人批准，承包人进场的施工机械和材料试验、质检仪器设备不得撤离现场。否则，发包人将按该设备的重置价值从工程期中支付款中课以违约金。</w:t>
      </w:r>
    </w:p>
    <w:p w14:paraId="3BD37CE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（d） 在施工期间，承包人若违反施工操作及管理程序，则按5000元/次标准课以承包人的违约金；若造成人员伤亡事故，发包人将以</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万元/死亡1人，</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万元/受伤1人，课以承包人的违约金，因事故调查分析而产生的工期延误和费用增加由承包人承担。</w:t>
      </w:r>
    </w:p>
    <w:p w14:paraId="531FD42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（e） 在工程实施期间，未经监理人批准，承包人的施工人员缺员30%以上，在监理人发出3次书面警告14天后，发包人将根据合同条款的有关规定终止合同。</w:t>
      </w:r>
    </w:p>
    <w:p w14:paraId="420AC8D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（f） 承包人在施工期间如果在各种报表及检查试验记录中自己作假或诱导监理人作假，一经查实，发包人将按5万元/次课以承包人的违约金。由于假报表、假试验记录引起的工程损失费用，由承包人承担。</w:t>
      </w:r>
    </w:p>
    <w:p w14:paraId="5778B3F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（g） 承包人违反环境保护的规定，向水域排放废油或其他生产生活废弃物，按2万元/次课以承包人的违约金，并应承担其他相关部门的罚款。</w:t>
      </w:r>
    </w:p>
    <w:p w14:paraId="4A8FF76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（h）如果承包人未能按合同规定的工期要求竣工，发包人将对承包人处以逾期竣工违约金，逾期违约金按 5 千元/天执行。逾期竣工违约金不超过签约合同价的 5%。</w:t>
      </w:r>
    </w:p>
    <w:p w14:paraId="7974150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发包人可视承包人违约的严重程度采取下列措施之一：</w:t>
      </w:r>
    </w:p>
    <w:p w14:paraId="45B65DEE">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（1）即使交纳了违约金，承包人仍应按合同规定继续实施和完成本合同工程及其缺陷修复；或</w:t>
      </w:r>
    </w:p>
    <w:p w14:paraId="6CD7E02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发包人可雇用其他承包人完成部分工程。承包人无权对此提出反对意见并应按合同规定完成合同工程其它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或</w:t>
      </w:r>
    </w:p>
    <w:p w14:paraId="2F28AC4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发包人在向承包人发出书面通知的14天之后可以进驻现场和接管工程，终止承包人对本合同工程的承包，但不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合同终止后的有关事宜应按照第17和18款的规定办理。”</w:t>
      </w:r>
    </w:p>
    <w:p w14:paraId="3EA5DC09">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color w:val="auto"/>
          <w:highlight w:val="none"/>
        </w:rPr>
      </w:pPr>
      <w:r>
        <w:rPr>
          <w:rFonts w:hint="eastAsia" w:ascii="宋体" w:hAnsi="宋体" w:eastAsia="宋体" w:cs="宋体"/>
          <w:b/>
          <w:color w:val="auto"/>
          <w:highlight w:val="none"/>
        </w:rPr>
        <w:t>23. 索赔</w:t>
      </w:r>
    </w:p>
    <w:p w14:paraId="7C7B3B9E">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23.1 承包人索赔的提出</w:t>
      </w:r>
    </w:p>
    <w:p w14:paraId="25F56C4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本款(4)项细化为：</w:t>
      </w:r>
    </w:p>
    <w:p w14:paraId="7D841E2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(4)在索赔事件影响结束后的28天内，承包人应向监理人递交最终索赔通知书，说明最终要求索赔的追加付款金额和(或)延长的工期，并附必要的记录和证明材料。</w:t>
      </w:r>
    </w:p>
    <w:p w14:paraId="36B2F3C5">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23.2 承包人索赔处理程序</w:t>
      </w:r>
    </w:p>
    <w:p w14:paraId="667D83D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通用条款本款(2)项修改为：</w:t>
      </w:r>
    </w:p>
    <w:p w14:paraId="706FFF5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(2)监理人应按第3.5款商定或确定追加的付款和(或)延长的工期，并在收到上述索赔通知书或有关索赔的进一步证明材料后的42天内，将索赔处理结果报发包人批准后答复承包人。如果承包人提出的索赔要求未能遵守第23.1（2）至(4)项的规定，则承包人只限于索赔由监理人按当时记录予以核实的那部分款额和(或)工期延长天数。</w:t>
      </w:r>
    </w:p>
    <w:p w14:paraId="05B55CF5">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通用条款本款末增加：</w:t>
      </w:r>
    </w:p>
    <w:p w14:paraId="5AB0AFB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（4）由于发包人的延误或阻碍，影响关键线路变化的，工期延长，费用不调整；不影响关键线路变化的，工期费用均不调整。</w:t>
      </w:r>
    </w:p>
    <w:p w14:paraId="44317732">
      <w:pPr>
        <w:keepNext/>
        <w:pageBreakBefore w:val="0"/>
        <w:tabs>
          <w:tab w:val="left" w:pos="750"/>
        </w:tabs>
        <w:kinsoku/>
        <w:wordWrap/>
        <w:overflowPunct/>
        <w:topLinePunct w:val="0"/>
        <w:bidi w:val="0"/>
        <w:adjustRightInd w:val="0"/>
        <w:snapToGrid w:val="0"/>
        <w:spacing w:line="360" w:lineRule="auto"/>
        <w:ind w:firstLine="422" w:firstLineChars="200"/>
        <w:textAlignment w:val="baseline"/>
        <w:outlineLvl w:val="5"/>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24. </w:t>
      </w:r>
      <w:r>
        <w:rPr>
          <w:rFonts w:hint="eastAsia" w:ascii="宋体" w:hAnsi="宋体" w:eastAsia="宋体" w:cs="宋体"/>
          <w:b/>
          <w:color w:val="auto"/>
          <w:highlight w:val="none"/>
        </w:rPr>
        <w:t>争议的解决</w:t>
      </w:r>
    </w:p>
    <w:p w14:paraId="1D499DF4">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24.1 争议的解决方式</w:t>
      </w:r>
    </w:p>
    <w:p w14:paraId="1F441DC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删除通用条款本款内容，改为：</w:t>
      </w:r>
    </w:p>
    <w:p w14:paraId="4A215B7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“发包人和承包人在履行合同中发生争议的，可以友好协商解决或者提请争议评审组评审。合同当事人友好协商不成、不愿提请争议评审或者不接受争议评审组意见的，任何一方均有权向</w:t>
      </w:r>
      <w:bookmarkStart w:id="91" w:name="_Hlk164874437"/>
      <w:r>
        <w:rPr>
          <w:rFonts w:hint="eastAsia" w:ascii="宋体" w:hAnsi="宋体" w:eastAsia="宋体" w:cs="宋体"/>
          <w:color w:val="auto"/>
          <w:highlight w:val="none"/>
          <w:u w:val="single"/>
        </w:rPr>
        <w:t>工程所在地有管辖权的人民法院</w:t>
      </w:r>
      <w:bookmarkEnd w:id="91"/>
      <w:r>
        <w:rPr>
          <w:rFonts w:hint="eastAsia" w:ascii="宋体" w:hAnsi="宋体" w:eastAsia="宋体" w:cs="宋体"/>
          <w:color w:val="auto"/>
          <w:highlight w:val="none"/>
        </w:rPr>
        <w:t>提起诉讼。</w:t>
      </w:r>
    </w:p>
    <w:p w14:paraId="5FC19FE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无论在施工过程中或在工程竣工之后，无论在本合同的失效或终止之前或之后，如果发包人和承包人之间就本合同文件的条款、规定、规范、图纸、质量与进度要求、支付与扣除，延期与索赔、调价发生任何法律上、经济上或技术上的纠纷，包括对监理人作出的任何指示、指令、决定、评定、认证和估价发生纠纷，则纠纷中的问题，首先应根据本条规定书面提交监理人解决，并抄给另一方。监理人在收到此提交件后42天之内应将自己的裁定通知发包人和承包人。</w:t>
      </w:r>
    </w:p>
    <w:p w14:paraId="4F719F93">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除非本合同已被终止，承包人无论在什么情况下都应尽一切努力继续完成本工程，承包人和发包人应使监理人的上述每一项裁定付诸实施，除非并直到监理人的裁定按第 24 条规定的方式作出了更改。</w:t>
      </w:r>
    </w:p>
    <w:p w14:paraId="6C8B338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如果监理人已将其对此纠纷的裁定通知了发包人和承包人，而发包人和承包人在收到该通知之 日起的42天之内，任何一方均未向其提出要求按第24.2款进行友好协商或通过双方上级主管部门 进行调解；或者在上述协商或调解并未达成协议后的42天内，任何一方也未通知另一方提出要求 按第 24.4 款开始诉讼的意向，则监理人的上述裁定应是最后的裁定，并对发包人和承包人均有约束力。 ”</w:t>
      </w:r>
    </w:p>
    <w:p w14:paraId="6E9F01EB">
      <w:pPr>
        <w:keepNext/>
        <w:keepLines/>
        <w:pageBreakBefore w:val="0"/>
        <w:kinsoku/>
        <w:wordWrap/>
        <w:overflowPunct/>
        <w:topLinePunct w:val="0"/>
        <w:bidi w:val="0"/>
        <w:adjustRightInd w:val="0"/>
        <w:snapToGrid w:val="0"/>
        <w:spacing w:line="360" w:lineRule="auto"/>
        <w:ind w:firstLine="422" w:firstLineChars="200"/>
        <w:textAlignment w:val="baseline"/>
        <w:outlineLvl w:val="6"/>
        <w:rPr>
          <w:rFonts w:hint="eastAsia" w:ascii="宋体" w:hAnsi="宋体" w:eastAsia="宋体" w:cs="宋体"/>
          <w:b/>
          <w:bCs/>
          <w:color w:val="auto"/>
          <w:highlight w:val="none"/>
        </w:rPr>
      </w:pPr>
      <w:r>
        <w:rPr>
          <w:rFonts w:hint="eastAsia" w:ascii="宋体" w:hAnsi="宋体" w:eastAsia="宋体" w:cs="宋体"/>
          <w:b/>
          <w:bCs/>
          <w:color w:val="auto"/>
          <w:highlight w:val="none"/>
        </w:rPr>
        <w:t>24.2 友好解决</w:t>
      </w:r>
    </w:p>
    <w:p w14:paraId="3AE4053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删除通用条款本款内容，改为：</w:t>
      </w:r>
    </w:p>
    <w:p w14:paraId="72CFB2F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如果发包人或承包人有一方对监理人的裁定有异议，或如果监理人在收到第24.1款所述提交件后42天内，没有发出自己的裁定通知，则双方可就纠纷事项进行友好协商或通过双方上级主管部门进行调解。协商或调解应在收到监理人发出的裁定通知后的42天内或监理人发出裁定通知中规定的期限内进行。通过协商或调解，如能达成书面协议，双方都应执行，对发包人和承包人均有约束力，该协议应送监理人一份。如果协商或调解不能达成协议，则发包人或承包人任何一方都可以在协商或调解达不成协议后的42天内通知另一方，说明自己对纠纷中的问题将争议评审或提交法院的意向，并抄送监理人。”</w:t>
      </w:r>
    </w:p>
    <w:p w14:paraId="54A0D4F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25. 纳税和缴费</w:t>
      </w:r>
    </w:p>
    <w:p w14:paraId="436EB4C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“政府根据现行税法和有关部门现行规定就本合同项下向承包人征收的所有税金及其它应交纳 的所有费用，均由承包人摊入各工程细目的单价中，不另报价。”</w:t>
      </w:r>
    </w:p>
    <w:p w14:paraId="08BBE9F2">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26. 施工工艺要求</w:t>
      </w:r>
    </w:p>
    <w:p w14:paraId="38F31EB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“承包人应按照图纸、招标文件和技术规范的要求，编制施工指导意见，明确确保工程质量的施工技术方案和施工工艺要求，特别是关键工程、重点部位、关键工序的施工技术方案和施工工艺。</w:t>
      </w:r>
    </w:p>
    <w:p w14:paraId="4ADA5F61">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考虑到本项目建设的实际情况，发包人会提出一些比招标文件中技术规范要求高的技术指标， 承包人必须执行这一要求。在工程竣工质量要求未发生改变的情况下，即使发包人或监理人对施工工艺指标提出了特别要求，承包人也不得就此要求发包人给予额外费用补贴，以及由此发生的一切 费用。 ”</w:t>
      </w:r>
    </w:p>
    <w:p w14:paraId="6BB932A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 其它</w:t>
      </w:r>
    </w:p>
    <w:p w14:paraId="5C3D248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27.1 承包人在签订并履行合同协议时，同时应签订并履行《廉政合同》、《安全生产合同》，格式见招标文件第8篇。</w:t>
      </w:r>
    </w:p>
    <w:p w14:paraId="3942ED07">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27.2 工程量清单所列工程量是按计量的原则、根据设计图纸编制而成的预计工程量，在一般情况下可作为计量的控制值。但不能作为承包人应履行义务中应予或只须完成工程的实际工程量。工程量清单中的任何错误和遗漏，均不应导致合同的废除，并不免除承包人根据合同规定的义务和其应按图纸、规范履行合同的责任。有关的遗漏、错误和实际施工的工程量应由工程师按规定纠正。</w:t>
      </w:r>
    </w:p>
    <w:p w14:paraId="38A654E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27.3 承包人应无条件服从发包人统一协调，并承担由此而引起的临时停工等风险，承包人也不得就此要求发包人给予额外费用补贴，由此发生的一切费用视为已计入投标报价中。</w:t>
      </w:r>
    </w:p>
    <w:p w14:paraId="54233F0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27.4 程检查、验收时，承包人应负责提供工程检查、验收所必需的条件如测量仪器设备等，此部分工作作为承包人必须履行的义务，由此发生的一切费用视为已包含在投标报价中。</w:t>
      </w:r>
    </w:p>
    <w:p w14:paraId="40C2D60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27.5 监理人提出要求时，承包人应向监理人提交足够的有关设备、物资或材料的所有权证明或者被他租用的或占有的设备、物资材料的协议书。</w:t>
      </w:r>
    </w:p>
    <w:p w14:paraId="3E9C0D7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27.6 分阶段施工计划的调整</w:t>
      </w:r>
    </w:p>
    <w:p w14:paraId="655DE9D4">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在合同总工期未变的前提下，发包人或监理人根据工程实际情况或他认为有必要的任何其它理 由而对工程分阶段工期所进行的调整，承包人一般应无条件地服从。由此而可能引起工程费用投入的变化将不另考虑。</w:t>
      </w:r>
    </w:p>
    <w:p w14:paraId="5BA1BDD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27.7 确保发包人不受指控</w:t>
      </w:r>
    </w:p>
    <w:p w14:paraId="1625B8AB">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应采取一切必要的措施，在合同执行过程妥善处理好协作单位、所雇佣的农民工等有关专利权、商标权、工业设计权、工程款、工资等事宜。任何第三方如果提出侵犯指控，承包人须与第三方交涉并承担可能发生的一切法律和费用责任。</w:t>
      </w:r>
    </w:p>
    <w:p w14:paraId="4EF8767F">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27.8 承包人必须无条件地服从发包人和现场监理的协调，由此可能发生的费用应计入报价中，在实际施工中，发包人不另承担由此产生的一切费用。</w:t>
      </w:r>
    </w:p>
    <w:p w14:paraId="04FC9C5C">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27.9 承包人驻地建设应满足发包人的要求。</w:t>
      </w:r>
    </w:p>
    <w:p w14:paraId="306B5DE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27.10 单价构成分析</w:t>
      </w:r>
    </w:p>
    <w:p w14:paraId="2F34CA5D">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承包人在投标期间填报的单价分析表将作为确定变更项目单价的重要依据，若单价分析不足够 详细， 将以监理人作出发包人认可的构成分析为准。</w:t>
      </w:r>
    </w:p>
    <w:p w14:paraId="493F6308">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27.11 节能、环保要求</w:t>
      </w:r>
    </w:p>
    <w:p w14:paraId="0D154B29">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在工程实施期间，应按照国家、江苏省及发包人的相关规定，按照节能、环保的要求进行施工，并制定相应的保障措施。发包人将委托相应专业机构对承包人节能、环保措施的落实情况进行检查监督，承包人应无条件予以配合并执行发包人提出的整改意见。上述所有工作发生的费用视为包含在投标报价中，不另行计量支付。</w:t>
      </w:r>
    </w:p>
    <w:p w14:paraId="6F4C812A">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27.12  工地试验室</w:t>
      </w:r>
    </w:p>
    <w:p w14:paraId="1DE23E46">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无</w:t>
      </w:r>
    </w:p>
    <w:p w14:paraId="27D48350">
      <w:pPr>
        <w:pageBreakBefore w:val="0"/>
        <w:kinsoku/>
        <w:wordWrap/>
        <w:overflowPunct/>
        <w:topLinePunct w:val="0"/>
        <w:bidi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27.13 本合同为固定</w:t>
      </w:r>
      <w:r>
        <w:rPr>
          <w:rFonts w:hint="eastAsia" w:ascii="宋体" w:hAnsi="宋体" w:cs="宋体"/>
          <w:color w:val="auto"/>
          <w:highlight w:val="none"/>
          <w:lang w:val="en-US" w:eastAsia="zh-CN"/>
        </w:rPr>
        <w:t>总价</w:t>
      </w:r>
      <w:r>
        <w:rPr>
          <w:rFonts w:hint="eastAsia" w:ascii="宋体" w:hAnsi="宋体" w:eastAsia="宋体" w:cs="宋体"/>
          <w:color w:val="auto"/>
          <w:highlight w:val="none"/>
        </w:rPr>
        <w:t>合同，合同一经签订，标价的工程量清单中的各细目单价或总额价不因任何因素调整。</w:t>
      </w:r>
    </w:p>
    <w:p w14:paraId="1C3F8CE8">
      <w:pPr>
        <w:jc w:val="left"/>
        <w:rPr>
          <w:rFonts w:hint="eastAsia" w:ascii="宋体" w:hAnsi="宋体" w:eastAsia="宋体" w:cs="宋体"/>
          <w:color w:val="auto"/>
          <w:sz w:val="56"/>
          <w:szCs w:val="56"/>
          <w:highlight w:val="none"/>
        </w:rPr>
      </w:pPr>
      <w:r>
        <w:rPr>
          <w:rFonts w:hint="eastAsia" w:ascii="宋体" w:hAnsi="宋体" w:eastAsia="宋体" w:cs="宋体"/>
          <w:color w:val="auto"/>
          <w:sz w:val="56"/>
          <w:szCs w:val="56"/>
          <w:highlight w:val="none"/>
        </w:rPr>
        <w:br w:type="page"/>
      </w:r>
    </w:p>
    <w:p w14:paraId="74E5C40C">
      <w:pPr>
        <w:adjustRightInd w:val="0"/>
        <w:snapToGrid w:val="0"/>
        <w:spacing w:before="4800" w:beforeLines="2000"/>
        <w:jc w:val="center"/>
        <w:outlineLvl w:val="0"/>
        <w:rPr>
          <w:rFonts w:hint="eastAsia" w:ascii="宋体" w:hAnsi="宋体" w:eastAsia="宋体" w:cs="宋体"/>
          <w:color w:val="auto"/>
          <w:sz w:val="56"/>
          <w:szCs w:val="56"/>
          <w:highlight w:val="none"/>
        </w:rPr>
      </w:pPr>
      <w:r>
        <w:rPr>
          <w:rFonts w:hint="eastAsia" w:ascii="宋体" w:hAnsi="宋体" w:eastAsia="宋体" w:cs="宋体"/>
          <w:color w:val="auto"/>
          <w:sz w:val="56"/>
          <w:szCs w:val="56"/>
          <w:highlight w:val="none"/>
        </w:rPr>
        <w:t>第三节  合同附件格式</w:t>
      </w:r>
    </w:p>
    <w:p w14:paraId="5CB88317">
      <w:pPr>
        <w:adjustRightInd w:val="0"/>
        <w:snapToGrid w:val="0"/>
        <w:jc w:val="center"/>
        <w:outlineLvl w:val="0"/>
        <w:rPr>
          <w:rFonts w:hint="eastAsia" w:ascii="宋体" w:hAnsi="宋体" w:eastAsia="宋体" w:cs="宋体"/>
          <w:color w:val="auto"/>
          <w:sz w:val="28"/>
          <w:szCs w:val="28"/>
          <w:highlight w:val="none"/>
        </w:rPr>
      </w:pPr>
    </w:p>
    <w:p w14:paraId="220DDE66">
      <w:pPr>
        <w:adjustRightInd w:val="0"/>
        <w:snapToGrid w:val="0"/>
        <w:jc w:val="center"/>
        <w:outlineLvl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详见《标准施工招标文件》（2007年版）和《水运工程标准施工招标文件》（JTS 110-8-2008）</w:t>
      </w:r>
    </w:p>
    <w:p w14:paraId="123FFE28">
      <w:pPr>
        <w:rPr>
          <w:rFonts w:hint="eastAsia" w:ascii="宋体" w:hAnsi="宋体" w:eastAsia="宋体" w:cs="宋体"/>
          <w:color w:val="auto"/>
          <w:highlight w:val="none"/>
        </w:rPr>
      </w:pPr>
    </w:p>
    <w:p w14:paraId="3D3EE429">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25BD16CB">
      <w:pPr>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br w:type="page"/>
      </w:r>
    </w:p>
    <w:p w14:paraId="587EC4DC">
      <w:pPr>
        <w:spacing w:line="360" w:lineRule="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附件1合同协议书</w:t>
      </w:r>
    </w:p>
    <w:p w14:paraId="0C65BBB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合同协议书</w:t>
      </w:r>
    </w:p>
    <w:p w14:paraId="1D5207C7">
      <w:pPr>
        <w:spacing w:line="440" w:lineRule="exact"/>
        <w:ind w:firstLine="630" w:firstLineChars="300"/>
        <w:rPr>
          <w:rFonts w:hint="eastAsia" w:ascii="宋体" w:hAnsi="宋体" w:eastAsia="宋体" w:cs="宋体"/>
          <w:color w:val="auto"/>
          <w:highlight w:val="none"/>
        </w:rPr>
      </w:pPr>
      <w:r>
        <w:rPr>
          <w:rFonts w:hint="eastAsia" w:ascii="宋体" w:hAnsi="宋体" w:eastAsia="宋体" w:cs="宋体"/>
          <w:color w:val="auto"/>
          <w:highlight w:val="none"/>
        </w:rPr>
        <w:t>（发包人名称，以下简称“发包人”）为实施（项目名称），已接受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（承包人名称，以下简称“承包人”）对该项目</w:t>
      </w:r>
      <w:r>
        <w:rPr>
          <w:rFonts w:hint="eastAsia" w:ascii="宋体" w:hAnsi="宋体" w:eastAsia="宋体" w:cs="宋体"/>
          <w:color w:val="auto"/>
          <w:highlight w:val="none"/>
          <w:u w:val="single"/>
          <w:lang w:val="en-US" w:eastAsia="zh-CN"/>
        </w:rPr>
        <w:t xml:space="preserve">      标段</w:t>
      </w:r>
      <w:r>
        <w:rPr>
          <w:rFonts w:hint="eastAsia" w:ascii="宋体" w:hAnsi="宋体" w:eastAsia="宋体" w:cs="宋体"/>
          <w:color w:val="auto"/>
          <w:highlight w:val="none"/>
        </w:rPr>
        <w:t>施工的投标。发包人和承包人共同达成如下协议。</w:t>
      </w:r>
    </w:p>
    <w:p w14:paraId="529A788F">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1．本工程由组成。</w:t>
      </w:r>
    </w:p>
    <w:p w14:paraId="6E7FA963">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2．本协议书与下列文件一起构成合同文件：</w:t>
      </w:r>
    </w:p>
    <w:p w14:paraId="46E69F69">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（1）合同履行中双方签署的书面文件及各种合同附件（含评标期间和合同谈判过程中的澄清文件和补充资料）；</w:t>
      </w:r>
    </w:p>
    <w:p w14:paraId="096220F5">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14:paraId="7C9F0C51">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（3）投标函及投标函附录；</w:t>
      </w:r>
    </w:p>
    <w:p w14:paraId="7EBB99E1">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（4）专用合同条款；</w:t>
      </w:r>
    </w:p>
    <w:p w14:paraId="7BAE4131">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（5）通用合同条款；</w:t>
      </w:r>
    </w:p>
    <w:p w14:paraId="2406290A">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（6）技术标准及要求；</w:t>
      </w:r>
    </w:p>
    <w:p w14:paraId="3F5CC8E9">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（7）图纸；</w:t>
      </w:r>
    </w:p>
    <w:p w14:paraId="4F3B5AD0">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（8）已标价工程量清单；</w:t>
      </w:r>
    </w:p>
    <w:p w14:paraId="397C903C">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）其他合同文件。</w:t>
      </w:r>
    </w:p>
    <w:p w14:paraId="6732C3A8">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 上述文件互相补充和解释，如有不明确或不一致之处，以合同约定次序在先者为准。</w:t>
      </w:r>
    </w:p>
    <w:p w14:paraId="143224D2">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 本合同为固定</w:t>
      </w:r>
      <w:r>
        <w:rPr>
          <w:rFonts w:hint="eastAsia" w:ascii="宋体" w:hAnsi="宋体" w:cs="宋体"/>
          <w:color w:val="auto"/>
          <w:highlight w:val="none"/>
          <w:lang w:val="en-US" w:eastAsia="zh-CN"/>
        </w:rPr>
        <w:t>总价</w:t>
      </w:r>
      <w:r>
        <w:rPr>
          <w:rFonts w:hint="eastAsia" w:ascii="宋体" w:hAnsi="宋体" w:eastAsia="宋体" w:cs="宋体"/>
          <w:color w:val="auto"/>
          <w:highlight w:val="none"/>
        </w:rPr>
        <w:t>合同，根据工程量清单所列的预计数量和单价或总额价计算的签约合同价：人民币（大写）</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p>
    <w:p w14:paraId="3DAF6FB9">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 承包人项目经理：</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；技术负责人：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p>
    <w:p w14:paraId="338CF8C7">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 质量要求：达到交通运输部发布的《水运工程质量检验标准》合格等级，且达到江苏省市场监督管理局发布的《内河航道维护技术及质量评定规范》优良等级。</w:t>
      </w:r>
    </w:p>
    <w:p w14:paraId="0B6D6849">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安全目标：无一般及以上安全生产事故，</w:t>
      </w:r>
      <w:r>
        <w:rPr>
          <w:rFonts w:hint="eastAsia" w:ascii="宋体" w:hAnsi="宋体" w:eastAsia="宋体" w:cs="宋体"/>
          <w:color w:val="auto"/>
          <w:highlight w:val="none"/>
          <w:lang w:val="en-US" w:eastAsia="zh-CN"/>
        </w:rPr>
        <w:t>确保</w:t>
      </w:r>
      <w:r>
        <w:rPr>
          <w:rFonts w:hint="eastAsia" w:ascii="宋体" w:hAnsi="宋体" w:eastAsia="宋体" w:cs="宋体"/>
          <w:color w:val="auto"/>
          <w:highlight w:val="none"/>
        </w:rPr>
        <w:t>安全生产无责任事故。</w:t>
      </w:r>
    </w:p>
    <w:p w14:paraId="26628EE5">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 承包人承诺按合同约定承担工程的实施、完成及缺陷修复。</w:t>
      </w:r>
    </w:p>
    <w:p w14:paraId="4D166B13">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 发包人承诺按合同约定的条件、时间和方式向承包人支付合同价款。</w:t>
      </w:r>
    </w:p>
    <w:p w14:paraId="19458838">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项目</w:t>
      </w:r>
      <w:r>
        <w:rPr>
          <w:rFonts w:hint="eastAsia" w:ascii="宋体" w:hAnsi="宋体" w:eastAsia="宋体" w:cs="宋体"/>
          <w:color w:val="auto"/>
          <w:highlight w:val="none"/>
        </w:rPr>
        <w:t>通过工程</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交</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竣工验收并达到质量要求且工程结算审核报告已经确认后支付至审定价的97%；缺陷责任期满后付清余款。支付工程款的同时要求承包人向发包人提供有效发票。以上付款均不计利息。</w:t>
      </w:r>
    </w:p>
    <w:p w14:paraId="4A41B67A">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 承包人应按照监理人指示开工，工期为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p>
    <w:p w14:paraId="77CC92C4">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10. 本协议书在承包人提供履约担保后，由双方法定代表人或其委托代理人签署并加盖单位章后生效。全部工程竣工并通过验收、缺陷责任期满签发缺陷责任终止证书后失效。</w:t>
      </w:r>
    </w:p>
    <w:p w14:paraId="2A1CF007">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11．本协议书正本贰份，副本肆份，合同双方各执正本壹份，副本贰份，当正本与副本的内容不一致时，以正本为准。</w:t>
      </w:r>
    </w:p>
    <w:p w14:paraId="0A0F51E2">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12.争议解决方式：本合同在履行过程中发生的争议，由双方当事人协商解决，协商不成的，则向南通市中级人民法院提请诉讼。</w:t>
      </w:r>
    </w:p>
    <w:p w14:paraId="32BFD878">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 合同未尽事宜，双方另行签订补充协议。补充协议是合同的组成部分。</w:t>
      </w:r>
    </w:p>
    <w:p w14:paraId="66B1ACDE">
      <w:pPr>
        <w:pStyle w:val="20"/>
        <w:rPr>
          <w:rFonts w:hint="eastAsia" w:ascii="宋体" w:hAnsi="宋体" w:eastAsia="宋体" w:cs="宋体"/>
          <w:color w:val="auto"/>
          <w:highlight w:val="none"/>
        </w:rPr>
      </w:pPr>
    </w:p>
    <w:p w14:paraId="019D0777">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发包人：（盖单位章）                  承包人：（盖单位章）</w:t>
      </w:r>
    </w:p>
    <w:p w14:paraId="00342159">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法定代表人                            法定代表人</w:t>
      </w:r>
    </w:p>
    <w:p w14:paraId="6AF000E3">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或其委托代理人：（签字）              或其委托代理人：（签字）</w:t>
      </w:r>
    </w:p>
    <w:p w14:paraId="145EFA97">
      <w:pPr>
        <w:spacing w:line="360" w:lineRule="auto"/>
        <w:ind w:firstLine="2100" w:firstLineChars="1000"/>
        <w:rPr>
          <w:rFonts w:hint="eastAsia" w:ascii="宋体" w:hAnsi="宋体" w:eastAsia="宋体" w:cs="宋体"/>
          <w:color w:val="auto"/>
          <w:highlight w:val="none"/>
        </w:rPr>
      </w:pPr>
      <w:r>
        <w:rPr>
          <w:rFonts w:hint="eastAsia" w:ascii="宋体" w:hAnsi="宋体" w:eastAsia="宋体" w:cs="宋体"/>
          <w:color w:val="auto"/>
          <w:highlight w:val="none"/>
        </w:rPr>
        <w:t>年  月  日                             年  月  日</w:t>
      </w:r>
    </w:p>
    <w:p w14:paraId="4752359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8AD89C1">
      <w:pPr>
        <w:spacing w:line="360" w:lineRule="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附件</w:t>
      </w:r>
      <w:r>
        <w:rPr>
          <w:rFonts w:hint="eastAsia" w:ascii="宋体" w:hAnsi="宋体" w:cs="宋体"/>
          <w:b/>
          <w:color w:val="auto"/>
          <w:sz w:val="22"/>
          <w:szCs w:val="22"/>
          <w:highlight w:val="none"/>
          <w:lang w:val="en-US" w:eastAsia="zh-CN"/>
        </w:rPr>
        <w:t>2</w:t>
      </w:r>
      <w:r>
        <w:rPr>
          <w:rFonts w:hint="eastAsia" w:ascii="宋体" w:hAnsi="宋体" w:eastAsia="宋体" w:cs="宋体"/>
          <w:b/>
          <w:color w:val="auto"/>
          <w:sz w:val="22"/>
          <w:szCs w:val="22"/>
          <w:highlight w:val="none"/>
        </w:rPr>
        <w:t xml:space="preserve">  廉洁合同</w:t>
      </w:r>
    </w:p>
    <w:p w14:paraId="12D49401">
      <w:pPr>
        <w:spacing w:line="360" w:lineRule="auto"/>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廉洁合同</w:t>
      </w:r>
    </w:p>
    <w:p w14:paraId="5B9F681B">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（以下称发包人或甲方）与承包人</w:t>
      </w:r>
      <w:r>
        <w:rPr>
          <w:rFonts w:hint="eastAsia" w:ascii="宋体" w:hAnsi="宋体" w:eastAsia="宋体" w:cs="宋体"/>
          <w:color w:val="auto"/>
          <w:highlight w:val="none"/>
          <w:u w:val="single"/>
        </w:rPr>
        <w:t>（全称）</w:t>
      </w:r>
      <w:r>
        <w:rPr>
          <w:rFonts w:hint="eastAsia" w:ascii="宋体" w:hAnsi="宋体" w:eastAsia="宋体" w:cs="宋体"/>
          <w:color w:val="auto"/>
          <w:highlight w:val="none"/>
        </w:rPr>
        <w:t>（以下称承包人或乙方），特订立如下合同。</w:t>
      </w:r>
    </w:p>
    <w:p w14:paraId="7938B833">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第一条</w:t>
      </w:r>
      <w:r>
        <w:rPr>
          <w:rFonts w:hint="eastAsia" w:ascii="宋体" w:hAnsi="宋体" w:eastAsia="宋体" w:cs="宋体"/>
          <w:color w:val="auto"/>
          <w:highlight w:val="none"/>
        </w:rPr>
        <w:t>甲乙双方的权利和义务</w:t>
      </w:r>
    </w:p>
    <w:p w14:paraId="278FA25E">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（一）严格遵守国家有关法律法规及交通运输部的有关规定。</w:t>
      </w:r>
    </w:p>
    <w:p w14:paraId="519F2CA9">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（二）严格执行项目标段的合同文件，自觉按合同办事。</w:t>
      </w:r>
    </w:p>
    <w:p w14:paraId="0158610F">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（三）双方的业务活动坚持公开、公正、诚信、透明的原则（除法律认定的商业秘密和合同文件另有规定之外），不得损害国家和集体利益，违反工程建设管理规章制度。</w:t>
      </w:r>
    </w:p>
    <w:p w14:paraId="205FDF0F">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（四）建立健全廉政制度，开展廉政教育，设立廉政告示牌，公布举报电话，监督并认真查处违法违纪行为。</w:t>
      </w:r>
    </w:p>
    <w:p w14:paraId="04C28660">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（五）发现对方在业务活动中有违反廉政规定的行为，有及时提醒对方纠正的权利和义务。</w:t>
      </w:r>
    </w:p>
    <w:p w14:paraId="536DE368">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（六）发现对方严重违反本合同义务条款的行为，有向其上级有关部门举报、建议给予处理并要求告知处理结果的权利。影响合同履行的，可按照合同中关于合同解除的约定处理。</w:t>
      </w:r>
    </w:p>
    <w:p w14:paraId="7DB73CFD">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第二条</w:t>
      </w:r>
      <w:r>
        <w:rPr>
          <w:rFonts w:hint="eastAsia" w:ascii="宋体" w:hAnsi="宋体" w:eastAsia="宋体" w:cs="宋体"/>
          <w:color w:val="auto"/>
          <w:highlight w:val="none"/>
        </w:rPr>
        <w:t>发包人的义务</w:t>
      </w:r>
    </w:p>
    <w:p w14:paraId="1D6B9BF4">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（一）发包人作为工程项目的建设单位，认真履行合同规定的发包人责任。</w:t>
      </w:r>
    </w:p>
    <w:p w14:paraId="0A41061F">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（二）发包人及其工作人员不得索要或接受承包人的礼金、有价证券和物品，不得在承包人报销任何应由发包人或个人支付的费用等。</w:t>
      </w:r>
    </w:p>
    <w:p w14:paraId="36DFE42A">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（三）发包人工作人员不得参加承包人安排的宴请和娱乐活动；不得接受承包人提供的通讯工具、交通工具和办公用品等。</w:t>
      </w:r>
    </w:p>
    <w:p w14:paraId="0CB0F4A1">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（四）发包人及其工作人员不得要求或者接受承包人为其住房装修、婚丧嫁娶活动、配偶子女的工作安排以及出国出境、旅游等提供方便等。</w:t>
      </w:r>
    </w:p>
    <w:p w14:paraId="5EFA22F7">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（五）发包人工作人员的配偶、子女不得从事与发包人工程有关的分包项目。</w:t>
      </w:r>
    </w:p>
    <w:p w14:paraId="71E0731F">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第三条</w:t>
      </w:r>
      <w:r>
        <w:rPr>
          <w:rFonts w:hint="eastAsia" w:ascii="宋体" w:hAnsi="宋体" w:eastAsia="宋体" w:cs="宋体"/>
          <w:color w:val="auto"/>
          <w:highlight w:val="none"/>
        </w:rPr>
        <w:t>承包人的义务</w:t>
      </w:r>
    </w:p>
    <w:p w14:paraId="7D5D8389">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（一）承包人不得以任何理由向发包人及其工作人员行贿或馈赠礼金、有价证券、礼品。</w:t>
      </w:r>
    </w:p>
    <w:p w14:paraId="7E11731B">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（二）承包人不得以任何名义为发包人及其工作人员报销应由发包人或个人支付的任何费用。</w:t>
      </w:r>
    </w:p>
    <w:p w14:paraId="64C7ABFB">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（三）承包人不得以任何理由安排发包人工作人员参加宴请及娱乐活动。</w:t>
      </w:r>
    </w:p>
    <w:p w14:paraId="79440BAD">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（四）承包人不得为发包人单位和个人购置或提供通讯工具、交通工具和办公用品等。</w:t>
      </w:r>
    </w:p>
    <w:p w14:paraId="60F2E1FE">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（五）承包人及其工作人员不得索取或接受工作关系单位的礼金、有价证券和物品，不得在工作关系单位报销任何应由承包人或个人支付的费用。</w:t>
      </w:r>
    </w:p>
    <w:p w14:paraId="2147668A">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（六）承包人及其工作人员必须严格按照工作规程办事，不得损害发包人利益。</w:t>
      </w:r>
    </w:p>
    <w:p w14:paraId="3A3AB9BE">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第四条</w:t>
      </w:r>
      <w:r>
        <w:rPr>
          <w:rFonts w:hint="eastAsia" w:ascii="宋体" w:hAnsi="宋体" w:eastAsia="宋体" w:cs="宋体"/>
          <w:color w:val="auto"/>
          <w:highlight w:val="none"/>
        </w:rPr>
        <w:t>违约责任</w:t>
      </w:r>
    </w:p>
    <w:p w14:paraId="5ACD4A3E">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（一）发包人及其工作人员违反本合同第一、二条；按管理权限，依据有关规定给予党纪、政纪或组织处理；涉嫌犯罪的，移交司法机关追究刑事责任；给承包人单位造成经济损失的，应予以赔偿。</w:t>
      </w:r>
    </w:p>
    <w:p w14:paraId="4974354F">
      <w:pPr>
        <w:adjustRightInd w:val="0"/>
        <w:snapToGrid w:val="0"/>
        <w:spacing w:line="324"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二）承包人及其工作人员违反本合同第一、三条，按管理权限依据有关规定，给予党纪、政纪或组织处理；给发包人单位造成经济损失的，应予以赔偿，并按照违纪违法认定金额的双倍承担违约金。合同款项未完全支付的，违约金在支付时予以扣减；合同款已支付承包人或未支付款不足以支付违约金的，承包人另行支付违约金。情节严重的，发包人建议交通工程建设主管部门给予承包人一至三年内不得进入其主管的交通工程建设市场的处罚。</w:t>
      </w:r>
    </w:p>
    <w:p w14:paraId="3A949D45">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color w:val="auto"/>
          <w:highlight w:val="none"/>
        </w:rPr>
        <w:t>本合同有效期为甲乙双方签署之日起至该工程项目竣工验收后止。</w:t>
      </w:r>
    </w:p>
    <w:p w14:paraId="2E2239BF">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第六条</w:t>
      </w:r>
      <w:r>
        <w:rPr>
          <w:rFonts w:hint="eastAsia" w:ascii="宋体" w:hAnsi="宋体" w:eastAsia="宋体" w:cs="宋体"/>
          <w:color w:val="auto"/>
          <w:highlight w:val="none"/>
        </w:rPr>
        <w:t>本合同作为工程合同的附件，与工程合同具有同等的法律效力，经合同双方签署后立即生效。</w:t>
      </w:r>
    </w:p>
    <w:p w14:paraId="0CC7520D">
      <w:pPr>
        <w:adjustRightInd w:val="0"/>
        <w:snapToGrid w:val="0"/>
        <w:spacing w:line="324" w:lineRule="auto"/>
        <w:ind w:firstLine="422" w:firstLineChars="200"/>
        <w:jc w:val="left"/>
        <w:rPr>
          <w:rFonts w:hint="eastAsia" w:ascii="宋体" w:hAnsi="宋体" w:eastAsia="宋体" w:cs="宋体"/>
          <w:color w:val="auto"/>
          <w:highlight w:val="none"/>
        </w:rPr>
      </w:pPr>
      <w:r>
        <w:rPr>
          <w:rFonts w:hint="eastAsia" w:ascii="宋体" w:hAnsi="宋体" w:eastAsia="宋体" w:cs="宋体"/>
          <w:b/>
          <w:color w:val="auto"/>
          <w:highlight w:val="none"/>
        </w:rPr>
        <w:t>第七条</w:t>
      </w:r>
      <w:r>
        <w:rPr>
          <w:rFonts w:hint="eastAsia" w:ascii="宋体" w:hAnsi="宋体" w:eastAsia="宋体" w:cs="宋体"/>
          <w:color w:val="auto"/>
          <w:highlight w:val="none"/>
        </w:rPr>
        <w:t>本合同一式陆份，甲、乙双方各执叁份。</w:t>
      </w:r>
    </w:p>
    <w:p w14:paraId="1B8AB9DA">
      <w:pPr>
        <w:adjustRightInd w:val="0"/>
        <w:snapToGrid w:val="0"/>
        <w:spacing w:line="324" w:lineRule="auto"/>
        <w:ind w:firstLine="420" w:firstLineChars="200"/>
        <w:jc w:val="left"/>
        <w:rPr>
          <w:rFonts w:hint="eastAsia" w:ascii="宋体" w:hAnsi="宋体" w:eastAsia="宋体" w:cs="宋体"/>
          <w:color w:val="auto"/>
          <w:highlight w:val="none"/>
        </w:rPr>
      </w:pPr>
    </w:p>
    <w:p w14:paraId="1F02C958">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发包人：（盖单位章）                  承包人：（盖单位章）</w:t>
      </w:r>
    </w:p>
    <w:p w14:paraId="2CEA33B8">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法定代表人                            法定代表人</w:t>
      </w:r>
    </w:p>
    <w:p w14:paraId="5A96E8D4">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或其委托代理人：（签字）              或其委托代理人：（签字）</w:t>
      </w:r>
    </w:p>
    <w:p w14:paraId="17C4660E">
      <w:pPr>
        <w:spacing w:line="360" w:lineRule="auto"/>
        <w:ind w:firstLine="2100" w:firstLineChars="1000"/>
        <w:rPr>
          <w:rFonts w:hint="eastAsia" w:ascii="宋体" w:hAnsi="宋体" w:eastAsia="宋体" w:cs="宋体"/>
          <w:color w:val="auto"/>
          <w:highlight w:val="none"/>
        </w:rPr>
      </w:pPr>
      <w:r>
        <w:rPr>
          <w:rFonts w:hint="eastAsia" w:ascii="宋体" w:hAnsi="宋体" w:eastAsia="宋体" w:cs="宋体"/>
          <w:color w:val="auto"/>
          <w:highlight w:val="none"/>
        </w:rPr>
        <w:t>年  月  日                             年  月  日</w:t>
      </w:r>
    </w:p>
    <w:p w14:paraId="633BB2D9">
      <w:pPr>
        <w:rPr>
          <w:rFonts w:hint="eastAsia" w:ascii="宋体" w:hAnsi="宋体" w:eastAsia="宋体" w:cs="宋体"/>
          <w:b/>
          <w:color w:val="auto"/>
          <w:highlight w:val="none"/>
        </w:rPr>
      </w:pPr>
      <w:r>
        <w:rPr>
          <w:rFonts w:hint="eastAsia" w:ascii="宋体" w:hAnsi="宋体" w:eastAsia="宋体" w:cs="宋体"/>
          <w:b/>
          <w:color w:val="auto"/>
          <w:highlight w:val="none"/>
        </w:rPr>
        <w:br w:type="page"/>
      </w:r>
    </w:p>
    <w:p w14:paraId="05BB87DE">
      <w:pP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附件</w:t>
      </w:r>
      <w:r>
        <w:rPr>
          <w:rFonts w:hint="eastAsia" w:ascii="宋体" w:hAnsi="宋体" w:cs="宋体"/>
          <w:b/>
          <w:color w:val="auto"/>
          <w:sz w:val="22"/>
          <w:szCs w:val="22"/>
          <w:highlight w:val="none"/>
          <w:lang w:val="en-US" w:eastAsia="zh-CN"/>
        </w:rPr>
        <w:t>3</w:t>
      </w:r>
      <w:r>
        <w:rPr>
          <w:rFonts w:hint="eastAsia" w:ascii="宋体" w:hAnsi="宋体" w:eastAsia="宋体" w:cs="宋体"/>
          <w:b/>
          <w:color w:val="auto"/>
          <w:sz w:val="22"/>
          <w:szCs w:val="22"/>
          <w:highlight w:val="none"/>
        </w:rPr>
        <w:t>安全生产合同</w:t>
      </w:r>
    </w:p>
    <w:p w14:paraId="5B36B141">
      <w:pPr>
        <w:spacing w:line="360" w:lineRule="auto"/>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安全生产合同</w:t>
      </w:r>
    </w:p>
    <w:p w14:paraId="6204FE6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为在</w:t>
      </w:r>
      <w:r>
        <w:rPr>
          <w:rFonts w:hint="eastAsia" w:ascii="宋体" w:hAnsi="宋体" w:eastAsia="宋体" w:cs="宋体"/>
          <w:color w:val="auto"/>
          <w:highlight w:val="none"/>
          <w:u w:val="single"/>
        </w:rPr>
        <w:t>（项目名称）</w:t>
      </w:r>
      <w:r>
        <w:rPr>
          <w:rFonts w:hint="eastAsia" w:ascii="宋体" w:hAnsi="宋体" w:eastAsia="宋体" w:cs="宋体"/>
          <w:color w:val="auto"/>
          <w:highlight w:val="none"/>
        </w:rPr>
        <w:t>标段合同的实施过程中创造安全、高效的施工环境，切实搞好本项目的安全管理工作，确保不发生伤亡事故及双方的利益不受损害。依照《中华人民共和国安全生产法》、《建设工程安全生产管理条例》、《江苏省安全生产条例》、《公路水运工程安全生产监督管理办法》、《江苏省公路水运建设工程安全监管规定》等的有关规定，本项目发包人</w:t>
      </w:r>
      <w:r>
        <w:rPr>
          <w:rFonts w:hint="eastAsia" w:ascii="宋体" w:hAnsi="宋体" w:eastAsia="宋体" w:cs="宋体"/>
          <w:color w:val="auto"/>
          <w:highlight w:val="none"/>
          <w:u w:val="single"/>
        </w:rPr>
        <w:t>南通市港航事业发展中心</w:t>
      </w:r>
      <w:r>
        <w:rPr>
          <w:rFonts w:hint="eastAsia" w:ascii="宋体" w:hAnsi="宋体" w:eastAsia="宋体" w:cs="宋体"/>
          <w:color w:val="auto"/>
          <w:highlight w:val="none"/>
        </w:rPr>
        <w:t>（发包人名称，以下简称“发包人”）与承包人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（承包人名称，以下简称“承包人”）特此签订安全生产合同：</w:t>
      </w:r>
    </w:p>
    <w:p w14:paraId="3F82415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1、发包人职责</w:t>
      </w:r>
    </w:p>
    <w:p w14:paraId="4ED43A93">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严格遵守国家有关安全生产的法律法规，认真执行工程承包合同中的有关安全要求。严格贯彻执行国家、省有关行业部门的条例，掌握安全动态。对上级相关安全工作的批示、命令和规定等及时向承包人传达，并对落实情况进行监督检查。</w:t>
      </w:r>
    </w:p>
    <w:p w14:paraId="677D2843">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（2）按照“安全第一、预防为主、综合治理”的方针和坚持“管生产必须管安全”的原则进行安全生产管理，做到生产与安全工作同时计划、布置、检查、总结和评比。</w:t>
      </w:r>
    </w:p>
    <w:p w14:paraId="67FF3CC7">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（3）重要的安全设施必须坚持与主体工程“三同时”的原则，即：同时设计、审批，同时施工，同时验收，投入使用。</w:t>
      </w:r>
    </w:p>
    <w:p w14:paraId="63070E3E">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（4）定期召开安全生产调度会，及时传达中央及地方有关安全生产的精神。</w:t>
      </w:r>
    </w:p>
    <w:p w14:paraId="63813488">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（5）组织对承包人施工现场进行安全生产检查，监督承包人及时处理发现的各种安全隐患。</w:t>
      </w:r>
    </w:p>
    <w:p w14:paraId="13A62DC7">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2、承包人职责</w:t>
      </w:r>
    </w:p>
    <w:p w14:paraId="3DDEB47B">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严格遵守《中华人民共和国安全生产法》、《建设工程安全生产管理条例》、《江苏省安全生产条例》等国家有关安全生产的法律法规、《公路水运工程安全生产监督管理办法》、《江苏省公路水运建设工程安全监管规定》等有关安全生产的规定。认真执行工程承包合同中的有关安全要求。</w:t>
      </w:r>
    </w:p>
    <w:p w14:paraId="0DE1512C">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7CB7CBF0">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264CCC80">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（4）承包人在任何时候都应采取各种合理的预防措施，防止其员工发生任何违法、违禁、暴力或妨碍治安的行为。</w:t>
      </w:r>
    </w:p>
    <w:p w14:paraId="50FA27D2">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5）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负责人必须承担管理责任。</w:t>
      </w:r>
    </w:p>
    <w:p w14:paraId="50676E6B">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6）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14:paraId="2554C968">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（7）操作人员上岗，必须按规定穿戴防护用品。施工负责人和安全检查员应随时检查劳动防护用品的穿戴情况，不按规定穿戴防护用品的人员不得上岗。</w:t>
      </w:r>
    </w:p>
    <w:p w14:paraId="0E18E6BE">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（8）所有机具设备和高空作业的设备均应定期检查，并有安全员的签字记录，保证其经常处于完好状态；不合格的机具、设备和劳动保护用品严禁使用。</w:t>
      </w:r>
    </w:p>
    <w:p w14:paraId="02681F4B">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（9）采用新技术、新工艺、新设备、新材料时，必须了解、掌握其安全技术特性，必须制定相应的安全技术措施，对从业人员进行专门的安全生产教育和培训，项目现场必须具有相关的安全标志标牌。</w:t>
      </w:r>
    </w:p>
    <w:p w14:paraId="0648E0D8">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73B7C7D3">
      <w:pPr>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（11）因本项目为涉水作业，承包人应为作业人员配备必备的救生用品，如救生衣、救生圈等，进行涉水作业安全教育、培训，建立安全应急预案。</w:t>
      </w:r>
    </w:p>
    <w:p w14:paraId="38D5B27D">
      <w:pPr>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3．违约责任</w:t>
      </w:r>
    </w:p>
    <w:p w14:paraId="3FD30995">
      <w:pPr>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如因发包人或承包人违约造成安全事故，将依法追究责任。</w:t>
      </w:r>
    </w:p>
    <w:p w14:paraId="4081FD88">
      <w:pPr>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4．本合同由双方法定代表人或其授权的代理人签署并加盖单位章后生效，全部工程竣工验收后失效。</w:t>
      </w:r>
    </w:p>
    <w:p w14:paraId="22B9DA00">
      <w:pPr>
        <w:spacing w:line="360" w:lineRule="auto"/>
        <w:ind w:firstLine="420" w:firstLineChars="200"/>
        <w:jc w:val="left"/>
        <w:rPr>
          <w:rFonts w:hint="eastAsia" w:ascii="宋体" w:hAnsi="宋体" w:eastAsia="宋体" w:cs="宋体"/>
          <w:bCs/>
          <w:color w:val="auto"/>
          <w:highlight w:val="none"/>
        </w:rPr>
      </w:pPr>
      <w:r>
        <w:rPr>
          <w:rFonts w:hint="eastAsia" w:ascii="宋体" w:hAnsi="宋体" w:eastAsia="宋体" w:cs="宋体"/>
          <w:bCs/>
          <w:color w:val="auto"/>
          <w:highlight w:val="none"/>
        </w:rPr>
        <w:t>5．本合同正本贰份、副本</w:t>
      </w:r>
      <w:r>
        <w:rPr>
          <w:rFonts w:hint="eastAsia" w:ascii="宋体" w:hAnsi="宋体" w:eastAsia="宋体" w:cs="宋体"/>
          <w:bCs/>
          <w:color w:val="auto"/>
          <w:highlight w:val="none"/>
          <w:u w:val="single"/>
        </w:rPr>
        <w:t>肆</w:t>
      </w:r>
      <w:r>
        <w:rPr>
          <w:rFonts w:hint="eastAsia" w:ascii="宋体" w:hAnsi="宋体" w:eastAsia="宋体" w:cs="宋体"/>
          <w:bCs/>
          <w:color w:val="auto"/>
          <w:highlight w:val="none"/>
        </w:rPr>
        <w:t>份，合同双方各执正本壹份，副本</w:t>
      </w:r>
      <w:r>
        <w:rPr>
          <w:rStyle w:val="65"/>
          <w:rFonts w:hint="eastAsia" w:ascii="宋体" w:hAnsi="宋体" w:eastAsia="宋体" w:cs="宋体"/>
          <w:color w:val="auto"/>
          <w:highlight w:val="none"/>
        </w:rPr>
        <w:t>贰</w:t>
      </w:r>
      <w:r>
        <w:rPr>
          <w:rFonts w:hint="eastAsia" w:ascii="宋体" w:hAnsi="宋体" w:eastAsia="宋体" w:cs="宋体"/>
          <w:bCs/>
          <w:color w:val="auto"/>
          <w:highlight w:val="none"/>
        </w:rPr>
        <w:t>份，当正本与副本的内容不一致时，以正本为准。</w:t>
      </w:r>
    </w:p>
    <w:p w14:paraId="2516DEFE">
      <w:pPr>
        <w:spacing w:line="400" w:lineRule="exact"/>
        <w:ind w:firstLine="525" w:firstLineChars="250"/>
        <w:rPr>
          <w:rFonts w:hint="eastAsia" w:ascii="宋体" w:hAnsi="宋体" w:eastAsia="宋体" w:cs="宋体"/>
          <w:bCs/>
          <w:color w:val="auto"/>
          <w:highlight w:val="none"/>
        </w:rPr>
      </w:pPr>
    </w:p>
    <w:p w14:paraId="33AAC821">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发包人：（盖单位章）                  承包人：（盖单位章）</w:t>
      </w:r>
    </w:p>
    <w:p w14:paraId="39CC5C4D">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法定代表人                            法定代表人</w:t>
      </w:r>
    </w:p>
    <w:p w14:paraId="6FFDC64B">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或其委托代理人：（签字）              或其委托代理人：（签字）</w:t>
      </w:r>
    </w:p>
    <w:p w14:paraId="75AD20A8">
      <w:pPr>
        <w:spacing w:line="360" w:lineRule="auto"/>
        <w:ind w:firstLine="2100" w:firstLineChars="1000"/>
        <w:rPr>
          <w:rFonts w:hint="eastAsia" w:ascii="宋体" w:hAnsi="宋体" w:eastAsia="宋体" w:cs="宋体"/>
          <w:color w:val="auto"/>
          <w:highlight w:val="none"/>
        </w:rPr>
      </w:pPr>
      <w:r>
        <w:rPr>
          <w:rFonts w:hint="eastAsia" w:ascii="宋体" w:hAnsi="宋体" w:eastAsia="宋体" w:cs="宋体"/>
          <w:color w:val="auto"/>
          <w:highlight w:val="none"/>
        </w:rPr>
        <w:t>年  月  日                             年  月  日</w:t>
      </w:r>
    </w:p>
    <w:p w14:paraId="632AB25B">
      <w:pPr>
        <w:adjustRightInd w:val="0"/>
        <w:snapToGrid w:val="0"/>
        <w:spacing w:line="360" w:lineRule="auto"/>
        <w:ind w:firstLine="525" w:firstLineChars="250"/>
        <w:rPr>
          <w:rFonts w:hint="eastAsia" w:ascii="宋体" w:hAnsi="宋体" w:eastAsia="宋体" w:cs="宋体"/>
          <w:color w:val="auto"/>
          <w:kern w:val="0"/>
          <w:highlight w:val="none"/>
        </w:rPr>
      </w:pP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110E0C99">
      <w:pPr>
        <w:spacing w:line="360" w:lineRule="auto"/>
        <w:ind w:firstLine="2100" w:firstLineChars="1000"/>
        <w:rPr>
          <w:rFonts w:hint="eastAsia" w:ascii="宋体" w:hAnsi="宋体" w:eastAsia="宋体" w:cs="宋体"/>
          <w:color w:val="auto"/>
          <w:highlight w:val="none"/>
        </w:rPr>
      </w:pPr>
    </w:p>
    <w:p w14:paraId="3E50D500">
      <w:pPr>
        <w:tabs>
          <w:tab w:val="left" w:pos="5800"/>
          <w:tab w:val="left" w:pos="6640"/>
          <w:tab w:val="left" w:pos="7480"/>
        </w:tabs>
        <w:autoSpaceDE w:val="0"/>
        <w:autoSpaceDN w:val="0"/>
        <w:adjustRightInd w:val="0"/>
        <w:spacing w:line="220" w:lineRule="exact"/>
        <w:ind w:left="4446" w:right="-20"/>
        <w:jc w:val="left"/>
        <w:rPr>
          <w:rFonts w:hint="eastAsia" w:ascii="宋体" w:hAnsi="宋体" w:eastAsia="宋体" w:cs="宋体"/>
          <w:color w:val="auto"/>
          <w:kern w:val="0"/>
          <w:sz w:val="24"/>
          <w:szCs w:val="24"/>
          <w:highlight w:val="none"/>
        </w:rPr>
      </w:pPr>
    </w:p>
    <w:p w14:paraId="2E11F6AD">
      <w:pPr>
        <w:pStyle w:val="2"/>
        <w:spacing w:before="0" w:after="0" w:line="240" w:lineRule="auto"/>
        <w:rPr>
          <w:rFonts w:hint="eastAsia" w:ascii="宋体" w:hAnsi="宋体" w:eastAsia="宋体" w:cs="宋体"/>
          <w:color w:val="auto"/>
          <w:sz w:val="48"/>
          <w:szCs w:val="48"/>
          <w:highlight w:val="none"/>
        </w:rPr>
      </w:pPr>
    </w:p>
    <w:p w14:paraId="30318CC6">
      <w:pPr>
        <w:rPr>
          <w:rFonts w:hint="eastAsia" w:ascii="宋体" w:hAnsi="宋体" w:eastAsia="宋体" w:cs="宋体"/>
          <w:color w:val="auto"/>
          <w:sz w:val="48"/>
          <w:szCs w:val="48"/>
          <w:highlight w:val="none"/>
        </w:rPr>
      </w:pPr>
    </w:p>
    <w:p w14:paraId="09D8368E">
      <w:pPr>
        <w:pStyle w:val="20"/>
        <w:rPr>
          <w:rFonts w:hint="eastAsia" w:ascii="宋体" w:hAnsi="宋体" w:eastAsia="宋体" w:cs="宋体"/>
          <w:color w:val="auto"/>
          <w:sz w:val="48"/>
          <w:szCs w:val="48"/>
          <w:highlight w:val="none"/>
        </w:rPr>
      </w:pPr>
    </w:p>
    <w:p w14:paraId="15D78C38">
      <w:pPr>
        <w:rPr>
          <w:rFonts w:hint="eastAsia" w:ascii="宋体" w:hAnsi="宋体" w:eastAsia="宋体" w:cs="宋体"/>
          <w:color w:val="auto"/>
          <w:sz w:val="48"/>
          <w:szCs w:val="48"/>
          <w:highlight w:val="none"/>
        </w:rPr>
      </w:pPr>
    </w:p>
    <w:p w14:paraId="24CDBB18">
      <w:pPr>
        <w:pStyle w:val="20"/>
        <w:rPr>
          <w:rFonts w:hint="eastAsia" w:ascii="宋体" w:hAnsi="宋体" w:eastAsia="宋体" w:cs="宋体"/>
          <w:color w:val="auto"/>
          <w:sz w:val="48"/>
          <w:szCs w:val="48"/>
          <w:highlight w:val="none"/>
        </w:rPr>
      </w:pPr>
    </w:p>
    <w:p w14:paraId="02C18300">
      <w:pPr>
        <w:rPr>
          <w:rFonts w:hint="eastAsia" w:ascii="宋体" w:hAnsi="宋体" w:eastAsia="宋体" w:cs="宋体"/>
          <w:color w:val="auto"/>
          <w:highlight w:val="none"/>
        </w:rPr>
      </w:pPr>
    </w:p>
    <w:p w14:paraId="37D3C54D">
      <w:pPr>
        <w:rPr>
          <w:rFonts w:hint="eastAsia" w:ascii="宋体" w:hAnsi="宋体" w:eastAsia="宋体" w:cs="宋体"/>
          <w:color w:val="auto"/>
          <w:highlight w:val="none"/>
        </w:rPr>
      </w:pPr>
    </w:p>
    <w:p w14:paraId="5C5B160B">
      <w:pPr>
        <w:rPr>
          <w:rFonts w:hint="eastAsia" w:ascii="宋体" w:hAnsi="宋体" w:eastAsia="宋体" w:cs="宋体"/>
          <w:color w:val="auto"/>
          <w:highlight w:val="none"/>
        </w:rPr>
      </w:pPr>
    </w:p>
    <w:p w14:paraId="368047F2">
      <w:pPr>
        <w:rPr>
          <w:rFonts w:hint="eastAsia" w:ascii="宋体" w:hAnsi="宋体" w:eastAsia="宋体" w:cs="宋体"/>
          <w:color w:val="auto"/>
          <w:highlight w:val="none"/>
        </w:rPr>
      </w:pPr>
    </w:p>
    <w:p w14:paraId="6C2A415B">
      <w:pPr>
        <w:rPr>
          <w:rFonts w:hint="eastAsia" w:ascii="宋体" w:hAnsi="宋体" w:eastAsia="宋体" w:cs="宋体"/>
          <w:color w:val="auto"/>
          <w:highlight w:val="none"/>
        </w:rPr>
      </w:pPr>
    </w:p>
    <w:p w14:paraId="5BC73E84">
      <w:pPr>
        <w:pStyle w:val="2"/>
        <w:spacing w:before="0" w:after="0" w:line="240" w:lineRule="auto"/>
        <w:jc w:val="center"/>
        <w:rPr>
          <w:rFonts w:hint="eastAsia" w:ascii="宋体" w:hAnsi="宋体" w:eastAsia="宋体" w:cs="宋体"/>
          <w:b w:val="0"/>
          <w:bCs w:val="0"/>
          <w:color w:val="auto"/>
          <w:sz w:val="52"/>
          <w:szCs w:val="52"/>
          <w:highlight w:val="none"/>
        </w:rPr>
      </w:pPr>
      <w:bookmarkStart w:id="92" w:name="_Toc19380"/>
      <w:r>
        <w:rPr>
          <w:rFonts w:hint="eastAsia" w:ascii="宋体" w:hAnsi="宋体" w:eastAsia="宋体" w:cs="宋体"/>
          <w:b w:val="0"/>
          <w:bCs w:val="0"/>
          <w:color w:val="auto"/>
          <w:sz w:val="52"/>
          <w:szCs w:val="52"/>
          <w:highlight w:val="none"/>
        </w:rPr>
        <w:t>第五章工程量清单(另册)</w:t>
      </w:r>
      <w:bookmarkEnd w:id="92"/>
    </w:p>
    <w:p w14:paraId="2032D19D">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ED9D541">
      <w:pPr>
        <w:pStyle w:val="27"/>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说明</w:t>
      </w:r>
    </w:p>
    <w:p w14:paraId="50BC87F5">
      <w:pPr>
        <w:pStyle w:val="27"/>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1、本项目工程量清单计量与计价按照江苏省交通运输厅发布的《内河航道养护工程预算编制办法及定额》DB 32/T 2174-2013标准及其附录编制。</w:t>
      </w:r>
    </w:p>
    <w:p w14:paraId="4814BA43">
      <w:pPr>
        <w:pStyle w:val="27"/>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2、除此之外，投标人在报价及合同执行时，还需按照本招标文件中明确的投标报价的有关规定、要求执行。</w:t>
      </w:r>
    </w:p>
    <w:p w14:paraId="46B5B0DC">
      <w:pPr>
        <w:rPr>
          <w:rFonts w:hint="eastAsia" w:ascii="宋体" w:hAnsi="宋体" w:eastAsia="宋体" w:cs="宋体"/>
          <w:color w:val="auto"/>
          <w:highlight w:val="none"/>
        </w:rPr>
      </w:pPr>
    </w:p>
    <w:p w14:paraId="2A895F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72A23FF">
      <w:pPr>
        <w:pStyle w:val="20"/>
        <w:rPr>
          <w:rFonts w:hint="eastAsia" w:ascii="宋体" w:hAnsi="宋体" w:eastAsia="宋体" w:cs="宋体"/>
          <w:color w:val="auto"/>
          <w:highlight w:val="none"/>
        </w:rPr>
      </w:pPr>
    </w:p>
    <w:p w14:paraId="20D1E97C">
      <w:pPr>
        <w:pStyle w:val="20"/>
        <w:rPr>
          <w:rFonts w:hint="eastAsia" w:ascii="宋体" w:hAnsi="宋体" w:eastAsia="宋体" w:cs="宋体"/>
          <w:color w:val="auto"/>
          <w:highlight w:val="none"/>
        </w:rPr>
      </w:pPr>
    </w:p>
    <w:p w14:paraId="4D0F688E">
      <w:pPr>
        <w:pStyle w:val="20"/>
        <w:rPr>
          <w:rFonts w:hint="eastAsia" w:ascii="宋体" w:hAnsi="宋体" w:eastAsia="宋体" w:cs="宋体"/>
          <w:color w:val="auto"/>
          <w:highlight w:val="none"/>
        </w:rPr>
      </w:pPr>
    </w:p>
    <w:p w14:paraId="67DFAF22">
      <w:pPr>
        <w:pStyle w:val="20"/>
        <w:rPr>
          <w:rFonts w:hint="eastAsia" w:ascii="宋体" w:hAnsi="宋体" w:eastAsia="宋体" w:cs="宋体"/>
          <w:color w:val="auto"/>
          <w:highlight w:val="none"/>
        </w:rPr>
      </w:pPr>
    </w:p>
    <w:p w14:paraId="6CB71956">
      <w:pPr>
        <w:pStyle w:val="20"/>
        <w:rPr>
          <w:rFonts w:hint="eastAsia" w:ascii="宋体" w:hAnsi="宋体" w:eastAsia="宋体" w:cs="宋体"/>
          <w:color w:val="auto"/>
          <w:highlight w:val="none"/>
        </w:rPr>
      </w:pPr>
    </w:p>
    <w:p w14:paraId="134C64AE">
      <w:pPr>
        <w:pStyle w:val="2"/>
        <w:jc w:val="center"/>
        <w:rPr>
          <w:rFonts w:hint="eastAsia" w:ascii="宋体" w:hAnsi="宋体" w:eastAsia="宋体" w:cs="宋体"/>
          <w:b w:val="0"/>
          <w:bCs w:val="0"/>
          <w:color w:val="auto"/>
          <w:sz w:val="72"/>
          <w:szCs w:val="72"/>
          <w:highlight w:val="none"/>
        </w:rPr>
      </w:pPr>
      <w:bookmarkStart w:id="93" w:name="_Toc460366518"/>
      <w:bookmarkStart w:id="94" w:name="_Toc24697"/>
    </w:p>
    <w:p w14:paraId="6488E8E9">
      <w:pPr>
        <w:pStyle w:val="2"/>
        <w:jc w:val="center"/>
        <w:rPr>
          <w:rFonts w:hint="eastAsia" w:ascii="宋体" w:hAnsi="宋体" w:eastAsia="宋体" w:cs="宋体"/>
          <w:b w:val="0"/>
          <w:bCs w:val="0"/>
          <w:color w:val="auto"/>
          <w:sz w:val="72"/>
          <w:szCs w:val="72"/>
          <w:highlight w:val="none"/>
        </w:rPr>
      </w:pPr>
      <w:r>
        <w:rPr>
          <w:rFonts w:hint="eastAsia" w:ascii="宋体" w:hAnsi="宋体" w:eastAsia="宋体" w:cs="宋体"/>
          <w:b w:val="0"/>
          <w:bCs w:val="0"/>
          <w:color w:val="auto"/>
          <w:sz w:val="72"/>
          <w:szCs w:val="72"/>
          <w:highlight w:val="none"/>
        </w:rPr>
        <w:t>第二卷</w:t>
      </w:r>
      <w:bookmarkEnd w:id="93"/>
      <w:bookmarkEnd w:id="94"/>
    </w:p>
    <w:p w14:paraId="6955817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5239E57">
      <w:pPr>
        <w:pStyle w:val="20"/>
        <w:rPr>
          <w:rFonts w:hint="eastAsia" w:ascii="宋体" w:hAnsi="宋体" w:eastAsia="宋体" w:cs="宋体"/>
          <w:color w:val="auto"/>
          <w:highlight w:val="none"/>
        </w:rPr>
      </w:pPr>
    </w:p>
    <w:p w14:paraId="1F33D866">
      <w:pPr>
        <w:pStyle w:val="20"/>
        <w:rPr>
          <w:rFonts w:hint="eastAsia" w:ascii="宋体" w:hAnsi="宋体" w:eastAsia="宋体" w:cs="宋体"/>
          <w:color w:val="auto"/>
          <w:highlight w:val="none"/>
        </w:rPr>
      </w:pPr>
    </w:p>
    <w:p w14:paraId="385AFD5D">
      <w:pPr>
        <w:pStyle w:val="20"/>
        <w:rPr>
          <w:rFonts w:hint="eastAsia" w:ascii="宋体" w:hAnsi="宋体" w:eastAsia="宋体" w:cs="宋体"/>
          <w:color w:val="auto"/>
          <w:highlight w:val="none"/>
        </w:rPr>
      </w:pPr>
    </w:p>
    <w:p w14:paraId="0DE224ED">
      <w:pPr>
        <w:pStyle w:val="20"/>
        <w:rPr>
          <w:rFonts w:hint="eastAsia" w:ascii="宋体" w:hAnsi="宋体" w:eastAsia="宋体" w:cs="宋体"/>
          <w:color w:val="auto"/>
          <w:highlight w:val="none"/>
        </w:rPr>
      </w:pPr>
    </w:p>
    <w:p w14:paraId="470D5093">
      <w:pPr>
        <w:pStyle w:val="2"/>
        <w:spacing w:before="0" w:after="0" w:line="240" w:lineRule="auto"/>
        <w:jc w:val="center"/>
        <w:rPr>
          <w:rFonts w:hint="eastAsia" w:ascii="宋体" w:hAnsi="宋体" w:eastAsia="宋体" w:cs="宋体"/>
          <w:b w:val="0"/>
          <w:bCs w:val="0"/>
          <w:color w:val="auto"/>
          <w:sz w:val="52"/>
          <w:szCs w:val="52"/>
          <w:highlight w:val="none"/>
        </w:rPr>
      </w:pPr>
      <w:bookmarkStart w:id="95" w:name="_Toc31420"/>
    </w:p>
    <w:p w14:paraId="36A87E5B">
      <w:pPr>
        <w:pStyle w:val="2"/>
        <w:spacing w:before="0" w:after="0" w:line="240" w:lineRule="auto"/>
        <w:jc w:val="center"/>
        <w:rPr>
          <w:rFonts w:hint="eastAsia" w:ascii="宋体" w:hAnsi="宋体" w:eastAsia="宋体" w:cs="宋体"/>
          <w:b w:val="0"/>
          <w:bCs w:val="0"/>
          <w:color w:val="auto"/>
          <w:sz w:val="52"/>
          <w:szCs w:val="52"/>
          <w:highlight w:val="none"/>
        </w:rPr>
      </w:pPr>
    </w:p>
    <w:p w14:paraId="5DE71D11">
      <w:pPr>
        <w:pStyle w:val="2"/>
        <w:spacing w:before="0" w:after="0" w:line="240" w:lineRule="auto"/>
        <w:jc w:val="center"/>
        <w:rPr>
          <w:rFonts w:hint="eastAsia" w:ascii="宋体" w:hAnsi="宋体" w:eastAsia="宋体" w:cs="宋体"/>
          <w:b w:val="0"/>
          <w:bCs w:val="0"/>
          <w:color w:val="auto"/>
          <w:sz w:val="52"/>
          <w:szCs w:val="52"/>
          <w:highlight w:val="none"/>
        </w:rPr>
      </w:pPr>
    </w:p>
    <w:p w14:paraId="3DDA95E7">
      <w:pPr>
        <w:pStyle w:val="2"/>
        <w:spacing w:before="0" w:after="0" w:line="240" w:lineRule="auto"/>
        <w:jc w:val="center"/>
        <w:rPr>
          <w:rFonts w:hint="eastAsia" w:ascii="宋体" w:hAnsi="宋体" w:eastAsia="宋体" w:cs="宋体"/>
          <w:b w:val="0"/>
          <w:bCs w:val="0"/>
          <w:color w:val="auto"/>
          <w:sz w:val="52"/>
          <w:szCs w:val="52"/>
          <w:highlight w:val="none"/>
        </w:rPr>
      </w:pPr>
    </w:p>
    <w:p w14:paraId="3D0F42D5">
      <w:pPr>
        <w:pStyle w:val="2"/>
        <w:spacing w:before="0" w:after="0" w:line="240" w:lineRule="auto"/>
        <w:jc w:val="center"/>
        <w:rPr>
          <w:rFonts w:hint="eastAsia" w:ascii="宋体" w:hAnsi="宋体" w:eastAsia="宋体" w:cs="宋体"/>
          <w:b w:val="0"/>
          <w:bCs w:val="0"/>
          <w:color w:val="auto"/>
          <w:sz w:val="52"/>
          <w:szCs w:val="52"/>
          <w:highlight w:val="none"/>
        </w:rPr>
      </w:pPr>
      <w:r>
        <w:rPr>
          <w:rFonts w:hint="eastAsia" w:ascii="宋体" w:hAnsi="宋体" w:eastAsia="宋体" w:cs="宋体"/>
          <w:b w:val="0"/>
          <w:bCs w:val="0"/>
          <w:color w:val="auto"/>
          <w:sz w:val="52"/>
          <w:szCs w:val="52"/>
          <w:highlight w:val="none"/>
        </w:rPr>
        <w:t>第六章图纸(另册)</w:t>
      </w:r>
      <w:bookmarkEnd w:id="95"/>
    </w:p>
    <w:p w14:paraId="52C8A4FA">
      <w:pPr>
        <w:spacing w:line="400" w:lineRule="exact"/>
        <w:rPr>
          <w:rFonts w:hint="eastAsia" w:ascii="宋体" w:hAnsi="宋体" w:eastAsia="宋体" w:cs="宋体"/>
          <w:b/>
          <w:bCs/>
          <w:color w:val="auto"/>
          <w:highlight w:val="none"/>
        </w:rPr>
        <w:sectPr>
          <w:headerReference r:id="rId6" w:type="default"/>
          <w:footerReference r:id="rId7" w:type="default"/>
          <w:type w:val="continuous"/>
          <w:pgSz w:w="11905" w:h="16838"/>
          <w:pgMar w:top="1077" w:right="1134" w:bottom="1077" w:left="1134" w:header="850" w:footer="992" w:gutter="0"/>
          <w:cols w:space="0" w:num="1"/>
        </w:sectPr>
      </w:pPr>
    </w:p>
    <w:p w14:paraId="1AB31714">
      <w:pPr>
        <w:rPr>
          <w:rFonts w:hint="eastAsia" w:ascii="宋体" w:hAnsi="宋体" w:eastAsia="宋体" w:cs="宋体"/>
          <w:color w:val="auto"/>
          <w:sz w:val="48"/>
          <w:szCs w:val="48"/>
          <w:highlight w:val="none"/>
        </w:rPr>
      </w:pPr>
    </w:p>
    <w:p w14:paraId="46093CE8">
      <w:pPr>
        <w:pStyle w:val="20"/>
        <w:rPr>
          <w:rFonts w:hint="eastAsia" w:ascii="宋体" w:hAnsi="宋体" w:eastAsia="宋体" w:cs="宋体"/>
          <w:color w:val="auto"/>
          <w:highlight w:val="none"/>
        </w:rPr>
      </w:pPr>
    </w:p>
    <w:p w14:paraId="69422E6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A805E5F">
      <w:pPr>
        <w:rPr>
          <w:rFonts w:hint="eastAsia"/>
          <w:color w:val="auto"/>
          <w:highlight w:val="none"/>
        </w:rPr>
      </w:pPr>
    </w:p>
    <w:p w14:paraId="2EE0C812">
      <w:pPr>
        <w:rPr>
          <w:rFonts w:hint="eastAsia"/>
          <w:color w:val="auto"/>
          <w:highlight w:val="none"/>
        </w:rPr>
      </w:pPr>
    </w:p>
    <w:p w14:paraId="57639670">
      <w:pPr>
        <w:rPr>
          <w:rFonts w:hint="eastAsia"/>
          <w:color w:val="auto"/>
          <w:highlight w:val="none"/>
        </w:rPr>
      </w:pPr>
    </w:p>
    <w:p w14:paraId="6EE80286">
      <w:pPr>
        <w:rPr>
          <w:rFonts w:hint="eastAsia"/>
          <w:color w:val="auto"/>
          <w:highlight w:val="none"/>
        </w:rPr>
      </w:pPr>
    </w:p>
    <w:p w14:paraId="71147E76">
      <w:pPr>
        <w:rPr>
          <w:rFonts w:hint="eastAsia"/>
          <w:color w:val="auto"/>
          <w:highlight w:val="none"/>
        </w:rPr>
      </w:pPr>
    </w:p>
    <w:p w14:paraId="07676920">
      <w:pPr>
        <w:rPr>
          <w:rFonts w:hint="eastAsia"/>
          <w:color w:val="auto"/>
          <w:highlight w:val="none"/>
        </w:rPr>
      </w:pPr>
    </w:p>
    <w:p w14:paraId="7CE5DA22">
      <w:pPr>
        <w:rPr>
          <w:rFonts w:hint="eastAsia"/>
          <w:color w:val="auto"/>
          <w:highlight w:val="none"/>
        </w:rPr>
      </w:pPr>
    </w:p>
    <w:p w14:paraId="22AC099E">
      <w:pPr>
        <w:rPr>
          <w:rFonts w:hint="eastAsia"/>
          <w:color w:val="auto"/>
          <w:highlight w:val="none"/>
        </w:rPr>
      </w:pPr>
    </w:p>
    <w:p w14:paraId="204A32E5">
      <w:pPr>
        <w:pStyle w:val="20"/>
        <w:rPr>
          <w:rFonts w:hint="eastAsia" w:ascii="宋体" w:hAnsi="宋体" w:eastAsia="宋体" w:cs="宋体"/>
          <w:color w:val="auto"/>
          <w:highlight w:val="none"/>
        </w:rPr>
      </w:pPr>
    </w:p>
    <w:p w14:paraId="7F9F39C2">
      <w:pPr>
        <w:pStyle w:val="20"/>
        <w:rPr>
          <w:rFonts w:hint="eastAsia" w:ascii="宋体" w:hAnsi="宋体" w:eastAsia="宋体" w:cs="宋体"/>
          <w:color w:val="auto"/>
          <w:highlight w:val="none"/>
        </w:rPr>
      </w:pPr>
    </w:p>
    <w:p w14:paraId="10D37C9F">
      <w:pPr>
        <w:pStyle w:val="2"/>
        <w:jc w:val="center"/>
        <w:rPr>
          <w:rFonts w:hint="eastAsia" w:ascii="宋体" w:hAnsi="宋体" w:eastAsia="宋体" w:cs="宋体"/>
          <w:b w:val="0"/>
          <w:bCs w:val="0"/>
          <w:color w:val="auto"/>
          <w:sz w:val="72"/>
          <w:szCs w:val="72"/>
          <w:highlight w:val="none"/>
        </w:rPr>
      </w:pPr>
      <w:bookmarkStart w:id="96" w:name="_Toc27883"/>
      <w:bookmarkStart w:id="97" w:name="_Toc460366520"/>
      <w:r>
        <w:rPr>
          <w:rFonts w:hint="eastAsia" w:ascii="宋体" w:hAnsi="宋体" w:eastAsia="宋体" w:cs="宋体"/>
          <w:b w:val="0"/>
          <w:bCs w:val="0"/>
          <w:color w:val="auto"/>
          <w:sz w:val="72"/>
          <w:szCs w:val="72"/>
          <w:highlight w:val="none"/>
        </w:rPr>
        <w:t>第三卷</w:t>
      </w:r>
      <w:bookmarkEnd w:id="96"/>
      <w:bookmarkEnd w:id="97"/>
    </w:p>
    <w:p w14:paraId="082C747A">
      <w:pPr>
        <w:pStyle w:val="2"/>
        <w:jc w:val="center"/>
        <w:rPr>
          <w:rFonts w:hint="eastAsia" w:ascii="宋体" w:hAnsi="宋体" w:eastAsia="宋体" w:cs="宋体"/>
          <w:color w:val="auto"/>
          <w:sz w:val="72"/>
          <w:szCs w:val="72"/>
          <w:highlight w:val="none"/>
        </w:rPr>
        <w:sectPr>
          <w:type w:val="continuous"/>
          <w:pgSz w:w="11905" w:h="16838"/>
          <w:pgMar w:top="1077" w:right="1134" w:bottom="1077" w:left="1134" w:header="850" w:footer="992" w:gutter="0"/>
          <w:cols w:space="0" w:num="1"/>
        </w:sectPr>
      </w:pPr>
    </w:p>
    <w:p w14:paraId="3699B091">
      <w:pPr>
        <w:rPr>
          <w:rFonts w:hint="eastAsia" w:ascii="宋体" w:hAnsi="宋体" w:eastAsia="宋体" w:cs="宋体"/>
          <w:color w:val="auto"/>
          <w:sz w:val="52"/>
          <w:szCs w:val="52"/>
          <w:highlight w:val="none"/>
        </w:rPr>
      </w:pPr>
      <w:bookmarkStart w:id="98" w:name="_Toc13162"/>
    </w:p>
    <w:p w14:paraId="5C75B893">
      <w:pPr>
        <w:pStyle w:val="20"/>
        <w:rPr>
          <w:rFonts w:hint="eastAsia" w:ascii="宋体" w:hAnsi="宋体" w:eastAsia="宋体" w:cs="宋体"/>
          <w:color w:val="auto"/>
          <w:highlight w:val="none"/>
        </w:rPr>
      </w:pPr>
    </w:p>
    <w:p w14:paraId="46BE45FC">
      <w:pPr>
        <w:pStyle w:val="20"/>
        <w:rPr>
          <w:rFonts w:hint="eastAsia" w:ascii="宋体" w:hAnsi="宋体" w:eastAsia="宋体" w:cs="宋体"/>
          <w:color w:val="auto"/>
          <w:highlight w:val="none"/>
        </w:rPr>
      </w:pPr>
    </w:p>
    <w:p w14:paraId="23BBB682">
      <w:pPr>
        <w:pStyle w:val="20"/>
        <w:rPr>
          <w:rFonts w:hint="eastAsia" w:ascii="宋体" w:hAnsi="宋体" w:eastAsia="宋体" w:cs="宋体"/>
          <w:color w:val="auto"/>
          <w:highlight w:val="none"/>
        </w:rPr>
      </w:pPr>
    </w:p>
    <w:p w14:paraId="3C173009">
      <w:pPr>
        <w:jc w:val="center"/>
        <w:rPr>
          <w:rFonts w:hint="eastAsia" w:ascii="宋体" w:hAnsi="宋体" w:eastAsia="宋体" w:cs="宋体"/>
          <w:color w:val="auto"/>
          <w:sz w:val="52"/>
          <w:szCs w:val="52"/>
          <w:highlight w:val="none"/>
        </w:rPr>
      </w:pPr>
    </w:p>
    <w:p w14:paraId="4089D609">
      <w:pPr>
        <w:jc w:val="center"/>
        <w:rPr>
          <w:rFonts w:hint="eastAsia" w:ascii="宋体" w:hAnsi="宋体" w:eastAsia="宋体" w:cs="宋体"/>
          <w:color w:val="auto"/>
          <w:sz w:val="52"/>
          <w:szCs w:val="52"/>
          <w:highlight w:val="none"/>
        </w:rPr>
      </w:pPr>
    </w:p>
    <w:p w14:paraId="23A140D3">
      <w:pPr>
        <w:jc w:val="center"/>
        <w:rPr>
          <w:rFonts w:hint="eastAsia" w:ascii="宋体" w:hAnsi="宋体" w:eastAsia="宋体" w:cs="宋体"/>
          <w:color w:val="auto"/>
          <w:sz w:val="52"/>
          <w:szCs w:val="52"/>
          <w:highlight w:val="none"/>
        </w:rPr>
      </w:pPr>
    </w:p>
    <w:p w14:paraId="61EA6413">
      <w:pPr>
        <w:jc w:val="center"/>
        <w:rPr>
          <w:rFonts w:hint="eastAsia" w:ascii="宋体" w:hAnsi="宋体" w:eastAsia="宋体" w:cs="宋体"/>
          <w:color w:val="auto"/>
          <w:sz w:val="52"/>
          <w:szCs w:val="52"/>
          <w:highlight w:val="none"/>
        </w:rPr>
      </w:pPr>
    </w:p>
    <w:p w14:paraId="4C7A9595">
      <w:pPr>
        <w:jc w:val="center"/>
        <w:rPr>
          <w:rFonts w:hint="eastAsia" w:ascii="宋体" w:hAnsi="宋体" w:eastAsia="宋体" w:cs="宋体"/>
          <w:color w:val="auto"/>
          <w:sz w:val="52"/>
          <w:szCs w:val="52"/>
          <w:highlight w:val="none"/>
        </w:rPr>
      </w:pPr>
    </w:p>
    <w:p w14:paraId="3F93EFCB">
      <w:pP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br w:type="page"/>
      </w:r>
    </w:p>
    <w:p w14:paraId="0024391F">
      <w:pPr>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第七章技术规范</w:t>
      </w:r>
      <w:bookmarkEnd w:id="98"/>
    </w:p>
    <w:p w14:paraId="7B67E535">
      <w:pPr>
        <w:pStyle w:val="20"/>
        <w:jc w:val="center"/>
        <w:rPr>
          <w:rFonts w:hint="eastAsia" w:ascii="宋体" w:hAnsi="宋体" w:eastAsia="宋体" w:cs="宋体"/>
          <w:color w:val="auto"/>
          <w:highlight w:val="none"/>
        </w:rPr>
      </w:pPr>
    </w:p>
    <w:p w14:paraId="0F551765">
      <w:pPr>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（详见施工图设计）</w:t>
      </w:r>
    </w:p>
    <w:p w14:paraId="3C231CB7">
      <w:pPr>
        <w:pStyle w:val="20"/>
        <w:jc w:val="center"/>
        <w:rPr>
          <w:rFonts w:hint="eastAsia" w:ascii="宋体" w:hAnsi="宋体" w:eastAsia="宋体" w:cs="宋体"/>
          <w:color w:val="auto"/>
          <w:highlight w:val="none"/>
        </w:rPr>
      </w:pPr>
    </w:p>
    <w:p w14:paraId="3284F750">
      <w:pPr>
        <w:ind w:right="18"/>
        <w:jc w:val="center"/>
        <w:outlineLvl w:val="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6910A01">
      <w:pPr>
        <w:jc w:val="center"/>
        <w:rPr>
          <w:rFonts w:hint="eastAsia" w:ascii="宋体" w:hAnsi="宋体" w:eastAsia="宋体" w:cs="宋体"/>
          <w:color w:val="auto"/>
          <w:sz w:val="52"/>
          <w:szCs w:val="52"/>
          <w:highlight w:val="none"/>
        </w:rPr>
      </w:pPr>
      <w:bookmarkStart w:id="99" w:name="_Toc508614287"/>
      <w:bookmarkStart w:id="100" w:name="_Toc10493"/>
    </w:p>
    <w:p w14:paraId="672C9BFA">
      <w:pPr>
        <w:jc w:val="center"/>
        <w:rPr>
          <w:rFonts w:hint="eastAsia" w:ascii="宋体" w:hAnsi="宋体" w:eastAsia="宋体" w:cs="宋体"/>
          <w:color w:val="auto"/>
          <w:sz w:val="52"/>
          <w:szCs w:val="52"/>
          <w:highlight w:val="none"/>
        </w:rPr>
      </w:pPr>
    </w:p>
    <w:p w14:paraId="6D36C191">
      <w:pPr>
        <w:jc w:val="center"/>
        <w:rPr>
          <w:rFonts w:hint="eastAsia" w:ascii="宋体" w:hAnsi="宋体" w:eastAsia="宋体" w:cs="宋体"/>
          <w:color w:val="auto"/>
          <w:sz w:val="52"/>
          <w:szCs w:val="52"/>
          <w:highlight w:val="none"/>
        </w:rPr>
      </w:pPr>
    </w:p>
    <w:p w14:paraId="6DEDA393">
      <w:pPr>
        <w:jc w:val="center"/>
        <w:rPr>
          <w:rFonts w:hint="eastAsia" w:ascii="宋体" w:hAnsi="宋体" w:eastAsia="宋体" w:cs="宋体"/>
          <w:color w:val="auto"/>
          <w:sz w:val="52"/>
          <w:szCs w:val="52"/>
          <w:highlight w:val="none"/>
        </w:rPr>
      </w:pPr>
    </w:p>
    <w:p w14:paraId="5321450D">
      <w:pPr>
        <w:jc w:val="center"/>
        <w:rPr>
          <w:rFonts w:hint="eastAsia" w:ascii="宋体" w:hAnsi="宋体" w:eastAsia="宋体" w:cs="宋体"/>
          <w:color w:val="auto"/>
          <w:sz w:val="52"/>
          <w:szCs w:val="52"/>
          <w:highlight w:val="none"/>
        </w:rPr>
      </w:pPr>
    </w:p>
    <w:p w14:paraId="773568B5">
      <w:pPr>
        <w:jc w:val="center"/>
        <w:rPr>
          <w:rFonts w:hint="eastAsia" w:ascii="宋体" w:hAnsi="宋体" w:eastAsia="宋体" w:cs="宋体"/>
          <w:color w:val="auto"/>
          <w:sz w:val="52"/>
          <w:szCs w:val="52"/>
          <w:highlight w:val="none"/>
        </w:rPr>
      </w:pPr>
    </w:p>
    <w:p w14:paraId="5BCDA3C4">
      <w:pPr>
        <w:jc w:val="center"/>
        <w:rPr>
          <w:rFonts w:hint="eastAsia" w:ascii="宋体" w:hAnsi="宋体" w:eastAsia="宋体" w:cs="宋体"/>
          <w:color w:val="auto"/>
          <w:sz w:val="52"/>
          <w:szCs w:val="52"/>
          <w:highlight w:val="none"/>
        </w:rPr>
      </w:pPr>
    </w:p>
    <w:p w14:paraId="0B63D42D">
      <w:pPr>
        <w:jc w:val="center"/>
        <w:rPr>
          <w:rFonts w:hint="eastAsia" w:ascii="宋体" w:hAnsi="宋体" w:eastAsia="宋体" w:cs="宋体"/>
          <w:color w:val="auto"/>
          <w:sz w:val="52"/>
          <w:szCs w:val="52"/>
          <w:highlight w:val="none"/>
        </w:rPr>
      </w:pPr>
    </w:p>
    <w:p w14:paraId="46BE6910">
      <w:pPr>
        <w:jc w:val="center"/>
        <w:rPr>
          <w:rFonts w:hint="eastAsia" w:ascii="宋体" w:hAnsi="宋体" w:eastAsia="宋体" w:cs="宋体"/>
          <w:color w:val="auto"/>
          <w:sz w:val="52"/>
          <w:szCs w:val="52"/>
          <w:highlight w:val="none"/>
        </w:rPr>
      </w:pPr>
    </w:p>
    <w:p w14:paraId="1DF4E8AF">
      <w:pPr>
        <w:jc w:val="center"/>
        <w:rPr>
          <w:rFonts w:hint="eastAsia" w:ascii="宋体" w:hAnsi="宋体" w:eastAsia="宋体" w:cs="宋体"/>
          <w:color w:val="auto"/>
          <w:sz w:val="52"/>
          <w:szCs w:val="52"/>
          <w:highlight w:val="none"/>
        </w:rPr>
      </w:pPr>
    </w:p>
    <w:p w14:paraId="5B1F209F">
      <w:pPr>
        <w:jc w:val="center"/>
        <w:rPr>
          <w:rFonts w:hint="eastAsia" w:ascii="宋体" w:hAnsi="宋体" w:eastAsia="宋体" w:cs="宋体"/>
          <w:color w:val="auto"/>
          <w:sz w:val="52"/>
          <w:szCs w:val="52"/>
          <w:highlight w:val="none"/>
        </w:rPr>
      </w:pPr>
    </w:p>
    <w:p w14:paraId="6EEFA8F1">
      <w:pPr>
        <w:jc w:val="center"/>
        <w:rPr>
          <w:rFonts w:hint="eastAsia" w:ascii="宋体" w:hAnsi="宋体" w:eastAsia="宋体" w:cs="宋体"/>
          <w:color w:val="auto"/>
          <w:sz w:val="52"/>
          <w:szCs w:val="52"/>
          <w:highlight w:val="none"/>
        </w:rPr>
      </w:pPr>
    </w:p>
    <w:p w14:paraId="7368428D">
      <w:pPr>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第八章工程量清单计量规则</w:t>
      </w:r>
      <w:bookmarkEnd w:id="99"/>
      <w:bookmarkEnd w:id="100"/>
    </w:p>
    <w:p w14:paraId="0D645AB0">
      <w:pPr>
        <w:pStyle w:val="20"/>
        <w:rPr>
          <w:rFonts w:hint="eastAsia" w:ascii="宋体" w:hAnsi="宋体" w:eastAsia="宋体" w:cs="宋体"/>
          <w:color w:val="auto"/>
          <w:highlight w:val="none"/>
        </w:rPr>
      </w:pPr>
    </w:p>
    <w:p w14:paraId="53D4657A">
      <w:pPr>
        <w:adjustRightInd w:val="0"/>
        <w:snapToGrid w:val="0"/>
        <w:spacing w:line="300" w:lineRule="auto"/>
        <w:ind w:firstLine="422" w:firstLineChars="200"/>
        <w:rPr>
          <w:rFonts w:hint="eastAsia" w:ascii="宋体" w:hAnsi="宋体" w:eastAsia="宋体" w:cs="宋体"/>
          <w:b/>
          <w:bCs/>
          <w:color w:val="auto"/>
          <w:highlight w:val="none"/>
          <w:u w:val="single"/>
        </w:rPr>
      </w:pPr>
    </w:p>
    <w:p w14:paraId="5D81404E">
      <w:pPr>
        <w:pStyle w:val="20"/>
        <w:rPr>
          <w:rFonts w:hint="eastAsia" w:ascii="宋体" w:hAnsi="宋体" w:eastAsia="宋体" w:cs="宋体"/>
          <w:color w:val="auto"/>
          <w:highlight w:val="none"/>
        </w:rPr>
        <w:sectPr>
          <w:headerReference r:id="rId8" w:type="default"/>
          <w:footerReference r:id="rId9" w:type="default"/>
          <w:type w:val="continuous"/>
          <w:pgSz w:w="11905" w:h="16838"/>
          <w:pgMar w:top="1077" w:right="1134" w:bottom="1077" w:left="1134" w:header="850" w:footer="992" w:gutter="0"/>
          <w:cols w:space="0" w:num="1"/>
          <w:docGrid w:linePitch="285" w:charSpace="0"/>
        </w:sectPr>
      </w:pPr>
    </w:p>
    <w:p w14:paraId="72A2ED62">
      <w:pPr>
        <w:pStyle w:val="2"/>
        <w:jc w:val="center"/>
        <w:rPr>
          <w:rFonts w:hint="eastAsia" w:ascii="宋体" w:hAnsi="宋体" w:eastAsia="宋体" w:cs="宋体"/>
          <w:b w:val="0"/>
          <w:bCs w:val="0"/>
          <w:color w:val="auto"/>
          <w:sz w:val="72"/>
          <w:szCs w:val="72"/>
          <w:highlight w:val="none"/>
        </w:rPr>
      </w:pPr>
      <w:bookmarkStart w:id="101" w:name="_Toc460366522"/>
      <w:bookmarkStart w:id="102" w:name="_Toc234744460"/>
    </w:p>
    <w:p w14:paraId="5361BB84">
      <w:pPr>
        <w:rPr>
          <w:rFonts w:hint="eastAsia" w:ascii="宋体" w:hAnsi="宋体" w:eastAsia="宋体" w:cs="宋体"/>
          <w:color w:val="auto"/>
          <w:highlight w:val="none"/>
        </w:rPr>
      </w:pPr>
    </w:p>
    <w:p w14:paraId="61BC9686">
      <w:pPr>
        <w:pStyle w:val="2"/>
        <w:jc w:val="center"/>
        <w:rPr>
          <w:rFonts w:hint="eastAsia" w:ascii="宋体" w:hAnsi="宋体" w:eastAsia="宋体" w:cs="宋体"/>
          <w:b w:val="0"/>
          <w:bCs w:val="0"/>
          <w:color w:val="auto"/>
          <w:sz w:val="72"/>
          <w:szCs w:val="72"/>
          <w:highlight w:val="none"/>
        </w:rPr>
      </w:pPr>
      <w:bookmarkStart w:id="103" w:name="_Toc19585"/>
    </w:p>
    <w:p w14:paraId="1FD3E00E">
      <w:pPr>
        <w:pStyle w:val="2"/>
        <w:jc w:val="center"/>
        <w:rPr>
          <w:rFonts w:hint="eastAsia" w:ascii="宋体" w:hAnsi="宋体" w:eastAsia="宋体" w:cs="宋体"/>
          <w:b w:val="0"/>
          <w:bCs w:val="0"/>
          <w:color w:val="auto"/>
          <w:sz w:val="72"/>
          <w:szCs w:val="72"/>
          <w:highlight w:val="none"/>
        </w:rPr>
      </w:pPr>
      <w:r>
        <w:rPr>
          <w:rFonts w:hint="eastAsia" w:ascii="宋体" w:hAnsi="宋体" w:eastAsia="宋体" w:cs="宋体"/>
          <w:b w:val="0"/>
          <w:bCs w:val="0"/>
          <w:color w:val="auto"/>
          <w:sz w:val="72"/>
          <w:szCs w:val="72"/>
          <w:highlight w:val="none"/>
        </w:rPr>
        <w:t>第四卷</w:t>
      </w:r>
      <w:bookmarkEnd w:id="101"/>
      <w:bookmarkEnd w:id="102"/>
      <w:bookmarkEnd w:id="103"/>
    </w:p>
    <w:p w14:paraId="6F8DBFB1">
      <w:pPr>
        <w:spacing w:line="400" w:lineRule="exact"/>
        <w:rPr>
          <w:rFonts w:hint="eastAsia" w:ascii="宋体" w:hAnsi="宋体" w:eastAsia="宋体" w:cs="宋体"/>
          <w:color w:val="auto"/>
          <w:highlight w:val="none"/>
        </w:rPr>
        <w:sectPr>
          <w:headerReference r:id="rId10" w:type="default"/>
          <w:footerReference r:id="rId11" w:type="default"/>
          <w:type w:val="continuous"/>
          <w:pgSz w:w="11905" w:h="16838"/>
          <w:pgMar w:top="1077" w:right="1134" w:bottom="1077" w:left="1134" w:header="850" w:footer="992" w:gutter="0"/>
          <w:cols w:space="0" w:num="1"/>
          <w:docGrid w:linePitch="312" w:charSpace="0"/>
        </w:sectPr>
      </w:pPr>
    </w:p>
    <w:p w14:paraId="230F87F9">
      <w:pPr>
        <w:jc w:val="center"/>
        <w:rPr>
          <w:rFonts w:hint="eastAsia" w:ascii="宋体" w:hAnsi="宋体" w:eastAsia="宋体" w:cs="宋体"/>
          <w:color w:val="auto"/>
          <w:sz w:val="52"/>
          <w:szCs w:val="52"/>
          <w:highlight w:val="none"/>
        </w:rPr>
      </w:pPr>
      <w:bookmarkStart w:id="104" w:name="_Toc30445"/>
    </w:p>
    <w:p w14:paraId="62E2E8A1">
      <w:pPr>
        <w:jc w:val="center"/>
        <w:rPr>
          <w:rFonts w:hint="eastAsia" w:ascii="宋体" w:hAnsi="宋体" w:eastAsia="宋体" w:cs="宋体"/>
          <w:color w:val="auto"/>
          <w:sz w:val="52"/>
          <w:szCs w:val="52"/>
          <w:highlight w:val="none"/>
        </w:rPr>
      </w:pPr>
    </w:p>
    <w:p w14:paraId="677B733A">
      <w:pPr>
        <w:jc w:val="center"/>
        <w:rPr>
          <w:rFonts w:hint="eastAsia" w:ascii="宋体" w:hAnsi="宋体" w:eastAsia="宋体" w:cs="宋体"/>
          <w:color w:val="auto"/>
          <w:sz w:val="52"/>
          <w:szCs w:val="52"/>
          <w:highlight w:val="none"/>
        </w:rPr>
      </w:pPr>
    </w:p>
    <w:p w14:paraId="2F72A4C8">
      <w:pPr>
        <w:jc w:val="center"/>
        <w:rPr>
          <w:rFonts w:hint="eastAsia" w:ascii="宋体" w:hAnsi="宋体" w:eastAsia="宋体" w:cs="宋体"/>
          <w:color w:val="auto"/>
          <w:sz w:val="52"/>
          <w:szCs w:val="52"/>
          <w:highlight w:val="none"/>
        </w:rPr>
      </w:pPr>
    </w:p>
    <w:p w14:paraId="3C8140D9">
      <w:pPr>
        <w:jc w:val="center"/>
        <w:rPr>
          <w:rFonts w:hint="eastAsia" w:ascii="宋体" w:hAnsi="宋体" w:eastAsia="宋体" w:cs="宋体"/>
          <w:color w:val="auto"/>
          <w:sz w:val="52"/>
          <w:szCs w:val="52"/>
          <w:highlight w:val="none"/>
        </w:rPr>
      </w:pPr>
    </w:p>
    <w:p w14:paraId="30483492">
      <w:pPr>
        <w:jc w:val="center"/>
        <w:rPr>
          <w:rFonts w:hint="eastAsia" w:ascii="宋体" w:hAnsi="宋体" w:eastAsia="宋体" w:cs="宋体"/>
          <w:color w:val="auto"/>
          <w:sz w:val="52"/>
          <w:szCs w:val="52"/>
          <w:highlight w:val="none"/>
        </w:rPr>
      </w:pPr>
    </w:p>
    <w:p w14:paraId="2C01EE35">
      <w:pPr>
        <w:jc w:val="center"/>
        <w:rPr>
          <w:rFonts w:hint="eastAsia" w:ascii="宋体" w:hAnsi="宋体" w:eastAsia="宋体" w:cs="宋体"/>
          <w:color w:val="auto"/>
          <w:sz w:val="52"/>
          <w:szCs w:val="52"/>
          <w:highlight w:val="none"/>
        </w:rPr>
      </w:pPr>
    </w:p>
    <w:p w14:paraId="14747F65">
      <w:pPr>
        <w:jc w:val="center"/>
        <w:rPr>
          <w:rFonts w:hint="eastAsia" w:ascii="宋体" w:hAnsi="宋体" w:eastAsia="宋体" w:cs="宋体"/>
          <w:color w:val="auto"/>
          <w:sz w:val="52"/>
          <w:szCs w:val="52"/>
          <w:highlight w:val="none"/>
        </w:rPr>
      </w:pPr>
    </w:p>
    <w:p w14:paraId="7F465C66">
      <w:pPr>
        <w:jc w:val="center"/>
        <w:rPr>
          <w:rFonts w:hint="eastAsia" w:ascii="宋体" w:hAnsi="宋体" w:eastAsia="宋体" w:cs="宋体"/>
          <w:color w:val="auto"/>
          <w:sz w:val="52"/>
          <w:szCs w:val="52"/>
          <w:highlight w:val="none"/>
        </w:rPr>
      </w:pPr>
    </w:p>
    <w:p w14:paraId="65E76225">
      <w:pPr>
        <w:jc w:val="left"/>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br w:type="page"/>
      </w:r>
    </w:p>
    <w:p w14:paraId="4CB0AED3">
      <w:pPr>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第九章投标文件格式</w:t>
      </w:r>
      <w:bookmarkEnd w:id="104"/>
    </w:p>
    <w:p w14:paraId="2A10A7C9">
      <w:pPr>
        <w:pStyle w:val="20"/>
        <w:rPr>
          <w:rFonts w:hint="eastAsia" w:ascii="宋体" w:hAnsi="宋体" w:eastAsia="宋体" w:cs="宋体"/>
          <w:color w:val="auto"/>
          <w:highlight w:val="none"/>
        </w:rPr>
      </w:pPr>
    </w:p>
    <w:p w14:paraId="440DC8C4">
      <w:pPr>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18E904D9">
      <w:pPr>
        <w:spacing w:line="360" w:lineRule="auto"/>
        <w:rPr>
          <w:rFonts w:hint="eastAsia" w:ascii="宋体" w:hAnsi="宋体" w:eastAsia="宋体" w:cs="宋体"/>
          <w:b/>
          <w:bCs/>
          <w:color w:val="auto"/>
          <w:sz w:val="32"/>
          <w:highlight w:val="none"/>
          <w:u w:val="single"/>
        </w:rPr>
      </w:pPr>
      <w:r>
        <w:rPr>
          <w:rFonts w:hint="eastAsia" w:ascii="宋体" w:hAnsi="宋体" w:eastAsia="宋体" w:cs="宋体"/>
          <w:b/>
          <w:bCs/>
          <w:color w:val="auto"/>
          <w:sz w:val="32"/>
          <w:highlight w:val="none"/>
          <w:u w:val="single"/>
        </w:rPr>
        <w:t>（第一信封 商务文件格式）</w:t>
      </w:r>
    </w:p>
    <w:p w14:paraId="19C13AD8">
      <w:pPr>
        <w:tabs>
          <w:tab w:val="left" w:pos="3940"/>
        </w:tabs>
        <w:autoSpaceDE w:val="0"/>
        <w:autoSpaceDN w:val="0"/>
        <w:adjustRightInd w:val="0"/>
        <w:spacing w:line="340" w:lineRule="exact"/>
        <w:ind w:left="2672" w:right="-20"/>
        <w:jc w:val="left"/>
        <w:rPr>
          <w:rFonts w:hint="eastAsia" w:ascii="宋体" w:hAnsi="宋体" w:eastAsia="宋体" w:cs="宋体"/>
          <w:color w:val="auto"/>
          <w:kern w:val="0"/>
          <w:sz w:val="10"/>
          <w:szCs w:val="10"/>
          <w:highlight w:val="none"/>
        </w:rPr>
      </w:pPr>
    </w:p>
    <w:p w14:paraId="60B2105F">
      <w:pPr>
        <w:autoSpaceDE w:val="0"/>
        <w:autoSpaceDN w:val="0"/>
        <w:adjustRightInd w:val="0"/>
        <w:snapToGrid w:val="0"/>
        <w:jc w:val="left"/>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封面格式</w:t>
      </w:r>
    </w:p>
    <w:p w14:paraId="56F4D207">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6D3649CE">
      <w:pPr>
        <w:autoSpaceDE w:val="0"/>
        <w:autoSpaceDN w:val="0"/>
        <w:adjustRightInd w:val="0"/>
        <w:snapToGrid w:val="0"/>
        <w:spacing w:line="360" w:lineRule="auto"/>
        <w:jc w:val="center"/>
        <w:rPr>
          <w:rFonts w:hint="eastAsia" w:ascii="宋体" w:hAnsi="宋体" w:eastAsia="宋体" w:cs="宋体"/>
          <w:b/>
          <w:color w:val="auto"/>
          <w:w w:val="99"/>
          <w:kern w:val="0"/>
          <w:sz w:val="44"/>
          <w:szCs w:val="44"/>
          <w:highlight w:val="none"/>
          <w:lang w:eastAsia="zh-CN"/>
        </w:rPr>
      </w:pPr>
      <w:r>
        <w:rPr>
          <w:rFonts w:hint="eastAsia" w:ascii="宋体" w:hAnsi="宋体" w:eastAsia="宋体" w:cs="宋体"/>
          <w:b/>
          <w:color w:val="auto"/>
          <w:w w:val="99"/>
          <w:kern w:val="0"/>
          <w:sz w:val="44"/>
          <w:szCs w:val="44"/>
          <w:highlight w:val="none"/>
          <w:lang w:eastAsia="zh-CN"/>
        </w:rPr>
        <w:t>如皋辖区航标设施及基础维护工程</w:t>
      </w:r>
    </w:p>
    <w:p w14:paraId="330B8236">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0B47EECF">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577923A7">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40EDE4FF">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77E6E895">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25900247">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3B11BC0B">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103301E4">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56A6031D">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2C910BC9">
      <w:pPr>
        <w:tabs>
          <w:tab w:val="left" w:pos="3600"/>
          <w:tab w:val="left" w:pos="4480"/>
          <w:tab w:val="left" w:pos="5360"/>
        </w:tabs>
        <w:autoSpaceDE w:val="0"/>
        <w:autoSpaceDN w:val="0"/>
        <w:adjustRightInd w:val="0"/>
        <w:ind w:left="142" w:right="-20"/>
        <w:jc w:val="center"/>
        <w:rPr>
          <w:rFonts w:hint="eastAsia" w:ascii="宋体" w:hAnsi="宋体" w:eastAsia="宋体" w:cs="宋体"/>
          <w:b/>
          <w:color w:val="auto"/>
          <w:kern w:val="0"/>
          <w:sz w:val="96"/>
          <w:szCs w:val="72"/>
          <w:highlight w:val="none"/>
        </w:rPr>
      </w:pPr>
      <w:r>
        <w:rPr>
          <w:rFonts w:hint="eastAsia" w:ascii="宋体" w:hAnsi="宋体" w:eastAsia="宋体" w:cs="宋体"/>
          <w:b/>
          <w:color w:val="auto"/>
          <w:kern w:val="0"/>
          <w:sz w:val="96"/>
          <w:szCs w:val="72"/>
          <w:highlight w:val="none"/>
        </w:rPr>
        <w:t>投标文件</w:t>
      </w:r>
    </w:p>
    <w:p w14:paraId="139C764A">
      <w:pPr>
        <w:pStyle w:val="4"/>
        <w:snapToGrid w:val="0"/>
        <w:spacing w:before="0" w:after="0" w:line="360" w:lineRule="auto"/>
        <w:jc w:val="center"/>
        <w:rPr>
          <w:rFonts w:hint="eastAsia" w:ascii="宋体" w:hAnsi="宋体" w:eastAsia="宋体" w:cs="宋体"/>
          <w:color w:val="auto"/>
          <w:w w:val="99"/>
          <w:kern w:val="0"/>
          <w:highlight w:val="none"/>
        </w:rPr>
      </w:pPr>
      <w:bookmarkStart w:id="105" w:name="_Toc399835165"/>
      <w:bookmarkStart w:id="106" w:name="_Toc399835241"/>
      <w:bookmarkStart w:id="107" w:name="_Toc287272876"/>
      <w:bookmarkStart w:id="108" w:name="_Toc401319703"/>
      <w:bookmarkStart w:id="109" w:name="_Toc348945929"/>
      <w:bookmarkStart w:id="110" w:name="_Toc271904330"/>
      <w:bookmarkStart w:id="111" w:name="_Toc4102"/>
    </w:p>
    <w:p w14:paraId="0770AEE3">
      <w:pPr>
        <w:pStyle w:val="4"/>
        <w:snapToGrid w:val="0"/>
        <w:spacing w:before="0" w:after="0" w:line="360" w:lineRule="auto"/>
        <w:jc w:val="center"/>
        <w:rPr>
          <w:rFonts w:hint="eastAsia" w:ascii="宋体" w:hAnsi="宋体" w:eastAsia="宋体" w:cs="宋体"/>
          <w:color w:val="auto"/>
          <w:w w:val="99"/>
          <w:kern w:val="0"/>
          <w:highlight w:val="none"/>
        </w:rPr>
      </w:pPr>
      <w:r>
        <w:rPr>
          <w:rFonts w:hint="eastAsia" w:ascii="宋体" w:hAnsi="宋体" w:eastAsia="宋体" w:cs="宋体"/>
          <w:color w:val="auto"/>
          <w:w w:val="99"/>
          <w:kern w:val="0"/>
          <w:highlight w:val="none"/>
        </w:rPr>
        <w:t>第一信封  商务文件</w:t>
      </w:r>
      <w:bookmarkEnd w:id="105"/>
      <w:bookmarkEnd w:id="106"/>
      <w:bookmarkEnd w:id="107"/>
      <w:bookmarkEnd w:id="108"/>
      <w:bookmarkEnd w:id="109"/>
      <w:bookmarkEnd w:id="110"/>
      <w:bookmarkEnd w:id="111"/>
    </w:p>
    <w:p w14:paraId="03D8C105">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67751A22">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24A0480A">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631354A0">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589579DC">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15F671FA">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583EA599">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215F3906">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4FB03536">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5705F1C8">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0261F942">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70E817F4">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37BD2962">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49C8CFDB">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62CBFADF">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5152C2AB">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365DE316">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742BF590">
      <w:pPr>
        <w:tabs>
          <w:tab w:val="left" w:pos="6080"/>
          <w:tab w:val="left" w:pos="6640"/>
        </w:tabs>
        <w:autoSpaceDE w:val="0"/>
        <w:autoSpaceDN w:val="0"/>
        <w:adjustRightInd w:val="0"/>
        <w:spacing w:line="402" w:lineRule="auto"/>
        <w:ind w:right="403"/>
        <w:jc w:val="left"/>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kern w:val="0"/>
          <w:sz w:val="28"/>
          <w:szCs w:val="28"/>
          <w:highlight w:val="none"/>
          <w:u w:val="single"/>
        </w:rPr>
        <w:tab/>
      </w:r>
      <w:r>
        <w:rPr>
          <w:rFonts w:hint="eastAsia" w:ascii="宋体" w:hAnsi="宋体" w:eastAsia="宋体" w:cs="宋体"/>
          <w:color w:val="auto"/>
          <w:kern w:val="0"/>
          <w:sz w:val="28"/>
          <w:szCs w:val="28"/>
          <w:highlight w:val="none"/>
        </w:rPr>
        <w:t>（盖单位章）</w:t>
      </w:r>
    </w:p>
    <w:p w14:paraId="7474949E">
      <w:pPr>
        <w:tabs>
          <w:tab w:val="left" w:pos="6080"/>
          <w:tab w:val="left" w:pos="6640"/>
        </w:tabs>
        <w:autoSpaceDE w:val="0"/>
        <w:autoSpaceDN w:val="0"/>
        <w:adjustRightInd w:val="0"/>
        <w:spacing w:line="402" w:lineRule="auto"/>
        <w:ind w:right="-58"/>
        <w:jc w:val="left"/>
        <w:rPr>
          <w:rFonts w:hint="eastAsia" w:ascii="宋体" w:hAnsi="宋体" w:eastAsia="宋体" w:cs="宋体"/>
          <w:color w:val="auto"/>
          <w:w w:val="99"/>
          <w:kern w:val="0"/>
          <w:sz w:val="28"/>
          <w:szCs w:val="28"/>
          <w:highlight w:val="none"/>
        </w:rPr>
      </w:pPr>
      <w:r>
        <w:rPr>
          <w:rFonts w:hint="eastAsia" w:ascii="宋体" w:hAnsi="宋体" w:eastAsia="宋体" w:cs="宋体"/>
          <w:color w:val="auto"/>
          <w:kern w:val="0"/>
          <w:sz w:val="28"/>
          <w:szCs w:val="28"/>
          <w:highlight w:val="none"/>
        </w:rPr>
        <w:t>法定</w:t>
      </w:r>
      <w:r>
        <w:rPr>
          <w:rFonts w:hint="eastAsia" w:ascii="宋体" w:hAnsi="宋体" w:eastAsia="宋体" w:cs="宋体"/>
          <w:color w:val="auto"/>
          <w:w w:val="99"/>
          <w:kern w:val="0"/>
          <w:sz w:val="28"/>
          <w:szCs w:val="28"/>
          <w:highlight w:val="none"/>
        </w:rPr>
        <w:t>代表</w:t>
      </w:r>
      <w:r>
        <w:rPr>
          <w:rFonts w:hint="eastAsia" w:ascii="宋体" w:hAnsi="宋体" w:eastAsia="宋体" w:cs="宋体"/>
          <w:color w:val="auto"/>
          <w:kern w:val="0"/>
          <w:sz w:val="28"/>
          <w:szCs w:val="28"/>
          <w:highlight w:val="none"/>
        </w:rPr>
        <w:t>人或其委托代理人：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（签字或盖章）</w:t>
      </w:r>
    </w:p>
    <w:p w14:paraId="4AE9777F">
      <w:pPr>
        <w:autoSpaceDE w:val="0"/>
        <w:autoSpaceDN w:val="0"/>
        <w:adjustRightInd w:val="0"/>
        <w:snapToGrid w:val="0"/>
        <w:ind w:firstLine="3163" w:firstLineChars="1142"/>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7D2141C7">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62F9A15">
      <w:pPr>
        <w:spacing w:before="25"/>
        <w:ind w:right="139"/>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一、投标函</w:t>
      </w:r>
    </w:p>
    <w:p w14:paraId="231BEC35">
      <w:pPr>
        <w:pStyle w:val="20"/>
        <w:rPr>
          <w:rFonts w:hint="eastAsia" w:ascii="宋体" w:hAnsi="宋体" w:eastAsia="宋体" w:cs="宋体"/>
          <w:color w:val="auto"/>
          <w:sz w:val="20"/>
          <w:highlight w:val="none"/>
        </w:rPr>
      </w:pPr>
    </w:p>
    <w:p w14:paraId="3A4CD696">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（招标人名称）： </w:t>
      </w:r>
    </w:p>
    <w:p w14:paraId="7E57F380">
      <w:pPr>
        <w:pStyle w:val="20"/>
        <w:snapToGrid w:val="0"/>
        <w:spacing w:after="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1.我方在仔细研究了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（项目名称）工程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标段施工招标文件的全部内容（含补遗书第号至第号），在考察工程现场后，愿意以第二个信封（报价文件）中的投标总报价，按合同约定实施和完成承包工程，修补工程中的任何缺陷。</w:t>
      </w:r>
    </w:p>
    <w:p w14:paraId="7162AAF1">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2.我方承诺在投标有效期内不修改、撤销本投标文件。</w:t>
      </w:r>
    </w:p>
    <w:p w14:paraId="154A7E1C">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3.工程质量：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，安全目标：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01040EB">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4．如我方中标，：</w:t>
      </w:r>
    </w:p>
    <w:p w14:paraId="1EDDAD00">
      <w:pPr>
        <w:pStyle w:val="20"/>
        <w:snapToGrid w:val="0"/>
        <w:spacing w:after="0"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（1）我方承诺在收到中标通知书后，在中标通知书规定的期限内与你方签订合同；</w:t>
      </w:r>
    </w:p>
    <w:p w14:paraId="40AE2C91">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（2）在签订合同时不向你方提出附加条件；</w:t>
      </w:r>
    </w:p>
    <w:p w14:paraId="4C71F58F">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）在合同约定的期限内完成合同规定的全部义务；</w:t>
      </w:r>
    </w:p>
    <w:p w14:paraId="0D4FC8F0">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14:paraId="757BD4D5">
      <w:pPr>
        <w:pStyle w:val="20"/>
        <w:snapToGrid w:val="0"/>
        <w:spacing w:after="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5.我方在此声明，所递交的投标文件及有关资料内容完整、真实和准确，且不存在招标文件第二章“投标人须知”第1.4.3项和第1.4.4项规定的任何一种情形。</w:t>
      </w:r>
    </w:p>
    <w:p w14:paraId="2BC3679C">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6.在合同协议书正式签署生效之前，本投标函连同你方的中标通知书将构成我们双方之间共同遵守的文件，对双方具有约束力。</w:t>
      </w:r>
    </w:p>
    <w:p w14:paraId="60BFD4C6">
      <w:pPr>
        <w:pStyle w:val="20"/>
        <w:snapToGrid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7.（其他补充说明）。</w:t>
      </w:r>
    </w:p>
    <w:p w14:paraId="32C3B0C9">
      <w:pPr>
        <w:pStyle w:val="20"/>
        <w:spacing w:before="11"/>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投标人：（盖单位章）</w:t>
      </w:r>
    </w:p>
    <w:p w14:paraId="7892419A">
      <w:pPr>
        <w:pStyle w:val="20"/>
        <w:snapToGrid w:val="0"/>
        <w:spacing w:after="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法定代表人或其委托代理人：（签字或盖章）</w:t>
      </w:r>
    </w:p>
    <w:p w14:paraId="34D73DC4">
      <w:pPr>
        <w:pStyle w:val="20"/>
        <w:snapToGrid w:val="0"/>
        <w:spacing w:after="0"/>
        <w:ind w:right="23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地址：</w:t>
      </w:r>
    </w:p>
    <w:p w14:paraId="6D6E6C78">
      <w:pPr>
        <w:pStyle w:val="20"/>
        <w:snapToGrid w:val="0"/>
        <w:spacing w:after="0"/>
        <w:ind w:right="23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网址：</w:t>
      </w:r>
    </w:p>
    <w:p w14:paraId="3B7DB769">
      <w:pPr>
        <w:pStyle w:val="20"/>
        <w:snapToGrid w:val="0"/>
        <w:spacing w:after="0"/>
        <w:ind w:right="23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p>
    <w:p w14:paraId="5296671C">
      <w:pPr>
        <w:pStyle w:val="20"/>
        <w:snapToGrid w:val="0"/>
        <w:spacing w:after="0"/>
        <w:ind w:right="23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传真：</w:t>
      </w:r>
    </w:p>
    <w:p w14:paraId="524F127F">
      <w:pPr>
        <w:pStyle w:val="20"/>
        <w:snapToGrid w:val="0"/>
        <w:spacing w:after="0"/>
        <w:ind w:right="23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p>
    <w:p w14:paraId="3333CEB6">
      <w:pPr>
        <w:pStyle w:val="20"/>
        <w:snapToGrid w:val="0"/>
        <w:spacing w:after="0"/>
        <w:ind w:right="119"/>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BFFD5AA">
      <w:pPr>
        <w:jc w:val="right"/>
        <w:rPr>
          <w:rFonts w:hint="eastAsia" w:ascii="宋体" w:hAnsi="宋体" w:eastAsia="宋体" w:cs="宋体"/>
          <w:color w:val="auto"/>
          <w:highlight w:val="none"/>
        </w:rPr>
        <w:sectPr>
          <w:type w:val="continuous"/>
          <w:pgSz w:w="11905" w:h="16838"/>
          <w:pgMar w:top="1077" w:right="1134" w:bottom="1077" w:left="1134" w:header="850" w:footer="992" w:gutter="0"/>
          <w:cols w:space="0" w:num="1"/>
        </w:sectPr>
      </w:pPr>
    </w:p>
    <w:p w14:paraId="55968330">
      <w:pPr>
        <w:widowControl/>
        <w:jc w:val="left"/>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609D6B83">
      <w:pPr>
        <w:topLinePunct/>
        <w:spacing w:before="120" w:beforeLines="50" w:after="120" w:afterLines="50"/>
        <w:jc w:val="center"/>
        <w:rPr>
          <w:rFonts w:hint="eastAsia" w:ascii="宋体" w:hAnsi="宋体" w:eastAsia="宋体" w:cs="宋体"/>
          <w:color w:val="auto"/>
          <w:sz w:val="32"/>
          <w:szCs w:val="32"/>
          <w:highlight w:val="none"/>
        </w:rPr>
      </w:pPr>
      <w:bookmarkStart w:id="112" w:name="_Hlk172658368"/>
      <w:r>
        <w:rPr>
          <w:rFonts w:hint="eastAsia" w:ascii="宋体" w:hAnsi="宋体" w:eastAsia="宋体" w:cs="宋体"/>
          <w:color w:val="auto"/>
          <w:sz w:val="32"/>
          <w:szCs w:val="32"/>
          <w:highlight w:val="none"/>
        </w:rPr>
        <w:t>二、法定代表人身份证明或附有法定代表人身份证明的授权委托书</w:t>
      </w:r>
    </w:p>
    <w:p w14:paraId="20DD79CE">
      <w:pPr>
        <w:topLinePunct/>
        <w:spacing w:before="120" w:beforeLines="50" w:after="120" w:afterLines="5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（一）授权委托书</w:t>
      </w:r>
    </w:p>
    <w:p w14:paraId="2FA7838C">
      <w:pPr>
        <w:topLinePunct/>
        <w:spacing w:before="120" w:beforeLines="50" w:line="400" w:lineRule="exact"/>
        <w:ind w:firstLine="56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本人</w:t>
      </w:r>
      <w:r>
        <w:rPr>
          <w:rFonts w:hint="eastAsia" w:ascii="宋体" w:hAnsi="宋体" w:eastAsia="宋体" w:cs="宋体"/>
          <w:color w:val="auto"/>
          <w:sz w:val="21"/>
          <w:szCs w:val="21"/>
          <w:highlight w:val="none"/>
          <w:u w:val="single"/>
        </w:rPr>
        <w:t xml:space="preserve">       (姓名)</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(投标人名称)</w:t>
      </w:r>
      <w:r>
        <w:rPr>
          <w:rFonts w:hint="eastAsia" w:ascii="宋体" w:hAnsi="宋体" w:eastAsia="宋体" w:cs="宋体"/>
          <w:color w:val="auto"/>
          <w:sz w:val="21"/>
          <w:szCs w:val="21"/>
          <w:highlight w:val="none"/>
        </w:rPr>
        <w:t>的法定代表人，现委托</w:t>
      </w:r>
      <w:r>
        <w:rPr>
          <w:rFonts w:hint="eastAsia" w:ascii="宋体" w:hAnsi="宋体" w:eastAsia="宋体" w:cs="宋体"/>
          <w:color w:val="auto"/>
          <w:sz w:val="21"/>
          <w:szCs w:val="21"/>
          <w:highlight w:val="none"/>
          <w:u w:val="single"/>
        </w:rPr>
        <w:t xml:space="preserve">  (姓名)</w:t>
      </w:r>
      <w:r>
        <w:rPr>
          <w:rFonts w:hint="eastAsia" w:ascii="宋体" w:hAnsi="宋体" w:eastAsia="宋体" w:cs="宋体"/>
          <w:color w:val="auto"/>
          <w:sz w:val="21"/>
          <w:szCs w:val="21"/>
          <w:highlight w:val="none"/>
        </w:rPr>
        <w:t>为我方代理人。代理人根据授权，以我方名义签署、澄清、说明、补正、递交、撤回、修改</w:t>
      </w:r>
      <w:r>
        <w:rPr>
          <w:rFonts w:hint="eastAsia" w:ascii="宋体" w:hAnsi="宋体" w:eastAsia="宋体" w:cs="宋体"/>
          <w:color w:val="auto"/>
          <w:sz w:val="21"/>
          <w:szCs w:val="21"/>
          <w:highlight w:val="none"/>
          <w:u w:val="single"/>
        </w:rPr>
        <w:t xml:space="preserve">      项目</w:t>
      </w:r>
      <w:r>
        <w:rPr>
          <w:rFonts w:hint="eastAsia" w:ascii="宋体" w:hAnsi="宋体" w:eastAsia="宋体" w:cs="宋体"/>
          <w:color w:val="auto"/>
          <w:sz w:val="21"/>
          <w:szCs w:val="21"/>
          <w:highlight w:val="none"/>
        </w:rPr>
        <w:t>投标文件、签订合同和处理有关事宜，其法律后果由我方承担。</w:t>
      </w:r>
    </w:p>
    <w:p w14:paraId="2B618D97">
      <w:pPr>
        <w:pStyle w:val="20"/>
        <w:rPr>
          <w:rFonts w:hint="eastAsia" w:ascii="宋体" w:hAnsi="宋体" w:eastAsia="宋体" w:cs="宋体"/>
          <w:color w:val="auto"/>
          <w:sz w:val="21"/>
          <w:szCs w:val="21"/>
          <w:highlight w:val="none"/>
        </w:rPr>
      </w:pPr>
    </w:p>
    <w:p w14:paraId="722FDFD8">
      <w:pPr>
        <w:topLinePunct/>
        <w:spacing w:line="400" w:lineRule="exact"/>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委托期限：自本委托书签署之日起至投标有效期期满。</w:t>
      </w:r>
    </w:p>
    <w:p w14:paraId="68950A97">
      <w:pPr>
        <w:topLinePunct/>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代理人无转委托权。</w:t>
      </w:r>
    </w:p>
    <w:p w14:paraId="48EFFB89">
      <w:pPr>
        <w:topLinePunct/>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附：法定代表人身份证明（包括法定代表人身份证彩色复印件或彩色扫描件）及委托代理人身份证彩色复印件或彩色扫描件。</w:t>
      </w:r>
    </w:p>
    <w:p w14:paraId="3C6A7AF8">
      <w:pPr>
        <w:topLinePunct/>
        <w:ind w:firstLine="420" w:firstLineChars="200"/>
        <w:rPr>
          <w:rFonts w:hint="eastAsia" w:ascii="宋体" w:hAnsi="宋体" w:eastAsia="宋体" w:cs="宋体"/>
          <w:color w:val="auto"/>
          <w:sz w:val="21"/>
          <w:szCs w:val="21"/>
          <w:highlight w:val="none"/>
        </w:rPr>
      </w:pPr>
    </w:p>
    <w:p w14:paraId="0D25CBD6">
      <w:pPr>
        <w:topLinePunct/>
        <w:rPr>
          <w:rFonts w:hint="eastAsia" w:ascii="宋体" w:hAnsi="宋体" w:eastAsia="宋体" w:cs="宋体"/>
          <w:color w:val="auto"/>
          <w:sz w:val="21"/>
          <w:szCs w:val="21"/>
          <w:highlight w:val="none"/>
        </w:rPr>
      </w:pPr>
    </w:p>
    <w:p w14:paraId="76EE1ADF">
      <w:pPr>
        <w:topLinePun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投标人(盖单位公章)：</w:t>
      </w:r>
    </w:p>
    <w:p w14:paraId="5D57FA67">
      <w:pPr>
        <w:topLinePunct/>
        <w:jc w:val="left"/>
        <w:rPr>
          <w:rFonts w:hint="eastAsia" w:ascii="宋体" w:hAnsi="宋体" w:eastAsia="宋体" w:cs="宋体"/>
          <w:color w:val="auto"/>
          <w:sz w:val="21"/>
          <w:szCs w:val="21"/>
          <w:highlight w:val="none"/>
        </w:rPr>
      </w:pPr>
    </w:p>
    <w:p w14:paraId="75454A6A">
      <w:pPr>
        <w:topLinePun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p w14:paraId="0ACC3020">
      <w:pPr>
        <w:topLinePunct/>
        <w:jc w:val="left"/>
        <w:rPr>
          <w:rFonts w:hint="eastAsia" w:ascii="宋体" w:hAnsi="宋体" w:eastAsia="宋体" w:cs="宋体"/>
          <w:color w:val="auto"/>
          <w:sz w:val="21"/>
          <w:szCs w:val="21"/>
          <w:highlight w:val="none"/>
        </w:rPr>
      </w:pPr>
    </w:p>
    <w:p w14:paraId="6CD749D0">
      <w:pPr>
        <w:topLinePun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身份证号码：</w:t>
      </w:r>
    </w:p>
    <w:p w14:paraId="5AB483B2">
      <w:pPr>
        <w:topLinePunct/>
        <w:jc w:val="left"/>
        <w:rPr>
          <w:rFonts w:hint="eastAsia" w:ascii="宋体" w:hAnsi="宋体" w:eastAsia="宋体" w:cs="宋体"/>
          <w:color w:val="auto"/>
          <w:sz w:val="21"/>
          <w:szCs w:val="21"/>
          <w:highlight w:val="none"/>
        </w:rPr>
      </w:pPr>
    </w:p>
    <w:p w14:paraId="2BA41472">
      <w:pPr>
        <w:topLinePun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委托代理人(签字或盖章)：</w:t>
      </w:r>
    </w:p>
    <w:p w14:paraId="6760DEF1">
      <w:pPr>
        <w:topLinePunct/>
        <w:jc w:val="left"/>
        <w:rPr>
          <w:rFonts w:hint="eastAsia" w:ascii="宋体" w:hAnsi="宋体" w:eastAsia="宋体" w:cs="宋体"/>
          <w:color w:val="auto"/>
          <w:sz w:val="21"/>
          <w:szCs w:val="21"/>
          <w:highlight w:val="none"/>
        </w:rPr>
      </w:pPr>
    </w:p>
    <w:p w14:paraId="1B736302">
      <w:pPr>
        <w:topLinePun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身份证号码：</w:t>
      </w:r>
    </w:p>
    <w:p w14:paraId="25791F8F">
      <w:pPr>
        <w:topLinePunct/>
        <w:spacing w:before="120" w:beforeLines="50" w:after="120" w:afterLines="50"/>
        <w:ind w:firstLine="840" w:firstLineChars="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601ED732">
      <w:pPr>
        <w:topLinePunct/>
        <w:spacing w:before="120" w:beforeLines="50" w:after="120" w:afterLines="50"/>
        <w:jc w:val="center"/>
        <w:rPr>
          <w:rFonts w:hint="eastAsia" w:ascii="宋体" w:hAnsi="宋体" w:eastAsia="宋体" w:cs="宋体"/>
          <w:color w:val="auto"/>
          <w:sz w:val="21"/>
          <w:szCs w:val="21"/>
          <w:highlight w:val="none"/>
        </w:rPr>
      </w:pPr>
    </w:p>
    <w:p w14:paraId="0969E7C3">
      <w:pPr>
        <w:topLinePunct/>
        <w:spacing w:line="400" w:lineRule="exact"/>
        <w:ind w:firstLine="420" w:firstLineChars="200"/>
        <w:rPr>
          <w:rFonts w:hint="eastAsia" w:ascii="宋体" w:hAnsi="宋体" w:eastAsia="宋体" w:cs="宋体"/>
          <w:color w:val="auto"/>
          <w:sz w:val="21"/>
          <w:szCs w:val="21"/>
          <w:highlight w:val="none"/>
        </w:rPr>
      </w:pPr>
    </w:p>
    <w:p w14:paraId="0B125362">
      <w:pPr>
        <w:topLinePunct/>
        <w:spacing w:line="400" w:lineRule="exact"/>
        <w:ind w:firstLine="420" w:firstLineChars="200"/>
        <w:rPr>
          <w:rFonts w:hint="eastAsia" w:ascii="宋体" w:hAnsi="宋体" w:eastAsia="宋体" w:cs="宋体"/>
          <w:color w:val="auto"/>
          <w:sz w:val="21"/>
          <w:szCs w:val="21"/>
          <w:highlight w:val="none"/>
        </w:rPr>
      </w:pPr>
    </w:p>
    <w:p w14:paraId="2CBFAF22">
      <w:pPr>
        <w:topLinePunct/>
        <w:spacing w:line="400" w:lineRule="exact"/>
        <w:ind w:firstLine="420" w:firstLineChars="200"/>
        <w:rPr>
          <w:rFonts w:hint="eastAsia" w:ascii="宋体" w:hAnsi="宋体" w:eastAsia="宋体" w:cs="宋体"/>
          <w:color w:val="auto"/>
          <w:sz w:val="21"/>
          <w:szCs w:val="21"/>
          <w:highlight w:val="none"/>
        </w:rPr>
      </w:pPr>
    </w:p>
    <w:p w14:paraId="00F16E53">
      <w:pPr>
        <w:topLinePunct/>
        <w:spacing w:line="400" w:lineRule="exact"/>
        <w:ind w:firstLine="420" w:firstLineChars="200"/>
        <w:rPr>
          <w:rFonts w:hint="eastAsia" w:ascii="宋体" w:hAnsi="宋体" w:eastAsia="宋体" w:cs="宋体"/>
          <w:color w:val="auto"/>
          <w:sz w:val="21"/>
          <w:szCs w:val="21"/>
          <w:highlight w:val="none"/>
        </w:rPr>
      </w:pPr>
    </w:p>
    <w:p w14:paraId="1F4CD1B9">
      <w:pPr>
        <w:topLinePunct/>
        <w:spacing w:line="400" w:lineRule="exact"/>
        <w:ind w:firstLine="420" w:firstLineChars="200"/>
        <w:rPr>
          <w:rFonts w:hint="eastAsia" w:ascii="宋体" w:hAnsi="宋体" w:eastAsia="宋体" w:cs="宋体"/>
          <w:color w:val="auto"/>
          <w:sz w:val="21"/>
          <w:szCs w:val="21"/>
          <w:highlight w:val="none"/>
        </w:rPr>
      </w:pPr>
    </w:p>
    <w:p w14:paraId="43A8D8FF">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注：如果由投标人的法定代表人签署投标文件，则无须提交授权委托书。</w:t>
      </w:r>
    </w:p>
    <w:p w14:paraId="68D123C7">
      <w:pPr>
        <w:pStyle w:val="203"/>
        <w:topLinePunct/>
        <w:spacing w:line="400" w:lineRule="exact"/>
        <w:ind w:left="56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A5E0EFB">
      <w:pPr>
        <w:topLinePun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(二)法定代表人身份证明</w:t>
      </w:r>
    </w:p>
    <w:p w14:paraId="4CF5B211">
      <w:pPr>
        <w:pStyle w:val="20"/>
        <w:rPr>
          <w:rFonts w:hint="eastAsia" w:ascii="宋体" w:hAnsi="宋体" w:eastAsia="宋体" w:cs="宋体"/>
          <w:color w:val="auto"/>
          <w:highlight w:val="none"/>
        </w:rPr>
      </w:pPr>
    </w:p>
    <w:p w14:paraId="785439D4">
      <w:pPr>
        <w:topLinePun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投标人名称：</w:t>
      </w:r>
    </w:p>
    <w:p w14:paraId="4ACE1F38">
      <w:pPr>
        <w:topLinePunct/>
        <w:rPr>
          <w:rFonts w:hint="eastAsia" w:ascii="宋体" w:hAnsi="宋体" w:eastAsia="宋体" w:cs="宋体"/>
          <w:color w:val="auto"/>
          <w:sz w:val="21"/>
          <w:szCs w:val="21"/>
          <w:highlight w:val="none"/>
        </w:rPr>
      </w:pPr>
    </w:p>
    <w:p w14:paraId="4698AF64">
      <w:pPr>
        <w:topLinePun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(签字或盖章) </w:t>
      </w:r>
    </w:p>
    <w:p w14:paraId="4916B235">
      <w:pPr>
        <w:topLinePunct/>
        <w:rPr>
          <w:rFonts w:hint="eastAsia" w:ascii="宋体" w:hAnsi="宋体" w:eastAsia="宋体" w:cs="宋体"/>
          <w:color w:val="auto"/>
          <w:sz w:val="21"/>
          <w:szCs w:val="21"/>
          <w:highlight w:val="none"/>
          <w:u w:val="single"/>
        </w:rPr>
      </w:pPr>
    </w:p>
    <w:p w14:paraId="5511F990">
      <w:pPr>
        <w:topLinePun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性别：</w:t>
      </w:r>
    </w:p>
    <w:p w14:paraId="03C87368">
      <w:pPr>
        <w:topLinePunct/>
        <w:rPr>
          <w:rFonts w:hint="eastAsia" w:ascii="宋体" w:hAnsi="宋体" w:eastAsia="宋体" w:cs="宋体"/>
          <w:color w:val="auto"/>
          <w:sz w:val="21"/>
          <w:szCs w:val="21"/>
          <w:highlight w:val="none"/>
        </w:rPr>
      </w:pPr>
    </w:p>
    <w:p w14:paraId="270DDC0D">
      <w:pPr>
        <w:topLinePun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p w14:paraId="5505FCDD">
      <w:pPr>
        <w:topLinePunct/>
        <w:rPr>
          <w:rFonts w:hint="eastAsia" w:ascii="宋体" w:hAnsi="宋体" w:eastAsia="宋体" w:cs="宋体"/>
          <w:color w:val="auto"/>
          <w:sz w:val="21"/>
          <w:szCs w:val="21"/>
          <w:highlight w:val="none"/>
        </w:rPr>
      </w:pPr>
    </w:p>
    <w:p w14:paraId="2A8F2C5C">
      <w:pPr>
        <w:topLinePun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职务：</w:t>
      </w:r>
    </w:p>
    <w:p w14:paraId="1DF71A72">
      <w:pPr>
        <w:topLinePunct/>
        <w:rPr>
          <w:rFonts w:hint="eastAsia" w:ascii="宋体" w:hAnsi="宋体" w:eastAsia="宋体" w:cs="宋体"/>
          <w:color w:val="auto"/>
          <w:sz w:val="21"/>
          <w:szCs w:val="21"/>
          <w:highlight w:val="none"/>
        </w:rPr>
      </w:pPr>
    </w:p>
    <w:p w14:paraId="7208A0DB">
      <w:pPr>
        <w:topLinePun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(投标人名称)        </w:t>
      </w:r>
      <w:r>
        <w:rPr>
          <w:rFonts w:hint="eastAsia" w:ascii="宋体" w:hAnsi="宋体" w:eastAsia="宋体" w:cs="宋体"/>
          <w:color w:val="auto"/>
          <w:sz w:val="21"/>
          <w:szCs w:val="21"/>
          <w:highlight w:val="none"/>
        </w:rPr>
        <w:t>的法定代表人。</w:t>
      </w:r>
    </w:p>
    <w:p w14:paraId="14A16B44">
      <w:pPr>
        <w:topLinePunct/>
        <w:rPr>
          <w:rFonts w:hint="eastAsia" w:ascii="宋体" w:hAnsi="宋体" w:eastAsia="宋体" w:cs="宋体"/>
          <w:color w:val="auto"/>
          <w:sz w:val="21"/>
          <w:szCs w:val="21"/>
          <w:highlight w:val="none"/>
        </w:rPr>
      </w:pPr>
    </w:p>
    <w:p w14:paraId="58F626DB">
      <w:pPr>
        <w:topLinePun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57FD7A7A">
      <w:pPr>
        <w:topLinePunct/>
        <w:rPr>
          <w:rFonts w:hint="eastAsia" w:ascii="宋体" w:hAnsi="宋体" w:eastAsia="宋体" w:cs="宋体"/>
          <w:color w:val="auto"/>
          <w:sz w:val="21"/>
          <w:szCs w:val="21"/>
          <w:highlight w:val="none"/>
        </w:rPr>
      </w:pPr>
    </w:p>
    <w:p w14:paraId="2329374B">
      <w:pPr>
        <w:topLinePun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附：法定代表人身份证彩色复印件或彩色扫描件。</w:t>
      </w:r>
    </w:p>
    <w:p w14:paraId="79E06557">
      <w:pPr>
        <w:topLinePunct/>
        <w:rPr>
          <w:rFonts w:hint="eastAsia" w:ascii="宋体" w:hAnsi="宋体" w:eastAsia="宋体" w:cs="宋体"/>
          <w:color w:val="auto"/>
          <w:sz w:val="21"/>
          <w:szCs w:val="21"/>
          <w:highlight w:val="none"/>
        </w:rPr>
      </w:pPr>
    </w:p>
    <w:p w14:paraId="4E5E535D">
      <w:pPr>
        <w:topLinePunct/>
        <w:rPr>
          <w:rFonts w:hint="eastAsia" w:ascii="宋体" w:hAnsi="宋体" w:eastAsia="宋体" w:cs="宋体"/>
          <w:color w:val="auto"/>
          <w:sz w:val="21"/>
          <w:szCs w:val="21"/>
          <w:highlight w:val="none"/>
        </w:rPr>
      </w:pPr>
    </w:p>
    <w:p w14:paraId="091B24D5">
      <w:pPr>
        <w:topLinePun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投标人(盖单位公章)：</w:t>
      </w:r>
    </w:p>
    <w:p w14:paraId="138688E6">
      <w:pPr>
        <w:wordWrap w:val="0"/>
        <w:topLinePunct/>
        <w:ind w:right="-52"/>
        <w:jc w:val="right"/>
        <w:rPr>
          <w:rFonts w:hint="eastAsia" w:ascii="宋体" w:hAnsi="宋体" w:eastAsia="宋体" w:cs="宋体"/>
          <w:color w:val="auto"/>
          <w:sz w:val="21"/>
          <w:szCs w:val="21"/>
          <w:highlight w:val="none"/>
          <w:u w:val="single"/>
        </w:rPr>
      </w:pPr>
    </w:p>
    <w:p w14:paraId="24184934">
      <w:pPr>
        <w:topLinePunct/>
        <w:rPr>
          <w:rFonts w:hint="eastAsia" w:ascii="宋体" w:hAnsi="宋体" w:eastAsia="宋体" w:cs="宋体"/>
          <w:color w:val="auto"/>
          <w:sz w:val="21"/>
          <w:szCs w:val="21"/>
          <w:highlight w:val="none"/>
        </w:rPr>
      </w:pPr>
    </w:p>
    <w:p w14:paraId="7E71F8D4">
      <w:pPr>
        <w:topLinePunct/>
        <w:ind w:firstLine="840" w:firstLineChars="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5C62DE65">
      <w:pPr>
        <w:topLinePunct/>
        <w:rPr>
          <w:rFonts w:hint="eastAsia" w:ascii="宋体" w:hAnsi="宋体" w:eastAsia="宋体" w:cs="宋体"/>
          <w:color w:val="auto"/>
          <w:sz w:val="28"/>
          <w:szCs w:val="28"/>
          <w:highlight w:val="none"/>
        </w:rPr>
      </w:pPr>
    </w:p>
    <w:bookmarkEnd w:id="112"/>
    <w:p w14:paraId="1694002E">
      <w:pPr>
        <w:topLinePunct/>
        <w:rPr>
          <w:rFonts w:hint="eastAsia" w:ascii="宋体" w:hAnsi="宋体" w:eastAsia="宋体" w:cs="宋体"/>
          <w:color w:val="auto"/>
          <w:sz w:val="28"/>
          <w:szCs w:val="28"/>
          <w:highlight w:val="none"/>
        </w:rPr>
      </w:pPr>
    </w:p>
    <w:p w14:paraId="2602A376">
      <w:pPr>
        <w:topLinePunct/>
        <w:rPr>
          <w:rFonts w:hint="eastAsia" w:ascii="宋体" w:hAnsi="宋体" w:eastAsia="宋体" w:cs="宋体"/>
          <w:color w:val="auto"/>
          <w:sz w:val="28"/>
          <w:szCs w:val="28"/>
          <w:highlight w:val="none"/>
        </w:rPr>
      </w:pPr>
    </w:p>
    <w:p w14:paraId="04405B76">
      <w:pPr>
        <w:rPr>
          <w:rFonts w:hint="eastAsia" w:ascii="宋体" w:hAnsi="宋体" w:eastAsia="宋体" w:cs="宋体"/>
          <w:b/>
          <w:bCs/>
          <w:color w:val="auto"/>
          <w:highlight w:val="none"/>
        </w:rPr>
      </w:pPr>
    </w:p>
    <w:p w14:paraId="158ABDA9">
      <w:pPr>
        <w:spacing w:before="120" w:beforeLines="50" w:after="120" w:afterLines="50"/>
        <w:jc w:val="center"/>
        <w:rPr>
          <w:rFonts w:hint="eastAsia" w:ascii="宋体" w:hAnsi="宋体" w:eastAsia="宋体" w:cs="宋体"/>
          <w:b/>
          <w:bCs/>
          <w:color w:val="auto"/>
          <w:highlight w:val="none"/>
        </w:rPr>
      </w:pPr>
    </w:p>
    <w:p w14:paraId="63795185">
      <w:pPr>
        <w:spacing w:before="120" w:beforeLines="50" w:after="120" w:afterLines="50"/>
        <w:jc w:val="center"/>
        <w:rPr>
          <w:rFonts w:hint="eastAsia" w:ascii="宋体" w:hAnsi="宋体" w:eastAsia="宋体" w:cs="宋体"/>
          <w:b/>
          <w:bCs/>
          <w:color w:val="auto"/>
          <w:highlight w:val="none"/>
        </w:rPr>
      </w:pPr>
    </w:p>
    <w:p w14:paraId="19200F45">
      <w:pPr>
        <w:spacing w:before="120" w:beforeLines="50" w:after="120" w:afterLines="50"/>
        <w:jc w:val="center"/>
        <w:rPr>
          <w:rFonts w:hint="eastAsia" w:ascii="宋体" w:hAnsi="宋体" w:eastAsia="宋体" w:cs="宋体"/>
          <w:b/>
          <w:bCs/>
          <w:color w:val="auto"/>
          <w:highlight w:val="none"/>
        </w:rPr>
      </w:pPr>
    </w:p>
    <w:p w14:paraId="1E042ADA">
      <w:pPr>
        <w:spacing w:before="120" w:beforeLines="50" w:after="120" w:afterLines="50"/>
        <w:jc w:val="center"/>
        <w:rPr>
          <w:rFonts w:hint="eastAsia" w:ascii="宋体" w:hAnsi="宋体" w:eastAsia="宋体" w:cs="宋体"/>
          <w:b/>
          <w:bCs/>
          <w:color w:val="auto"/>
          <w:highlight w:val="none"/>
        </w:rPr>
      </w:pPr>
    </w:p>
    <w:p w14:paraId="1B2D1C0C">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E7EAD72">
      <w:pPr>
        <w:topLinePunct/>
        <w:spacing w:before="120" w:beforeLines="50" w:after="120" w:afterLines="50"/>
        <w:jc w:val="center"/>
        <w:rPr>
          <w:rFonts w:hint="eastAsia" w:ascii="宋体" w:hAnsi="宋体" w:eastAsia="宋体" w:cs="宋体"/>
          <w:color w:val="auto"/>
          <w:sz w:val="32"/>
          <w:szCs w:val="32"/>
          <w:highlight w:val="none"/>
        </w:rPr>
      </w:pPr>
      <w:bookmarkStart w:id="113" w:name="_Hlk172061808"/>
      <w:r>
        <w:rPr>
          <w:rFonts w:hint="eastAsia" w:ascii="宋体" w:hAnsi="宋体" w:cs="宋体"/>
          <w:color w:val="auto"/>
          <w:sz w:val="32"/>
          <w:szCs w:val="32"/>
          <w:highlight w:val="none"/>
          <w:lang w:val="en-US" w:eastAsia="zh-CN"/>
        </w:rPr>
        <w:t>三</w:t>
      </w:r>
      <w:r>
        <w:rPr>
          <w:rFonts w:hint="eastAsia" w:ascii="宋体" w:hAnsi="宋体" w:eastAsia="宋体" w:cs="宋体"/>
          <w:color w:val="auto"/>
          <w:sz w:val="32"/>
          <w:szCs w:val="32"/>
          <w:highlight w:val="none"/>
        </w:rPr>
        <w:t>、施工组织设计</w:t>
      </w:r>
    </w:p>
    <w:p w14:paraId="4568FD33">
      <w:pPr>
        <w:widowControl/>
        <w:jc w:val="left"/>
        <w:rPr>
          <w:rFonts w:hint="eastAsia" w:ascii="宋体" w:hAnsi="宋体" w:eastAsia="宋体" w:cs="宋体"/>
          <w:b/>
          <w:bCs/>
          <w:color w:val="auto"/>
          <w:w w:val="99"/>
          <w:kern w:val="0"/>
          <w:sz w:val="21"/>
          <w:szCs w:val="21"/>
          <w:highlight w:val="none"/>
        </w:rPr>
      </w:pPr>
      <w:r>
        <w:rPr>
          <w:rFonts w:hint="eastAsia" w:ascii="宋体" w:hAnsi="宋体" w:eastAsia="宋体" w:cs="宋体"/>
          <w:b/>
          <w:bCs/>
          <w:color w:val="auto"/>
          <w:w w:val="99"/>
          <w:kern w:val="0"/>
          <w:sz w:val="21"/>
          <w:szCs w:val="21"/>
          <w:highlight w:val="none"/>
        </w:rPr>
        <w:t>按评分点编制</w:t>
      </w:r>
    </w:p>
    <w:p w14:paraId="407BB0F7">
      <w:pPr>
        <w:widowControl/>
        <w:jc w:val="left"/>
        <w:rPr>
          <w:rFonts w:hint="eastAsia" w:ascii="宋体" w:hAnsi="宋体" w:eastAsia="宋体" w:cs="宋体"/>
          <w:b/>
          <w:bCs/>
          <w:color w:val="auto"/>
          <w:w w:val="99"/>
          <w:kern w:val="0"/>
          <w:sz w:val="28"/>
          <w:szCs w:val="28"/>
          <w:highlight w:val="none"/>
        </w:rPr>
      </w:pPr>
      <w:r>
        <w:rPr>
          <w:rFonts w:hint="eastAsia" w:ascii="宋体" w:hAnsi="宋体" w:eastAsia="宋体" w:cs="宋体"/>
          <w:b/>
          <w:bCs/>
          <w:color w:val="auto"/>
          <w:w w:val="99"/>
          <w:kern w:val="0"/>
          <w:sz w:val="28"/>
          <w:szCs w:val="28"/>
          <w:highlight w:val="none"/>
        </w:rPr>
        <w:br w:type="page"/>
      </w:r>
    </w:p>
    <w:p w14:paraId="7EEA92E3">
      <w:pPr>
        <w:widowControl/>
        <w:jc w:val="left"/>
        <w:rPr>
          <w:rFonts w:hint="eastAsia" w:ascii="宋体" w:hAnsi="宋体" w:eastAsia="宋体" w:cs="宋体"/>
          <w:color w:val="auto"/>
          <w:sz w:val="36"/>
          <w:szCs w:val="36"/>
          <w:highlight w:val="none"/>
        </w:rPr>
      </w:pPr>
    </w:p>
    <w:p w14:paraId="03B378A0">
      <w:pPr>
        <w:topLinePunct/>
        <w:spacing w:before="120" w:beforeLines="50" w:after="120" w:afterLines="50"/>
        <w:jc w:val="center"/>
        <w:rPr>
          <w:rFonts w:hint="eastAsia" w:ascii="宋体" w:hAnsi="宋体" w:eastAsia="宋体" w:cs="宋体"/>
          <w:color w:val="auto"/>
          <w:sz w:val="32"/>
          <w:szCs w:val="32"/>
          <w:highlight w:val="none"/>
        </w:rPr>
      </w:pPr>
      <w:r>
        <w:rPr>
          <w:rFonts w:hint="eastAsia" w:ascii="宋体" w:hAnsi="宋体" w:cs="宋体"/>
          <w:color w:val="auto"/>
          <w:sz w:val="32"/>
          <w:szCs w:val="32"/>
          <w:highlight w:val="none"/>
          <w:lang w:val="en-US" w:eastAsia="zh-CN"/>
        </w:rPr>
        <w:t>四</w:t>
      </w:r>
      <w:r>
        <w:rPr>
          <w:rFonts w:hint="eastAsia" w:ascii="宋体" w:hAnsi="宋体" w:eastAsia="宋体" w:cs="宋体"/>
          <w:color w:val="auto"/>
          <w:sz w:val="32"/>
          <w:szCs w:val="32"/>
          <w:highlight w:val="none"/>
        </w:rPr>
        <w:t>、项目管理机构</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1870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5B19383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拟为承包本标段工程设立的组织机构及框图方式表示。</w:t>
            </w:r>
          </w:p>
          <w:p w14:paraId="132270EF">
            <w:pPr>
              <w:topLinePunct/>
              <w:spacing w:before="120" w:beforeLines="50" w:after="120" w:afterLines="50"/>
              <w:jc w:val="center"/>
              <w:rPr>
                <w:rFonts w:hint="eastAsia" w:ascii="宋体" w:hAnsi="宋体" w:eastAsia="宋体" w:cs="宋体"/>
                <w:color w:val="auto"/>
                <w:highlight w:val="none"/>
              </w:rPr>
            </w:pPr>
          </w:p>
          <w:p w14:paraId="190C9F60">
            <w:pPr>
              <w:pStyle w:val="20"/>
              <w:rPr>
                <w:rFonts w:hint="eastAsia" w:ascii="宋体" w:hAnsi="宋体" w:eastAsia="宋体" w:cs="宋体"/>
                <w:color w:val="auto"/>
                <w:highlight w:val="none"/>
              </w:rPr>
            </w:pPr>
          </w:p>
          <w:p w14:paraId="5F00ADFF">
            <w:pPr>
              <w:pStyle w:val="20"/>
              <w:rPr>
                <w:rFonts w:hint="eastAsia" w:ascii="宋体" w:hAnsi="宋体" w:eastAsia="宋体" w:cs="宋体"/>
                <w:color w:val="auto"/>
                <w:highlight w:val="none"/>
              </w:rPr>
            </w:pPr>
          </w:p>
          <w:p w14:paraId="5147E5FD">
            <w:pPr>
              <w:pStyle w:val="20"/>
              <w:rPr>
                <w:rFonts w:hint="eastAsia" w:ascii="宋体" w:hAnsi="宋体" w:eastAsia="宋体" w:cs="宋体"/>
                <w:color w:val="auto"/>
                <w:highlight w:val="none"/>
              </w:rPr>
            </w:pPr>
          </w:p>
          <w:p w14:paraId="3401CA70">
            <w:pPr>
              <w:pStyle w:val="20"/>
              <w:rPr>
                <w:rFonts w:hint="eastAsia" w:ascii="宋体" w:hAnsi="宋体" w:eastAsia="宋体" w:cs="宋体"/>
                <w:color w:val="auto"/>
                <w:highlight w:val="none"/>
              </w:rPr>
            </w:pPr>
          </w:p>
          <w:p w14:paraId="179970B1">
            <w:pPr>
              <w:pStyle w:val="20"/>
              <w:rPr>
                <w:rFonts w:hint="eastAsia" w:ascii="宋体" w:hAnsi="宋体" w:eastAsia="宋体" w:cs="宋体"/>
                <w:color w:val="auto"/>
                <w:highlight w:val="none"/>
              </w:rPr>
            </w:pPr>
          </w:p>
          <w:p w14:paraId="703A47BC">
            <w:pPr>
              <w:pStyle w:val="20"/>
              <w:rPr>
                <w:rFonts w:hint="eastAsia" w:ascii="宋体" w:hAnsi="宋体" w:eastAsia="宋体" w:cs="宋体"/>
                <w:color w:val="auto"/>
                <w:highlight w:val="none"/>
              </w:rPr>
            </w:pPr>
          </w:p>
          <w:p w14:paraId="16568141">
            <w:pPr>
              <w:pStyle w:val="20"/>
              <w:rPr>
                <w:rFonts w:hint="eastAsia" w:ascii="宋体" w:hAnsi="宋体" w:eastAsia="宋体" w:cs="宋体"/>
                <w:color w:val="auto"/>
                <w:highlight w:val="none"/>
              </w:rPr>
            </w:pPr>
          </w:p>
          <w:p w14:paraId="6241A9AC">
            <w:pPr>
              <w:pStyle w:val="20"/>
              <w:rPr>
                <w:rFonts w:hint="eastAsia" w:ascii="宋体" w:hAnsi="宋体" w:eastAsia="宋体" w:cs="宋体"/>
                <w:color w:val="auto"/>
                <w:highlight w:val="none"/>
              </w:rPr>
            </w:pPr>
          </w:p>
          <w:p w14:paraId="54C923D6">
            <w:pPr>
              <w:pStyle w:val="20"/>
              <w:rPr>
                <w:rFonts w:hint="eastAsia" w:ascii="宋体" w:hAnsi="宋体" w:eastAsia="宋体" w:cs="宋体"/>
                <w:color w:val="auto"/>
                <w:highlight w:val="none"/>
              </w:rPr>
            </w:pPr>
          </w:p>
          <w:p w14:paraId="4FC7C34B">
            <w:pPr>
              <w:pStyle w:val="20"/>
              <w:rPr>
                <w:rFonts w:hint="eastAsia" w:ascii="宋体" w:hAnsi="宋体" w:eastAsia="宋体" w:cs="宋体"/>
                <w:color w:val="auto"/>
                <w:highlight w:val="none"/>
              </w:rPr>
            </w:pPr>
          </w:p>
          <w:p w14:paraId="167A20C3">
            <w:pPr>
              <w:pStyle w:val="20"/>
              <w:rPr>
                <w:rFonts w:hint="eastAsia" w:ascii="宋体" w:hAnsi="宋体" w:eastAsia="宋体" w:cs="宋体"/>
                <w:color w:val="auto"/>
                <w:highlight w:val="none"/>
              </w:rPr>
            </w:pPr>
          </w:p>
          <w:p w14:paraId="57588E00">
            <w:pPr>
              <w:pStyle w:val="20"/>
              <w:rPr>
                <w:rFonts w:hint="eastAsia" w:ascii="宋体" w:hAnsi="宋体" w:eastAsia="宋体" w:cs="宋体"/>
                <w:color w:val="auto"/>
                <w:highlight w:val="none"/>
              </w:rPr>
            </w:pPr>
          </w:p>
          <w:p w14:paraId="5236B5FC">
            <w:pPr>
              <w:pStyle w:val="20"/>
              <w:rPr>
                <w:rFonts w:hint="eastAsia" w:ascii="宋体" w:hAnsi="宋体" w:eastAsia="宋体" w:cs="宋体"/>
                <w:color w:val="auto"/>
                <w:highlight w:val="none"/>
              </w:rPr>
            </w:pPr>
          </w:p>
          <w:p w14:paraId="5F57215D">
            <w:pPr>
              <w:pStyle w:val="20"/>
              <w:rPr>
                <w:rFonts w:hint="eastAsia" w:ascii="宋体" w:hAnsi="宋体" w:eastAsia="宋体" w:cs="宋体"/>
                <w:color w:val="auto"/>
                <w:highlight w:val="none"/>
              </w:rPr>
            </w:pPr>
          </w:p>
          <w:p w14:paraId="40A61EEB">
            <w:pPr>
              <w:pStyle w:val="20"/>
              <w:rPr>
                <w:rFonts w:hint="eastAsia" w:ascii="宋体" w:hAnsi="宋体" w:eastAsia="宋体" w:cs="宋体"/>
                <w:color w:val="auto"/>
                <w:highlight w:val="none"/>
              </w:rPr>
            </w:pPr>
          </w:p>
          <w:p w14:paraId="4CFF72C2">
            <w:pPr>
              <w:pStyle w:val="20"/>
              <w:rPr>
                <w:rFonts w:hint="eastAsia" w:ascii="宋体" w:hAnsi="宋体" w:eastAsia="宋体" w:cs="宋体"/>
                <w:color w:val="auto"/>
                <w:highlight w:val="none"/>
              </w:rPr>
            </w:pPr>
          </w:p>
          <w:p w14:paraId="224F1740">
            <w:pPr>
              <w:pStyle w:val="20"/>
              <w:rPr>
                <w:rFonts w:hint="eastAsia" w:ascii="宋体" w:hAnsi="宋体" w:eastAsia="宋体" w:cs="宋体"/>
                <w:color w:val="auto"/>
                <w:highlight w:val="none"/>
              </w:rPr>
            </w:pPr>
          </w:p>
        </w:tc>
      </w:tr>
      <w:tr w14:paraId="0664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35EE4E7B">
            <w:pPr>
              <w:rPr>
                <w:rFonts w:hint="eastAsia" w:ascii="宋体" w:hAnsi="宋体" w:eastAsia="宋体" w:cs="宋体"/>
                <w:color w:val="auto"/>
                <w:highlight w:val="none"/>
              </w:rPr>
            </w:pPr>
            <w:r>
              <w:rPr>
                <w:rFonts w:hint="eastAsia" w:ascii="宋体" w:hAnsi="宋体" w:eastAsia="宋体" w:cs="宋体"/>
                <w:color w:val="auto"/>
                <w:highlight w:val="none"/>
              </w:rPr>
              <w:t>说明：</w:t>
            </w:r>
          </w:p>
          <w:p w14:paraId="66B3F580">
            <w:pPr>
              <w:pStyle w:val="20"/>
              <w:rPr>
                <w:rFonts w:hint="eastAsia" w:ascii="宋体" w:hAnsi="宋体" w:eastAsia="宋体" w:cs="宋体"/>
                <w:color w:val="auto"/>
                <w:highlight w:val="none"/>
              </w:rPr>
            </w:pPr>
          </w:p>
          <w:p w14:paraId="78534F2C">
            <w:pPr>
              <w:pStyle w:val="20"/>
              <w:rPr>
                <w:rFonts w:hint="eastAsia" w:ascii="宋体" w:hAnsi="宋体" w:eastAsia="宋体" w:cs="宋体"/>
                <w:color w:val="auto"/>
                <w:highlight w:val="none"/>
              </w:rPr>
            </w:pPr>
          </w:p>
          <w:p w14:paraId="0C72FFAF">
            <w:pPr>
              <w:pStyle w:val="20"/>
              <w:rPr>
                <w:rFonts w:hint="eastAsia" w:ascii="宋体" w:hAnsi="宋体" w:eastAsia="宋体" w:cs="宋体"/>
                <w:color w:val="auto"/>
                <w:highlight w:val="none"/>
              </w:rPr>
            </w:pPr>
          </w:p>
          <w:p w14:paraId="69874691">
            <w:pPr>
              <w:pStyle w:val="20"/>
              <w:rPr>
                <w:rFonts w:hint="eastAsia" w:ascii="宋体" w:hAnsi="宋体" w:eastAsia="宋体" w:cs="宋体"/>
                <w:color w:val="auto"/>
                <w:highlight w:val="none"/>
              </w:rPr>
            </w:pPr>
          </w:p>
          <w:p w14:paraId="6B67FB6A">
            <w:pPr>
              <w:pStyle w:val="20"/>
              <w:rPr>
                <w:rFonts w:hint="eastAsia" w:ascii="宋体" w:hAnsi="宋体" w:eastAsia="宋体" w:cs="宋体"/>
                <w:color w:val="auto"/>
                <w:highlight w:val="none"/>
              </w:rPr>
            </w:pPr>
          </w:p>
        </w:tc>
      </w:tr>
    </w:tbl>
    <w:p w14:paraId="6A954F1E">
      <w:pPr>
        <w:spacing w:line="400" w:lineRule="exact"/>
        <w:rPr>
          <w:rFonts w:hint="eastAsia" w:ascii="宋体" w:hAnsi="宋体" w:eastAsia="宋体" w:cs="宋体"/>
          <w:b/>
          <w:bCs/>
          <w:color w:val="auto"/>
          <w:sz w:val="30"/>
          <w:szCs w:val="30"/>
          <w:highlight w:val="none"/>
        </w:rPr>
      </w:pPr>
    </w:p>
    <w:p w14:paraId="482AFEC9">
      <w:pPr>
        <w:rPr>
          <w:rFonts w:hint="eastAsia" w:ascii="宋体" w:hAnsi="宋体" w:eastAsia="宋体" w:cs="宋体"/>
          <w:color w:val="auto"/>
          <w:highlight w:val="none"/>
        </w:rPr>
        <w:sectPr>
          <w:footerReference r:id="rId12" w:type="default"/>
          <w:type w:val="continuous"/>
          <w:pgSz w:w="11905" w:h="16838"/>
          <w:pgMar w:top="1077" w:right="1134" w:bottom="1077" w:left="1134" w:header="850" w:footer="992" w:gutter="0"/>
          <w:cols w:space="0" w:num="1"/>
          <w:docGrid w:linePitch="312" w:charSpace="0"/>
        </w:sectPr>
      </w:pPr>
    </w:p>
    <w:p w14:paraId="3775492E">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EB6B29">
      <w:pPr>
        <w:widowControl/>
        <w:jc w:val="left"/>
        <w:rPr>
          <w:rFonts w:hint="eastAsia" w:ascii="宋体" w:hAnsi="宋体" w:eastAsia="宋体" w:cs="宋体"/>
          <w:color w:val="auto"/>
          <w:sz w:val="36"/>
          <w:szCs w:val="36"/>
          <w:highlight w:val="none"/>
        </w:rPr>
      </w:pPr>
    </w:p>
    <w:p w14:paraId="0BF946FF">
      <w:pPr>
        <w:topLinePunct/>
        <w:spacing w:before="120" w:beforeLines="50" w:after="120" w:afterLines="50"/>
        <w:jc w:val="center"/>
        <w:rPr>
          <w:rFonts w:hint="eastAsia" w:ascii="宋体" w:hAnsi="宋体" w:eastAsia="宋体" w:cs="宋体"/>
          <w:color w:val="auto"/>
          <w:sz w:val="32"/>
          <w:szCs w:val="32"/>
          <w:highlight w:val="none"/>
        </w:rPr>
      </w:pPr>
      <w:r>
        <w:rPr>
          <w:rFonts w:hint="eastAsia" w:ascii="宋体" w:hAnsi="宋体" w:cs="宋体"/>
          <w:color w:val="auto"/>
          <w:sz w:val="32"/>
          <w:szCs w:val="32"/>
          <w:highlight w:val="none"/>
          <w:lang w:val="en-US" w:eastAsia="zh-CN"/>
        </w:rPr>
        <w:t>五</w:t>
      </w:r>
      <w:r>
        <w:rPr>
          <w:rFonts w:hint="eastAsia" w:ascii="宋体" w:hAnsi="宋体" w:eastAsia="宋体" w:cs="宋体"/>
          <w:color w:val="auto"/>
          <w:sz w:val="32"/>
          <w:szCs w:val="32"/>
          <w:highlight w:val="none"/>
        </w:rPr>
        <w:t>、拟分包项目情况表</w:t>
      </w:r>
    </w:p>
    <w:tbl>
      <w:tblPr>
        <w:tblStyle w:val="5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6"/>
        <w:gridCol w:w="2528"/>
        <w:gridCol w:w="2526"/>
        <w:gridCol w:w="2271"/>
      </w:tblGrid>
      <w:tr w14:paraId="1BB2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4D324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分包的工程项目</w:t>
            </w:r>
          </w:p>
        </w:tc>
        <w:tc>
          <w:tcPr>
            <w:tcW w:w="1282" w:type="pct"/>
            <w:vAlign w:val="center"/>
          </w:tcPr>
          <w:p w14:paraId="6C17D3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主要工程内容</w:t>
            </w:r>
          </w:p>
        </w:tc>
        <w:tc>
          <w:tcPr>
            <w:tcW w:w="1282" w:type="pct"/>
            <w:vAlign w:val="center"/>
          </w:tcPr>
          <w:p w14:paraId="1CD612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预计造价（万元）</w:t>
            </w:r>
          </w:p>
        </w:tc>
        <w:tc>
          <w:tcPr>
            <w:tcW w:w="1152" w:type="pct"/>
            <w:vMerge w:val="restart"/>
            <w:vAlign w:val="center"/>
          </w:tcPr>
          <w:p w14:paraId="1DB17CB7">
            <w:pPr>
              <w:widowControl/>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注：若无分包计划，则投标人应在本表填写“无”</w:t>
            </w:r>
          </w:p>
        </w:tc>
      </w:tr>
      <w:tr w14:paraId="28B1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9F2840C">
            <w:pPr>
              <w:widowControl/>
              <w:ind w:firstLine="840" w:firstLineChars="400"/>
              <w:rPr>
                <w:rFonts w:hint="eastAsia" w:ascii="宋体" w:hAnsi="宋体" w:eastAsia="宋体" w:cs="宋体"/>
                <w:color w:val="auto"/>
                <w:kern w:val="0"/>
                <w:sz w:val="21"/>
                <w:szCs w:val="21"/>
                <w:highlight w:val="none"/>
              </w:rPr>
            </w:pPr>
          </w:p>
        </w:tc>
        <w:tc>
          <w:tcPr>
            <w:tcW w:w="1282" w:type="pct"/>
            <w:vAlign w:val="center"/>
          </w:tcPr>
          <w:p w14:paraId="1C58E81F">
            <w:pPr>
              <w:widowControl/>
              <w:rPr>
                <w:rFonts w:hint="eastAsia" w:ascii="宋体" w:hAnsi="宋体" w:eastAsia="宋体" w:cs="宋体"/>
                <w:color w:val="auto"/>
                <w:kern w:val="0"/>
                <w:sz w:val="21"/>
                <w:szCs w:val="21"/>
                <w:highlight w:val="none"/>
              </w:rPr>
            </w:pPr>
          </w:p>
        </w:tc>
        <w:tc>
          <w:tcPr>
            <w:tcW w:w="1282" w:type="pct"/>
            <w:vAlign w:val="center"/>
          </w:tcPr>
          <w:p w14:paraId="12FBE18B">
            <w:pPr>
              <w:widowControl/>
              <w:rPr>
                <w:rFonts w:hint="eastAsia" w:ascii="宋体" w:hAnsi="宋体" w:eastAsia="宋体" w:cs="宋体"/>
                <w:color w:val="auto"/>
                <w:kern w:val="0"/>
                <w:sz w:val="21"/>
                <w:szCs w:val="21"/>
                <w:highlight w:val="none"/>
              </w:rPr>
            </w:pPr>
          </w:p>
        </w:tc>
        <w:tc>
          <w:tcPr>
            <w:tcW w:w="1152" w:type="pct"/>
            <w:vMerge w:val="continue"/>
            <w:vAlign w:val="center"/>
          </w:tcPr>
          <w:p w14:paraId="0166139F">
            <w:pPr>
              <w:widowControl/>
              <w:rPr>
                <w:rFonts w:hint="eastAsia" w:ascii="宋体" w:hAnsi="宋体" w:eastAsia="宋体" w:cs="宋体"/>
                <w:color w:val="auto"/>
                <w:kern w:val="0"/>
                <w:sz w:val="21"/>
                <w:szCs w:val="21"/>
                <w:highlight w:val="none"/>
              </w:rPr>
            </w:pPr>
          </w:p>
        </w:tc>
      </w:tr>
      <w:tr w14:paraId="74F1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19F551F">
            <w:pPr>
              <w:widowControl/>
              <w:rPr>
                <w:rFonts w:hint="eastAsia" w:ascii="宋体" w:hAnsi="宋体" w:eastAsia="宋体" w:cs="宋体"/>
                <w:color w:val="auto"/>
                <w:kern w:val="0"/>
                <w:sz w:val="21"/>
                <w:szCs w:val="21"/>
                <w:highlight w:val="none"/>
              </w:rPr>
            </w:pPr>
          </w:p>
        </w:tc>
        <w:tc>
          <w:tcPr>
            <w:tcW w:w="1282" w:type="pct"/>
            <w:vAlign w:val="center"/>
          </w:tcPr>
          <w:p w14:paraId="368873EE">
            <w:pPr>
              <w:widowControl/>
              <w:rPr>
                <w:rFonts w:hint="eastAsia" w:ascii="宋体" w:hAnsi="宋体" w:eastAsia="宋体" w:cs="宋体"/>
                <w:color w:val="auto"/>
                <w:kern w:val="0"/>
                <w:sz w:val="21"/>
                <w:szCs w:val="21"/>
                <w:highlight w:val="none"/>
              </w:rPr>
            </w:pPr>
          </w:p>
        </w:tc>
        <w:tc>
          <w:tcPr>
            <w:tcW w:w="1282" w:type="pct"/>
            <w:vAlign w:val="center"/>
          </w:tcPr>
          <w:p w14:paraId="1BAA484F">
            <w:pPr>
              <w:widowControl/>
              <w:rPr>
                <w:rFonts w:hint="eastAsia" w:ascii="宋体" w:hAnsi="宋体" w:eastAsia="宋体" w:cs="宋体"/>
                <w:color w:val="auto"/>
                <w:kern w:val="0"/>
                <w:sz w:val="21"/>
                <w:szCs w:val="21"/>
                <w:highlight w:val="none"/>
              </w:rPr>
            </w:pPr>
          </w:p>
        </w:tc>
        <w:tc>
          <w:tcPr>
            <w:tcW w:w="1152" w:type="pct"/>
            <w:vMerge w:val="continue"/>
            <w:vAlign w:val="center"/>
          </w:tcPr>
          <w:p w14:paraId="0BAC206B">
            <w:pPr>
              <w:widowControl/>
              <w:rPr>
                <w:rFonts w:hint="eastAsia" w:ascii="宋体" w:hAnsi="宋体" w:eastAsia="宋体" w:cs="宋体"/>
                <w:color w:val="auto"/>
                <w:kern w:val="0"/>
                <w:sz w:val="21"/>
                <w:szCs w:val="21"/>
                <w:highlight w:val="none"/>
              </w:rPr>
            </w:pPr>
          </w:p>
        </w:tc>
      </w:tr>
      <w:tr w14:paraId="5AAE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E354B14">
            <w:pPr>
              <w:widowControl/>
              <w:rPr>
                <w:rFonts w:hint="eastAsia" w:ascii="宋体" w:hAnsi="宋体" w:eastAsia="宋体" w:cs="宋体"/>
                <w:color w:val="auto"/>
                <w:kern w:val="0"/>
                <w:sz w:val="21"/>
                <w:szCs w:val="21"/>
                <w:highlight w:val="none"/>
              </w:rPr>
            </w:pPr>
          </w:p>
        </w:tc>
        <w:tc>
          <w:tcPr>
            <w:tcW w:w="1282" w:type="pct"/>
            <w:vAlign w:val="center"/>
          </w:tcPr>
          <w:p w14:paraId="4265864E">
            <w:pPr>
              <w:widowControl/>
              <w:rPr>
                <w:rFonts w:hint="eastAsia" w:ascii="宋体" w:hAnsi="宋体" w:eastAsia="宋体" w:cs="宋体"/>
                <w:color w:val="auto"/>
                <w:kern w:val="0"/>
                <w:sz w:val="21"/>
                <w:szCs w:val="21"/>
                <w:highlight w:val="none"/>
              </w:rPr>
            </w:pPr>
          </w:p>
        </w:tc>
        <w:tc>
          <w:tcPr>
            <w:tcW w:w="1282" w:type="pct"/>
            <w:vAlign w:val="center"/>
          </w:tcPr>
          <w:p w14:paraId="2D5836F6">
            <w:pPr>
              <w:widowControl/>
              <w:rPr>
                <w:rFonts w:hint="eastAsia" w:ascii="宋体" w:hAnsi="宋体" w:eastAsia="宋体" w:cs="宋体"/>
                <w:color w:val="auto"/>
                <w:kern w:val="0"/>
                <w:sz w:val="21"/>
                <w:szCs w:val="21"/>
                <w:highlight w:val="none"/>
              </w:rPr>
            </w:pPr>
          </w:p>
        </w:tc>
        <w:tc>
          <w:tcPr>
            <w:tcW w:w="1152" w:type="pct"/>
            <w:vMerge w:val="continue"/>
            <w:vAlign w:val="center"/>
          </w:tcPr>
          <w:p w14:paraId="31565178">
            <w:pPr>
              <w:widowControl/>
              <w:rPr>
                <w:rFonts w:hint="eastAsia" w:ascii="宋体" w:hAnsi="宋体" w:eastAsia="宋体" w:cs="宋体"/>
                <w:color w:val="auto"/>
                <w:kern w:val="0"/>
                <w:sz w:val="21"/>
                <w:szCs w:val="21"/>
                <w:highlight w:val="none"/>
              </w:rPr>
            </w:pPr>
          </w:p>
        </w:tc>
      </w:tr>
      <w:tr w14:paraId="409C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093A06CD">
            <w:pPr>
              <w:widowControl/>
              <w:rPr>
                <w:rFonts w:hint="eastAsia" w:ascii="宋体" w:hAnsi="宋体" w:eastAsia="宋体" w:cs="宋体"/>
                <w:color w:val="auto"/>
                <w:kern w:val="0"/>
                <w:sz w:val="21"/>
                <w:szCs w:val="21"/>
                <w:highlight w:val="none"/>
              </w:rPr>
            </w:pPr>
          </w:p>
        </w:tc>
        <w:tc>
          <w:tcPr>
            <w:tcW w:w="1282" w:type="pct"/>
            <w:vAlign w:val="center"/>
          </w:tcPr>
          <w:p w14:paraId="4662C746">
            <w:pPr>
              <w:widowControl/>
              <w:rPr>
                <w:rFonts w:hint="eastAsia" w:ascii="宋体" w:hAnsi="宋体" w:eastAsia="宋体" w:cs="宋体"/>
                <w:color w:val="auto"/>
                <w:kern w:val="0"/>
                <w:sz w:val="21"/>
                <w:szCs w:val="21"/>
                <w:highlight w:val="none"/>
              </w:rPr>
            </w:pPr>
          </w:p>
        </w:tc>
        <w:tc>
          <w:tcPr>
            <w:tcW w:w="1282" w:type="pct"/>
          </w:tcPr>
          <w:p w14:paraId="794FC838">
            <w:pPr>
              <w:widowControl/>
              <w:rPr>
                <w:rFonts w:hint="eastAsia" w:ascii="宋体" w:hAnsi="宋体" w:eastAsia="宋体" w:cs="宋体"/>
                <w:color w:val="auto"/>
                <w:kern w:val="0"/>
                <w:sz w:val="21"/>
                <w:szCs w:val="21"/>
                <w:highlight w:val="none"/>
              </w:rPr>
            </w:pPr>
          </w:p>
        </w:tc>
        <w:tc>
          <w:tcPr>
            <w:tcW w:w="1152" w:type="pct"/>
            <w:vMerge w:val="continue"/>
          </w:tcPr>
          <w:p w14:paraId="35F9ECCB">
            <w:pPr>
              <w:widowControl/>
              <w:ind w:firstLine="315" w:firstLineChars="150"/>
              <w:rPr>
                <w:rFonts w:hint="eastAsia" w:ascii="宋体" w:hAnsi="宋体" w:eastAsia="宋体" w:cs="宋体"/>
                <w:color w:val="auto"/>
                <w:kern w:val="0"/>
                <w:sz w:val="21"/>
                <w:szCs w:val="21"/>
                <w:highlight w:val="none"/>
              </w:rPr>
            </w:pPr>
          </w:p>
        </w:tc>
      </w:tr>
      <w:tr w14:paraId="3E25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717E8D3">
            <w:pPr>
              <w:widowControl/>
              <w:rPr>
                <w:rFonts w:hint="eastAsia" w:ascii="宋体" w:hAnsi="宋体" w:eastAsia="宋体" w:cs="宋体"/>
                <w:color w:val="auto"/>
                <w:kern w:val="0"/>
                <w:sz w:val="21"/>
                <w:szCs w:val="21"/>
                <w:highlight w:val="none"/>
              </w:rPr>
            </w:pPr>
          </w:p>
        </w:tc>
        <w:tc>
          <w:tcPr>
            <w:tcW w:w="1282" w:type="pct"/>
            <w:vAlign w:val="center"/>
          </w:tcPr>
          <w:p w14:paraId="2F216C54">
            <w:pPr>
              <w:widowControl/>
              <w:rPr>
                <w:rFonts w:hint="eastAsia" w:ascii="宋体" w:hAnsi="宋体" w:eastAsia="宋体" w:cs="宋体"/>
                <w:color w:val="auto"/>
                <w:kern w:val="0"/>
                <w:sz w:val="21"/>
                <w:szCs w:val="21"/>
                <w:highlight w:val="none"/>
              </w:rPr>
            </w:pPr>
          </w:p>
        </w:tc>
        <w:tc>
          <w:tcPr>
            <w:tcW w:w="1282" w:type="pct"/>
          </w:tcPr>
          <w:p w14:paraId="6DD6CE34">
            <w:pPr>
              <w:widowControl/>
              <w:rPr>
                <w:rFonts w:hint="eastAsia" w:ascii="宋体" w:hAnsi="宋体" w:eastAsia="宋体" w:cs="宋体"/>
                <w:color w:val="auto"/>
                <w:kern w:val="0"/>
                <w:sz w:val="21"/>
                <w:szCs w:val="21"/>
                <w:highlight w:val="none"/>
              </w:rPr>
            </w:pPr>
          </w:p>
        </w:tc>
        <w:tc>
          <w:tcPr>
            <w:tcW w:w="1152" w:type="pct"/>
            <w:vMerge w:val="continue"/>
          </w:tcPr>
          <w:p w14:paraId="21005B58">
            <w:pPr>
              <w:widowControl/>
              <w:rPr>
                <w:rFonts w:hint="eastAsia" w:ascii="宋体" w:hAnsi="宋体" w:eastAsia="宋体" w:cs="宋体"/>
                <w:color w:val="auto"/>
                <w:kern w:val="0"/>
                <w:sz w:val="21"/>
                <w:szCs w:val="21"/>
                <w:highlight w:val="none"/>
              </w:rPr>
            </w:pPr>
          </w:p>
        </w:tc>
      </w:tr>
      <w:tr w14:paraId="3C84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103CA4A1">
            <w:pPr>
              <w:widowControl/>
              <w:rPr>
                <w:rFonts w:hint="eastAsia" w:ascii="宋体" w:hAnsi="宋体" w:eastAsia="宋体" w:cs="宋体"/>
                <w:color w:val="auto"/>
                <w:kern w:val="0"/>
                <w:sz w:val="21"/>
                <w:szCs w:val="21"/>
                <w:highlight w:val="none"/>
              </w:rPr>
            </w:pPr>
          </w:p>
        </w:tc>
        <w:tc>
          <w:tcPr>
            <w:tcW w:w="1282" w:type="pct"/>
            <w:vAlign w:val="center"/>
          </w:tcPr>
          <w:p w14:paraId="7B696CE4">
            <w:pPr>
              <w:widowControl/>
              <w:rPr>
                <w:rFonts w:hint="eastAsia" w:ascii="宋体" w:hAnsi="宋体" w:eastAsia="宋体" w:cs="宋体"/>
                <w:color w:val="auto"/>
                <w:kern w:val="0"/>
                <w:sz w:val="21"/>
                <w:szCs w:val="21"/>
                <w:highlight w:val="none"/>
              </w:rPr>
            </w:pPr>
          </w:p>
        </w:tc>
        <w:tc>
          <w:tcPr>
            <w:tcW w:w="1282" w:type="pct"/>
          </w:tcPr>
          <w:p w14:paraId="7902D9B7">
            <w:pPr>
              <w:widowControl/>
              <w:rPr>
                <w:rFonts w:hint="eastAsia" w:ascii="宋体" w:hAnsi="宋体" w:eastAsia="宋体" w:cs="宋体"/>
                <w:color w:val="auto"/>
                <w:kern w:val="0"/>
                <w:sz w:val="21"/>
                <w:szCs w:val="21"/>
                <w:highlight w:val="none"/>
              </w:rPr>
            </w:pPr>
          </w:p>
        </w:tc>
        <w:tc>
          <w:tcPr>
            <w:tcW w:w="1152" w:type="pct"/>
            <w:vMerge w:val="continue"/>
          </w:tcPr>
          <w:p w14:paraId="7379D922">
            <w:pPr>
              <w:widowControl/>
              <w:rPr>
                <w:rFonts w:hint="eastAsia" w:ascii="宋体" w:hAnsi="宋体" w:eastAsia="宋体" w:cs="宋体"/>
                <w:color w:val="auto"/>
                <w:kern w:val="0"/>
                <w:sz w:val="21"/>
                <w:szCs w:val="21"/>
                <w:highlight w:val="none"/>
              </w:rPr>
            </w:pPr>
          </w:p>
        </w:tc>
      </w:tr>
      <w:tr w14:paraId="6805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E7A4C0E">
            <w:pPr>
              <w:widowControl/>
              <w:rPr>
                <w:rFonts w:hint="eastAsia" w:ascii="宋体" w:hAnsi="宋体" w:eastAsia="宋体" w:cs="宋体"/>
                <w:color w:val="auto"/>
                <w:kern w:val="0"/>
                <w:sz w:val="21"/>
                <w:szCs w:val="21"/>
                <w:highlight w:val="none"/>
              </w:rPr>
            </w:pPr>
          </w:p>
        </w:tc>
        <w:tc>
          <w:tcPr>
            <w:tcW w:w="1282" w:type="pct"/>
            <w:vAlign w:val="center"/>
          </w:tcPr>
          <w:p w14:paraId="6BA9EE43">
            <w:pPr>
              <w:widowControl/>
              <w:rPr>
                <w:rFonts w:hint="eastAsia" w:ascii="宋体" w:hAnsi="宋体" w:eastAsia="宋体" w:cs="宋体"/>
                <w:color w:val="auto"/>
                <w:kern w:val="0"/>
                <w:sz w:val="21"/>
                <w:szCs w:val="21"/>
                <w:highlight w:val="none"/>
              </w:rPr>
            </w:pPr>
          </w:p>
        </w:tc>
        <w:tc>
          <w:tcPr>
            <w:tcW w:w="1282" w:type="pct"/>
          </w:tcPr>
          <w:p w14:paraId="3EF49DF3">
            <w:pPr>
              <w:widowControl/>
              <w:rPr>
                <w:rFonts w:hint="eastAsia" w:ascii="宋体" w:hAnsi="宋体" w:eastAsia="宋体" w:cs="宋体"/>
                <w:color w:val="auto"/>
                <w:kern w:val="0"/>
                <w:sz w:val="21"/>
                <w:szCs w:val="21"/>
                <w:highlight w:val="none"/>
              </w:rPr>
            </w:pPr>
          </w:p>
        </w:tc>
        <w:tc>
          <w:tcPr>
            <w:tcW w:w="1152" w:type="pct"/>
            <w:vMerge w:val="continue"/>
          </w:tcPr>
          <w:p w14:paraId="404A8EDE">
            <w:pPr>
              <w:widowControl/>
              <w:rPr>
                <w:rFonts w:hint="eastAsia" w:ascii="宋体" w:hAnsi="宋体" w:eastAsia="宋体" w:cs="宋体"/>
                <w:color w:val="auto"/>
                <w:kern w:val="0"/>
                <w:sz w:val="21"/>
                <w:szCs w:val="21"/>
                <w:highlight w:val="none"/>
              </w:rPr>
            </w:pPr>
          </w:p>
        </w:tc>
      </w:tr>
      <w:tr w14:paraId="23EA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3C7AB7C5">
            <w:pPr>
              <w:widowControl/>
              <w:rPr>
                <w:rFonts w:hint="eastAsia" w:ascii="宋体" w:hAnsi="宋体" w:eastAsia="宋体" w:cs="宋体"/>
                <w:color w:val="auto"/>
                <w:kern w:val="0"/>
                <w:sz w:val="21"/>
                <w:szCs w:val="21"/>
                <w:highlight w:val="none"/>
              </w:rPr>
            </w:pPr>
          </w:p>
        </w:tc>
        <w:tc>
          <w:tcPr>
            <w:tcW w:w="1282" w:type="pct"/>
            <w:vAlign w:val="center"/>
          </w:tcPr>
          <w:p w14:paraId="68A5C6B7">
            <w:pPr>
              <w:widowControl/>
              <w:rPr>
                <w:rFonts w:hint="eastAsia" w:ascii="宋体" w:hAnsi="宋体" w:eastAsia="宋体" w:cs="宋体"/>
                <w:color w:val="auto"/>
                <w:kern w:val="0"/>
                <w:sz w:val="21"/>
                <w:szCs w:val="21"/>
                <w:highlight w:val="none"/>
              </w:rPr>
            </w:pPr>
          </w:p>
        </w:tc>
        <w:tc>
          <w:tcPr>
            <w:tcW w:w="1282" w:type="pct"/>
          </w:tcPr>
          <w:p w14:paraId="3C1ED4B8">
            <w:pPr>
              <w:widowControl/>
              <w:rPr>
                <w:rFonts w:hint="eastAsia" w:ascii="宋体" w:hAnsi="宋体" w:eastAsia="宋体" w:cs="宋体"/>
                <w:color w:val="auto"/>
                <w:kern w:val="0"/>
                <w:sz w:val="21"/>
                <w:szCs w:val="21"/>
                <w:highlight w:val="none"/>
              </w:rPr>
            </w:pPr>
          </w:p>
        </w:tc>
        <w:tc>
          <w:tcPr>
            <w:tcW w:w="1152" w:type="pct"/>
            <w:vMerge w:val="continue"/>
          </w:tcPr>
          <w:p w14:paraId="174A2200">
            <w:pPr>
              <w:widowControl/>
              <w:rPr>
                <w:rFonts w:hint="eastAsia" w:ascii="宋体" w:hAnsi="宋体" w:eastAsia="宋体" w:cs="宋体"/>
                <w:color w:val="auto"/>
                <w:kern w:val="0"/>
                <w:sz w:val="21"/>
                <w:szCs w:val="21"/>
                <w:highlight w:val="none"/>
              </w:rPr>
            </w:pPr>
          </w:p>
        </w:tc>
      </w:tr>
      <w:tr w14:paraId="606F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AAA8EBA">
            <w:pPr>
              <w:widowControl/>
              <w:rPr>
                <w:rFonts w:hint="eastAsia" w:ascii="宋体" w:hAnsi="宋体" w:eastAsia="宋体" w:cs="宋体"/>
                <w:color w:val="auto"/>
                <w:kern w:val="0"/>
                <w:sz w:val="21"/>
                <w:szCs w:val="21"/>
                <w:highlight w:val="none"/>
              </w:rPr>
            </w:pPr>
          </w:p>
        </w:tc>
        <w:tc>
          <w:tcPr>
            <w:tcW w:w="1282" w:type="pct"/>
            <w:vAlign w:val="center"/>
          </w:tcPr>
          <w:p w14:paraId="5D80D739">
            <w:pPr>
              <w:widowControl/>
              <w:rPr>
                <w:rFonts w:hint="eastAsia" w:ascii="宋体" w:hAnsi="宋体" w:eastAsia="宋体" w:cs="宋体"/>
                <w:color w:val="auto"/>
                <w:kern w:val="0"/>
                <w:sz w:val="21"/>
                <w:szCs w:val="21"/>
                <w:highlight w:val="none"/>
              </w:rPr>
            </w:pPr>
          </w:p>
        </w:tc>
        <w:tc>
          <w:tcPr>
            <w:tcW w:w="1282" w:type="pct"/>
          </w:tcPr>
          <w:p w14:paraId="5C55A55C">
            <w:pPr>
              <w:widowControl/>
              <w:rPr>
                <w:rFonts w:hint="eastAsia" w:ascii="宋体" w:hAnsi="宋体" w:eastAsia="宋体" w:cs="宋体"/>
                <w:color w:val="auto"/>
                <w:kern w:val="0"/>
                <w:sz w:val="21"/>
                <w:szCs w:val="21"/>
                <w:highlight w:val="none"/>
              </w:rPr>
            </w:pPr>
          </w:p>
        </w:tc>
        <w:tc>
          <w:tcPr>
            <w:tcW w:w="1152" w:type="pct"/>
            <w:vMerge w:val="continue"/>
          </w:tcPr>
          <w:p w14:paraId="047A4DB7">
            <w:pPr>
              <w:widowControl/>
              <w:rPr>
                <w:rFonts w:hint="eastAsia" w:ascii="宋体" w:hAnsi="宋体" w:eastAsia="宋体" w:cs="宋体"/>
                <w:color w:val="auto"/>
                <w:kern w:val="0"/>
                <w:sz w:val="21"/>
                <w:szCs w:val="21"/>
                <w:highlight w:val="none"/>
              </w:rPr>
            </w:pPr>
          </w:p>
        </w:tc>
      </w:tr>
      <w:tr w14:paraId="3AAF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FE46494">
            <w:pPr>
              <w:pStyle w:val="20"/>
              <w:ind w:firstLine="602"/>
              <w:rPr>
                <w:rFonts w:hint="eastAsia" w:ascii="宋体" w:hAnsi="宋体" w:eastAsia="宋体" w:cs="宋体"/>
                <w:b/>
                <w:bCs/>
                <w:color w:val="auto"/>
                <w:sz w:val="21"/>
                <w:szCs w:val="21"/>
                <w:highlight w:val="none"/>
              </w:rPr>
            </w:pPr>
          </w:p>
        </w:tc>
        <w:tc>
          <w:tcPr>
            <w:tcW w:w="1282" w:type="pct"/>
            <w:vAlign w:val="center"/>
          </w:tcPr>
          <w:p w14:paraId="7E171183">
            <w:pPr>
              <w:pStyle w:val="20"/>
              <w:ind w:firstLine="602"/>
              <w:rPr>
                <w:rFonts w:hint="eastAsia" w:ascii="宋体" w:hAnsi="宋体" w:eastAsia="宋体" w:cs="宋体"/>
                <w:b/>
                <w:bCs/>
                <w:color w:val="auto"/>
                <w:sz w:val="21"/>
                <w:szCs w:val="21"/>
                <w:highlight w:val="none"/>
              </w:rPr>
            </w:pPr>
          </w:p>
        </w:tc>
        <w:tc>
          <w:tcPr>
            <w:tcW w:w="1282" w:type="pct"/>
          </w:tcPr>
          <w:p w14:paraId="2811243C">
            <w:pPr>
              <w:pStyle w:val="20"/>
              <w:ind w:firstLine="602"/>
              <w:rPr>
                <w:rFonts w:hint="eastAsia" w:ascii="宋体" w:hAnsi="宋体" w:eastAsia="宋体" w:cs="宋体"/>
                <w:b/>
                <w:bCs/>
                <w:color w:val="auto"/>
                <w:sz w:val="21"/>
                <w:szCs w:val="21"/>
                <w:highlight w:val="none"/>
              </w:rPr>
            </w:pPr>
          </w:p>
        </w:tc>
        <w:tc>
          <w:tcPr>
            <w:tcW w:w="1152" w:type="pct"/>
            <w:vMerge w:val="continue"/>
          </w:tcPr>
          <w:p w14:paraId="1AE6DCF6">
            <w:pPr>
              <w:pStyle w:val="20"/>
              <w:ind w:firstLine="602"/>
              <w:rPr>
                <w:rFonts w:hint="eastAsia" w:ascii="宋体" w:hAnsi="宋体" w:eastAsia="宋体" w:cs="宋体"/>
                <w:b/>
                <w:bCs/>
                <w:color w:val="auto"/>
                <w:sz w:val="21"/>
                <w:szCs w:val="21"/>
                <w:highlight w:val="none"/>
              </w:rPr>
            </w:pPr>
          </w:p>
        </w:tc>
      </w:tr>
      <w:tr w14:paraId="762E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699CDEE2">
            <w:pPr>
              <w:pStyle w:val="20"/>
              <w:ind w:firstLine="602"/>
              <w:rPr>
                <w:rFonts w:hint="eastAsia" w:ascii="宋体" w:hAnsi="宋体" w:eastAsia="宋体" w:cs="宋体"/>
                <w:b/>
                <w:bCs/>
                <w:color w:val="auto"/>
                <w:sz w:val="21"/>
                <w:szCs w:val="21"/>
                <w:highlight w:val="none"/>
              </w:rPr>
            </w:pPr>
          </w:p>
        </w:tc>
        <w:tc>
          <w:tcPr>
            <w:tcW w:w="1282" w:type="pct"/>
            <w:vAlign w:val="center"/>
          </w:tcPr>
          <w:p w14:paraId="0FF74AB9">
            <w:pPr>
              <w:pStyle w:val="20"/>
              <w:ind w:firstLine="602"/>
              <w:rPr>
                <w:rFonts w:hint="eastAsia" w:ascii="宋体" w:hAnsi="宋体" w:eastAsia="宋体" w:cs="宋体"/>
                <w:b/>
                <w:bCs/>
                <w:color w:val="auto"/>
                <w:sz w:val="21"/>
                <w:szCs w:val="21"/>
                <w:highlight w:val="none"/>
              </w:rPr>
            </w:pPr>
          </w:p>
        </w:tc>
        <w:tc>
          <w:tcPr>
            <w:tcW w:w="1282" w:type="pct"/>
          </w:tcPr>
          <w:p w14:paraId="163E25EC">
            <w:pPr>
              <w:pStyle w:val="20"/>
              <w:ind w:firstLine="602"/>
              <w:rPr>
                <w:rFonts w:hint="eastAsia" w:ascii="宋体" w:hAnsi="宋体" w:eastAsia="宋体" w:cs="宋体"/>
                <w:b/>
                <w:bCs/>
                <w:color w:val="auto"/>
                <w:sz w:val="21"/>
                <w:szCs w:val="21"/>
                <w:highlight w:val="none"/>
              </w:rPr>
            </w:pPr>
          </w:p>
        </w:tc>
        <w:tc>
          <w:tcPr>
            <w:tcW w:w="1152" w:type="pct"/>
            <w:vMerge w:val="continue"/>
          </w:tcPr>
          <w:p w14:paraId="0DC23A6A">
            <w:pPr>
              <w:pStyle w:val="20"/>
              <w:ind w:firstLine="602"/>
              <w:rPr>
                <w:rFonts w:hint="eastAsia" w:ascii="宋体" w:hAnsi="宋体" w:eastAsia="宋体" w:cs="宋体"/>
                <w:b/>
                <w:bCs/>
                <w:color w:val="auto"/>
                <w:sz w:val="21"/>
                <w:szCs w:val="21"/>
                <w:highlight w:val="none"/>
              </w:rPr>
            </w:pPr>
          </w:p>
        </w:tc>
      </w:tr>
      <w:tr w14:paraId="42CD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21D93E1A">
            <w:pPr>
              <w:pStyle w:val="20"/>
              <w:ind w:firstLine="602"/>
              <w:rPr>
                <w:rFonts w:hint="eastAsia" w:ascii="宋体" w:hAnsi="宋体" w:eastAsia="宋体" w:cs="宋体"/>
                <w:b/>
                <w:bCs/>
                <w:color w:val="auto"/>
                <w:sz w:val="21"/>
                <w:szCs w:val="21"/>
                <w:highlight w:val="none"/>
              </w:rPr>
            </w:pPr>
          </w:p>
        </w:tc>
        <w:tc>
          <w:tcPr>
            <w:tcW w:w="1282" w:type="pct"/>
            <w:vAlign w:val="center"/>
          </w:tcPr>
          <w:p w14:paraId="6EDD1A58">
            <w:pPr>
              <w:pStyle w:val="20"/>
              <w:ind w:firstLine="602"/>
              <w:rPr>
                <w:rFonts w:hint="eastAsia" w:ascii="宋体" w:hAnsi="宋体" w:eastAsia="宋体" w:cs="宋体"/>
                <w:b/>
                <w:bCs/>
                <w:color w:val="auto"/>
                <w:sz w:val="21"/>
                <w:szCs w:val="21"/>
                <w:highlight w:val="none"/>
              </w:rPr>
            </w:pPr>
          </w:p>
        </w:tc>
        <w:tc>
          <w:tcPr>
            <w:tcW w:w="1282" w:type="pct"/>
          </w:tcPr>
          <w:p w14:paraId="49F4240D">
            <w:pPr>
              <w:pStyle w:val="20"/>
              <w:ind w:firstLine="602"/>
              <w:rPr>
                <w:rFonts w:hint="eastAsia" w:ascii="宋体" w:hAnsi="宋体" w:eastAsia="宋体" w:cs="宋体"/>
                <w:b/>
                <w:bCs/>
                <w:color w:val="auto"/>
                <w:sz w:val="21"/>
                <w:szCs w:val="21"/>
                <w:highlight w:val="none"/>
              </w:rPr>
            </w:pPr>
          </w:p>
        </w:tc>
        <w:tc>
          <w:tcPr>
            <w:tcW w:w="1152" w:type="pct"/>
            <w:vMerge w:val="continue"/>
          </w:tcPr>
          <w:p w14:paraId="794028B5">
            <w:pPr>
              <w:pStyle w:val="20"/>
              <w:ind w:firstLine="602"/>
              <w:rPr>
                <w:rFonts w:hint="eastAsia" w:ascii="宋体" w:hAnsi="宋体" w:eastAsia="宋体" w:cs="宋体"/>
                <w:b/>
                <w:bCs/>
                <w:color w:val="auto"/>
                <w:sz w:val="21"/>
                <w:szCs w:val="21"/>
                <w:highlight w:val="none"/>
              </w:rPr>
            </w:pPr>
          </w:p>
        </w:tc>
      </w:tr>
      <w:tr w14:paraId="7C31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C3BA771">
            <w:pPr>
              <w:pStyle w:val="20"/>
              <w:ind w:firstLine="602"/>
              <w:rPr>
                <w:rFonts w:hint="eastAsia" w:ascii="宋体" w:hAnsi="宋体" w:eastAsia="宋体" w:cs="宋体"/>
                <w:b/>
                <w:bCs/>
                <w:color w:val="auto"/>
                <w:sz w:val="21"/>
                <w:szCs w:val="21"/>
                <w:highlight w:val="none"/>
              </w:rPr>
            </w:pPr>
          </w:p>
        </w:tc>
        <w:tc>
          <w:tcPr>
            <w:tcW w:w="1282" w:type="pct"/>
            <w:vAlign w:val="center"/>
          </w:tcPr>
          <w:p w14:paraId="10E12CF9">
            <w:pPr>
              <w:pStyle w:val="20"/>
              <w:ind w:firstLine="602"/>
              <w:rPr>
                <w:rFonts w:hint="eastAsia" w:ascii="宋体" w:hAnsi="宋体" w:eastAsia="宋体" w:cs="宋体"/>
                <w:b/>
                <w:bCs/>
                <w:color w:val="auto"/>
                <w:sz w:val="21"/>
                <w:szCs w:val="21"/>
                <w:highlight w:val="none"/>
              </w:rPr>
            </w:pPr>
          </w:p>
        </w:tc>
        <w:tc>
          <w:tcPr>
            <w:tcW w:w="1282" w:type="pct"/>
          </w:tcPr>
          <w:p w14:paraId="7E88D819">
            <w:pPr>
              <w:pStyle w:val="20"/>
              <w:ind w:firstLine="602"/>
              <w:rPr>
                <w:rFonts w:hint="eastAsia" w:ascii="宋体" w:hAnsi="宋体" w:eastAsia="宋体" w:cs="宋体"/>
                <w:b/>
                <w:bCs/>
                <w:color w:val="auto"/>
                <w:sz w:val="21"/>
                <w:szCs w:val="21"/>
                <w:highlight w:val="none"/>
              </w:rPr>
            </w:pPr>
          </w:p>
        </w:tc>
        <w:tc>
          <w:tcPr>
            <w:tcW w:w="1152" w:type="pct"/>
            <w:vMerge w:val="continue"/>
          </w:tcPr>
          <w:p w14:paraId="3FA547D4">
            <w:pPr>
              <w:pStyle w:val="20"/>
              <w:ind w:firstLine="602"/>
              <w:rPr>
                <w:rFonts w:hint="eastAsia" w:ascii="宋体" w:hAnsi="宋体" w:eastAsia="宋体" w:cs="宋体"/>
                <w:b/>
                <w:bCs/>
                <w:color w:val="auto"/>
                <w:sz w:val="21"/>
                <w:szCs w:val="21"/>
                <w:highlight w:val="none"/>
              </w:rPr>
            </w:pPr>
          </w:p>
        </w:tc>
      </w:tr>
      <w:tr w14:paraId="7C06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450A6DE8">
            <w:pPr>
              <w:pStyle w:val="20"/>
              <w:ind w:firstLine="602"/>
              <w:rPr>
                <w:rFonts w:hint="eastAsia" w:ascii="宋体" w:hAnsi="宋体" w:eastAsia="宋体" w:cs="宋体"/>
                <w:b/>
                <w:bCs/>
                <w:color w:val="auto"/>
                <w:sz w:val="21"/>
                <w:szCs w:val="21"/>
                <w:highlight w:val="none"/>
              </w:rPr>
            </w:pPr>
          </w:p>
        </w:tc>
        <w:tc>
          <w:tcPr>
            <w:tcW w:w="1282" w:type="pct"/>
            <w:vAlign w:val="center"/>
          </w:tcPr>
          <w:p w14:paraId="314DF594">
            <w:pPr>
              <w:pStyle w:val="20"/>
              <w:ind w:firstLine="602"/>
              <w:rPr>
                <w:rFonts w:hint="eastAsia" w:ascii="宋体" w:hAnsi="宋体" w:eastAsia="宋体" w:cs="宋体"/>
                <w:b/>
                <w:bCs/>
                <w:color w:val="auto"/>
                <w:sz w:val="21"/>
                <w:szCs w:val="21"/>
                <w:highlight w:val="none"/>
              </w:rPr>
            </w:pPr>
          </w:p>
        </w:tc>
        <w:tc>
          <w:tcPr>
            <w:tcW w:w="1282" w:type="pct"/>
          </w:tcPr>
          <w:p w14:paraId="13DE93D0">
            <w:pPr>
              <w:pStyle w:val="20"/>
              <w:ind w:firstLine="602"/>
              <w:rPr>
                <w:rFonts w:hint="eastAsia" w:ascii="宋体" w:hAnsi="宋体" w:eastAsia="宋体" w:cs="宋体"/>
                <w:b/>
                <w:bCs/>
                <w:color w:val="auto"/>
                <w:sz w:val="21"/>
                <w:szCs w:val="21"/>
                <w:highlight w:val="none"/>
              </w:rPr>
            </w:pPr>
          </w:p>
        </w:tc>
        <w:tc>
          <w:tcPr>
            <w:tcW w:w="1152" w:type="pct"/>
            <w:vMerge w:val="continue"/>
          </w:tcPr>
          <w:p w14:paraId="3542A160">
            <w:pPr>
              <w:pStyle w:val="20"/>
              <w:ind w:firstLine="602"/>
              <w:rPr>
                <w:rFonts w:hint="eastAsia" w:ascii="宋体" w:hAnsi="宋体" w:eastAsia="宋体" w:cs="宋体"/>
                <w:b/>
                <w:bCs/>
                <w:color w:val="auto"/>
                <w:sz w:val="21"/>
                <w:szCs w:val="21"/>
                <w:highlight w:val="none"/>
              </w:rPr>
            </w:pPr>
          </w:p>
        </w:tc>
      </w:tr>
      <w:tr w14:paraId="6183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5A9E0E3F">
            <w:pPr>
              <w:pStyle w:val="20"/>
              <w:ind w:firstLine="602"/>
              <w:rPr>
                <w:rFonts w:hint="eastAsia" w:ascii="宋体" w:hAnsi="宋体" w:eastAsia="宋体" w:cs="宋体"/>
                <w:b/>
                <w:bCs/>
                <w:color w:val="auto"/>
                <w:sz w:val="21"/>
                <w:szCs w:val="21"/>
                <w:highlight w:val="none"/>
              </w:rPr>
            </w:pPr>
          </w:p>
        </w:tc>
        <w:tc>
          <w:tcPr>
            <w:tcW w:w="1282" w:type="pct"/>
            <w:vAlign w:val="center"/>
          </w:tcPr>
          <w:p w14:paraId="22689986">
            <w:pPr>
              <w:pStyle w:val="20"/>
              <w:ind w:firstLine="602"/>
              <w:rPr>
                <w:rFonts w:hint="eastAsia" w:ascii="宋体" w:hAnsi="宋体" w:eastAsia="宋体" w:cs="宋体"/>
                <w:b/>
                <w:bCs/>
                <w:color w:val="auto"/>
                <w:sz w:val="21"/>
                <w:szCs w:val="21"/>
                <w:highlight w:val="none"/>
              </w:rPr>
            </w:pPr>
          </w:p>
        </w:tc>
        <w:tc>
          <w:tcPr>
            <w:tcW w:w="1282" w:type="pct"/>
          </w:tcPr>
          <w:p w14:paraId="3ABBEA0C">
            <w:pPr>
              <w:pStyle w:val="20"/>
              <w:ind w:firstLine="602"/>
              <w:rPr>
                <w:rFonts w:hint="eastAsia" w:ascii="宋体" w:hAnsi="宋体" w:eastAsia="宋体" w:cs="宋体"/>
                <w:b/>
                <w:bCs/>
                <w:color w:val="auto"/>
                <w:sz w:val="21"/>
                <w:szCs w:val="21"/>
                <w:highlight w:val="none"/>
              </w:rPr>
            </w:pPr>
          </w:p>
        </w:tc>
        <w:tc>
          <w:tcPr>
            <w:tcW w:w="1152" w:type="pct"/>
            <w:vMerge w:val="continue"/>
          </w:tcPr>
          <w:p w14:paraId="02A60D29">
            <w:pPr>
              <w:pStyle w:val="20"/>
              <w:ind w:firstLine="602"/>
              <w:rPr>
                <w:rFonts w:hint="eastAsia" w:ascii="宋体" w:hAnsi="宋体" w:eastAsia="宋体" w:cs="宋体"/>
                <w:b/>
                <w:bCs/>
                <w:color w:val="auto"/>
                <w:sz w:val="21"/>
                <w:szCs w:val="21"/>
                <w:highlight w:val="none"/>
              </w:rPr>
            </w:pPr>
          </w:p>
        </w:tc>
      </w:tr>
      <w:tr w14:paraId="36E0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82" w:type="pct"/>
            <w:vAlign w:val="center"/>
          </w:tcPr>
          <w:p w14:paraId="7FB5B95B">
            <w:pPr>
              <w:pStyle w:val="20"/>
              <w:ind w:firstLine="602"/>
              <w:rPr>
                <w:rFonts w:hint="eastAsia" w:ascii="宋体" w:hAnsi="宋体" w:eastAsia="宋体" w:cs="宋体"/>
                <w:b/>
                <w:bCs/>
                <w:color w:val="auto"/>
                <w:sz w:val="21"/>
                <w:szCs w:val="21"/>
                <w:highlight w:val="none"/>
              </w:rPr>
            </w:pPr>
          </w:p>
        </w:tc>
        <w:tc>
          <w:tcPr>
            <w:tcW w:w="1282" w:type="pct"/>
            <w:vAlign w:val="center"/>
          </w:tcPr>
          <w:p w14:paraId="136EEA04">
            <w:pPr>
              <w:pStyle w:val="20"/>
              <w:ind w:firstLine="602"/>
              <w:rPr>
                <w:rFonts w:hint="eastAsia" w:ascii="宋体" w:hAnsi="宋体" w:eastAsia="宋体" w:cs="宋体"/>
                <w:b/>
                <w:bCs/>
                <w:color w:val="auto"/>
                <w:sz w:val="21"/>
                <w:szCs w:val="21"/>
                <w:highlight w:val="none"/>
              </w:rPr>
            </w:pPr>
          </w:p>
        </w:tc>
        <w:tc>
          <w:tcPr>
            <w:tcW w:w="1282" w:type="pct"/>
          </w:tcPr>
          <w:p w14:paraId="1281ACDE">
            <w:pPr>
              <w:pStyle w:val="20"/>
              <w:ind w:firstLine="602"/>
              <w:rPr>
                <w:rFonts w:hint="eastAsia" w:ascii="宋体" w:hAnsi="宋体" w:eastAsia="宋体" w:cs="宋体"/>
                <w:b/>
                <w:bCs/>
                <w:color w:val="auto"/>
                <w:sz w:val="21"/>
                <w:szCs w:val="21"/>
                <w:highlight w:val="none"/>
              </w:rPr>
            </w:pPr>
          </w:p>
        </w:tc>
        <w:tc>
          <w:tcPr>
            <w:tcW w:w="1152" w:type="pct"/>
            <w:vMerge w:val="continue"/>
          </w:tcPr>
          <w:p w14:paraId="1022B09F">
            <w:pPr>
              <w:pStyle w:val="20"/>
              <w:ind w:firstLine="602"/>
              <w:rPr>
                <w:rFonts w:hint="eastAsia" w:ascii="宋体" w:hAnsi="宋体" w:eastAsia="宋体" w:cs="宋体"/>
                <w:b/>
                <w:bCs/>
                <w:color w:val="auto"/>
                <w:sz w:val="21"/>
                <w:szCs w:val="21"/>
                <w:highlight w:val="none"/>
              </w:rPr>
            </w:pPr>
          </w:p>
        </w:tc>
      </w:tr>
      <w:tr w14:paraId="702FD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65" w:type="pct"/>
            <w:gridSpan w:val="2"/>
            <w:vAlign w:val="center"/>
          </w:tcPr>
          <w:p w14:paraId="730BC59A">
            <w:pPr>
              <w:widowControl/>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拟分包工程造价合计（万元）</w:t>
            </w:r>
          </w:p>
        </w:tc>
        <w:tc>
          <w:tcPr>
            <w:tcW w:w="1282" w:type="pct"/>
          </w:tcPr>
          <w:p w14:paraId="49B22F85">
            <w:pPr>
              <w:pStyle w:val="20"/>
              <w:ind w:firstLine="602"/>
              <w:rPr>
                <w:rFonts w:hint="eastAsia" w:ascii="宋体" w:hAnsi="宋体" w:eastAsia="宋体" w:cs="宋体"/>
                <w:b/>
                <w:bCs/>
                <w:color w:val="auto"/>
                <w:sz w:val="21"/>
                <w:szCs w:val="21"/>
                <w:highlight w:val="none"/>
              </w:rPr>
            </w:pPr>
          </w:p>
        </w:tc>
        <w:tc>
          <w:tcPr>
            <w:tcW w:w="1152" w:type="pct"/>
            <w:vMerge w:val="continue"/>
          </w:tcPr>
          <w:p w14:paraId="51FA5F94">
            <w:pPr>
              <w:pStyle w:val="20"/>
              <w:ind w:firstLine="602"/>
              <w:rPr>
                <w:rFonts w:hint="eastAsia" w:ascii="宋体" w:hAnsi="宋体" w:eastAsia="宋体" w:cs="宋体"/>
                <w:b/>
                <w:bCs/>
                <w:color w:val="auto"/>
                <w:sz w:val="21"/>
                <w:szCs w:val="21"/>
                <w:highlight w:val="none"/>
              </w:rPr>
            </w:pPr>
          </w:p>
        </w:tc>
      </w:tr>
    </w:tbl>
    <w:p w14:paraId="3B3351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注：本项目不允许分包。请在“分包的工程项目”一栏填写“无”。本表不可缺省。 </w:t>
      </w:r>
    </w:p>
    <w:p w14:paraId="6E6998C2">
      <w:pPr>
        <w:pStyle w:val="178"/>
        <w:tabs>
          <w:tab w:val="left" w:pos="540"/>
        </w:tabs>
        <w:spacing w:line="360" w:lineRule="exact"/>
        <w:ind w:left="0" w:firstLine="954" w:firstLineChars="396"/>
        <w:rPr>
          <w:rFonts w:hint="eastAsia" w:ascii="宋体" w:hAnsi="宋体" w:eastAsia="宋体" w:cs="宋体"/>
          <w:b/>
          <w:bCs/>
          <w:color w:val="auto"/>
          <w:highlight w:val="none"/>
          <w:u w:val="single"/>
        </w:rPr>
        <w:sectPr>
          <w:type w:val="continuous"/>
          <w:pgSz w:w="11905" w:h="16838"/>
          <w:pgMar w:top="1077" w:right="1134" w:bottom="1077" w:left="1134" w:header="850" w:footer="992" w:gutter="0"/>
          <w:cols w:space="0" w:num="1"/>
          <w:docGrid w:linePitch="312" w:charSpace="0"/>
        </w:sectPr>
      </w:pPr>
    </w:p>
    <w:p w14:paraId="399CA954">
      <w:pPr>
        <w:widowControl/>
        <w:jc w:val="left"/>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1ADBECA8">
      <w:pPr>
        <w:pStyle w:val="49"/>
        <w:numPr>
          <w:ilvl w:val="0"/>
          <w:numId w:val="0"/>
        </w:numPr>
        <w:rPr>
          <w:rFonts w:hint="eastAsia" w:ascii="宋体" w:hAnsi="宋体" w:eastAsia="宋体" w:cs="宋体"/>
          <w:color w:val="auto"/>
          <w:sz w:val="32"/>
          <w:szCs w:val="32"/>
          <w:highlight w:val="none"/>
          <w:lang w:val="en-US" w:eastAsia="zh-CN"/>
        </w:rPr>
      </w:pPr>
      <w:r>
        <w:rPr>
          <w:rFonts w:hint="eastAsia" w:ascii="宋体" w:hAnsi="宋体" w:cs="宋体"/>
          <w:b/>
          <w:bCs/>
          <w:color w:val="auto"/>
          <w:kern w:val="0"/>
          <w:sz w:val="32"/>
          <w:szCs w:val="32"/>
          <w:highlight w:val="none"/>
          <w:lang w:val="en-US" w:eastAsia="zh-CN" w:bidi="ar-SA"/>
        </w:rPr>
        <w:t>六</w:t>
      </w:r>
      <w:r>
        <w:rPr>
          <w:rFonts w:hint="eastAsia" w:ascii="宋体" w:hAnsi="宋体" w:eastAsia="宋体" w:cs="宋体"/>
          <w:b/>
          <w:bCs/>
          <w:color w:val="auto"/>
          <w:kern w:val="0"/>
          <w:sz w:val="32"/>
          <w:szCs w:val="32"/>
          <w:highlight w:val="none"/>
          <w:lang w:val="en-US" w:eastAsia="zh-CN" w:bidi="ar-SA"/>
        </w:rPr>
        <w:t>、</w:t>
      </w:r>
      <w:r>
        <w:rPr>
          <w:rFonts w:hint="eastAsia" w:ascii="宋体" w:hAnsi="宋体" w:eastAsia="宋体" w:cs="宋体"/>
          <w:color w:val="auto"/>
          <w:sz w:val="32"/>
          <w:szCs w:val="32"/>
          <w:highlight w:val="none"/>
          <w:lang w:val="en-US" w:eastAsia="zh-CN"/>
        </w:rPr>
        <w:t>资格审查及商务评审资料</w:t>
      </w:r>
    </w:p>
    <w:p w14:paraId="7FD66EDB">
      <w:pPr>
        <w:jc w:val="center"/>
        <w:rPr>
          <w:rFonts w:hint="eastAsia" w:ascii="宋体" w:hAnsi="宋体" w:eastAsia="宋体" w:cs="宋体"/>
          <w:b/>
          <w:color w:val="auto"/>
          <w:sz w:val="28"/>
          <w:szCs w:val="28"/>
          <w:highlight w:val="none"/>
        </w:rPr>
      </w:pPr>
    </w:p>
    <w:p w14:paraId="4F6C5C7A">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表1企业基本信息表</w:t>
      </w:r>
    </w:p>
    <w:p w14:paraId="68830D5A">
      <w:pPr>
        <w:jc w:val="center"/>
        <w:rPr>
          <w:rFonts w:hint="eastAsia" w:ascii="宋体" w:hAnsi="宋体" w:eastAsia="宋体" w:cs="宋体"/>
          <w:b/>
          <w:color w:val="auto"/>
          <w:sz w:val="28"/>
          <w:szCs w:val="28"/>
          <w:highlight w:val="none"/>
        </w:rPr>
      </w:pPr>
    </w:p>
    <w:tbl>
      <w:tblPr>
        <w:tblStyle w:val="52"/>
        <w:tblW w:w="5000" w:type="pct"/>
        <w:tblInd w:w="15" w:type="dxa"/>
        <w:tblLayout w:type="autofit"/>
        <w:tblCellMar>
          <w:top w:w="0" w:type="dxa"/>
          <w:left w:w="0" w:type="dxa"/>
          <w:bottom w:w="0" w:type="dxa"/>
          <w:right w:w="0" w:type="dxa"/>
        </w:tblCellMar>
      </w:tblPr>
      <w:tblGrid>
        <w:gridCol w:w="1608"/>
        <w:gridCol w:w="1610"/>
        <w:gridCol w:w="1611"/>
        <w:gridCol w:w="1611"/>
        <w:gridCol w:w="1611"/>
        <w:gridCol w:w="1616"/>
      </w:tblGrid>
      <w:tr w14:paraId="4DD6153F">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59BC1E1">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申请人全称：</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EB244D7">
            <w:pPr>
              <w:widowControl/>
              <w:jc w:val="left"/>
              <w:textAlignment w:val="bottom"/>
              <w:rPr>
                <w:rFonts w:hint="eastAsia" w:ascii="宋体" w:hAnsi="宋体" w:eastAsia="宋体" w:cs="宋体"/>
                <w:color w:val="auto"/>
                <w:sz w:val="21"/>
                <w:szCs w:val="21"/>
                <w:highlight w:val="none"/>
              </w:rPr>
            </w:pPr>
          </w:p>
        </w:tc>
      </w:tr>
      <w:tr w14:paraId="126F76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9624C3A">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主要业务：</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0E97942">
            <w:pPr>
              <w:widowControl/>
              <w:jc w:val="left"/>
              <w:textAlignment w:val="bottom"/>
              <w:rPr>
                <w:rFonts w:hint="eastAsia" w:ascii="宋体" w:hAnsi="宋体" w:eastAsia="宋体" w:cs="宋体"/>
                <w:color w:val="auto"/>
                <w:sz w:val="21"/>
                <w:szCs w:val="21"/>
                <w:highlight w:val="none"/>
              </w:rPr>
            </w:pPr>
          </w:p>
        </w:tc>
      </w:tr>
      <w:tr w14:paraId="35330EC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46F1B9">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营业范围：</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911EF38">
            <w:pPr>
              <w:widowControl/>
              <w:jc w:val="left"/>
              <w:textAlignment w:val="bottom"/>
              <w:rPr>
                <w:rFonts w:hint="eastAsia" w:ascii="宋体" w:hAnsi="宋体" w:eastAsia="宋体" w:cs="宋体"/>
                <w:color w:val="auto"/>
                <w:sz w:val="21"/>
                <w:szCs w:val="21"/>
                <w:highlight w:val="none"/>
              </w:rPr>
            </w:pPr>
          </w:p>
        </w:tc>
      </w:tr>
      <w:tr w14:paraId="2A5629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C7F80AF">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统一社会信用代码：</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BCC7C44">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7B95463">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注册资本(元)：</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5C5E3DF">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014CCAA">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信用等级：</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DA9D399">
            <w:pPr>
              <w:widowControl/>
              <w:jc w:val="left"/>
              <w:textAlignment w:val="bottom"/>
              <w:rPr>
                <w:rFonts w:hint="eastAsia" w:ascii="宋体" w:hAnsi="宋体" w:eastAsia="宋体" w:cs="宋体"/>
                <w:color w:val="auto"/>
                <w:sz w:val="21"/>
                <w:szCs w:val="21"/>
                <w:highlight w:val="none"/>
              </w:rPr>
            </w:pPr>
          </w:p>
        </w:tc>
      </w:tr>
      <w:tr w14:paraId="73C21DC2">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D1DE01C">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建立日期：</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15DA47F">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3EF60E5">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现有职工总人数(人)：</w:t>
            </w:r>
          </w:p>
        </w:tc>
        <w:tc>
          <w:tcPr>
            <w:tcW w:w="2502"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C361F53">
            <w:pPr>
              <w:widowControl/>
              <w:jc w:val="left"/>
              <w:textAlignment w:val="bottom"/>
              <w:rPr>
                <w:rFonts w:hint="eastAsia" w:ascii="宋体" w:hAnsi="宋体" w:eastAsia="宋体" w:cs="宋体"/>
                <w:color w:val="auto"/>
                <w:sz w:val="21"/>
                <w:szCs w:val="21"/>
                <w:highlight w:val="none"/>
              </w:rPr>
            </w:pPr>
          </w:p>
        </w:tc>
      </w:tr>
      <w:tr w14:paraId="7A5A2143">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1951B8C">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办公地址：</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4754E31">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6D061B3">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邮编：</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D1E2ACD">
            <w:pPr>
              <w:widowControl/>
              <w:jc w:val="left"/>
              <w:textAlignment w:val="bottom"/>
              <w:rPr>
                <w:rFonts w:hint="eastAsia" w:ascii="宋体" w:hAnsi="宋体" w:eastAsia="宋体" w:cs="宋体"/>
                <w:color w:val="auto"/>
                <w:sz w:val="21"/>
                <w:szCs w:val="21"/>
                <w:highlight w:val="none"/>
              </w:rPr>
            </w:pPr>
          </w:p>
        </w:tc>
      </w:tr>
      <w:tr w14:paraId="7B738E50">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3F48342">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联系电话：</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86314A6">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C9599D9">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传真：</w:t>
            </w:r>
          </w:p>
        </w:tc>
        <w:tc>
          <w:tcPr>
            <w:tcW w:w="2502"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702BC7C">
            <w:pPr>
              <w:widowControl/>
              <w:jc w:val="left"/>
              <w:textAlignment w:val="bottom"/>
              <w:rPr>
                <w:rFonts w:hint="eastAsia" w:ascii="宋体" w:hAnsi="宋体" w:eastAsia="宋体" w:cs="宋体"/>
                <w:color w:val="auto"/>
                <w:sz w:val="21"/>
                <w:szCs w:val="21"/>
                <w:highlight w:val="none"/>
              </w:rPr>
            </w:pPr>
          </w:p>
        </w:tc>
      </w:tr>
      <w:tr w14:paraId="2F79B636">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7D84ED6">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法人代表姓名：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E5EA89B">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BA0FC2B">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FAB209C">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C14AD9E">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联系电话：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3540256">
            <w:pPr>
              <w:widowControl/>
              <w:jc w:val="left"/>
              <w:textAlignment w:val="bottom"/>
              <w:rPr>
                <w:rFonts w:hint="eastAsia" w:ascii="宋体" w:hAnsi="宋体" w:eastAsia="宋体" w:cs="宋体"/>
                <w:color w:val="auto"/>
                <w:sz w:val="21"/>
                <w:szCs w:val="21"/>
                <w:highlight w:val="none"/>
              </w:rPr>
            </w:pPr>
          </w:p>
        </w:tc>
      </w:tr>
      <w:tr w14:paraId="4C26148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056044A">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技术负责人姓名：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B55F97">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6A311CB">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技术负责人职务：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CB737C5">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7DCDF12">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技术负责人电话：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B5393AC">
            <w:pPr>
              <w:widowControl/>
              <w:jc w:val="left"/>
              <w:textAlignment w:val="bottom"/>
              <w:rPr>
                <w:rFonts w:hint="eastAsia" w:ascii="宋体" w:hAnsi="宋体" w:eastAsia="宋体" w:cs="宋体"/>
                <w:color w:val="auto"/>
                <w:sz w:val="21"/>
                <w:szCs w:val="21"/>
                <w:highlight w:val="none"/>
              </w:rPr>
            </w:pPr>
          </w:p>
        </w:tc>
      </w:tr>
      <w:tr w14:paraId="27606CA4">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677B878">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联系人姓名：</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52E13BA">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0AD8D54">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联系人职务：</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BAF3928">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C7B40B3">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联系人电话：</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4A5845">
            <w:pPr>
              <w:widowControl/>
              <w:jc w:val="left"/>
              <w:textAlignment w:val="bottom"/>
              <w:rPr>
                <w:rFonts w:hint="eastAsia" w:ascii="宋体" w:hAnsi="宋体" w:eastAsia="宋体" w:cs="宋体"/>
                <w:color w:val="auto"/>
                <w:sz w:val="21"/>
                <w:szCs w:val="21"/>
                <w:highlight w:val="none"/>
              </w:rPr>
            </w:pPr>
          </w:p>
        </w:tc>
      </w:tr>
      <w:tr w14:paraId="405F1361">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4C2E48F">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联系人邮箱：</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DDDA1B7">
            <w:pPr>
              <w:widowControl/>
              <w:jc w:val="left"/>
              <w:textAlignment w:val="bottom"/>
              <w:rPr>
                <w:rFonts w:hint="eastAsia" w:ascii="宋体" w:hAnsi="宋体" w:eastAsia="宋体" w:cs="宋体"/>
                <w:color w:val="auto"/>
                <w:sz w:val="21"/>
                <w:szCs w:val="21"/>
                <w:highlight w:val="none"/>
              </w:rPr>
            </w:pPr>
          </w:p>
        </w:tc>
      </w:tr>
      <w:tr w14:paraId="2C926442">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A0491E2">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2DE2CE7">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0D68E91">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3081D5">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D0182B">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FF815B7">
            <w:pPr>
              <w:widowControl/>
              <w:jc w:val="left"/>
              <w:textAlignment w:val="bottom"/>
              <w:rPr>
                <w:rFonts w:hint="eastAsia" w:ascii="宋体" w:hAnsi="宋体" w:eastAsia="宋体" w:cs="宋体"/>
                <w:color w:val="auto"/>
                <w:sz w:val="21"/>
                <w:szCs w:val="21"/>
                <w:highlight w:val="none"/>
              </w:rPr>
            </w:pPr>
          </w:p>
        </w:tc>
      </w:tr>
      <w:tr w14:paraId="42D876FA">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D3B2243">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F01B359">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C6779C4">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224D1BB">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EBDF6FB">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D617147">
            <w:pPr>
              <w:widowControl/>
              <w:jc w:val="left"/>
              <w:textAlignment w:val="bottom"/>
              <w:rPr>
                <w:rFonts w:hint="eastAsia" w:ascii="宋体" w:hAnsi="宋体" w:eastAsia="宋体" w:cs="宋体"/>
                <w:color w:val="auto"/>
                <w:sz w:val="21"/>
                <w:szCs w:val="21"/>
                <w:highlight w:val="none"/>
              </w:rPr>
            </w:pPr>
          </w:p>
        </w:tc>
      </w:tr>
      <w:tr w14:paraId="1F04D8F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790B501">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94140D6">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5848B24">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FDCE112">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B5C28D8">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DEEA7FD">
            <w:pPr>
              <w:widowControl/>
              <w:jc w:val="left"/>
              <w:textAlignment w:val="bottom"/>
              <w:rPr>
                <w:rFonts w:hint="eastAsia" w:ascii="宋体" w:hAnsi="宋体" w:eastAsia="宋体" w:cs="宋体"/>
                <w:color w:val="auto"/>
                <w:sz w:val="21"/>
                <w:szCs w:val="21"/>
                <w:highlight w:val="none"/>
              </w:rPr>
            </w:pPr>
          </w:p>
        </w:tc>
      </w:tr>
      <w:tr w14:paraId="2D11FF5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905F2A1">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533A1D9">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90CB6F6">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F45BBE">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9B2AA5">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13A8562">
            <w:pPr>
              <w:widowControl/>
              <w:jc w:val="left"/>
              <w:textAlignment w:val="bottom"/>
              <w:rPr>
                <w:rFonts w:hint="eastAsia" w:ascii="宋体" w:hAnsi="宋体" w:eastAsia="宋体" w:cs="宋体"/>
                <w:color w:val="auto"/>
                <w:sz w:val="21"/>
                <w:szCs w:val="21"/>
                <w:highlight w:val="none"/>
              </w:rPr>
            </w:pPr>
          </w:p>
        </w:tc>
      </w:tr>
      <w:tr w14:paraId="16C70A7E">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3886E4A">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27A71D9">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D8CB06C">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6EC3B1F">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951E8A3">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2BBB904">
            <w:pPr>
              <w:widowControl/>
              <w:jc w:val="left"/>
              <w:textAlignment w:val="bottom"/>
              <w:rPr>
                <w:rFonts w:hint="eastAsia" w:ascii="宋体" w:hAnsi="宋体" w:eastAsia="宋体" w:cs="宋体"/>
                <w:color w:val="auto"/>
                <w:sz w:val="21"/>
                <w:szCs w:val="21"/>
                <w:highlight w:val="none"/>
              </w:rPr>
            </w:pPr>
          </w:p>
        </w:tc>
      </w:tr>
      <w:tr w14:paraId="58C2AC28">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B294979">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1266AD7">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FCDA13B">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D4A48C2">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A0DD449">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A1F41C4">
            <w:pPr>
              <w:widowControl/>
              <w:jc w:val="left"/>
              <w:textAlignment w:val="bottom"/>
              <w:rPr>
                <w:rFonts w:hint="eastAsia" w:ascii="宋体" w:hAnsi="宋体" w:eastAsia="宋体" w:cs="宋体"/>
                <w:color w:val="auto"/>
                <w:sz w:val="21"/>
                <w:szCs w:val="21"/>
                <w:highlight w:val="none"/>
              </w:rPr>
            </w:pPr>
          </w:p>
        </w:tc>
      </w:tr>
      <w:tr w14:paraId="29AE400E">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5CA5F86">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企业资质名称及等级：</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8FCD99E">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4C083F8">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企业资质证书号：</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70D9A50">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025C101">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企业资质有效期：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41435EB">
            <w:pPr>
              <w:widowControl/>
              <w:jc w:val="left"/>
              <w:textAlignment w:val="bottom"/>
              <w:rPr>
                <w:rFonts w:hint="eastAsia" w:ascii="宋体" w:hAnsi="宋体" w:eastAsia="宋体" w:cs="宋体"/>
                <w:color w:val="auto"/>
                <w:sz w:val="21"/>
                <w:szCs w:val="21"/>
                <w:highlight w:val="none"/>
              </w:rPr>
            </w:pPr>
          </w:p>
        </w:tc>
      </w:tr>
      <w:tr w14:paraId="4E41BD2E">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79F6318B">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安全许可证证书编号：</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230452B4">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147D3AC4">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安全许可证证书有效期：</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6E9D33F7">
            <w:pPr>
              <w:widowControl/>
              <w:jc w:val="left"/>
              <w:textAlignment w:val="bottom"/>
              <w:rPr>
                <w:rFonts w:hint="eastAsia" w:ascii="宋体" w:hAnsi="宋体" w:eastAsia="宋体" w:cs="宋体"/>
                <w:color w:val="auto"/>
                <w:sz w:val="21"/>
                <w:szCs w:val="21"/>
                <w:highlight w:val="none"/>
              </w:rPr>
            </w:pPr>
          </w:p>
        </w:tc>
      </w:tr>
      <w:tr w14:paraId="02E7E63D">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030856F">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基本户开户行：</w:t>
            </w:r>
          </w:p>
        </w:tc>
        <w:tc>
          <w:tcPr>
            <w:tcW w:w="2499" w:type="pct"/>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EE15A3F">
            <w:pPr>
              <w:widowControl/>
              <w:jc w:val="left"/>
              <w:textAlignment w:val="bottom"/>
              <w:rPr>
                <w:rFonts w:hint="eastAsia" w:ascii="宋体" w:hAnsi="宋体" w:eastAsia="宋体" w:cs="宋体"/>
                <w:color w:val="auto"/>
                <w:sz w:val="21"/>
                <w:szCs w:val="21"/>
                <w:highlight w:val="none"/>
              </w:rPr>
            </w:pP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4F879482">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基本户户名：</w:t>
            </w:r>
          </w:p>
        </w:tc>
        <w:tc>
          <w:tcPr>
            <w:tcW w:w="8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349FC502">
            <w:pPr>
              <w:widowControl/>
              <w:jc w:val="left"/>
              <w:textAlignment w:val="bottom"/>
              <w:rPr>
                <w:rFonts w:hint="eastAsia" w:ascii="宋体" w:hAnsi="宋体" w:eastAsia="宋体" w:cs="宋体"/>
                <w:color w:val="auto"/>
                <w:sz w:val="21"/>
                <w:szCs w:val="21"/>
                <w:highlight w:val="none"/>
              </w:rPr>
            </w:pPr>
          </w:p>
        </w:tc>
      </w:tr>
      <w:tr w14:paraId="2B5620A8">
        <w:tblPrEx>
          <w:tblCellMar>
            <w:top w:w="0" w:type="dxa"/>
            <w:left w:w="0" w:type="dxa"/>
            <w:bottom w:w="0" w:type="dxa"/>
            <w:right w:w="0" w:type="dxa"/>
          </w:tblCellMar>
        </w:tblPrEx>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550D4F3A">
            <w:pPr>
              <w:widowControl/>
              <w:jc w:val="left"/>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基本户账号：</w:t>
            </w:r>
          </w:p>
        </w:tc>
        <w:tc>
          <w:tcPr>
            <w:tcW w:w="4168" w:type="pct"/>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14:paraId="0AEFF85B">
            <w:pPr>
              <w:widowControl/>
              <w:jc w:val="left"/>
              <w:textAlignment w:val="bottom"/>
              <w:rPr>
                <w:rFonts w:hint="eastAsia" w:ascii="宋体" w:hAnsi="宋体" w:eastAsia="宋体" w:cs="宋体"/>
                <w:color w:val="auto"/>
                <w:sz w:val="21"/>
                <w:szCs w:val="21"/>
                <w:highlight w:val="none"/>
              </w:rPr>
            </w:pPr>
          </w:p>
        </w:tc>
      </w:tr>
    </w:tbl>
    <w:p w14:paraId="5DEA734A">
      <w:pPr>
        <w:spacing w:line="360" w:lineRule="auto"/>
        <w:ind w:firstLine="422" w:firstLineChars="200"/>
        <w:jc w:val="left"/>
        <w:rPr>
          <w:rFonts w:hint="eastAsia" w:ascii="宋体" w:hAnsi="宋体" w:eastAsia="宋体" w:cs="宋体"/>
          <w:b/>
          <w:color w:val="auto"/>
          <w:szCs w:val="21"/>
          <w:highlight w:val="none"/>
        </w:rPr>
      </w:pPr>
    </w:p>
    <w:p w14:paraId="7B29955D">
      <w:pP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注：本表后附营业执照、企业基本账户开户许可证或企业基本存款账户信息</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资质证书、安全生产许可证复印件（或扫描件）。</w:t>
      </w:r>
    </w:p>
    <w:p w14:paraId="1A085F27">
      <w:pPr>
        <w:rPr>
          <w:rFonts w:hint="eastAsia" w:ascii="宋体" w:hAnsi="宋体" w:eastAsia="宋体" w:cs="宋体"/>
          <w:color w:val="auto"/>
          <w:highlight w:val="none"/>
          <w:lang w:val="en-US" w:eastAsia="zh-CN"/>
        </w:rPr>
      </w:pPr>
    </w:p>
    <w:p w14:paraId="7647D474">
      <w:pPr>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lang w:val="en-US" w:eastAsia="zh-CN"/>
        </w:rPr>
        <w:br w:type="page"/>
      </w:r>
    </w:p>
    <w:p w14:paraId="14446515">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 xml:space="preserve">表2 </w:t>
      </w:r>
      <w:r>
        <w:rPr>
          <w:rFonts w:hint="eastAsia" w:ascii="宋体" w:hAnsi="宋体" w:eastAsia="宋体" w:cs="宋体"/>
          <w:b/>
          <w:color w:val="auto"/>
          <w:sz w:val="28"/>
          <w:szCs w:val="28"/>
          <w:highlight w:val="none"/>
        </w:rPr>
        <w:t>拟投入本项目主要人员情况表</w:t>
      </w:r>
    </w:p>
    <w:p w14:paraId="1EE6A562">
      <w:pPr>
        <w:spacing w:line="288" w:lineRule="auto"/>
        <w:rPr>
          <w:rFonts w:hint="eastAsia" w:ascii="宋体" w:hAnsi="宋体" w:eastAsia="宋体" w:cs="宋体"/>
          <w:b/>
          <w:color w:val="auto"/>
          <w:highlight w:val="none"/>
          <w:u w:val="single"/>
        </w:rPr>
      </w:pPr>
    </w:p>
    <w:tbl>
      <w:tblPr>
        <w:tblStyle w:val="52"/>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265"/>
        <w:gridCol w:w="1111"/>
        <w:gridCol w:w="667"/>
        <w:gridCol w:w="1111"/>
        <w:gridCol w:w="889"/>
        <w:gridCol w:w="1581"/>
        <w:gridCol w:w="1529"/>
        <w:gridCol w:w="889"/>
      </w:tblGrid>
      <w:tr w14:paraId="1CB7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788" w:type="dxa"/>
            <w:vAlign w:val="center"/>
          </w:tcPr>
          <w:p w14:paraId="11635069">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序号</w:t>
            </w:r>
          </w:p>
        </w:tc>
        <w:tc>
          <w:tcPr>
            <w:tcW w:w="1265" w:type="dxa"/>
            <w:vAlign w:val="center"/>
          </w:tcPr>
          <w:p w14:paraId="2A107B47">
            <w:pPr>
              <w:widowControl/>
              <w:jc w:val="center"/>
              <w:textAlignment w:val="bottom"/>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在本项目</w:t>
            </w:r>
          </w:p>
          <w:p w14:paraId="55560FEF">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任职</w:t>
            </w:r>
          </w:p>
        </w:tc>
        <w:tc>
          <w:tcPr>
            <w:tcW w:w="1111" w:type="dxa"/>
            <w:vAlign w:val="center"/>
          </w:tcPr>
          <w:p w14:paraId="61AE260E">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姓名</w:t>
            </w:r>
          </w:p>
        </w:tc>
        <w:tc>
          <w:tcPr>
            <w:tcW w:w="667" w:type="dxa"/>
            <w:vAlign w:val="center"/>
          </w:tcPr>
          <w:p w14:paraId="70F6C5F1">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学历</w:t>
            </w:r>
          </w:p>
        </w:tc>
        <w:tc>
          <w:tcPr>
            <w:tcW w:w="1111" w:type="dxa"/>
            <w:vAlign w:val="center"/>
          </w:tcPr>
          <w:p w14:paraId="4614AD1B">
            <w:pPr>
              <w:widowControl/>
              <w:jc w:val="center"/>
              <w:textAlignment w:val="bottom"/>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技术</w:t>
            </w:r>
          </w:p>
          <w:p w14:paraId="2241B6B5">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职称</w:t>
            </w:r>
          </w:p>
        </w:tc>
        <w:tc>
          <w:tcPr>
            <w:tcW w:w="889" w:type="dxa"/>
            <w:vAlign w:val="center"/>
          </w:tcPr>
          <w:p w14:paraId="4E0B05AF">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bidi="ar"/>
              </w:rPr>
              <w:t>专业</w:t>
            </w:r>
          </w:p>
        </w:tc>
        <w:tc>
          <w:tcPr>
            <w:tcW w:w="1581" w:type="dxa"/>
            <w:vAlign w:val="center"/>
          </w:tcPr>
          <w:p w14:paraId="17E5F2CD">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专业工作年限</w:t>
            </w:r>
          </w:p>
        </w:tc>
        <w:tc>
          <w:tcPr>
            <w:tcW w:w="1529" w:type="dxa"/>
            <w:vAlign w:val="center"/>
          </w:tcPr>
          <w:p w14:paraId="6BA06F59">
            <w:pPr>
              <w:widowControl/>
              <w:jc w:val="center"/>
              <w:textAlignment w:val="bottom"/>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身份证号</w:t>
            </w:r>
          </w:p>
        </w:tc>
        <w:tc>
          <w:tcPr>
            <w:tcW w:w="889" w:type="dxa"/>
            <w:vAlign w:val="center"/>
          </w:tcPr>
          <w:p w14:paraId="04DC911D">
            <w:pPr>
              <w:widowControl/>
              <w:jc w:val="center"/>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备注</w:t>
            </w:r>
          </w:p>
        </w:tc>
      </w:tr>
      <w:tr w14:paraId="0239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4CCED5F4">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35F2DB11">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40CAE475">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42AB28B5">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3B45772E">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72F9E7DD">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7841066A">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719FF788">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20E81352">
            <w:pPr>
              <w:spacing w:line="300" w:lineRule="auto"/>
              <w:jc w:val="center"/>
              <w:rPr>
                <w:rFonts w:hint="eastAsia" w:ascii="宋体" w:hAnsi="宋体" w:eastAsia="宋体" w:cs="宋体"/>
                <w:b/>
                <w:color w:val="auto"/>
                <w:kern w:val="0"/>
                <w:sz w:val="21"/>
                <w:szCs w:val="21"/>
                <w:highlight w:val="none"/>
              </w:rPr>
            </w:pPr>
          </w:p>
        </w:tc>
      </w:tr>
      <w:tr w14:paraId="239D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37DC4CA">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0AF33B67">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303A8380">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4FD38CB6">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01C9F272">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3B66A81A">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6C4BB91F">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3009DCA3">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05623528">
            <w:pPr>
              <w:spacing w:line="300" w:lineRule="auto"/>
              <w:jc w:val="center"/>
              <w:rPr>
                <w:rFonts w:hint="eastAsia" w:ascii="宋体" w:hAnsi="宋体" w:eastAsia="宋体" w:cs="宋体"/>
                <w:b/>
                <w:color w:val="auto"/>
                <w:kern w:val="0"/>
                <w:sz w:val="21"/>
                <w:szCs w:val="21"/>
                <w:highlight w:val="none"/>
              </w:rPr>
            </w:pPr>
          </w:p>
        </w:tc>
      </w:tr>
      <w:tr w14:paraId="3A09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7CC58DCD">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41DDF08D">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7A622D75">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2376D259">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20706917">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137C5925">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2474A65A">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2A1E903B">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718FF07C">
            <w:pPr>
              <w:spacing w:line="300" w:lineRule="auto"/>
              <w:jc w:val="center"/>
              <w:rPr>
                <w:rFonts w:hint="eastAsia" w:ascii="宋体" w:hAnsi="宋体" w:eastAsia="宋体" w:cs="宋体"/>
                <w:b/>
                <w:color w:val="auto"/>
                <w:kern w:val="0"/>
                <w:sz w:val="21"/>
                <w:szCs w:val="21"/>
                <w:highlight w:val="none"/>
              </w:rPr>
            </w:pPr>
          </w:p>
        </w:tc>
      </w:tr>
      <w:tr w14:paraId="0647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473937A">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00ED844B">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32F8E3F9">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114EA02D">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10639FBA">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58F35555">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0A1D8D43">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2AC10A60">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4AB7BFD8">
            <w:pPr>
              <w:spacing w:line="300" w:lineRule="auto"/>
              <w:jc w:val="center"/>
              <w:rPr>
                <w:rFonts w:hint="eastAsia" w:ascii="宋体" w:hAnsi="宋体" w:eastAsia="宋体" w:cs="宋体"/>
                <w:b/>
                <w:color w:val="auto"/>
                <w:kern w:val="0"/>
                <w:sz w:val="21"/>
                <w:szCs w:val="21"/>
                <w:highlight w:val="none"/>
              </w:rPr>
            </w:pPr>
          </w:p>
        </w:tc>
      </w:tr>
      <w:tr w14:paraId="4458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3D61A9C">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47C779A2">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4A922713">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63F1DAF8">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506A387B">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16059F1A">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70B568CE">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7A82A829">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017A1A85">
            <w:pPr>
              <w:spacing w:line="300" w:lineRule="auto"/>
              <w:jc w:val="center"/>
              <w:rPr>
                <w:rFonts w:hint="eastAsia" w:ascii="宋体" w:hAnsi="宋体" w:eastAsia="宋体" w:cs="宋体"/>
                <w:b/>
                <w:color w:val="auto"/>
                <w:kern w:val="0"/>
                <w:sz w:val="21"/>
                <w:szCs w:val="21"/>
                <w:highlight w:val="none"/>
              </w:rPr>
            </w:pPr>
          </w:p>
        </w:tc>
      </w:tr>
      <w:tr w14:paraId="48D3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0080B57F">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64BF6828">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1E0BA804">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40396C75">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76029785">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5C7BD368">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156A33FF">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265970BD">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5046D7DA">
            <w:pPr>
              <w:spacing w:line="300" w:lineRule="auto"/>
              <w:jc w:val="center"/>
              <w:rPr>
                <w:rFonts w:hint="eastAsia" w:ascii="宋体" w:hAnsi="宋体" w:eastAsia="宋体" w:cs="宋体"/>
                <w:b/>
                <w:color w:val="auto"/>
                <w:kern w:val="0"/>
                <w:sz w:val="21"/>
                <w:szCs w:val="21"/>
                <w:highlight w:val="none"/>
              </w:rPr>
            </w:pPr>
          </w:p>
        </w:tc>
      </w:tr>
      <w:tr w14:paraId="57C4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7CB48826">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34D81D88">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61F1AA78">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0F25A30D">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31ECDAF4">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66988314">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03E97833">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2EB4FF84">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70BB2D43">
            <w:pPr>
              <w:spacing w:line="300" w:lineRule="auto"/>
              <w:jc w:val="center"/>
              <w:rPr>
                <w:rFonts w:hint="eastAsia" w:ascii="宋体" w:hAnsi="宋体" w:eastAsia="宋体" w:cs="宋体"/>
                <w:b/>
                <w:color w:val="auto"/>
                <w:kern w:val="0"/>
                <w:sz w:val="21"/>
                <w:szCs w:val="21"/>
                <w:highlight w:val="none"/>
              </w:rPr>
            </w:pPr>
          </w:p>
        </w:tc>
      </w:tr>
      <w:tr w14:paraId="1E5E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vAlign w:val="center"/>
          </w:tcPr>
          <w:p w14:paraId="22BE8D98">
            <w:pPr>
              <w:spacing w:line="300" w:lineRule="auto"/>
              <w:jc w:val="center"/>
              <w:rPr>
                <w:rFonts w:hint="eastAsia" w:ascii="宋体" w:hAnsi="宋体" w:eastAsia="宋体" w:cs="宋体"/>
                <w:b/>
                <w:color w:val="auto"/>
                <w:kern w:val="0"/>
                <w:sz w:val="21"/>
                <w:szCs w:val="21"/>
                <w:highlight w:val="none"/>
              </w:rPr>
            </w:pPr>
          </w:p>
        </w:tc>
        <w:tc>
          <w:tcPr>
            <w:tcW w:w="1265" w:type="dxa"/>
            <w:vAlign w:val="center"/>
          </w:tcPr>
          <w:p w14:paraId="034ACBE6">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677CFB90">
            <w:pPr>
              <w:spacing w:line="300" w:lineRule="auto"/>
              <w:jc w:val="center"/>
              <w:rPr>
                <w:rFonts w:hint="eastAsia" w:ascii="宋体" w:hAnsi="宋体" w:eastAsia="宋体" w:cs="宋体"/>
                <w:b/>
                <w:color w:val="auto"/>
                <w:kern w:val="0"/>
                <w:sz w:val="21"/>
                <w:szCs w:val="21"/>
                <w:highlight w:val="none"/>
              </w:rPr>
            </w:pPr>
          </w:p>
        </w:tc>
        <w:tc>
          <w:tcPr>
            <w:tcW w:w="667" w:type="dxa"/>
            <w:vAlign w:val="center"/>
          </w:tcPr>
          <w:p w14:paraId="40CBA852">
            <w:pPr>
              <w:spacing w:line="300" w:lineRule="auto"/>
              <w:jc w:val="center"/>
              <w:rPr>
                <w:rFonts w:hint="eastAsia" w:ascii="宋体" w:hAnsi="宋体" w:eastAsia="宋体" w:cs="宋体"/>
                <w:b/>
                <w:color w:val="auto"/>
                <w:kern w:val="0"/>
                <w:sz w:val="21"/>
                <w:szCs w:val="21"/>
                <w:highlight w:val="none"/>
              </w:rPr>
            </w:pPr>
          </w:p>
        </w:tc>
        <w:tc>
          <w:tcPr>
            <w:tcW w:w="1111" w:type="dxa"/>
            <w:vAlign w:val="center"/>
          </w:tcPr>
          <w:p w14:paraId="60051692">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3E3FD580">
            <w:pPr>
              <w:spacing w:line="300" w:lineRule="auto"/>
              <w:jc w:val="center"/>
              <w:rPr>
                <w:rFonts w:hint="eastAsia" w:ascii="宋体" w:hAnsi="宋体" w:eastAsia="宋体" w:cs="宋体"/>
                <w:b/>
                <w:color w:val="auto"/>
                <w:kern w:val="0"/>
                <w:sz w:val="21"/>
                <w:szCs w:val="21"/>
                <w:highlight w:val="none"/>
              </w:rPr>
            </w:pPr>
          </w:p>
        </w:tc>
        <w:tc>
          <w:tcPr>
            <w:tcW w:w="1581" w:type="dxa"/>
            <w:vAlign w:val="center"/>
          </w:tcPr>
          <w:p w14:paraId="31EE7002">
            <w:pPr>
              <w:spacing w:line="300" w:lineRule="auto"/>
              <w:jc w:val="center"/>
              <w:rPr>
                <w:rFonts w:hint="eastAsia" w:ascii="宋体" w:hAnsi="宋体" w:eastAsia="宋体" w:cs="宋体"/>
                <w:b/>
                <w:color w:val="auto"/>
                <w:kern w:val="0"/>
                <w:sz w:val="21"/>
                <w:szCs w:val="21"/>
                <w:highlight w:val="none"/>
              </w:rPr>
            </w:pPr>
          </w:p>
        </w:tc>
        <w:tc>
          <w:tcPr>
            <w:tcW w:w="1529" w:type="dxa"/>
            <w:vAlign w:val="center"/>
          </w:tcPr>
          <w:p w14:paraId="234BD4C5">
            <w:pPr>
              <w:spacing w:line="300" w:lineRule="auto"/>
              <w:jc w:val="center"/>
              <w:rPr>
                <w:rFonts w:hint="eastAsia" w:ascii="宋体" w:hAnsi="宋体" w:eastAsia="宋体" w:cs="宋体"/>
                <w:b/>
                <w:color w:val="auto"/>
                <w:kern w:val="0"/>
                <w:sz w:val="21"/>
                <w:szCs w:val="21"/>
                <w:highlight w:val="none"/>
              </w:rPr>
            </w:pPr>
          </w:p>
        </w:tc>
        <w:tc>
          <w:tcPr>
            <w:tcW w:w="889" w:type="dxa"/>
            <w:vAlign w:val="center"/>
          </w:tcPr>
          <w:p w14:paraId="2F2E4D74">
            <w:pPr>
              <w:spacing w:line="300" w:lineRule="auto"/>
              <w:jc w:val="center"/>
              <w:rPr>
                <w:rFonts w:hint="eastAsia" w:ascii="宋体" w:hAnsi="宋体" w:eastAsia="宋体" w:cs="宋体"/>
                <w:b/>
                <w:color w:val="auto"/>
                <w:kern w:val="0"/>
                <w:sz w:val="21"/>
                <w:szCs w:val="21"/>
                <w:highlight w:val="none"/>
              </w:rPr>
            </w:pPr>
          </w:p>
        </w:tc>
      </w:tr>
    </w:tbl>
    <w:p w14:paraId="1CA52F91">
      <w:pPr>
        <w:ind w:firstLine="480"/>
        <w:rPr>
          <w:rFonts w:hint="eastAsia" w:ascii="宋体" w:hAnsi="宋体" w:eastAsia="宋体" w:cs="宋体"/>
          <w:bCs/>
          <w:color w:val="auto"/>
          <w:sz w:val="21"/>
          <w:szCs w:val="21"/>
          <w:highlight w:val="none"/>
        </w:rPr>
      </w:pPr>
    </w:p>
    <w:p w14:paraId="081EA139">
      <w:pPr>
        <w:autoSpaceDE w:val="0"/>
        <w:autoSpaceDN w:val="0"/>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注：提供项目经理等人员相关证书和社保缴费证明复印件（或扫描件）。</w:t>
      </w:r>
    </w:p>
    <w:p w14:paraId="1A1BCF7E">
      <w:pPr>
        <w:jc w:val="center"/>
        <w:rPr>
          <w:rFonts w:hint="eastAsia" w:ascii="宋体" w:hAnsi="宋体" w:eastAsia="宋体" w:cs="宋体"/>
          <w:b/>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8"/>
          <w:szCs w:val="28"/>
          <w:highlight w:val="none"/>
          <w:lang w:val="en-US" w:eastAsia="zh-CN"/>
        </w:rPr>
        <w:t>表3拟投入本标段主要人员经历表</w:t>
      </w:r>
    </w:p>
    <w:p w14:paraId="37F3C8B3">
      <w:pPr>
        <w:jc w:val="center"/>
        <w:rPr>
          <w:rFonts w:hint="eastAsia" w:ascii="宋体" w:hAnsi="宋体" w:eastAsia="宋体" w:cs="宋体"/>
          <w:b/>
          <w:color w:val="auto"/>
          <w:sz w:val="28"/>
          <w:szCs w:val="28"/>
          <w:highlight w:val="none"/>
        </w:rPr>
      </w:pPr>
    </w:p>
    <w:tbl>
      <w:tblPr>
        <w:tblStyle w:val="52"/>
        <w:tblW w:w="4998" w:type="pct"/>
        <w:jc w:val="center"/>
        <w:tblLayout w:type="autofit"/>
        <w:tblCellMar>
          <w:top w:w="0" w:type="dxa"/>
          <w:left w:w="0" w:type="dxa"/>
          <w:bottom w:w="0" w:type="dxa"/>
          <w:right w:w="0" w:type="dxa"/>
        </w:tblCellMar>
      </w:tblPr>
      <w:tblGrid>
        <w:gridCol w:w="663"/>
        <w:gridCol w:w="1197"/>
        <w:gridCol w:w="838"/>
        <w:gridCol w:w="1172"/>
        <w:gridCol w:w="1174"/>
        <w:gridCol w:w="1172"/>
        <w:gridCol w:w="3447"/>
      </w:tblGrid>
      <w:tr w14:paraId="26477AB7">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675026">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序号</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7A8277">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担任职务</w:t>
            </w: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EC0612">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姓名</w:t>
            </w: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B19750">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合同</w:t>
            </w:r>
            <w:r>
              <w:rPr>
                <w:rFonts w:hint="eastAsia" w:ascii="宋体" w:hAnsi="宋体" w:eastAsia="宋体" w:cs="宋体"/>
                <w:color w:val="auto"/>
                <w:kern w:val="0"/>
                <w:sz w:val="21"/>
                <w:szCs w:val="21"/>
                <w:highlight w:val="none"/>
              </w:rPr>
              <w:t>时间</w:t>
            </w: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9F0234">
            <w:pPr>
              <w:widowControl/>
              <w:jc w:val="center"/>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rPr>
              <w:t>项目</w:t>
            </w:r>
            <w:r>
              <w:rPr>
                <w:rFonts w:hint="eastAsia" w:ascii="宋体" w:hAnsi="宋体" w:eastAsia="宋体" w:cs="宋体"/>
                <w:color w:val="auto"/>
                <w:kern w:val="0"/>
                <w:sz w:val="21"/>
                <w:szCs w:val="21"/>
                <w:highlight w:val="none"/>
                <w:lang w:val="en-US" w:eastAsia="zh-CN"/>
              </w:rPr>
              <w:t>名称</w:t>
            </w: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2480E5">
            <w:pPr>
              <w:widowControl/>
              <w:jc w:val="center"/>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rPr>
              <w:t>项目</w:t>
            </w:r>
            <w:r>
              <w:rPr>
                <w:rFonts w:hint="eastAsia" w:ascii="宋体" w:hAnsi="宋体" w:eastAsia="宋体" w:cs="宋体"/>
                <w:color w:val="auto"/>
                <w:kern w:val="0"/>
                <w:sz w:val="21"/>
                <w:szCs w:val="21"/>
                <w:highlight w:val="none"/>
                <w:lang w:val="en-US" w:eastAsia="zh-CN"/>
              </w:rPr>
              <w:t>职务</w:t>
            </w: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71C2B6">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项目简介</w:t>
            </w:r>
          </w:p>
        </w:tc>
      </w:tr>
      <w:tr w14:paraId="1BBCE710">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3B739B">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CED2D5">
            <w:pPr>
              <w:widowControl/>
              <w:jc w:val="left"/>
              <w:textAlignment w:val="bottom"/>
              <w:rPr>
                <w:rFonts w:hint="eastAsia" w:ascii="宋体" w:hAnsi="宋体" w:eastAsia="宋体" w:cs="宋体"/>
                <w:color w:val="auto"/>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77B00D6">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DBC1D9">
            <w:pPr>
              <w:widowControl/>
              <w:jc w:val="left"/>
              <w:textAlignment w:val="bottom"/>
              <w:rPr>
                <w:rFonts w:hint="eastAsia" w:ascii="宋体" w:hAnsi="宋体" w:eastAsia="宋体" w:cs="宋体"/>
                <w:color w:val="auto"/>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6420C3">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49BC93">
            <w:pPr>
              <w:widowControl/>
              <w:jc w:val="left"/>
              <w:textAlignment w:val="bottom"/>
              <w:rPr>
                <w:rFonts w:hint="eastAsia" w:ascii="宋体" w:hAnsi="宋体" w:eastAsia="宋体" w:cs="宋体"/>
                <w:color w:val="auto"/>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D3FDCF">
            <w:pPr>
              <w:widowControl/>
              <w:jc w:val="left"/>
              <w:textAlignment w:val="bottom"/>
              <w:rPr>
                <w:rFonts w:hint="eastAsia" w:ascii="宋体" w:hAnsi="宋体" w:eastAsia="宋体" w:cs="宋体"/>
                <w:color w:val="auto"/>
                <w:sz w:val="21"/>
                <w:szCs w:val="21"/>
                <w:highlight w:val="none"/>
              </w:rPr>
            </w:pPr>
          </w:p>
        </w:tc>
      </w:tr>
      <w:tr w14:paraId="506542DC">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F903D7">
            <w:pPr>
              <w:widowControl/>
              <w:jc w:val="center"/>
              <w:textAlignment w:val="bottom"/>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151D55">
            <w:pPr>
              <w:widowControl/>
              <w:jc w:val="left"/>
              <w:textAlignment w:val="bottom"/>
              <w:rPr>
                <w:rFonts w:hint="eastAsia" w:ascii="宋体" w:hAnsi="宋体" w:eastAsia="宋体" w:cs="宋体"/>
                <w:color w:val="auto"/>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1311A1">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983FD4">
            <w:pPr>
              <w:widowControl/>
              <w:jc w:val="left"/>
              <w:textAlignment w:val="bottom"/>
              <w:rPr>
                <w:rFonts w:hint="eastAsia" w:ascii="宋体" w:hAnsi="宋体" w:eastAsia="宋体" w:cs="宋体"/>
                <w:color w:val="auto"/>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F773E3">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25C633">
            <w:pPr>
              <w:widowControl/>
              <w:jc w:val="left"/>
              <w:textAlignment w:val="bottom"/>
              <w:rPr>
                <w:rFonts w:hint="eastAsia" w:ascii="宋体" w:hAnsi="宋体" w:eastAsia="宋体" w:cs="宋体"/>
                <w:color w:val="auto"/>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315A63">
            <w:pPr>
              <w:widowControl/>
              <w:jc w:val="left"/>
              <w:textAlignment w:val="bottom"/>
              <w:rPr>
                <w:rFonts w:hint="eastAsia" w:ascii="宋体" w:hAnsi="宋体" w:eastAsia="宋体" w:cs="宋体"/>
                <w:color w:val="auto"/>
                <w:sz w:val="21"/>
                <w:szCs w:val="21"/>
                <w:highlight w:val="none"/>
              </w:rPr>
            </w:pPr>
          </w:p>
        </w:tc>
      </w:tr>
      <w:tr w14:paraId="5D18807C">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BBDED70">
            <w:pPr>
              <w:widowControl/>
              <w:jc w:val="center"/>
              <w:textAlignment w:val="bottom"/>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6BD40FE">
            <w:pPr>
              <w:widowControl/>
              <w:jc w:val="left"/>
              <w:textAlignment w:val="bottom"/>
              <w:rPr>
                <w:rFonts w:hint="eastAsia" w:ascii="宋体" w:hAnsi="宋体" w:eastAsia="宋体" w:cs="宋体"/>
                <w:color w:val="auto"/>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976F93">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B38C7C">
            <w:pPr>
              <w:widowControl/>
              <w:jc w:val="left"/>
              <w:textAlignment w:val="bottom"/>
              <w:rPr>
                <w:rFonts w:hint="eastAsia" w:ascii="宋体" w:hAnsi="宋体" w:eastAsia="宋体" w:cs="宋体"/>
                <w:color w:val="auto"/>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1E7423">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1F34F2">
            <w:pPr>
              <w:widowControl/>
              <w:jc w:val="left"/>
              <w:textAlignment w:val="bottom"/>
              <w:rPr>
                <w:rFonts w:hint="eastAsia" w:ascii="宋体" w:hAnsi="宋体" w:eastAsia="宋体" w:cs="宋体"/>
                <w:color w:val="auto"/>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B45CFF">
            <w:pPr>
              <w:widowControl/>
              <w:jc w:val="left"/>
              <w:textAlignment w:val="bottom"/>
              <w:rPr>
                <w:rFonts w:hint="eastAsia" w:ascii="宋体" w:hAnsi="宋体" w:eastAsia="宋体" w:cs="宋体"/>
                <w:color w:val="auto"/>
                <w:sz w:val="21"/>
                <w:szCs w:val="21"/>
                <w:highlight w:val="none"/>
              </w:rPr>
            </w:pPr>
          </w:p>
        </w:tc>
      </w:tr>
      <w:tr w14:paraId="1026CADB">
        <w:tblPrEx>
          <w:tblCellMar>
            <w:top w:w="0" w:type="dxa"/>
            <w:left w:w="0" w:type="dxa"/>
            <w:bottom w:w="0" w:type="dxa"/>
            <w:right w:w="0" w:type="dxa"/>
          </w:tblCellMar>
        </w:tblPrEx>
        <w:trPr>
          <w:trHeight w:val="567" w:hRule="exac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D83366">
            <w:pPr>
              <w:widowControl/>
              <w:jc w:val="center"/>
              <w:textAlignment w:val="bottom"/>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61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578BB7">
            <w:pPr>
              <w:widowControl/>
              <w:jc w:val="left"/>
              <w:textAlignment w:val="bottom"/>
              <w:rPr>
                <w:rFonts w:hint="eastAsia" w:ascii="宋体" w:hAnsi="宋体" w:eastAsia="宋体" w:cs="宋体"/>
                <w:color w:val="auto"/>
                <w:sz w:val="21"/>
                <w:szCs w:val="21"/>
                <w:highlight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34FF16">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3DCF08">
            <w:pPr>
              <w:widowControl/>
              <w:jc w:val="left"/>
              <w:textAlignment w:val="bottom"/>
              <w:rPr>
                <w:rFonts w:hint="eastAsia" w:ascii="宋体" w:hAnsi="宋体" w:eastAsia="宋体" w:cs="宋体"/>
                <w:color w:val="auto"/>
                <w:sz w:val="21"/>
                <w:szCs w:val="21"/>
                <w:highlight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0B2B26">
            <w:pPr>
              <w:widowControl/>
              <w:jc w:val="left"/>
              <w:textAlignment w:val="bottom"/>
              <w:rPr>
                <w:rFonts w:hint="eastAsia" w:ascii="宋体" w:hAnsi="宋体" w:eastAsia="宋体" w:cs="宋体"/>
                <w:color w:val="auto"/>
                <w:sz w:val="21"/>
                <w:szCs w:val="21"/>
                <w:highlight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FEF772">
            <w:pPr>
              <w:widowControl/>
              <w:jc w:val="left"/>
              <w:textAlignment w:val="bottom"/>
              <w:rPr>
                <w:rFonts w:hint="eastAsia" w:ascii="宋体" w:hAnsi="宋体" w:eastAsia="宋体" w:cs="宋体"/>
                <w:color w:val="auto"/>
                <w:sz w:val="21"/>
                <w:szCs w:val="21"/>
                <w:highlight w:val="none"/>
              </w:rPr>
            </w:pPr>
          </w:p>
        </w:tc>
        <w:tc>
          <w:tcPr>
            <w:tcW w:w="178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495CE1">
            <w:pPr>
              <w:widowControl/>
              <w:jc w:val="left"/>
              <w:textAlignment w:val="bottom"/>
              <w:rPr>
                <w:rFonts w:hint="eastAsia" w:ascii="宋体" w:hAnsi="宋体" w:eastAsia="宋体" w:cs="宋体"/>
                <w:color w:val="auto"/>
                <w:sz w:val="21"/>
                <w:szCs w:val="21"/>
                <w:highlight w:val="none"/>
              </w:rPr>
            </w:pPr>
          </w:p>
        </w:tc>
      </w:tr>
    </w:tbl>
    <w:p w14:paraId="57C2C2EB">
      <w:pPr>
        <w:autoSpaceDE w:val="0"/>
        <w:autoSpaceDN w:val="0"/>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w:t>
      </w:r>
      <w:r>
        <w:rPr>
          <w:rFonts w:hint="eastAsia" w:ascii="宋体" w:hAnsi="宋体" w:eastAsia="宋体" w:cs="宋体"/>
          <w:color w:val="auto"/>
          <w:kern w:val="0"/>
          <w:sz w:val="21"/>
          <w:szCs w:val="21"/>
          <w:highlight w:val="none"/>
          <w:lang w:val="en-US" w:eastAsia="zh-CN"/>
        </w:rPr>
        <w:t>须</w:t>
      </w: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rPr>
        <w:t>合同复印件（或扫描件），若上述材料无法体现相关内容（如项目</w:t>
      </w:r>
      <w:r>
        <w:rPr>
          <w:rFonts w:hint="eastAsia" w:ascii="宋体" w:hAnsi="宋体" w:eastAsia="宋体" w:cs="宋体"/>
          <w:color w:val="auto"/>
          <w:kern w:val="0"/>
          <w:sz w:val="21"/>
          <w:szCs w:val="21"/>
          <w:highlight w:val="none"/>
          <w:lang w:val="en-US" w:eastAsia="zh-CN"/>
        </w:rPr>
        <w:t>职务等</w:t>
      </w:r>
      <w:r>
        <w:rPr>
          <w:rFonts w:hint="eastAsia" w:ascii="宋体" w:hAnsi="宋体" w:eastAsia="宋体" w:cs="宋体"/>
          <w:color w:val="auto"/>
          <w:kern w:val="0"/>
          <w:sz w:val="21"/>
          <w:szCs w:val="21"/>
          <w:highlight w:val="none"/>
        </w:rPr>
        <w:t>），须同时提供委托方出具的加盖公章的相关证明材料复印件（或扫描件））。</w:t>
      </w:r>
    </w:p>
    <w:p w14:paraId="65BC98C5">
      <w:pPr>
        <w:pStyle w:val="49"/>
        <w:rPr>
          <w:rFonts w:hint="eastAsia" w:ascii="宋体" w:hAnsi="宋体" w:eastAsia="宋体" w:cs="宋体"/>
          <w:color w:val="auto"/>
          <w:highlight w:val="none"/>
        </w:rPr>
      </w:pPr>
    </w:p>
    <w:p w14:paraId="0F3DB0E2">
      <w:pPr>
        <w:pStyle w:val="4"/>
        <w:snapToGrid w:val="0"/>
        <w:spacing w:before="0" w:after="0" w:line="360" w:lineRule="auto"/>
        <w:jc w:val="center"/>
        <w:rPr>
          <w:rFonts w:hint="eastAsia" w:ascii="宋体" w:hAnsi="宋体" w:eastAsia="宋体" w:cs="宋体"/>
          <w:color w:val="auto"/>
          <w:w w:val="99"/>
          <w:kern w:val="0"/>
          <w:sz w:val="28"/>
          <w:szCs w:val="28"/>
          <w:highlight w:val="none"/>
        </w:rPr>
      </w:pPr>
      <w:bookmarkStart w:id="114" w:name="_Toc374610578"/>
      <w:bookmarkStart w:id="115" w:name="_Toc430602410"/>
      <w:bookmarkStart w:id="116" w:name="_Toc374350138"/>
      <w:bookmarkStart w:id="117" w:name="_Toc249975287"/>
      <w:bookmarkStart w:id="118" w:name="_Toc298742487"/>
      <w:bookmarkStart w:id="119" w:name="_Toc399835172"/>
      <w:bookmarkStart w:id="120" w:name="_Toc587"/>
      <w:bookmarkStart w:id="121" w:name="_Toc401319710"/>
      <w:bookmarkStart w:id="122" w:name="_Toc269802993"/>
      <w:bookmarkStart w:id="123" w:name="_Toc337640257"/>
      <w:bookmarkStart w:id="124" w:name="_Toc399835248"/>
      <w:bookmarkStart w:id="125" w:name="_Toc430172184"/>
      <w:r>
        <w:rPr>
          <w:rFonts w:hint="eastAsia" w:ascii="宋体" w:hAnsi="宋体" w:eastAsia="宋体" w:cs="宋体"/>
          <w:color w:val="auto"/>
          <w:w w:val="99"/>
          <w:kern w:val="0"/>
          <w:sz w:val="28"/>
          <w:szCs w:val="28"/>
          <w:highlight w:val="none"/>
        </w:rPr>
        <w:br w:type="page"/>
      </w:r>
      <w:bookmarkEnd w:id="114"/>
      <w:bookmarkEnd w:id="115"/>
      <w:bookmarkEnd w:id="116"/>
      <w:bookmarkEnd w:id="117"/>
      <w:bookmarkEnd w:id="118"/>
      <w:bookmarkEnd w:id="119"/>
      <w:bookmarkEnd w:id="120"/>
      <w:bookmarkEnd w:id="121"/>
      <w:bookmarkEnd w:id="122"/>
      <w:bookmarkEnd w:id="123"/>
      <w:bookmarkEnd w:id="124"/>
      <w:bookmarkEnd w:id="125"/>
      <w:bookmarkStart w:id="126" w:name="_Toc18155"/>
      <w:bookmarkStart w:id="127" w:name="_Toc401319711"/>
      <w:bookmarkStart w:id="128" w:name="_Toc374610579"/>
      <w:bookmarkStart w:id="129" w:name="_Toc399835249"/>
      <w:bookmarkStart w:id="130" w:name="_Toc430602411"/>
      <w:bookmarkStart w:id="131" w:name="_Toc374350139"/>
      <w:bookmarkStart w:id="132" w:name="_Toc399835173"/>
      <w:bookmarkStart w:id="133" w:name="_Toc337640258"/>
      <w:bookmarkStart w:id="134" w:name="_Toc298742488"/>
      <w:bookmarkStart w:id="135" w:name="_Toc430172185"/>
    </w:p>
    <w:bookmarkEnd w:id="126"/>
    <w:bookmarkEnd w:id="127"/>
    <w:bookmarkEnd w:id="128"/>
    <w:bookmarkEnd w:id="129"/>
    <w:bookmarkEnd w:id="130"/>
    <w:bookmarkEnd w:id="131"/>
    <w:bookmarkEnd w:id="132"/>
    <w:bookmarkEnd w:id="133"/>
    <w:bookmarkEnd w:id="134"/>
    <w:bookmarkEnd w:id="135"/>
    <w:p w14:paraId="4CB7967B">
      <w:pPr>
        <w:pStyle w:val="4"/>
        <w:snapToGrid w:val="0"/>
        <w:spacing w:before="0" w:after="0" w:line="360" w:lineRule="auto"/>
        <w:jc w:val="center"/>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表4 投标人业绩表</w:t>
      </w:r>
    </w:p>
    <w:tbl>
      <w:tblPr>
        <w:tblStyle w:val="52"/>
        <w:tblW w:w="47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282"/>
        <w:gridCol w:w="1295"/>
        <w:gridCol w:w="1648"/>
        <w:gridCol w:w="951"/>
        <w:gridCol w:w="1363"/>
        <w:gridCol w:w="2115"/>
      </w:tblGrid>
      <w:tr w14:paraId="087A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3A14D85B">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684" w:type="pct"/>
            <w:vAlign w:val="center"/>
          </w:tcPr>
          <w:p w14:paraId="4CBCF592">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691" w:type="pct"/>
            <w:vAlign w:val="center"/>
          </w:tcPr>
          <w:p w14:paraId="0825CC11">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发包单位</w:t>
            </w:r>
          </w:p>
        </w:tc>
        <w:tc>
          <w:tcPr>
            <w:tcW w:w="879" w:type="pct"/>
            <w:vAlign w:val="center"/>
          </w:tcPr>
          <w:p w14:paraId="2D125C7A">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开、竣工时间</w:t>
            </w:r>
          </w:p>
        </w:tc>
        <w:tc>
          <w:tcPr>
            <w:tcW w:w="507" w:type="pct"/>
            <w:vAlign w:val="center"/>
          </w:tcPr>
          <w:p w14:paraId="347285EB">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合同价</w:t>
            </w:r>
          </w:p>
        </w:tc>
        <w:tc>
          <w:tcPr>
            <w:tcW w:w="727" w:type="pct"/>
            <w:vAlign w:val="center"/>
          </w:tcPr>
          <w:p w14:paraId="28885ACB">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1128" w:type="pct"/>
            <w:vAlign w:val="center"/>
          </w:tcPr>
          <w:p w14:paraId="120FF018">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项目简介</w:t>
            </w:r>
          </w:p>
        </w:tc>
      </w:tr>
      <w:tr w14:paraId="7813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61905294">
            <w:pPr>
              <w:spacing w:line="400" w:lineRule="exact"/>
              <w:jc w:val="center"/>
              <w:rPr>
                <w:rFonts w:hint="eastAsia" w:ascii="宋体" w:hAnsi="宋体" w:eastAsia="宋体" w:cs="宋体"/>
                <w:color w:val="auto"/>
                <w:sz w:val="21"/>
                <w:szCs w:val="21"/>
                <w:highlight w:val="none"/>
              </w:rPr>
            </w:pPr>
          </w:p>
        </w:tc>
        <w:tc>
          <w:tcPr>
            <w:tcW w:w="684" w:type="pct"/>
            <w:vAlign w:val="center"/>
          </w:tcPr>
          <w:p w14:paraId="78BCED40">
            <w:pPr>
              <w:spacing w:line="400" w:lineRule="exact"/>
              <w:rPr>
                <w:rFonts w:hint="eastAsia" w:ascii="宋体" w:hAnsi="宋体" w:eastAsia="宋体" w:cs="宋体"/>
                <w:color w:val="auto"/>
                <w:sz w:val="21"/>
                <w:szCs w:val="21"/>
                <w:highlight w:val="none"/>
              </w:rPr>
            </w:pPr>
          </w:p>
        </w:tc>
        <w:tc>
          <w:tcPr>
            <w:tcW w:w="691" w:type="pct"/>
            <w:vAlign w:val="center"/>
          </w:tcPr>
          <w:p w14:paraId="02E6A943">
            <w:pPr>
              <w:spacing w:line="400" w:lineRule="exact"/>
              <w:rPr>
                <w:rFonts w:hint="eastAsia" w:ascii="宋体" w:hAnsi="宋体" w:eastAsia="宋体" w:cs="宋体"/>
                <w:color w:val="auto"/>
                <w:sz w:val="21"/>
                <w:szCs w:val="21"/>
                <w:highlight w:val="none"/>
              </w:rPr>
            </w:pPr>
          </w:p>
        </w:tc>
        <w:tc>
          <w:tcPr>
            <w:tcW w:w="879" w:type="pct"/>
            <w:vAlign w:val="center"/>
          </w:tcPr>
          <w:p w14:paraId="65F8304D">
            <w:pPr>
              <w:spacing w:line="400" w:lineRule="exact"/>
              <w:rPr>
                <w:rFonts w:hint="eastAsia" w:ascii="宋体" w:hAnsi="宋体" w:eastAsia="宋体" w:cs="宋体"/>
                <w:color w:val="auto"/>
                <w:sz w:val="21"/>
                <w:szCs w:val="21"/>
                <w:highlight w:val="none"/>
              </w:rPr>
            </w:pPr>
          </w:p>
        </w:tc>
        <w:tc>
          <w:tcPr>
            <w:tcW w:w="507" w:type="pct"/>
            <w:vAlign w:val="center"/>
          </w:tcPr>
          <w:p w14:paraId="7D61E651">
            <w:pPr>
              <w:spacing w:line="400" w:lineRule="exact"/>
              <w:rPr>
                <w:rFonts w:hint="eastAsia" w:ascii="宋体" w:hAnsi="宋体" w:eastAsia="宋体" w:cs="宋体"/>
                <w:color w:val="auto"/>
                <w:sz w:val="21"/>
                <w:szCs w:val="21"/>
                <w:highlight w:val="none"/>
              </w:rPr>
            </w:pPr>
          </w:p>
        </w:tc>
        <w:tc>
          <w:tcPr>
            <w:tcW w:w="727" w:type="pct"/>
            <w:vAlign w:val="center"/>
          </w:tcPr>
          <w:p w14:paraId="2FCDBB4C">
            <w:pPr>
              <w:spacing w:line="400" w:lineRule="exact"/>
              <w:rPr>
                <w:rFonts w:hint="eastAsia" w:ascii="宋体" w:hAnsi="宋体" w:eastAsia="宋体" w:cs="宋体"/>
                <w:color w:val="auto"/>
                <w:sz w:val="21"/>
                <w:szCs w:val="21"/>
                <w:highlight w:val="none"/>
              </w:rPr>
            </w:pPr>
          </w:p>
        </w:tc>
        <w:tc>
          <w:tcPr>
            <w:tcW w:w="1128" w:type="pct"/>
            <w:vAlign w:val="center"/>
          </w:tcPr>
          <w:p w14:paraId="02970E7B">
            <w:pPr>
              <w:spacing w:line="400" w:lineRule="exact"/>
              <w:rPr>
                <w:rFonts w:hint="eastAsia" w:ascii="宋体" w:hAnsi="宋体" w:eastAsia="宋体" w:cs="宋体"/>
                <w:color w:val="auto"/>
                <w:sz w:val="21"/>
                <w:szCs w:val="21"/>
                <w:highlight w:val="none"/>
              </w:rPr>
            </w:pPr>
          </w:p>
        </w:tc>
      </w:tr>
      <w:tr w14:paraId="20F7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151EE5E8">
            <w:pPr>
              <w:spacing w:line="400" w:lineRule="exact"/>
              <w:jc w:val="center"/>
              <w:rPr>
                <w:rFonts w:hint="eastAsia" w:ascii="宋体" w:hAnsi="宋体" w:eastAsia="宋体" w:cs="宋体"/>
                <w:color w:val="auto"/>
                <w:sz w:val="21"/>
                <w:szCs w:val="21"/>
                <w:highlight w:val="none"/>
              </w:rPr>
            </w:pPr>
          </w:p>
        </w:tc>
        <w:tc>
          <w:tcPr>
            <w:tcW w:w="684" w:type="pct"/>
            <w:vAlign w:val="center"/>
          </w:tcPr>
          <w:p w14:paraId="5D66B7BE">
            <w:pPr>
              <w:spacing w:line="400" w:lineRule="exact"/>
              <w:rPr>
                <w:rFonts w:hint="eastAsia" w:ascii="宋体" w:hAnsi="宋体" w:eastAsia="宋体" w:cs="宋体"/>
                <w:color w:val="auto"/>
                <w:sz w:val="21"/>
                <w:szCs w:val="21"/>
                <w:highlight w:val="none"/>
              </w:rPr>
            </w:pPr>
          </w:p>
        </w:tc>
        <w:tc>
          <w:tcPr>
            <w:tcW w:w="691" w:type="pct"/>
            <w:vAlign w:val="center"/>
          </w:tcPr>
          <w:p w14:paraId="48A3D248">
            <w:pPr>
              <w:spacing w:line="400" w:lineRule="exact"/>
              <w:rPr>
                <w:rFonts w:hint="eastAsia" w:ascii="宋体" w:hAnsi="宋体" w:eastAsia="宋体" w:cs="宋体"/>
                <w:color w:val="auto"/>
                <w:sz w:val="21"/>
                <w:szCs w:val="21"/>
                <w:highlight w:val="none"/>
              </w:rPr>
            </w:pPr>
          </w:p>
        </w:tc>
        <w:tc>
          <w:tcPr>
            <w:tcW w:w="879" w:type="pct"/>
            <w:vAlign w:val="center"/>
          </w:tcPr>
          <w:p w14:paraId="4FC70153">
            <w:pPr>
              <w:spacing w:line="400" w:lineRule="exact"/>
              <w:rPr>
                <w:rFonts w:hint="eastAsia" w:ascii="宋体" w:hAnsi="宋体" w:eastAsia="宋体" w:cs="宋体"/>
                <w:color w:val="auto"/>
                <w:sz w:val="21"/>
                <w:szCs w:val="21"/>
                <w:highlight w:val="none"/>
              </w:rPr>
            </w:pPr>
          </w:p>
        </w:tc>
        <w:tc>
          <w:tcPr>
            <w:tcW w:w="507" w:type="pct"/>
            <w:vAlign w:val="center"/>
          </w:tcPr>
          <w:p w14:paraId="208ABFF2">
            <w:pPr>
              <w:spacing w:line="400" w:lineRule="exact"/>
              <w:rPr>
                <w:rFonts w:hint="eastAsia" w:ascii="宋体" w:hAnsi="宋体" w:eastAsia="宋体" w:cs="宋体"/>
                <w:color w:val="auto"/>
                <w:sz w:val="21"/>
                <w:szCs w:val="21"/>
                <w:highlight w:val="none"/>
              </w:rPr>
            </w:pPr>
          </w:p>
        </w:tc>
        <w:tc>
          <w:tcPr>
            <w:tcW w:w="727" w:type="pct"/>
            <w:vAlign w:val="center"/>
          </w:tcPr>
          <w:p w14:paraId="05F264E2">
            <w:pPr>
              <w:spacing w:line="400" w:lineRule="exact"/>
              <w:rPr>
                <w:rFonts w:hint="eastAsia" w:ascii="宋体" w:hAnsi="宋体" w:eastAsia="宋体" w:cs="宋体"/>
                <w:color w:val="auto"/>
                <w:sz w:val="21"/>
                <w:szCs w:val="21"/>
                <w:highlight w:val="none"/>
              </w:rPr>
            </w:pPr>
          </w:p>
        </w:tc>
        <w:tc>
          <w:tcPr>
            <w:tcW w:w="1128" w:type="pct"/>
            <w:vAlign w:val="center"/>
          </w:tcPr>
          <w:p w14:paraId="3F14EDE5">
            <w:pPr>
              <w:spacing w:line="400" w:lineRule="exact"/>
              <w:rPr>
                <w:rFonts w:hint="eastAsia" w:ascii="宋体" w:hAnsi="宋体" w:eastAsia="宋体" w:cs="宋体"/>
                <w:color w:val="auto"/>
                <w:sz w:val="21"/>
                <w:szCs w:val="21"/>
                <w:highlight w:val="none"/>
              </w:rPr>
            </w:pPr>
          </w:p>
        </w:tc>
      </w:tr>
      <w:tr w14:paraId="7D8D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48AEFBF1">
            <w:pPr>
              <w:spacing w:line="400" w:lineRule="exact"/>
              <w:jc w:val="center"/>
              <w:rPr>
                <w:rFonts w:hint="eastAsia" w:ascii="宋体" w:hAnsi="宋体" w:eastAsia="宋体" w:cs="宋体"/>
                <w:color w:val="auto"/>
                <w:sz w:val="21"/>
                <w:szCs w:val="21"/>
                <w:highlight w:val="none"/>
              </w:rPr>
            </w:pPr>
          </w:p>
        </w:tc>
        <w:tc>
          <w:tcPr>
            <w:tcW w:w="684" w:type="pct"/>
            <w:vAlign w:val="center"/>
          </w:tcPr>
          <w:p w14:paraId="7C041DFF">
            <w:pPr>
              <w:spacing w:line="400" w:lineRule="exact"/>
              <w:rPr>
                <w:rFonts w:hint="eastAsia" w:ascii="宋体" w:hAnsi="宋体" w:eastAsia="宋体" w:cs="宋体"/>
                <w:color w:val="auto"/>
                <w:sz w:val="21"/>
                <w:szCs w:val="21"/>
                <w:highlight w:val="none"/>
              </w:rPr>
            </w:pPr>
          </w:p>
        </w:tc>
        <w:tc>
          <w:tcPr>
            <w:tcW w:w="691" w:type="pct"/>
            <w:vAlign w:val="center"/>
          </w:tcPr>
          <w:p w14:paraId="44FFAA7C">
            <w:pPr>
              <w:spacing w:line="400" w:lineRule="exact"/>
              <w:rPr>
                <w:rFonts w:hint="eastAsia" w:ascii="宋体" w:hAnsi="宋体" w:eastAsia="宋体" w:cs="宋体"/>
                <w:color w:val="auto"/>
                <w:sz w:val="21"/>
                <w:szCs w:val="21"/>
                <w:highlight w:val="none"/>
              </w:rPr>
            </w:pPr>
          </w:p>
        </w:tc>
        <w:tc>
          <w:tcPr>
            <w:tcW w:w="879" w:type="pct"/>
            <w:vAlign w:val="center"/>
          </w:tcPr>
          <w:p w14:paraId="1F3C31CA">
            <w:pPr>
              <w:spacing w:line="400" w:lineRule="exact"/>
              <w:rPr>
                <w:rFonts w:hint="eastAsia" w:ascii="宋体" w:hAnsi="宋体" w:eastAsia="宋体" w:cs="宋体"/>
                <w:color w:val="auto"/>
                <w:sz w:val="21"/>
                <w:szCs w:val="21"/>
                <w:highlight w:val="none"/>
              </w:rPr>
            </w:pPr>
          </w:p>
        </w:tc>
        <w:tc>
          <w:tcPr>
            <w:tcW w:w="507" w:type="pct"/>
            <w:vAlign w:val="center"/>
          </w:tcPr>
          <w:p w14:paraId="634EC495">
            <w:pPr>
              <w:spacing w:line="400" w:lineRule="exact"/>
              <w:rPr>
                <w:rFonts w:hint="eastAsia" w:ascii="宋体" w:hAnsi="宋体" w:eastAsia="宋体" w:cs="宋体"/>
                <w:color w:val="auto"/>
                <w:sz w:val="21"/>
                <w:szCs w:val="21"/>
                <w:highlight w:val="none"/>
              </w:rPr>
            </w:pPr>
          </w:p>
        </w:tc>
        <w:tc>
          <w:tcPr>
            <w:tcW w:w="727" w:type="pct"/>
            <w:vAlign w:val="center"/>
          </w:tcPr>
          <w:p w14:paraId="5FD87CCA">
            <w:pPr>
              <w:spacing w:line="400" w:lineRule="exact"/>
              <w:rPr>
                <w:rFonts w:hint="eastAsia" w:ascii="宋体" w:hAnsi="宋体" w:eastAsia="宋体" w:cs="宋体"/>
                <w:color w:val="auto"/>
                <w:sz w:val="21"/>
                <w:szCs w:val="21"/>
                <w:highlight w:val="none"/>
              </w:rPr>
            </w:pPr>
          </w:p>
        </w:tc>
        <w:tc>
          <w:tcPr>
            <w:tcW w:w="1128" w:type="pct"/>
            <w:vAlign w:val="center"/>
          </w:tcPr>
          <w:p w14:paraId="0F384A78">
            <w:pPr>
              <w:spacing w:line="400" w:lineRule="exact"/>
              <w:rPr>
                <w:rFonts w:hint="eastAsia" w:ascii="宋体" w:hAnsi="宋体" w:eastAsia="宋体" w:cs="宋体"/>
                <w:color w:val="auto"/>
                <w:sz w:val="21"/>
                <w:szCs w:val="21"/>
                <w:highlight w:val="none"/>
              </w:rPr>
            </w:pPr>
          </w:p>
        </w:tc>
      </w:tr>
      <w:tr w14:paraId="4C99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3E110E09">
            <w:pPr>
              <w:spacing w:line="400" w:lineRule="exact"/>
              <w:jc w:val="center"/>
              <w:rPr>
                <w:rFonts w:hint="eastAsia" w:ascii="宋体" w:hAnsi="宋体" w:eastAsia="宋体" w:cs="宋体"/>
                <w:color w:val="auto"/>
                <w:sz w:val="21"/>
                <w:szCs w:val="21"/>
                <w:highlight w:val="none"/>
              </w:rPr>
            </w:pPr>
          </w:p>
        </w:tc>
        <w:tc>
          <w:tcPr>
            <w:tcW w:w="684" w:type="pct"/>
            <w:vAlign w:val="center"/>
          </w:tcPr>
          <w:p w14:paraId="2F54406B">
            <w:pPr>
              <w:spacing w:line="400" w:lineRule="exact"/>
              <w:rPr>
                <w:rFonts w:hint="eastAsia" w:ascii="宋体" w:hAnsi="宋体" w:eastAsia="宋体" w:cs="宋体"/>
                <w:color w:val="auto"/>
                <w:sz w:val="21"/>
                <w:szCs w:val="21"/>
                <w:highlight w:val="none"/>
              </w:rPr>
            </w:pPr>
          </w:p>
        </w:tc>
        <w:tc>
          <w:tcPr>
            <w:tcW w:w="691" w:type="pct"/>
            <w:vAlign w:val="center"/>
          </w:tcPr>
          <w:p w14:paraId="4E3817D8">
            <w:pPr>
              <w:spacing w:line="400" w:lineRule="exact"/>
              <w:rPr>
                <w:rFonts w:hint="eastAsia" w:ascii="宋体" w:hAnsi="宋体" w:eastAsia="宋体" w:cs="宋体"/>
                <w:color w:val="auto"/>
                <w:sz w:val="21"/>
                <w:szCs w:val="21"/>
                <w:highlight w:val="none"/>
              </w:rPr>
            </w:pPr>
          </w:p>
        </w:tc>
        <w:tc>
          <w:tcPr>
            <w:tcW w:w="879" w:type="pct"/>
            <w:vAlign w:val="center"/>
          </w:tcPr>
          <w:p w14:paraId="58F7A48A">
            <w:pPr>
              <w:spacing w:line="400" w:lineRule="exact"/>
              <w:rPr>
                <w:rFonts w:hint="eastAsia" w:ascii="宋体" w:hAnsi="宋体" w:eastAsia="宋体" w:cs="宋体"/>
                <w:color w:val="auto"/>
                <w:sz w:val="21"/>
                <w:szCs w:val="21"/>
                <w:highlight w:val="none"/>
              </w:rPr>
            </w:pPr>
          </w:p>
        </w:tc>
        <w:tc>
          <w:tcPr>
            <w:tcW w:w="507" w:type="pct"/>
            <w:vAlign w:val="center"/>
          </w:tcPr>
          <w:p w14:paraId="2F7031A1">
            <w:pPr>
              <w:spacing w:line="400" w:lineRule="exact"/>
              <w:rPr>
                <w:rFonts w:hint="eastAsia" w:ascii="宋体" w:hAnsi="宋体" w:eastAsia="宋体" w:cs="宋体"/>
                <w:color w:val="auto"/>
                <w:sz w:val="21"/>
                <w:szCs w:val="21"/>
                <w:highlight w:val="none"/>
              </w:rPr>
            </w:pPr>
          </w:p>
        </w:tc>
        <w:tc>
          <w:tcPr>
            <w:tcW w:w="727" w:type="pct"/>
            <w:vAlign w:val="center"/>
          </w:tcPr>
          <w:p w14:paraId="7E2CABC0">
            <w:pPr>
              <w:spacing w:line="400" w:lineRule="exact"/>
              <w:rPr>
                <w:rFonts w:hint="eastAsia" w:ascii="宋体" w:hAnsi="宋体" w:eastAsia="宋体" w:cs="宋体"/>
                <w:color w:val="auto"/>
                <w:sz w:val="21"/>
                <w:szCs w:val="21"/>
                <w:highlight w:val="none"/>
              </w:rPr>
            </w:pPr>
          </w:p>
        </w:tc>
        <w:tc>
          <w:tcPr>
            <w:tcW w:w="1128" w:type="pct"/>
            <w:vAlign w:val="center"/>
          </w:tcPr>
          <w:p w14:paraId="12C5E2C8">
            <w:pPr>
              <w:spacing w:line="400" w:lineRule="exact"/>
              <w:rPr>
                <w:rFonts w:hint="eastAsia" w:ascii="宋体" w:hAnsi="宋体" w:eastAsia="宋体" w:cs="宋体"/>
                <w:color w:val="auto"/>
                <w:sz w:val="21"/>
                <w:szCs w:val="21"/>
                <w:highlight w:val="none"/>
              </w:rPr>
            </w:pPr>
          </w:p>
        </w:tc>
      </w:tr>
      <w:tr w14:paraId="378C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4" w:type="pct"/>
            <w:vAlign w:val="center"/>
          </w:tcPr>
          <w:p w14:paraId="4555355D">
            <w:pPr>
              <w:spacing w:line="400" w:lineRule="exact"/>
              <w:jc w:val="center"/>
              <w:rPr>
                <w:rFonts w:hint="eastAsia" w:ascii="宋体" w:hAnsi="宋体" w:eastAsia="宋体" w:cs="宋体"/>
                <w:color w:val="auto"/>
                <w:sz w:val="21"/>
                <w:szCs w:val="21"/>
                <w:highlight w:val="none"/>
              </w:rPr>
            </w:pPr>
          </w:p>
        </w:tc>
        <w:tc>
          <w:tcPr>
            <w:tcW w:w="684" w:type="pct"/>
            <w:vAlign w:val="center"/>
          </w:tcPr>
          <w:p w14:paraId="70ED1244">
            <w:pPr>
              <w:spacing w:line="400" w:lineRule="exact"/>
              <w:rPr>
                <w:rFonts w:hint="eastAsia" w:ascii="宋体" w:hAnsi="宋体" w:eastAsia="宋体" w:cs="宋体"/>
                <w:color w:val="auto"/>
                <w:sz w:val="21"/>
                <w:szCs w:val="21"/>
                <w:highlight w:val="none"/>
              </w:rPr>
            </w:pPr>
          </w:p>
        </w:tc>
        <w:tc>
          <w:tcPr>
            <w:tcW w:w="691" w:type="pct"/>
            <w:vAlign w:val="center"/>
          </w:tcPr>
          <w:p w14:paraId="51E2A09B">
            <w:pPr>
              <w:spacing w:line="400" w:lineRule="exact"/>
              <w:rPr>
                <w:rFonts w:hint="eastAsia" w:ascii="宋体" w:hAnsi="宋体" w:eastAsia="宋体" w:cs="宋体"/>
                <w:color w:val="auto"/>
                <w:sz w:val="21"/>
                <w:szCs w:val="21"/>
                <w:highlight w:val="none"/>
              </w:rPr>
            </w:pPr>
          </w:p>
        </w:tc>
        <w:tc>
          <w:tcPr>
            <w:tcW w:w="879" w:type="pct"/>
            <w:vAlign w:val="center"/>
          </w:tcPr>
          <w:p w14:paraId="7E383558">
            <w:pPr>
              <w:spacing w:line="400" w:lineRule="exact"/>
              <w:rPr>
                <w:rFonts w:hint="eastAsia" w:ascii="宋体" w:hAnsi="宋体" w:eastAsia="宋体" w:cs="宋体"/>
                <w:color w:val="auto"/>
                <w:sz w:val="21"/>
                <w:szCs w:val="21"/>
                <w:highlight w:val="none"/>
              </w:rPr>
            </w:pPr>
          </w:p>
        </w:tc>
        <w:tc>
          <w:tcPr>
            <w:tcW w:w="507" w:type="pct"/>
            <w:vAlign w:val="center"/>
          </w:tcPr>
          <w:p w14:paraId="4D636568">
            <w:pPr>
              <w:spacing w:line="400" w:lineRule="exact"/>
              <w:rPr>
                <w:rFonts w:hint="eastAsia" w:ascii="宋体" w:hAnsi="宋体" w:eastAsia="宋体" w:cs="宋体"/>
                <w:color w:val="auto"/>
                <w:sz w:val="21"/>
                <w:szCs w:val="21"/>
                <w:highlight w:val="none"/>
              </w:rPr>
            </w:pPr>
          </w:p>
        </w:tc>
        <w:tc>
          <w:tcPr>
            <w:tcW w:w="727" w:type="pct"/>
            <w:vAlign w:val="center"/>
          </w:tcPr>
          <w:p w14:paraId="79362B1B">
            <w:pPr>
              <w:spacing w:line="400" w:lineRule="exact"/>
              <w:rPr>
                <w:rFonts w:hint="eastAsia" w:ascii="宋体" w:hAnsi="宋体" w:eastAsia="宋体" w:cs="宋体"/>
                <w:color w:val="auto"/>
                <w:sz w:val="21"/>
                <w:szCs w:val="21"/>
                <w:highlight w:val="none"/>
              </w:rPr>
            </w:pPr>
          </w:p>
        </w:tc>
        <w:tc>
          <w:tcPr>
            <w:tcW w:w="1128" w:type="pct"/>
            <w:vAlign w:val="center"/>
          </w:tcPr>
          <w:p w14:paraId="2E20B354">
            <w:pPr>
              <w:spacing w:line="400" w:lineRule="exact"/>
              <w:rPr>
                <w:rFonts w:hint="eastAsia" w:ascii="宋体" w:hAnsi="宋体" w:eastAsia="宋体" w:cs="宋体"/>
                <w:color w:val="auto"/>
                <w:sz w:val="21"/>
                <w:szCs w:val="21"/>
                <w:highlight w:val="none"/>
              </w:rPr>
            </w:pPr>
          </w:p>
        </w:tc>
      </w:tr>
    </w:tbl>
    <w:p w14:paraId="2286B2D6">
      <w:pPr>
        <w:rPr>
          <w:rFonts w:hint="eastAsia" w:ascii="宋体" w:hAnsi="宋体" w:eastAsia="宋体" w:cs="宋体"/>
          <w:color w:val="auto"/>
          <w:sz w:val="21"/>
          <w:szCs w:val="21"/>
          <w:highlight w:val="none"/>
        </w:rPr>
      </w:pPr>
    </w:p>
    <w:p w14:paraId="248784F3">
      <w:pPr>
        <w:autoSpaceDE w:val="0"/>
        <w:autoSpaceDN w:val="0"/>
        <w:adjustRightInd w:val="0"/>
        <w:snapToGrid w:val="0"/>
        <w:spacing w:line="360" w:lineRule="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注：</w:t>
      </w:r>
      <w:r>
        <w:rPr>
          <w:rFonts w:hint="eastAsia" w:ascii="宋体" w:hAnsi="宋体" w:eastAsia="宋体" w:cs="宋体"/>
          <w:color w:val="auto"/>
          <w:kern w:val="0"/>
          <w:sz w:val="21"/>
          <w:szCs w:val="21"/>
          <w:highlight w:val="none"/>
          <w:lang w:val="en-US" w:eastAsia="zh-CN"/>
        </w:rPr>
        <w:t>须</w:t>
      </w: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val="en-US" w:eastAsia="zh-CN"/>
        </w:rPr>
        <w:t>项目</w:t>
      </w:r>
      <w:r>
        <w:rPr>
          <w:rFonts w:hint="eastAsia" w:ascii="宋体" w:hAnsi="宋体" w:eastAsia="宋体" w:cs="宋体"/>
          <w:color w:val="auto"/>
          <w:kern w:val="0"/>
          <w:sz w:val="21"/>
          <w:szCs w:val="21"/>
          <w:highlight w:val="none"/>
        </w:rPr>
        <w:t>合同复印件（或扫描件）</w:t>
      </w:r>
      <w:r>
        <w:rPr>
          <w:rFonts w:hint="eastAsia" w:ascii="宋体" w:hAnsi="宋体" w:eastAsia="宋体" w:cs="宋体"/>
          <w:color w:val="auto"/>
          <w:kern w:val="0"/>
          <w:sz w:val="21"/>
          <w:szCs w:val="21"/>
          <w:highlight w:val="none"/>
          <w:lang w:eastAsia="zh-CN"/>
        </w:rPr>
        <w:t>。</w:t>
      </w:r>
    </w:p>
    <w:p w14:paraId="6DF73188">
      <w:pPr>
        <w:rPr>
          <w:rFonts w:hint="eastAsia" w:ascii="宋体" w:hAnsi="宋体" w:eastAsia="宋体" w:cs="宋体"/>
          <w:color w:val="auto"/>
          <w:w w:val="99"/>
          <w:kern w:val="0"/>
          <w:sz w:val="28"/>
          <w:szCs w:val="28"/>
          <w:highlight w:val="none"/>
          <w:lang w:val="en-US" w:eastAsia="zh-CN"/>
        </w:rPr>
      </w:pPr>
      <w:r>
        <w:rPr>
          <w:rFonts w:hint="eastAsia" w:ascii="宋体" w:hAnsi="宋体" w:eastAsia="宋体" w:cs="宋体"/>
          <w:color w:val="auto"/>
          <w:w w:val="99"/>
          <w:kern w:val="0"/>
          <w:sz w:val="28"/>
          <w:szCs w:val="28"/>
          <w:highlight w:val="none"/>
          <w:lang w:val="en-US" w:eastAsia="zh-CN"/>
        </w:rPr>
        <w:br w:type="page"/>
      </w:r>
    </w:p>
    <w:p w14:paraId="69C269BB">
      <w:pPr>
        <w:pStyle w:val="4"/>
        <w:numPr>
          <w:ilvl w:val="0"/>
          <w:numId w:val="0"/>
        </w:numPr>
        <w:snapToGrid w:val="0"/>
        <w:spacing w:before="0" w:after="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lang w:val="en-US" w:eastAsia="zh-CN"/>
        </w:rPr>
        <w:t>表5</w:t>
      </w:r>
      <w:r>
        <w:rPr>
          <w:rFonts w:hint="eastAsia" w:ascii="宋体" w:hAnsi="宋体" w:eastAsia="宋体" w:cs="宋体"/>
          <w:color w:val="auto"/>
          <w:w w:val="99"/>
          <w:kern w:val="0"/>
          <w:sz w:val="28"/>
          <w:szCs w:val="28"/>
          <w:highlight w:val="none"/>
        </w:rPr>
        <w:t>投标人与其他单位存在控股、管理关系情况表</w:t>
      </w:r>
    </w:p>
    <w:tbl>
      <w:tblPr>
        <w:tblStyle w:val="52"/>
        <w:tblW w:w="9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1"/>
        <w:gridCol w:w="4935"/>
      </w:tblGrid>
      <w:tr w14:paraId="681D6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4671" w:type="dxa"/>
            <w:noWrap w:val="0"/>
            <w:vAlign w:val="center"/>
          </w:tcPr>
          <w:p w14:paraId="57DD2B2D">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与投标人存在控股、管理关系的单位名称</w:t>
            </w:r>
          </w:p>
        </w:tc>
        <w:tc>
          <w:tcPr>
            <w:tcW w:w="4935" w:type="dxa"/>
            <w:noWrap w:val="0"/>
            <w:vAlign w:val="center"/>
          </w:tcPr>
          <w:p w14:paraId="1E83EBCC">
            <w:pPr>
              <w:widowControl/>
              <w:jc w:val="center"/>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控股、管理关系情况说明</w:t>
            </w:r>
          </w:p>
        </w:tc>
      </w:tr>
      <w:tr w14:paraId="6A59F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6C38ED8E">
            <w:pPr>
              <w:widowControl/>
              <w:jc w:val="center"/>
              <w:rPr>
                <w:rFonts w:hint="eastAsia" w:ascii="宋体" w:hAnsi="宋体" w:eastAsia="宋体" w:cs="宋体"/>
                <w:bCs/>
                <w:color w:val="auto"/>
                <w:kern w:val="0"/>
                <w:sz w:val="21"/>
                <w:szCs w:val="21"/>
                <w:highlight w:val="none"/>
              </w:rPr>
            </w:pPr>
          </w:p>
        </w:tc>
        <w:tc>
          <w:tcPr>
            <w:tcW w:w="4935" w:type="dxa"/>
            <w:noWrap w:val="0"/>
            <w:vAlign w:val="center"/>
          </w:tcPr>
          <w:p w14:paraId="2C8D5AD0">
            <w:pPr>
              <w:widowControl/>
              <w:jc w:val="center"/>
              <w:rPr>
                <w:rFonts w:hint="eastAsia" w:ascii="宋体" w:hAnsi="宋体" w:eastAsia="宋体" w:cs="宋体"/>
                <w:bCs/>
                <w:color w:val="auto"/>
                <w:kern w:val="0"/>
                <w:sz w:val="21"/>
                <w:szCs w:val="21"/>
                <w:highlight w:val="none"/>
              </w:rPr>
            </w:pPr>
          </w:p>
        </w:tc>
      </w:tr>
      <w:tr w14:paraId="4047E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54765FD9">
            <w:pPr>
              <w:widowControl/>
              <w:jc w:val="center"/>
              <w:rPr>
                <w:rFonts w:hint="eastAsia" w:ascii="宋体" w:hAnsi="宋体" w:eastAsia="宋体" w:cs="宋体"/>
                <w:bCs/>
                <w:color w:val="auto"/>
                <w:kern w:val="0"/>
                <w:sz w:val="21"/>
                <w:szCs w:val="21"/>
                <w:highlight w:val="none"/>
              </w:rPr>
            </w:pPr>
          </w:p>
        </w:tc>
        <w:tc>
          <w:tcPr>
            <w:tcW w:w="4935" w:type="dxa"/>
            <w:noWrap w:val="0"/>
            <w:vAlign w:val="center"/>
          </w:tcPr>
          <w:p w14:paraId="39B8DEE9">
            <w:pPr>
              <w:widowControl/>
              <w:jc w:val="center"/>
              <w:rPr>
                <w:rFonts w:hint="eastAsia" w:ascii="宋体" w:hAnsi="宋体" w:eastAsia="宋体" w:cs="宋体"/>
                <w:bCs/>
                <w:color w:val="auto"/>
                <w:kern w:val="0"/>
                <w:sz w:val="21"/>
                <w:szCs w:val="21"/>
                <w:highlight w:val="none"/>
              </w:rPr>
            </w:pPr>
          </w:p>
        </w:tc>
      </w:tr>
      <w:tr w14:paraId="23780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38F7B1B3">
            <w:pPr>
              <w:widowControl/>
              <w:jc w:val="center"/>
              <w:rPr>
                <w:rFonts w:hint="eastAsia" w:ascii="宋体" w:hAnsi="宋体" w:eastAsia="宋体" w:cs="宋体"/>
                <w:bCs/>
                <w:color w:val="auto"/>
                <w:kern w:val="0"/>
                <w:sz w:val="21"/>
                <w:szCs w:val="21"/>
                <w:highlight w:val="none"/>
              </w:rPr>
            </w:pPr>
          </w:p>
        </w:tc>
        <w:tc>
          <w:tcPr>
            <w:tcW w:w="4935" w:type="dxa"/>
            <w:noWrap w:val="0"/>
            <w:vAlign w:val="center"/>
          </w:tcPr>
          <w:p w14:paraId="79C2B7FC">
            <w:pPr>
              <w:widowControl/>
              <w:jc w:val="center"/>
              <w:rPr>
                <w:rFonts w:hint="eastAsia" w:ascii="宋体" w:hAnsi="宋体" w:eastAsia="宋体" w:cs="宋体"/>
                <w:bCs/>
                <w:color w:val="auto"/>
                <w:kern w:val="0"/>
                <w:sz w:val="21"/>
                <w:szCs w:val="21"/>
                <w:highlight w:val="none"/>
              </w:rPr>
            </w:pPr>
          </w:p>
        </w:tc>
      </w:tr>
      <w:tr w14:paraId="0665E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025FCCAA">
            <w:pPr>
              <w:widowControl/>
              <w:jc w:val="center"/>
              <w:rPr>
                <w:rFonts w:hint="eastAsia" w:ascii="宋体" w:hAnsi="宋体" w:eastAsia="宋体" w:cs="宋体"/>
                <w:bCs/>
                <w:color w:val="auto"/>
                <w:kern w:val="0"/>
                <w:sz w:val="21"/>
                <w:szCs w:val="21"/>
                <w:highlight w:val="none"/>
              </w:rPr>
            </w:pPr>
          </w:p>
        </w:tc>
        <w:tc>
          <w:tcPr>
            <w:tcW w:w="4935" w:type="dxa"/>
            <w:noWrap w:val="0"/>
            <w:vAlign w:val="center"/>
          </w:tcPr>
          <w:p w14:paraId="3CC43D70">
            <w:pPr>
              <w:widowControl/>
              <w:jc w:val="center"/>
              <w:rPr>
                <w:rFonts w:hint="eastAsia" w:ascii="宋体" w:hAnsi="宋体" w:eastAsia="宋体" w:cs="宋体"/>
                <w:bCs/>
                <w:color w:val="auto"/>
                <w:kern w:val="0"/>
                <w:sz w:val="21"/>
                <w:szCs w:val="21"/>
                <w:highlight w:val="none"/>
              </w:rPr>
            </w:pPr>
          </w:p>
        </w:tc>
      </w:tr>
      <w:tr w14:paraId="4FC34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20EA4B13">
            <w:pPr>
              <w:widowControl/>
              <w:jc w:val="center"/>
              <w:rPr>
                <w:rFonts w:hint="eastAsia" w:ascii="宋体" w:hAnsi="宋体" w:eastAsia="宋体" w:cs="宋体"/>
                <w:bCs/>
                <w:color w:val="auto"/>
                <w:kern w:val="0"/>
                <w:sz w:val="21"/>
                <w:szCs w:val="21"/>
                <w:highlight w:val="none"/>
              </w:rPr>
            </w:pPr>
          </w:p>
        </w:tc>
        <w:tc>
          <w:tcPr>
            <w:tcW w:w="4935" w:type="dxa"/>
            <w:noWrap w:val="0"/>
            <w:vAlign w:val="center"/>
          </w:tcPr>
          <w:p w14:paraId="39CFBFBD">
            <w:pPr>
              <w:widowControl/>
              <w:jc w:val="center"/>
              <w:rPr>
                <w:rFonts w:hint="eastAsia" w:ascii="宋体" w:hAnsi="宋体" w:eastAsia="宋体" w:cs="宋体"/>
                <w:bCs/>
                <w:color w:val="auto"/>
                <w:kern w:val="0"/>
                <w:sz w:val="21"/>
                <w:szCs w:val="21"/>
                <w:highlight w:val="none"/>
              </w:rPr>
            </w:pPr>
          </w:p>
        </w:tc>
      </w:tr>
      <w:tr w14:paraId="2ED80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4671" w:type="dxa"/>
            <w:noWrap w:val="0"/>
            <w:vAlign w:val="center"/>
          </w:tcPr>
          <w:p w14:paraId="4A7523D7">
            <w:pPr>
              <w:widowControl/>
              <w:jc w:val="center"/>
              <w:rPr>
                <w:rFonts w:hint="eastAsia" w:ascii="宋体" w:hAnsi="宋体" w:eastAsia="宋体" w:cs="宋体"/>
                <w:bCs/>
                <w:color w:val="auto"/>
                <w:kern w:val="0"/>
                <w:sz w:val="21"/>
                <w:szCs w:val="21"/>
                <w:highlight w:val="none"/>
              </w:rPr>
            </w:pPr>
          </w:p>
        </w:tc>
        <w:tc>
          <w:tcPr>
            <w:tcW w:w="4935" w:type="dxa"/>
            <w:noWrap w:val="0"/>
            <w:vAlign w:val="center"/>
          </w:tcPr>
          <w:p w14:paraId="16DEFAF2">
            <w:pPr>
              <w:widowControl/>
              <w:jc w:val="center"/>
              <w:rPr>
                <w:rFonts w:hint="eastAsia" w:ascii="宋体" w:hAnsi="宋体" w:eastAsia="宋体" w:cs="宋体"/>
                <w:bCs/>
                <w:color w:val="auto"/>
                <w:kern w:val="0"/>
                <w:sz w:val="21"/>
                <w:szCs w:val="21"/>
                <w:highlight w:val="none"/>
              </w:rPr>
            </w:pPr>
          </w:p>
        </w:tc>
      </w:tr>
    </w:tbl>
    <w:p w14:paraId="6D3C71FC">
      <w:pPr>
        <w:widowControl/>
        <w:spacing w:line="360" w:lineRule="auto"/>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 xml:space="preserve">注：投标人须如实填写所有与之有控股、管理关系的情况； </w:t>
      </w:r>
    </w:p>
    <w:p w14:paraId="0BFCDC3A">
      <w:pPr>
        <w:widowControl/>
        <w:spacing w:line="360" w:lineRule="auto"/>
        <w:jc w:val="left"/>
        <w:rPr>
          <w:rFonts w:hint="eastAsia" w:ascii="宋体" w:hAnsi="宋体" w:eastAsia="宋体" w:cs="宋体"/>
          <w:b/>
          <w:color w:val="auto"/>
          <w:kern w:val="0"/>
          <w:szCs w:val="21"/>
          <w:highlight w:val="none"/>
        </w:rPr>
      </w:pPr>
    </w:p>
    <w:p w14:paraId="13F322AF">
      <w:pPr>
        <w:widowControl/>
        <w:spacing w:line="360" w:lineRule="auto"/>
        <w:jc w:val="left"/>
        <w:rPr>
          <w:rFonts w:hint="eastAsia" w:ascii="宋体" w:hAnsi="宋体" w:eastAsia="宋体" w:cs="宋体"/>
          <w:b/>
          <w:color w:val="auto"/>
          <w:kern w:val="0"/>
          <w:szCs w:val="21"/>
          <w:highlight w:val="none"/>
        </w:rPr>
      </w:pPr>
    </w:p>
    <w:p w14:paraId="015AE2D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投标人（盖章）：</w:t>
      </w:r>
    </w:p>
    <w:p w14:paraId="3CBACDA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51B57266">
      <w:pPr>
        <w:autoSpaceDE w:val="0"/>
        <w:autoSpaceDN w:val="0"/>
        <w:adjustRightInd w:val="0"/>
        <w:snapToGrid w:val="0"/>
        <w:spacing w:line="360" w:lineRule="auto"/>
        <w:rPr>
          <w:rFonts w:hint="eastAsia" w:ascii="宋体" w:hAnsi="宋体" w:eastAsia="宋体" w:cs="宋体"/>
          <w:color w:val="auto"/>
          <w:kern w:val="0"/>
          <w:sz w:val="21"/>
          <w:szCs w:val="21"/>
          <w:highlight w:val="none"/>
          <w:lang w:eastAsia="zh-CN"/>
        </w:rPr>
      </w:pPr>
    </w:p>
    <w:p w14:paraId="3CAEEFB2">
      <w:pP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79BD994D">
      <w:pPr>
        <w:pStyle w:val="20"/>
        <w:spacing w:before="120" w:beforeLines="50" w:afterLines="50"/>
        <w:jc w:val="center"/>
        <w:rPr>
          <w:rFonts w:hint="eastAsia" w:ascii="宋体" w:hAnsi="宋体" w:eastAsia="宋体" w:cs="宋体"/>
          <w:color w:val="auto"/>
          <w:sz w:val="32"/>
          <w:szCs w:val="32"/>
          <w:highlight w:val="none"/>
        </w:rPr>
      </w:pPr>
      <w:bookmarkStart w:id="136" w:name="_Toc232821999"/>
      <w:r>
        <w:rPr>
          <w:rFonts w:hint="eastAsia" w:ascii="宋体" w:hAnsi="宋体" w:cs="宋体"/>
          <w:color w:val="auto"/>
          <w:sz w:val="32"/>
          <w:szCs w:val="32"/>
          <w:highlight w:val="none"/>
          <w:lang w:val="en-US" w:eastAsia="zh-CN"/>
        </w:rPr>
        <w:t>七</w:t>
      </w:r>
      <w:r>
        <w:rPr>
          <w:rFonts w:hint="eastAsia" w:ascii="宋体" w:hAnsi="宋体" w:eastAsia="宋体" w:cs="宋体"/>
          <w:color w:val="auto"/>
          <w:sz w:val="32"/>
          <w:szCs w:val="32"/>
          <w:highlight w:val="none"/>
        </w:rPr>
        <w:t>、其他材料</w:t>
      </w:r>
      <w:bookmarkEnd w:id="136"/>
    </w:p>
    <w:p w14:paraId="58A7CCEB">
      <w:pPr>
        <w:keepNext/>
        <w:keepLines/>
        <w:snapToGrid w:val="0"/>
        <w:spacing w:line="360" w:lineRule="auto"/>
        <w:jc w:val="center"/>
        <w:outlineLvl w:val="2"/>
        <w:rPr>
          <w:rFonts w:hint="eastAsia" w:ascii="宋体" w:hAnsi="宋体" w:eastAsia="宋体" w:cs="宋体"/>
          <w:b/>
          <w:bCs/>
          <w:color w:val="auto"/>
          <w:w w:val="99"/>
          <w:kern w:val="0"/>
          <w:sz w:val="28"/>
          <w:szCs w:val="28"/>
          <w:highlight w:val="none"/>
        </w:rPr>
      </w:pPr>
      <w:r>
        <w:rPr>
          <w:rFonts w:hint="eastAsia" w:ascii="宋体" w:hAnsi="宋体" w:eastAsia="宋体" w:cs="宋体"/>
          <w:b/>
          <w:bCs/>
          <w:color w:val="auto"/>
          <w:w w:val="99"/>
          <w:kern w:val="0"/>
          <w:sz w:val="28"/>
          <w:szCs w:val="28"/>
          <w:highlight w:val="none"/>
        </w:rPr>
        <w:t>1、拟投入项目经理、项目总工任职承诺书</w:t>
      </w:r>
    </w:p>
    <w:p w14:paraId="3E7B0110">
      <w:pPr>
        <w:keepNext/>
        <w:keepLines/>
        <w:spacing w:line="360" w:lineRule="auto"/>
        <w:jc w:val="left"/>
        <w:outlineLvl w:val="2"/>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致：</w:t>
      </w:r>
      <w:r>
        <w:rPr>
          <w:rFonts w:hint="eastAsia" w:ascii="宋体" w:hAnsi="宋体" w:eastAsia="宋体" w:cs="宋体"/>
          <w:color w:val="auto"/>
          <w:kern w:val="0"/>
          <w:sz w:val="21"/>
          <w:szCs w:val="21"/>
          <w:highlight w:val="none"/>
          <w:u w:val="single"/>
        </w:rPr>
        <w:t>（招标人名称）</w:t>
      </w:r>
    </w:p>
    <w:p w14:paraId="799AA309">
      <w:pPr>
        <w:keepNext/>
        <w:keepLines/>
        <w:spacing w:line="360" w:lineRule="auto"/>
        <w:ind w:firstLine="420" w:firstLineChars="200"/>
        <w:jc w:val="left"/>
        <w:outlineLvl w:val="2"/>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我单位自愿参加</w:t>
      </w:r>
      <w:r>
        <w:rPr>
          <w:rFonts w:hint="eastAsia" w:ascii="宋体" w:hAnsi="宋体" w:eastAsia="宋体" w:cs="宋体"/>
          <w:color w:val="auto"/>
          <w:kern w:val="0"/>
          <w:sz w:val="21"/>
          <w:szCs w:val="21"/>
          <w:highlight w:val="none"/>
          <w:u w:val="single"/>
        </w:rPr>
        <w:t xml:space="preserve">                     项目</w:t>
      </w:r>
      <w:r>
        <w:rPr>
          <w:rFonts w:hint="eastAsia" w:ascii="宋体" w:hAnsi="宋体" w:eastAsia="宋体" w:cs="宋体"/>
          <w:color w:val="auto"/>
          <w:kern w:val="0"/>
          <w:sz w:val="21"/>
          <w:szCs w:val="21"/>
          <w:highlight w:val="none"/>
        </w:rPr>
        <w:t>的投标活动，并郑重承诺：</w:t>
      </w:r>
    </w:p>
    <w:p w14:paraId="32736770">
      <w:pPr>
        <w:keepNext/>
        <w:keepLines/>
        <w:spacing w:line="360" w:lineRule="auto"/>
        <w:ind w:firstLine="420" w:firstLineChars="200"/>
        <w:jc w:val="left"/>
        <w:outlineLvl w:val="2"/>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本项目如中标，中标后拟投入本项目的项目经理、项目总工均能立即赴本项目任职，且不在本项目以外的项目兼任职务。</w:t>
      </w:r>
    </w:p>
    <w:p w14:paraId="4F9C665D">
      <w:pPr>
        <w:keepNext/>
        <w:keepLines/>
        <w:spacing w:line="360" w:lineRule="auto"/>
        <w:ind w:firstLine="420" w:firstLineChars="200"/>
        <w:jc w:val="left"/>
        <w:outlineLvl w:val="2"/>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我方如有违背承诺，愿意承担相关违约责任。</w:t>
      </w:r>
    </w:p>
    <w:p w14:paraId="52076E15">
      <w:pPr>
        <w:keepNext/>
        <w:keepLines/>
        <w:spacing w:line="360" w:lineRule="auto"/>
        <w:ind w:firstLine="414" w:firstLineChars="200"/>
        <w:jc w:val="left"/>
        <w:outlineLvl w:val="2"/>
        <w:rPr>
          <w:rFonts w:hint="eastAsia" w:ascii="宋体" w:hAnsi="宋体" w:eastAsia="宋体" w:cs="宋体"/>
          <w:color w:val="auto"/>
          <w:w w:val="99"/>
          <w:kern w:val="0"/>
          <w:sz w:val="21"/>
          <w:szCs w:val="21"/>
          <w:highlight w:val="none"/>
        </w:rPr>
      </w:pPr>
    </w:p>
    <w:p w14:paraId="460778E4">
      <w:pPr>
        <w:keepNext/>
        <w:keepLines/>
        <w:spacing w:line="360" w:lineRule="auto"/>
        <w:ind w:firstLine="414" w:firstLineChars="200"/>
        <w:jc w:val="left"/>
        <w:outlineLvl w:val="2"/>
        <w:rPr>
          <w:rFonts w:hint="eastAsia" w:ascii="宋体" w:hAnsi="宋体" w:eastAsia="宋体" w:cs="宋体"/>
          <w:color w:val="auto"/>
          <w:w w:val="99"/>
          <w:kern w:val="0"/>
          <w:sz w:val="21"/>
          <w:szCs w:val="21"/>
          <w:highlight w:val="none"/>
        </w:rPr>
      </w:pPr>
    </w:p>
    <w:p w14:paraId="448AF85C">
      <w:pPr>
        <w:topLinePunct/>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投标人(盖单位公章)：</w:t>
      </w:r>
    </w:p>
    <w:p w14:paraId="65917730">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签字或盖章</w:t>
      </w:r>
      <w:r>
        <w:rPr>
          <w:rFonts w:hint="eastAsia" w:ascii="宋体" w:hAnsi="宋体" w:eastAsia="宋体" w:cs="宋体"/>
          <w:color w:val="auto"/>
          <w:sz w:val="21"/>
          <w:szCs w:val="21"/>
          <w:highlight w:val="none"/>
        </w:rPr>
        <w:t>）：</w:t>
      </w:r>
    </w:p>
    <w:p w14:paraId="741C22DD">
      <w:pPr>
        <w:topLinePunct/>
        <w:spacing w:before="120" w:beforeLines="50" w:after="120" w:afterLines="50"/>
        <w:ind w:firstLine="840" w:firstLineChars="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6BDDD18D">
      <w:pPr>
        <w:rPr>
          <w:rFonts w:hint="eastAsia" w:ascii="宋体" w:hAnsi="宋体" w:eastAsia="宋体" w:cs="宋体"/>
          <w:color w:val="auto"/>
          <w:sz w:val="21"/>
          <w:szCs w:val="21"/>
          <w:highlight w:val="none"/>
        </w:rPr>
      </w:pPr>
    </w:p>
    <w:p w14:paraId="4B69D545">
      <w:pPr>
        <w:pStyle w:val="13"/>
        <w:snapToGrid w:val="0"/>
        <w:spacing w:line="360" w:lineRule="auto"/>
        <w:ind w:firstLine="843" w:firstLineChars="400"/>
        <w:rPr>
          <w:rFonts w:hint="eastAsia" w:ascii="宋体" w:hAnsi="宋体" w:eastAsia="宋体" w:cs="宋体"/>
          <w:b/>
          <w:bCs/>
          <w:color w:val="auto"/>
          <w:highlight w:val="none"/>
          <w:u w:val="single"/>
        </w:rPr>
      </w:pPr>
      <w:r>
        <w:rPr>
          <w:rFonts w:hint="eastAsia" w:ascii="宋体" w:hAnsi="宋体" w:eastAsia="宋体" w:cs="宋体"/>
          <w:b/>
          <w:bCs/>
          <w:color w:val="auto"/>
          <w:highlight w:val="none"/>
        </w:rPr>
        <w:br w:type="page"/>
      </w:r>
    </w:p>
    <w:p w14:paraId="7B788EE7">
      <w:pPr>
        <w:keepNext/>
        <w:keepLines/>
        <w:snapToGrid w:val="0"/>
        <w:spacing w:line="360" w:lineRule="auto"/>
        <w:jc w:val="center"/>
        <w:outlineLvl w:val="2"/>
        <w:rPr>
          <w:rFonts w:hint="eastAsia" w:ascii="宋体" w:hAnsi="宋体" w:eastAsia="宋体" w:cs="宋体"/>
          <w:b/>
          <w:bCs/>
          <w:color w:val="auto"/>
          <w:w w:val="99"/>
          <w:kern w:val="0"/>
          <w:sz w:val="28"/>
          <w:szCs w:val="28"/>
          <w:highlight w:val="none"/>
        </w:rPr>
      </w:pPr>
      <w:r>
        <w:rPr>
          <w:rFonts w:hint="eastAsia" w:ascii="宋体" w:hAnsi="宋体" w:eastAsia="宋体" w:cs="宋体"/>
          <w:b/>
          <w:bCs/>
          <w:color w:val="auto"/>
          <w:w w:val="99"/>
          <w:kern w:val="0"/>
          <w:sz w:val="28"/>
          <w:szCs w:val="28"/>
          <w:highlight w:val="none"/>
        </w:rPr>
        <w:t>2、不拖欠民工工资的承诺书</w:t>
      </w:r>
    </w:p>
    <w:p w14:paraId="0EC2D34B">
      <w:pPr>
        <w:pStyle w:val="20"/>
        <w:rPr>
          <w:rFonts w:hint="eastAsia" w:ascii="宋体" w:hAnsi="宋体" w:eastAsia="宋体" w:cs="宋体"/>
          <w:color w:val="auto"/>
          <w:highlight w:val="none"/>
        </w:rPr>
      </w:pPr>
    </w:p>
    <w:p w14:paraId="4A883C37">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（招标人名称）</w:t>
      </w:r>
    </w:p>
    <w:p w14:paraId="001FA87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为保护民工的合法权益，不拖欠民工工资，本签名人以</w:t>
      </w:r>
      <w:r>
        <w:rPr>
          <w:rFonts w:hint="eastAsia" w:ascii="宋体" w:hAnsi="宋体" w:eastAsia="宋体" w:cs="宋体"/>
          <w:color w:val="auto"/>
          <w:sz w:val="21"/>
          <w:szCs w:val="21"/>
          <w:highlight w:val="none"/>
          <w:u w:val="single"/>
        </w:rPr>
        <w:t>（投标人全称）</w:t>
      </w:r>
      <w:r>
        <w:rPr>
          <w:rFonts w:hint="eastAsia" w:ascii="宋体" w:hAnsi="宋体" w:eastAsia="宋体" w:cs="宋体"/>
          <w:color w:val="auto"/>
          <w:sz w:val="21"/>
          <w:szCs w:val="21"/>
          <w:highlight w:val="none"/>
        </w:rPr>
        <w:t>法定代表人或其授权的代理人的资格，郑重承诺：</w:t>
      </w:r>
    </w:p>
    <w:p w14:paraId="78C0BAE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本企业如果中标承建</w:t>
      </w:r>
      <w:r>
        <w:rPr>
          <w:rFonts w:hint="eastAsia" w:ascii="宋体" w:hAnsi="宋体" w:eastAsia="宋体" w:cs="宋体"/>
          <w:color w:val="auto"/>
          <w:sz w:val="21"/>
          <w:szCs w:val="21"/>
          <w:highlight w:val="none"/>
          <w:u w:val="single"/>
        </w:rPr>
        <w:t xml:space="preserve">       项目         标段</w:t>
      </w:r>
      <w:r>
        <w:rPr>
          <w:rFonts w:hint="eastAsia" w:ascii="宋体" w:hAnsi="宋体" w:eastAsia="宋体" w:cs="宋体"/>
          <w:color w:val="auto"/>
          <w:sz w:val="21"/>
          <w:szCs w:val="21"/>
          <w:highlight w:val="none"/>
        </w:rPr>
        <w:t>工程，需要使用民工时，将保证做到：</w:t>
      </w:r>
    </w:p>
    <w:p w14:paraId="48D1186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1、按照《劳动法》规定雇佣和使用民工，工资将直接发放给民工本人，严禁发放给“包工头”。</w:t>
      </w:r>
    </w:p>
    <w:p w14:paraId="7ABB221E">
      <w:pPr>
        <w:numPr>
          <w:ilvl w:val="255"/>
          <w:numId w:val="0"/>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2、我公司雇佣民工的，将按照第1条规定签订劳动合同，并负责督促其按照合同规定及时结付民工工资。如因我公司未按合同约定与民工结清工程款，致使后者拖欠民工工资的，将由我公司先行垫付欠款。</w:t>
      </w:r>
    </w:p>
    <w:p w14:paraId="3F018D1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3、如果发生违反规定拖欠或克扣民工工资行为，造成民工上访，本公司愿意接受发包人依照有关规定作出的处罚。</w:t>
      </w:r>
    </w:p>
    <w:p w14:paraId="024E231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4、本公司同意：在合同执行期间发包人可视我公司对民工工资支付情况，上报履约考核。</w:t>
      </w:r>
    </w:p>
    <w:p w14:paraId="36D12CF1">
      <w:pPr>
        <w:pStyle w:val="20"/>
        <w:rPr>
          <w:rFonts w:hint="eastAsia" w:ascii="宋体" w:hAnsi="宋体" w:eastAsia="宋体" w:cs="宋体"/>
          <w:color w:val="auto"/>
          <w:sz w:val="21"/>
          <w:szCs w:val="21"/>
          <w:highlight w:val="none"/>
        </w:rPr>
      </w:pPr>
    </w:p>
    <w:p w14:paraId="145B55E6">
      <w:pPr>
        <w:topLinePunct/>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投标人(盖单位公章)：</w:t>
      </w:r>
    </w:p>
    <w:p w14:paraId="401C45AE">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签字或盖章</w:t>
      </w:r>
      <w:r>
        <w:rPr>
          <w:rFonts w:hint="eastAsia" w:ascii="宋体" w:hAnsi="宋体" w:eastAsia="宋体" w:cs="宋体"/>
          <w:color w:val="auto"/>
          <w:sz w:val="21"/>
          <w:szCs w:val="21"/>
          <w:highlight w:val="none"/>
        </w:rPr>
        <w:t>）：</w:t>
      </w:r>
    </w:p>
    <w:p w14:paraId="492FA2A0">
      <w:pPr>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6D675F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46296AE">
      <w:pPr>
        <w:keepNext/>
        <w:keepLines/>
        <w:snapToGrid w:val="0"/>
        <w:spacing w:line="360" w:lineRule="auto"/>
        <w:jc w:val="center"/>
        <w:outlineLvl w:val="2"/>
        <w:rPr>
          <w:rFonts w:hint="eastAsia" w:ascii="宋体" w:hAnsi="宋体" w:eastAsia="宋体" w:cs="宋体"/>
          <w:b/>
          <w:bCs/>
          <w:color w:val="auto"/>
          <w:w w:val="99"/>
          <w:kern w:val="0"/>
          <w:sz w:val="28"/>
          <w:szCs w:val="28"/>
          <w:highlight w:val="none"/>
        </w:rPr>
      </w:pPr>
      <w:r>
        <w:rPr>
          <w:rFonts w:hint="eastAsia" w:ascii="宋体" w:hAnsi="宋体" w:eastAsia="宋体" w:cs="宋体"/>
          <w:b/>
          <w:bCs/>
          <w:color w:val="auto"/>
          <w:w w:val="99"/>
          <w:kern w:val="0"/>
          <w:sz w:val="28"/>
          <w:szCs w:val="28"/>
          <w:highlight w:val="none"/>
        </w:rPr>
        <w:t>3、同意代偿债务承诺函</w:t>
      </w:r>
    </w:p>
    <w:p w14:paraId="2145A1C5">
      <w:pPr>
        <w:keepNext/>
        <w:keepLines/>
        <w:snapToGrid w:val="0"/>
        <w:spacing w:line="360" w:lineRule="auto"/>
        <w:jc w:val="center"/>
        <w:outlineLvl w:val="2"/>
        <w:rPr>
          <w:rFonts w:hint="eastAsia" w:ascii="宋体" w:hAnsi="宋体" w:eastAsia="宋体" w:cs="宋体"/>
          <w:b/>
          <w:bCs/>
          <w:color w:val="auto"/>
          <w:w w:val="99"/>
          <w:kern w:val="0"/>
          <w:sz w:val="24"/>
          <w:szCs w:val="24"/>
          <w:highlight w:val="none"/>
        </w:rPr>
      </w:pPr>
    </w:p>
    <w:p w14:paraId="2A910442">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5"/>
          <w:sz w:val="21"/>
          <w:szCs w:val="21"/>
          <w:highlight w:val="none"/>
          <w:u w:val="single"/>
        </w:rPr>
        <w:t xml:space="preserve">（招标人名称）  </w:t>
      </w:r>
    </w:p>
    <w:p w14:paraId="3CE2C675">
      <w:pPr>
        <w:autoSpaceDE w:val="0"/>
        <w:autoSpaceDN w:val="0"/>
        <w:spacing w:line="360" w:lineRule="auto"/>
        <w:ind w:firstLine="48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我方参加了</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项目</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标段施工投标，若我方中标，我方在此承诺：</w:t>
      </w:r>
    </w:p>
    <w:p w14:paraId="284EF2D9">
      <w:pPr>
        <w:autoSpaceDE w:val="0"/>
        <w:autoSpaceDN w:val="0"/>
        <w:spacing w:line="360" w:lineRule="auto"/>
        <w:ind w:firstLine="48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我方对我方的分包人和劳务分包人因实施本合同工程而产生的债务偿还承担连带责任，此类债务包括拖欠的人工工资、材料款、设备租赁款。我方负责督促、协调分包人和劳务分包人及时偿还债务。</w:t>
      </w:r>
    </w:p>
    <w:p w14:paraId="039DC8AA">
      <w:pPr>
        <w:autoSpaceDE w:val="0"/>
        <w:autoSpaceDN w:val="0"/>
        <w:spacing w:line="360" w:lineRule="auto"/>
        <w:ind w:firstLine="48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若由于上述债务纠纷引发上访事件，我方接到发包人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14:paraId="59E42160">
      <w:pPr>
        <w:autoSpaceDE w:val="0"/>
        <w:autoSpaceDN w:val="0"/>
        <w:spacing w:line="360" w:lineRule="auto"/>
        <w:ind w:firstLine="480"/>
        <w:jc w:val="left"/>
        <w:rPr>
          <w:rFonts w:hint="eastAsia" w:ascii="宋体" w:hAnsi="宋体" w:eastAsia="宋体" w:cs="宋体"/>
          <w:color w:val="auto"/>
          <w:kern w:val="0"/>
          <w:sz w:val="21"/>
          <w:szCs w:val="21"/>
          <w:highlight w:val="none"/>
        </w:rPr>
      </w:pPr>
    </w:p>
    <w:p w14:paraId="7D32FD13">
      <w:pPr>
        <w:autoSpaceDE w:val="0"/>
        <w:autoSpaceDN w:val="0"/>
        <w:spacing w:line="360" w:lineRule="auto"/>
        <w:ind w:firstLine="480"/>
        <w:jc w:val="left"/>
        <w:rPr>
          <w:rFonts w:hint="eastAsia" w:ascii="宋体" w:hAnsi="宋体" w:eastAsia="宋体" w:cs="宋体"/>
          <w:color w:val="auto"/>
          <w:kern w:val="0"/>
          <w:sz w:val="21"/>
          <w:szCs w:val="21"/>
          <w:highlight w:val="none"/>
        </w:rPr>
      </w:pPr>
    </w:p>
    <w:p w14:paraId="613A6361">
      <w:pPr>
        <w:autoSpaceDE w:val="0"/>
        <w:autoSpaceDN w:val="0"/>
        <w:spacing w:line="360" w:lineRule="auto"/>
        <w:ind w:firstLine="480"/>
        <w:jc w:val="left"/>
        <w:rPr>
          <w:rFonts w:hint="eastAsia" w:ascii="宋体" w:hAnsi="宋体" w:eastAsia="宋体" w:cs="宋体"/>
          <w:color w:val="auto"/>
          <w:kern w:val="0"/>
          <w:sz w:val="21"/>
          <w:szCs w:val="21"/>
          <w:highlight w:val="none"/>
        </w:rPr>
      </w:pPr>
    </w:p>
    <w:p w14:paraId="342BFCA8">
      <w:pPr>
        <w:topLinePunct/>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投标人(盖单位公章)：</w:t>
      </w:r>
    </w:p>
    <w:p w14:paraId="6B0DA229">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签字或盖章</w:t>
      </w:r>
      <w:r>
        <w:rPr>
          <w:rFonts w:hint="eastAsia" w:ascii="宋体" w:hAnsi="宋体" w:eastAsia="宋体" w:cs="宋体"/>
          <w:color w:val="auto"/>
          <w:sz w:val="21"/>
          <w:szCs w:val="21"/>
          <w:highlight w:val="none"/>
        </w:rPr>
        <w:t>）：</w:t>
      </w:r>
    </w:p>
    <w:p w14:paraId="43A7C58A">
      <w:pPr>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4264770F">
      <w:pPr>
        <w:jc w:val="center"/>
        <w:outlineLvl w:val="2"/>
        <w:rPr>
          <w:rFonts w:hint="eastAsia" w:ascii="宋体" w:hAnsi="宋体" w:eastAsia="宋体" w:cs="宋体"/>
          <w:b/>
          <w:bCs/>
          <w:color w:val="auto"/>
          <w:sz w:val="30"/>
          <w:szCs w:val="30"/>
          <w:highlight w:val="none"/>
        </w:rPr>
      </w:pPr>
    </w:p>
    <w:p w14:paraId="46365535">
      <w:pPr>
        <w:jc w:val="center"/>
        <w:outlineLvl w:val="2"/>
        <w:rPr>
          <w:rFonts w:hint="eastAsia" w:ascii="宋体" w:hAnsi="宋体" w:eastAsia="宋体" w:cs="宋体"/>
          <w:b/>
          <w:bCs/>
          <w:color w:val="auto"/>
          <w:sz w:val="30"/>
          <w:szCs w:val="30"/>
          <w:highlight w:val="none"/>
        </w:rPr>
      </w:pPr>
    </w:p>
    <w:p w14:paraId="7537F51E">
      <w:pPr>
        <w:pStyle w:val="20"/>
        <w:rPr>
          <w:rFonts w:hint="eastAsia" w:ascii="宋体" w:hAnsi="宋体" w:eastAsia="宋体" w:cs="宋体"/>
          <w:color w:val="auto"/>
          <w:highlight w:val="none"/>
        </w:rPr>
      </w:pPr>
    </w:p>
    <w:p w14:paraId="03B5A26A">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C705391">
      <w:pPr>
        <w:keepNext/>
        <w:keepLines/>
        <w:snapToGrid w:val="0"/>
        <w:spacing w:line="360" w:lineRule="auto"/>
        <w:jc w:val="center"/>
        <w:outlineLvl w:val="2"/>
        <w:rPr>
          <w:rFonts w:hint="eastAsia" w:ascii="宋体" w:hAnsi="宋体" w:eastAsia="宋体" w:cs="宋体"/>
          <w:b/>
          <w:bCs/>
          <w:color w:val="auto"/>
          <w:w w:val="99"/>
          <w:kern w:val="0"/>
          <w:sz w:val="28"/>
          <w:szCs w:val="28"/>
          <w:highlight w:val="none"/>
          <w:lang w:val="en-US" w:eastAsia="zh-CN"/>
        </w:rPr>
      </w:pPr>
      <w:r>
        <w:rPr>
          <w:rFonts w:hint="eastAsia" w:ascii="宋体" w:hAnsi="宋体" w:eastAsia="宋体" w:cs="宋体"/>
          <w:b/>
          <w:bCs/>
          <w:color w:val="auto"/>
          <w:w w:val="99"/>
          <w:kern w:val="0"/>
          <w:sz w:val="28"/>
          <w:szCs w:val="28"/>
          <w:highlight w:val="none"/>
        </w:rPr>
        <w:t>4、</w:t>
      </w:r>
      <w:r>
        <w:rPr>
          <w:rFonts w:hint="eastAsia" w:ascii="宋体" w:hAnsi="宋体" w:eastAsia="宋体" w:cs="宋体"/>
          <w:b/>
          <w:bCs/>
          <w:color w:val="auto"/>
          <w:w w:val="99"/>
          <w:kern w:val="0"/>
          <w:sz w:val="28"/>
          <w:szCs w:val="28"/>
          <w:highlight w:val="none"/>
          <w:lang w:val="en-US" w:eastAsia="zh-CN"/>
        </w:rPr>
        <w:t>材料真实性承诺</w:t>
      </w:r>
    </w:p>
    <w:p w14:paraId="428C7404">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南通市港航事业发展中心</w:t>
      </w:r>
    </w:p>
    <w:p w14:paraId="70C2AA8A">
      <w:pPr>
        <w:spacing w:line="360" w:lineRule="auto"/>
        <w:ind w:firstLine="420" w:firstLineChars="200"/>
        <w:rPr>
          <w:rFonts w:hint="eastAsia" w:ascii="宋体" w:hAnsi="宋体" w:eastAsia="宋体" w:cs="宋体"/>
          <w:color w:val="auto"/>
          <w:sz w:val="21"/>
          <w:szCs w:val="21"/>
          <w:highlight w:val="none"/>
        </w:rPr>
      </w:pPr>
    </w:p>
    <w:p w14:paraId="32B5306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本人郑重承诺：</w:t>
      </w:r>
    </w:p>
    <w:p w14:paraId="1B9DDC1A">
      <w:pPr>
        <w:spacing w:line="360" w:lineRule="auto"/>
        <w:ind w:firstLine="315" w:firstLineChars="150"/>
        <w:rPr>
          <w:rFonts w:hint="eastAsia" w:ascii="宋体" w:hAnsi="宋体" w:eastAsia="宋体" w:cs="宋体"/>
          <w:color w:val="auto"/>
          <w:sz w:val="21"/>
          <w:szCs w:val="21"/>
          <w:highlight w:val="none"/>
        </w:rPr>
      </w:pPr>
    </w:p>
    <w:p w14:paraId="04EF9C78">
      <w:pPr>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本企业此次参加</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rPr>
        <w:t>投标所提交的所有资料都是真实的。如有虚假，本企业愿意接受招标人作出的取消投标、中标资格的决定，同时愿意接受相关行政主管部门依法作出的其它处罚诀定。</w:t>
      </w:r>
    </w:p>
    <w:p w14:paraId="5E5067C4">
      <w:pPr>
        <w:spacing w:line="360" w:lineRule="auto"/>
        <w:jc w:val="center"/>
        <w:rPr>
          <w:rFonts w:hint="eastAsia" w:ascii="宋体" w:hAnsi="宋体" w:eastAsia="宋体" w:cs="宋体"/>
          <w:color w:val="auto"/>
          <w:sz w:val="21"/>
          <w:szCs w:val="21"/>
          <w:highlight w:val="none"/>
        </w:rPr>
      </w:pPr>
    </w:p>
    <w:p w14:paraId="76252CFB">
      <w:pPr>
        <w:spacing w:line="360" w:lineRule="auto"/>
        <w:rPr>
          <w:rFonts w:hint="eastAsia" w:ascii="宋体" w:hAnsi="宋体" w:eastAsia="宋体" w:cs="宋体"/>
          <w:color w:val="auto"/>
          <w:sz w:val="21"/>
          <w:szCs w:val="21"/>
          <w:highlight w:val="none"/>
        </w:rPr>
      </w:pPr>
    </w:p>
    <w:p w14:paraId="18C1C509">
      <w:pPr>
        <w:spacing w:line="360" w:lineRule="auto"/>
        <w:rPr>
          <w:rFonts w:hint="eastAsia" w:ascii="宋体" w:hAnsi="宋体" w:eastAsia="宋体" w:cs="宋体"/>
          <w:color w:val="auto"/>
          <w:sz w:val="21"/>
          <w:szCs w:val="21"/>
          <w:highlight w:val="none"/>
        </w:rPr>
      </w:pPr>
    </w:p>
    <w:p w14:paraId="1F27E215">
      <w:pPr>
        <w:spacing w:line="360" w:lineRule="auto"/>
        <w:rPr>
          <w:rFonts w:hint="eastAsia" w:ascii="宋体" w:hAnsi="宋体" w:eastAsia="宋体" w:cs="宋体"/>
          <w:color w:val="auto"/>
          <w:sz w:val="21"/>
          <w:szCs w:val="21"/>
          <w:highlight w:val="none"/>
        </w:rPr>
      </w:pPr>
    </w:p>
    <w:p w14:paraId="45A1AF65">
      <w:pPr>
        <w:spacing w:line="360" w:lineRule="auto"/>
        <w:rPr>
          <w:rFonts w:hint="eastAsia" w:ascii="宋体" w:hAnsi="宋体" w:eastAsia="宋体" w:cs="宋体"/>
          <w:color w:val="auto"/>
          <w:sz w:val="21"/>
          <w:szCs w:val="21"/>
          <w:highlight w:val="none"/>
        </w:rPr>
      </w:pPr>
    </w:p>
    <w:p w14:paraId="13152914">
      <w:pPr>
        <w:snapToGrid w:val="0"/>
        <w:spacing w:line="360" w:lineRule="auto"/>
        <w:ind w:firstLine="3794" w:firstLineChars="180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承诺人：</w:t>
      </w:r>
      <w:r>
        <w:rPr>
          <w:rFonts w:hint="eastAsia" w:ascii="宋体" w:hAnsi="宋体" w:eastAsia="宋体" w:cs="宋体"/>
          <w:color w:val="auto"/>
          <w:sz w:val="21"/>
          <w:szCs w:val="21"/>
          <w:highlight w:val="none"/>
          <w:u w:val="single"/>
        </w:rPr>
        <w:t xml:space="preserve">         （盖单位公章）    </w:t>
      </w:r>
    </w:p>
    <w:p w14:paraId="1ED80CCB">
      <w:pPr>
        <w:snapToGrid w:val="0"/>
        <w:spacing w:line="360" w:lineRule="auto"/>
        <w:ind w:firstLine="3794" w:firstLineChars="180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承诺人法定代表人：</w:t>
      </w:r>
      <w:r>
        <w:rPr>
          <w:rFonts w:hint="eastAsia" w:ascii="宋体" w:hAnsi="宋体" w:eastAsia="宋体" w:cs="宋体"/>
          <w:color w:val="auto"/>
          <w:sz w:val="21"/>
          <w:szCs w:val="21"/>
          <w:highlight w:val="none"/>
          <w:u w:val="single"/>
        </w:rPr>
        <w:t xml:space="preserve">（亲笔签名或使用印章）  </w:t>
      </w:r>
    </w:p>
    <w:p w14:paraId="2740B971">
      <w:pPr>
        <w:spacing w:line="440" w:lineRule="exact"/>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8327D81">
      <w:pPr>
        <w:spacing w:line="360" w:lineRule="auto"/>
        <w:jc w:val="left"/>
        <w:rPr>
          <w:rFonts w:hint="eastAsia" w:ascii="宋体" w:hAnsi="宋体" w:eastAsia="宋体" w:cs="宋体"/>
          <w:color w:val="auto"/>
          <w:sz w:val="21"/>
          <w:szCs w:val="21"/>
          <w:highlight w:val="none"/>
        </w:rPr>
      </w:pPr>
    </w:p>
    <w:p w14:paraId="6A591BCD">
      <w:pPr>
        <w:spacing w:line="300" w:lineRule="exact"/>
        <w:rPr>
          <w:rFonts w:hint="eastAsia" w:ascii="宋体" w:hAnsi="宋体" w:eastAsia="宋体" w:cs="宋体"/>
          <w:b/>
          <w:bCs/>
          <w:color w:val="auto"/>
          <w:highlight w:val="none"/>
        </w:rPr>
      </w:pPr>
    </w:p>
    <w:p w14:paraId="7095A687">
      <w:pPr>
        <w:pStyle w:val="21"/>
        <w:spacing w:before="120" w:beforeLines="50" w:afterLines="50"/>
        <w:ind w:left="0" w:leftChars="0"/>
        <w:jc w:val="center"/>
        <w:rPr>
          <w:rFonts w:hint="eastAsia" w:ascii="宋体" w:hAnsi="宋体" w:eastAsia="宋体" w:cs="宋体"/>
          <w:color w:val="auto"/>
          <w:sz w:val="36"/>
          <w:szCs w:val="36"/>
          <w:highlight w:val="none"/>
        </w:rPr>
      </w:pPr>
    </w:p>
    <w:p w14:paraId="3D18AC64">
      <w:pPr>
        <w:widowControl/>
        <w:jc w:val="left"/>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62EDF7B7">
      <w:pPr>
        <w:keepNext/>
        <w:keepLines/>
        <w:snapToGrid w:val="0"/>
        <w:spacing w:line="360" w:lineRule="auto"/>
        <w:jc w:val="center"/>
        <w:outlineLvl w:val="2"/>
        <w:rPr>
          <w:rFonts w:hint="eastAsia" w:ascii="宋体" w:hAnsi="宋体" w:eastAsia="宋体" w:cs="宋体"/>
          <w:b/>
          <w:bCs/>
          <w:color w:val="auto"/>
          <w:w w:val="99"/>
          <w:kern w:val="0"/>
          <w:sz w:val="28"/>
          <w:szCs w:val="28"/>
          <w:highlight w:val="none"/>
        </w:rPr>
      </w:pPr>
      <w:r>
        <w:rPr>
          <w:rFonts w:hint="eastAsia" w:ascii="宋体" w:hAnsi="宋体" w:eastAsia="宋体" w:cs="宋体"/>
          <w:b/>
          <w:bCs/>
          <w:color w:val="auto"/>
          <w:w w:val="99"/>
          <w:kern w:val="0"/>
          <w:sz w:val="28"/>
          <w:szCs w:val="28"/>
          <w:highlight w:val="none"/>
        </w:rPr>
        <w:t>6、投标人认为应提供的其他材料</w:t>
      </w:r>
    </w:p>
    <w:bookmarkEnd w:id="113"/>
    <w:p w14:paraId="69B878A6">
      <w:pPr>
        <w:rPr>
          <w:rFonts w:hint="eastAsia" w:ascii="宋体" w:hAnsi="宋体" w:eastAsia="宋体" w:cs="宋体"/>
          <w:color w:val="auto"/>
          <w:highlight w:val="none"/>
        </w:rPr>
        <w:sectPr>
          <w:type w:val="continuous"/>
          <w:pgSz w:w="11905" w:h="16838"/>
          <w:pgMar w:top="1077" w:right="1134" w:bottom="1077" w:left="1134" w:header="850" w:footer="992" w:gutter="0"/>
          <w:cols w:space="0" w:num="1"/>
          <w:docGrid w:linePitch="312" w:charSpace="0"/>
        </w:sectPr>
      </w:pPr>
    </w:p>
    <w:p w14:paraId="55C829BD">
      <w:pPr>
        <w:widowControl/>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1FE8BC9C">
      <w:pPr>
        <w:spacing w:line="360" w:lineRule="auto"/>
        <w:rPr>
          <w:rFonts w:hint="eastAsia" w:ascii="宋体" w:hAnsi="宋体" w:eastAsia="宋体" w:cs="宋体"/>
          <w:b/>
          <w:bCs/>
          <w:color w:val="auto"/>
          <w:sz w:val="32"/>
          <w:highlight w:val="none"/>
          <w:u w:val="single"/>
        </w:rPr>
      </w:pPr>
      <w:r>
        <w:rPr>
          <w:rFonts w:hint="eastAsia" w:ascii="宋体" w:hAnsi="宋体" w:eastAsia="宋体" w:cs="宋体"/>
          <w:b/>
          <w:bCs/>
          <w:color w:val="auto"/>
          <w:sz w:val="32"/>
          <w:highlight w:val="none"/>
          <w:u w:val="single"/>
        </w:rPr>
        <w:t>（第二信封 报价文件格式）</w:t>
      </w:r>
    </w:p>
    <w:p w14:paraId="29591BAD">
      <w:pPr>
        <w:autoSpaceDE w:val="0"/>
        <w:autoSpaceDN w:val="0"/>
        <w:adjustRightInd w:val="0"/>
        <w:snapToGrid w:val="0"/>
        <w:jc w:val="left"/>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封面格式</w:t>
      </w:r>
    </w:p>
    <w:p w14:paraId="0A01C0AA">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7B14B766">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766234B9">
      <w:pPr>
        <w:autoSpaceDE w:val="0"/>
        <w:autoSpaceDN w:val="0"/>
        <w:adjustRightInd w:val="0"/>
        <w:snapToGrid w:val="0"/>
        <w:spacing w:line="360" w:lineRule="auto"/>
        <w:jc w:val="center"/>
        <w:rPr>
          <w:rFonts w:hint="eastAsia" w:ascii="宋体" w:hAnsi="宋体" w:eastAsia="宋体" w:cs="宋体"/>
          <w:b/>
          <w:color w:val="auto"/>
          <w:w w:val="99"/>
          <w:kern w:val="0"/>
          <w:sz w:val="44"/>
          <w:szCs w:val="44"/>
          <w:highlight w:val="none"/>
          <w:lang w:eastAsia="zh-CN"/>
        </w:rPr>
      </w:pPr>
      <w:r>
        <w:rPr>
          <w:rFonts w:hint="eastAsia" w:ascii="宋体" w:hAnsi="宋体" w:eastAsia="宋体" w:cs="宋体"/>
          <w:b/>
          <w:color w:val="auto"/>
          <w:w w:val="99"/>
          <w:kern w:val="0"/>
          <w:sz w:val="44"/>
          <w:szCs w:val="44"/>
          <w:highlight w:val="none"/>
          <w:lang w:eastAsia="zh-CN"/>
        </w:rPr>
        <w:t>如皋辖区航标设施及基础维护工程</w:t>
      </w:r>
    </w:p>
    <w:p w14:paraId="1AB7DF36">
      <w:pPr>
        <w:autoSpaceDE w:val="0"/>
        <w:autoSpaceDN w:val="0"/>
        <w:adjustRightInd w:val="0"/>
        <w:snapToGrid w:val="0"/>
        <w:jc w:val="center"/>
        <w:rPr>
          <w:rFonts w:hint="eastAsia" w:ascii="宋体" w:hAnsi="宋体" w:eastAsia="宋体" w:cs="宋体"/>
          <w:color w:val="auto"/>
          <w:kern w:val="0"/>
          <w:sz w:val="24"/>
          <w:highlight w:val="none"/>
        </w:rPr>
      </w:pPr>
    </w:p>
    <w:p w14:paraId="5232BAAF">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787C9231">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7945324D">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359A01C1">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12054886">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7EEA5448">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1B97598C">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6FD22C6B">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37B0CDCC">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15AB2F6C">
      <w:pPr>
        <w:autoSpaceDE w:val="0"/>
        <w:autoSpaceDN w:val="0"/>
        <w:adjustRightInd w:val="0"/>
        <w:spacing w:before="15" w:line="240" w:lineRule="exact"/>
        <w:jc w:val="left"/>
        <w:rPr>
          <w:rFonts w:hint="eastAsia" w:ascii="宋体" w:hAnsi="宋体" w:eastAsia="宋体" w:cs="宋体"/>
          <w:color w:val="auto"/>
          <w:kern w:val="0"/>
          <w:sz w:val="24"/>
          <w:highlight w:val="none"/>
        </w:rPr>
      </w:pPr>
    </w:p>
    <w:p w14:paraId="2834698D">
      <w:pPr>
        <w:tabs>
          <w:tab w:val="left" w:pos="3600"/>
          <w:tab w:val="left" w:pos="4480"/>
          <w:tab w:val="left" w:pos="5360"/>
        </w:tabs>
        <w:autoSpaceDE w:val="0"/>
        <w:autoSpaceDN w:val="0"/>
        <w:adjustRightInd w:val="0"/>
        <w:ind w:left="142" w:right="-20"/>
        <w:jc w:val="center"/>
        <w:rPr>
          <w:rFonts w:hint="eastAsia" w:ascii="宋体" w:hAnsi="宋体" w:eastAsia="宋体" w:cs="宋体"/>
          <w:b/>
          <w:color w:val="auto"/>
          <w:kern w:val="0"/>
          <w:sz w:val="96"/>
          <w:szCs w:val="72"/>
          <w:highlight w:val="none"/>
        </w:rPr>
      </w:pPr>
      <w:r>
        <w:rPr>
          <w:rFonts w:hint="eastAsia" w:ascii="宋体" w:hAnsi="宋体" w:eastAsia="宋体" w:cs="宋体"/>
          <w:b/>
          <w:color w:val="auto"/>
          <w:kern w:val="0"/>
          <w:sz w:val="96"/>
          <w:szCs w:val="72"/>
          <w:highlight w:val="none"/>
        </w:rPr>
        <w:t>投标文件</w:t>
      </w:r>
    </w:p>
    <w:p w14:paraId="4CC2DB1A">
      <w:pPr>
        <w:pStyle w:val="4"/>
        <w:snapToGrid w:val="0"/>
        <w:spacing w:before="0" w:after="0" w:line="360" w:lineRule="auto"/>
        <w:jc w:val="center"/>
        <w:rPr>
          <w:rFonts w:hint="eastAsia" w:ascii="宋体" w:hAnsi="宋体" w:eastAsia="宋体" w:cs="宋体"/>
          <w:color w:val="auto"/>
          <w:w w:val="99"/>
          <w:kern w:val="0"/>
          <w:highlight w:val="none"/>
        </w:rPr>
      </w:pPr>
      <w:bookmarkStart w:id="137" w:name="_Toc287272889"/>
      <w:bookmarkStart w:id="138" w:name="_Toc399835178"/>
      <w:bookmarkStart w:id="139" w:name="_Toc348945942"/>
      <w:bookmarkStart w:id="140" w:name="_Toc7589"/>
      <w:bookmarkStart w:id="141" w:name="_Toc401319716"/>
      <w:bookmarkStart w:id="142" w:name="_Toc271904340"/>
      <w:r>
        <w:rPr>
          <w:rFonts w:hint="eastAsia" w:ascii="宋体" w:hAnsi="宋体" w:eastAsia="宋体" w:cs="宋体"/>
          <w:color w:val="auto"/>
          <w:w w:val="99"/>
          <w:kern w:val="0"/>
          <w:highlight w:val="none"/>
        </w:rPr>
        <w:t xml:space="preserve">第二信封  </w:t>
      </w:r>
      <w:bookmarkEnd w:id="137"/>
      <w:bookmarkEnd w:id="138"/>
      <w:bookmarkEnd w:id="139"/>
      <w:bookmarkEnd w:id="140"/>
      <w:bookmarkEnd w:id="141"/>
      <w:bookmarkEnd w:id="142"/>
      <w:r>
        <w:rPr>
          <w:rFonts w:hint="eastAsia" w:ascii="宋体" w:hAnsi="宋体" w:eastAsia="宋体" w:cs="宋体"/>
          <w:color w:val="auto"/>
          <w:w w:val="99"/>
          <w:kern w:val="0"/>
          <w:highlight w:val="none"/>
        </w:rPr>
        <w:t>报价文件</w:t>
      </w:r>
    </w:p>
    <w:p w14:paraId="003E6898">
      <w:pPr>
        <w:autoSpaceDE w:val="0"/>
        <w:autoSpaceDN w:val="0"/>
        <w:adjustRightInd w:val="0"/>
        <w:spacing w:before="5" w:line="160" w:lineRule="exact"/>
        <w:jc w:val="left"/>
        <w:rPr>
          <w:rFonts w:hint="eastAsia" w:ascii="宋体" w:hAnsi="宋体" w:eastAsia="宋体" w:cs="宋体"/>
          <w:color w:val="auto"/>
          <w:kern w:val="0"/>
          <w:sz w:val="16"/>
          <w:szCs w:val="16"/>
          <w:highlight w:val="none"/>
        </w:rPr>
      </w:pPr>
    </w:p>
    <w:p w14:paraId="3F4EFA3E">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409D4E51">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6E76E603">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41074B76">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61CF38E1">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7E073662">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5550D21A">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02E26E5E">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118A2456">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7E41CE31">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18E4B222">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676EA09D">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1B8360E0">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32572D2D">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065EA60E">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40F0D207">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2EF926A7">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6B6E3C28">
      <w:pPr>
        <w:autoSpaceDE w:val="0"/>
        <w:autoSpaceDN w:val="0"/>
        <w:adjustRightInd w:val="0"/>
        <w:spacing w:line="200" w:lineRule="exact"/>
        <w:jc w:val="left"/>
        <w:rPr>
          <w:rFonts w:hint="eastAsia" w:ascii="宋体" w:hAnsi="宋体" w:eastAsia="宋体" w:cs="宋体"/>
          <w:color w:val="auto"/>
          <w:kern w:val="0"/>
          <w:sz w:val="20"/>
          <w:szCs w:val="20"/>
          <w:highlight w:val="none"/>
        </w:rPr>
      </w:pPr>
    </w:p>
    <w:p w14:paraId="02C1656D">
      <w:pPr>
        <w:tabs>
          <w:tab w:val="left" w:pos="6080"/>
          <w:tab w:val="left" w:pos="6640"/>
        </w:tabs>
        <w:autoSpaceDE w:val="0"/>
        <w:autoSpaceDN w:val="0"/>
        <w:adjustRightInd w:val="0"/>
        <w:spacing w:line="402" w:lineRule="auto"/>
        <w:ind w:right="403" w:firstLine="831" w:firstLineChars="300"/>
        <w:jc w:val="left"/>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kern w:val="0"/>
          <w:sz w:val="28"/>
          <w:szCs w:val="28"/>
          <w:highlight w:val="none"/>
          <w:u w:val="single"/>
        </w:rPr>
        <w:tab/>
      </w:r>
      <w:r>
        <w:rPr>
          <w:rFonts w:hint="eastAsia" w:ascii="宋体" w:hAnsi="宋体" w:eastAsia="宋体" w:cs="宋体"/>
          <w:color w:val="auto"/>
          <w:kern w:val="0"/>
          <w:sz w:val="28"/>
          <w:szCs w:val="28"/>
          <w:highlight w:val="none"/>
        </w:rPr>
        <w:t>（盖单位章）</w:t>
      </w:r>
    </w:p>
    <w:p w14:paraId="07A8D95B">
      <w:pPr>
        <w:tabs>
          <w:tab w:val="left" w:pos="6080"/>
          <w:tab w:val="left" w:pos="6640"/>
        </w:tabs>
        <w:autoSpaceDE w:val="0"/>
        <w:autoSpaceDN w:val="0"/>
        <w:adjustRightInd w:val="0"/>
        <w:spacing w:line="402" w:lineRule="auto"/>
        <w:ind w:right="-58" w:firstLine="840" w:firstLineChars="300"/>
        <w:jc w:val="left"/>
        <w:rPr>
          <w:rFonts w:hint="eastAsia" w:ascii="宋体" w:hAnsi="宋体" w:eastAsia="宋体" w:cs="宋体"/>
          <w:color w:val="auto"/>
          <w:w w:val="99"/>
          <w:kern w:val="0"/>
          <w:sz w:val="28"/>
          <w:szCs w:val="28"/>
          <w:highlight w:val="none"/>
        </w:rPr>
      </w:pPr>
      <w:r>
        <w:rPr>
          <w:rFonts w:hint="eastAsia" w:ascii="宋体" w:hAnsi="宋体" w:eastAsia="宋体" w:cs="宋体"/>
          <w:color w:val="auto"/>
          <w:kern w:val="0"/>
          <w:sz w:val="28"/>
          <w:szCs w:val="28"/>
          <w:highlight w:val="none"/>
        </w:rPr>
        <w:t>法定</w:t>
      </w:r>
      <w:r>
        <w:rPr>
          <w:rFonts w:hint="eastAsia" w:ascii="宋体" w:hAnsi="宋体" w:eastAsia="宋体" w:cs="宋体"/>
          <w:color w:val="auto"/>
          <w:w w:val="99"/>
          <w:kern w:val="0"/>
          <w:sz w:val="28"/>
          <w:szCs w:val="28"/>
          <w:highlight w:val="none"/>
        </w:rPr>
        <w:t>代表</w:t>
      </w:r>
      <w:r>
        <w:rPr>
          <w:rFonts w:hint="eastAsia" w:ascii="宋体" w:hAnsi="宋体" w:eastAsia="宋体" w:cs="宋体"/>
          <w:color w:val="auto"/>
          <w:kern w:val="0"/>
          <w:sz w:val="28"/>
          <w:szCs w:val="28"/>
          <w:highlight w:val="none"/>
        </w:rPr>
        <w:t>人或其委托代理人：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（签字或盖章）</w:t>
      </w:r>
    </w:p>
    <w:p w14:paraId="648DF3AD">
      <w:pPr>
        <w:autoSpaceDE w:val="0"/>
        <w:autoSpaceDN w:val="0"/>
        <w:adjustRightInd w:val="0"/>
        <w:snapToGrid w:val="0"/>
        <w:ind w:firstLine="2609" w:firstLineChars="942"/>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478BB59E">
      <w:pPr>
        <w:ind w:left="100"/>
        <w:jc w:val="center"/>
        <w:rPr>
          <w:rFonts w:hint="eastAsia" w:ascii="宋体" w:hAnsi="宋体" w:eastAsia="宋体" w:cs="宋体"/>
          <w:color w:val="auto"/>
          <w:sz w:val="36"/>
          <w:highlight w:val="none"/>
        </w:rPr>
      </w:pPr>
      <w:r>
        <w:rPr>
          <w:rFonts w:hint="eastAsia" w:ascii="宋体" w:hAnsi="宋体" w:eastAsia="宋体" w:cs="宋体"/>
          <w:color w:val="auto"/>
          <w:sz w:val="36"/>
          <w:highlight w:val="none"/>
        </w:rPr>
        <w:br w:type="page"/>
      </w:r>
    </w:p>
    <w:p w14:paraId="03C5086A">
      <w:pPr>
        <w:pStyle w:val="20"/>
        <w:ind w:left="100"/>
        <w:jc w:val="center"/>
        <w:rPr>
          <w:rFonts w:hint="eastAsia" w:ascii="宋体" w:hAnsi="宋体" w:eastAsia="宋体" w:cs="宋体"/>
          <w:color w:val="auto"/>
          <w:highlight w:val="none"/>
          <w:u w:val="single"/>
        </w:rPr>
      </w:pPr>
      <w:r>
        <w:rPr>
          <w:rFonts w:hint="eastAsia" w:ascii="宋体" w:hAnsi="宋体" w:eastAsia="宋体" w:cs="宋体"/>
          <w:color w:val="auto"/>
          <w:sz w:val="36"/>
          <w:highlight w:val="none"/>
        </w:rPr>
        <w:t>一、投标函</w:t>
      </w:r>
    </w:p>
    <w:p w14:paraId="36D69429">
      <w:pPr>
        <w:pStyle w:val="20"/>
        <w:ind w:left="100"/>
        <w:rPr>
          <w:rFonts w:hint="eastAsia" w:ascii="宋体" w:hAnsi="宋体" w:eastAsia="宋体" w:cs="宋体"/>
          <w:color w:val="auto"/>
          <w:highlight w:val="none"/>
          <w:u w:val="single"/>
        </w:rPr>
      </w:pPr>
    </w:p>
    <w:p w14:paraId="718BF40A">
      <w:pPr>
        <w:pStyle w:val="20"/>
        <w:ind w:left="100"/>
        <w:rPr>
          <w:rFonts w:hint="eastAsia" w:ascii="宋体" w:hAnsi="宋体" w:eastAsia="宋体" w:cs="宋体"/>
          <w:color w:val="auto"/>
          <w:highlight w:val="none"/>
          <w:u w:val="single"/>
        </w:rPr>
      </w:pPr>
    </w:p>
    <w:p w14:paraId="113F6911">
      <w:pPr>
        <w:autoSpaceDE w:val="0"/>
        <w:autoSpaceDN w:val="0"/>
        <w:snapToGrid w:val="0"/>
        <w:spacing w:line="360" w:lineRule="auto"/>
        <w:ind w:left="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（招标人名称）：</w:t>
      </w:r>
    </w:p>
    <w:p w14:paraId="0077E561">
      <w:pPr>
        <w:pStyle w:val="203"/>
        <w:numPr>
          <w:ilvl w:val="0"/>
          <w:numId w:val="2"/>
        </w:numPr>
        <w:tabs>
          <w:tab w:val="left" w:pos="941"/>
        </w:tabs>
        <w:autoSpaceDE w:val="0"/>
        <w:autoSpaceDN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我方在仔细研究了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（项目名称）施工招标文件的全部内容（含补遗书第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号至第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号），在考察工程现场后，愿意以人民币（大写）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）的投标总报价（或根据招标文件规定修正核实后确定的另一金额），工期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日历天，按合同约定实施和完成承包工程，修补工程中的任何缺陷。</w:t>
      </w:r>
    </w:p>
    <w:p w14:paraId="0E7FCC0B">
      <w:pPr>
        <w:pStyle w:val="203"/>
        <w:tabs>
          <w:tab w:val="left" w:pos="941"/>
        </w:tabs>
        <w:autoSpaceDE w:val="0"/>
        <w:autoSpaceDN w:val="0"/>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2、在合同协议书正式签署生效之前，本投标函连同你方的中标通知书将构成我们双方之间共同遵守的文件，对双方具有约束力。</w:t>
      </w:r>
    </w:p>
    <w:p w14:paraId="6A5A1414">
      <w:pPr>
        <w:pStyle w:val="203"/>
        <w:tabs>
          <w:tab w:val="left" w:pos="941"/>
        </w:tabs>
        <w:autoSpaceDE w:val="0"/>
        <w:autoSpaceDN w:val="0"/>
        <w:snapToGrid w:val="0"/>
        <w:spacing w:line="360" w:lineRule="auto"/>
        <w:ind w:right="759"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3、（其他补充说明）。</w:t>
      </w:r>
    </w:p>
    <w:p w14:paraId="2526674C">
      <w:pPr>
        <w:pStyle w:val="20"/>
        <w:autoSpaceDE w:val="0"/>
        <w:autoSpaceDN w:val="0"/>
        <w:snapToGrid w:val="0"/>
        <w:spacing w:line="360" w:lineRule="auto"/>
        <w:rPr>
          <w:rFonts w:hint="eastAsia" w:ascii="宋体" w:hAnsi="宋体" w:eastAsia="宋体" w:cs="宋体"/>
          <w:color w:val="auto"/>
          <w:sz w:val="24"/>
          <w:szCs w:val="24"/>
          <w:highlight w:val="none"/>
        </w:rPr>
      </w:pPr>
    </w:p>
    <w:p w14:paraId="70E2CD77">
      <w:pPr>
        <w:autoSpaceDE w:val="0"/>
        <w:autoSpaceDN w:val="0"/>
        <w:snapToGrid w:val="0"/>
        <w:spacing w:line="360" w:lineRule="auto"/>
        <w:jc w:val="left"/>
        <w:rPr>
          <w:rFonts w:hint="eastAsia" w:ascii="宋体" w:hAnsi="宋体" w:eastAsia="宋体" w:cs="宋体"/>
          <w:color w:val="auto"/>
          <w:sz w:val="13"/>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（盖单位章）</w:t>
      </w:r>
    </w:p>
    <w:p w14:paraId="5CFB3BD9">
      <w:pPr>
        <w:autoSpaceDE w:val="0"/>
        <w:autoSpaceDN w:val="0"/>
        <w:snapToGrid w:val="0"/>
        <w:spacing w:line="360" w:lineRule="auto"/>
        <w:jc w:val="left"/>
        <w:rPr>
          <w:rFonts w:hint="eastAsia" w:ascii="宋体" w:hAnsi="宋体" w:eastAsia="宋体" w:cs="宋体"/>
          <w:color w:val="auto"/>
          <w:sz w:val="13"/>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（签字）</w:t>
      </w:r>
    </w:p>
    <w:p w14:paraId="51405386">
      <w:pPr>
        <w:autoSpaceDE w:val="0"/>
        <w:autoSpaceDN w:val="0"/>
        <w:snapToGrid w:val="0"/>
        <w:spacing w:line="360" w:lineRule="auto"/>
        <w:ind w:right="239"/>
        <w:rPr>
          <w:rFonts w:hint="eastAsia" w:ascii="宋体" w:hAnsi="宋体" w:eastAsia="宋体" w:cs="宋体"/>
          <w:color w:val="auto"/>
          <w:sz w:val="13"/>
          <w:highlight w:val="none"/>
        </w:rPr>
      </w:pPr>
      <w:r>
        <w:rPr>
          <w:rFonts w:hint="eastAsia" w:ascii="宋体" w:hAnsi="宋体" w:eastAsia="宋体" w:cs="宋体"/>
          <w:color w:val="auto"/>
          <w:sz w:val="24"/>
          <w:highlight w:val="none"/>
        </w:rPr>
        <w:t>地址：</w:t>
      </w:r>
    </w:p>
    <w:p w14:paraId="18332CB2">
      <w:pPr>
        <w:autoSpaceDE w:val="0"/>
        <w:autoSpaceDN w:val="0"/>
        <w:snapToGrid w:val="0"/>
        <w:spacing w:line="360" w:lineRule="auto"/>
        <w:ind w:right="239"/>
        <w:rPr>
          <w:rFonts w:hint="eastAsia" w:ascii="宋体" w:hAnsi="宋体" w:eastAsia="宋体" w:cs="宋体"/>
          <w:color w:val="auto"/>
          <w:sz w:val="13"/>
          <w:highlight w:val="none"/>
        </w:rPr>
      </w:pPr>
      <w:r>
        <w:rPr>
          <w:rFonts w:hint="eastAsia" w:ascii="宋体" w:hAnsi="宋体" w:eastAsia="宋体" w:cs="宋体"/>
          <w:color w:val="auto"/>
          <w:sz w:val="24"/>
          <w:highlight w:val="none"/>
        </w:rPr>
        <w:t>网址：</w:t>
      </w:r>
    </w:p>
    <w:p w14:paraId="51F334C9">
      <w:pPr>
        <w:autoSpaceDE w:val="0"/>
        <w:autoSpaceDN w:val="0"/>
        <w:snapToGrid w:val="0"/>
        <w:spacing w:line="360" w:lineRule="auto"/>
        <w:ind w:right="239"/>
        <w:rPr>
          <w:rFonts w:hint="eastAsia" w:ascii="宋体" w:hAnsi="宋体" w:eastAsia="宋体" w:cs="宋体"/>
          <w:color w:val="auto"/>
          <w:sz w:val="13"/>
          <w:highlight w:val="none"/>
        </w:rPr>
      </w:pPr>
      <w:r>
        <w:rPr>
          <w:rFonts w:hint="eastAsia" w:ascii="宋体" w:hAnsi="宋体" w:eastAsia="宋体" w:cs="宋体"/>
          <w:color w:val="auto"/>
          <w:sz w:val="24"/>
          <w:highlight w:val="none"/>
        </w:rPr>
        <w:t>电话：</w:t>
      </w:r>
    </w:p>
    <w:p w14:paraId="3C2578C3">
      <w:pPr>
        <w:autoSpaceDE w:val="0"/>
        <w:autoSpaceDN w:val="0"/>
        <w:snapToGrid w:val="0"/>
        <w:spacing w:line="360" w:lineRule="auto"/>
        <w:ind w:right="239"/>
        <w:rPr>
          <w:rFonts w:hint="eastAsia" w:ascii="宋体" w:hAnsi="宋体" w:eastAsia="宋体" w:cs="宋体"/>
          <w:color w:val="auto"/>
          <w:sz w:val="13"/>
          <w:highlight w:val="none"/>
        </w:rPr>
      </w:pPr>
      <w:r>
        <w:rPr>
          <w:rFonts w:hint="eastAsia" w:ascii="宋体" w:hAnsi="宋体" w:eastAsia="宋体" w:cs="宋体"/>
          <w:color w:val="auto"/>
          <w:sz w:val="24"/>
          <w:highlight w:val="none"/>
        </w:rPr>
        <w:t>传真：</w:t>
      </w:r>
    </w:p>
    <w:p w14:paraId="0EB6F8D5">
      <w:pPr>
        <w:autoSpaceDE w:val="0"/>
        <w:autoSpaceDN w:val="0"/>
        <w:snapToGrid w:val="0"/>
        <w:spacing w:line="360" w:lineRule="auto"/>
        <w:ind w:right="239"/>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p w14:paraId="63B1403D">
      <w:pPr>
        <w:spacing w:before="66"/>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日期：年月日</w:t>
      </w:r>
    </w:p>
    <w:p w14:paraId="067A390E">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F41983E">
      <w:pPr>
        <w:pStyle w:val="20"/>
        <w:jc w:val="center"/>
        <w:rPr>
          <w:rFonts w:hint="eastAsia" w:ascii="宋体" w:hAnsi="宋体" w:eastAsia="宋体" w:cs="宋体"/>
          <w:color w:val="auto"/>
          <w:highlight w:val="none"/>
        </w:rPr>
      </w:pPr>
      <w:r>
        <w:rPr>
          <w:rFonts w:hint="eastAsia" w:ascii="宋体" w:hAnsi="宋体" w:eastAsia="宋体" w:cs="宋体"/>
          <w:color w:val="auto"/>
          <w:sz w:val="36"/>
          <w:highlight w:val="none"/>
        </w:rPr>
        <w:t>二、已标价的工程量清单</w:t>
      </w:r>
    </w:p>
    <w:p w14:paraId="16A88FB8">
      <w:pPr>
        <w:pStyle w:val="157"/>
        <w:spacing w:beforeLines="0" w:line="360" w:lineRule="auto"/>
        <w:ind w:firstLine="470" w:firstLineChars="196"/>
        <w:jc w:val="both"/>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注意事项：</w:t>
      </w:r>
    </w:p>
    <w:p w14:paraId="66B6DBEE">
      <w:pPr>
        <w:pStyle w:val="157"/>
        <w:spacing w:beforeLines="0" w:line="360" w:lineRule="auto"/>
        <w:ind w:firstLine="470" w:firstLineChars="196"/>
        <w:jc w:val="both"/>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投标人应按照第五章“工程量清单”的要求逐项填报工程量清单，工程量清单应采用电子版文件打印形成，其格式与数据应与电子版文件相一致。招标人提供工程量固化清单电子文档并上传至“江苏省公路水路建设市场信用信息服务系统”，投标人可自行下载</w:t>
      </w:r>
      <w:r>
        <w:rPr>
          <w:rFonts w:hint="eastAsia" w:ascii="宋体" w:hAnsi="宋体" w:eastAsia="宋体" w:cs="宋体"/>
          <w:b w:val="0"/>
          <w:bCs w:val="0"/>
          <w:color w:val="auto"/>
          <w:sz w:val="24"/>
          <w:szCs w:val="24"/>
          <w:highlight w:val="none"/>
          <w:u w:val="single"/>
        </w:rPr>
        <w:t>（注意</w:t>
      </w:r>
      <w:r>
        <w:rPr>
          <w:rFonts w:hint="eastAsia" w:ascii="宋体" w:hAnsi="宋体" w:eastAsia="宋体" w:cs="宋体"/>
          <w:b w:val="0"/>
          <w:bCs w:val="0"/>
          <w:color w:val="auto"/>
          <w:sz w:val="24"/>
          <w:szCs w:val="24"/>
          <w:highlight w:val="none"/>
          <w:u w:val="single"/>
          <w:lang w:val="en-GB"/>
        </w:rPr>
        <w:t>以招标人最后一次上传的清单为准</w:t>
      </w:r>
      <w:r>
        <w:rPr>
          <w:rFonts w:hint="eastAsia" w:ascii="宋体" w:hAnsi="宋体" w:eastAsia="宋体" w:cs="宋体"/>
          <w:b w:val="0"/>
          <w:bCs w:val="0"/>
          <w:color w:val="auto"/>
          <w:sz w:val="24"/>
          <w:szCs w:val="24"/>
          <w:highlight w:val="none"/>
          <w:u w:val="single"/>
        </w:rPr>
        <w:t>）</w:t>
      </w:r>
      <w:r>
        <w:rPr>
          <w:rFonts w:hint="eastAsia" w:ascii="宋体" w:hAnsi="宋体" w:eastAsia="宋体" w:cs="宋体"/>
          <w:b w:val="0"/>
          <w:bCs w:val="0"/>
          <w:color w:val="auto"/>
          <w:sz w:val="24"/>
          <w:szCs w:val="24"/>
          <w:highlight w:val="none"/>
        </w:rPr>
        <w:t>，投标人只需输入单价，自动形成合价、总价。</w:t>
      </w:r>
    </w:p>
    <w:p w14:paraId="085DC1EB">
      <w:pPr>
        <w:pStyle w:val="157"/>
        <w:spacing w:beforeLines="0" w:line="360" w:lineRule="auto"/>
        <w:ind w:firstLine="472" w:firstLineChars="196"/>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2、投标人不允许修改招标人提供的工程量清单的指定价格或指定单价、编号、细目、数量、运算定义等，否则对该投标人的投标文件做否决投标处理。</w:t>
      </w:r>
    </w:p>
    <w:p w14:paraId="6AF8A839">
      <w:pPr>
        <w:pStyle w:val="157"/>
        <w:spacing w:beforeLines="0" w:line="360" w:lineRule="auto"/>
        <w:ind w:firstLine="470" w:firstLineChars="196"/>
        <w:jc w:val="both"/>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3、投标人发现工程量清单电子文档有数量和运算定义等错误时，请及时向招标人提出，在招标人未修改前，切勿自行修改。</w:t>
      </w:r>
    </w:p>
    <w:p w14:paraId="6040ED3E">
      <w:pPr>
        <w:pStyle w:val="157"/>
        <w:spacing w:beforeLines="0" w:line="360" w:lineRule="auto"/>
        <w:ind w:firstLine="472" w:firstLineChars="196"/>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4、标价的工程量应采用招标人提供的固化工程量清单填写，禁止采用报价软件自动生成打印或导出。</w:t>
      </w:r>
    </w:p>
    <w:p w14:paraId="237CC97C">
      <w:pPr>
        <w:pStyle w:val="20"/>
        <w:rPr>
          <w:rFonts w:hint="eastAsia" w:ascii="宋体" w:hAnsi="宋体" w:eastAsia="宋体" w:cs="宋体"/>
          <w:color w:val="auto"/>
          <w:highlight w:val="none"/>
        </w:rPr>
      </w:pPr>
    </w:p>
    <w:sectPr>
      <w:footerReference r:id="rId13" w:type="default"/>
      <w:type w:val="continuous"/>
      <w:pgSz w:w="11905" w:h="16838"/>
      <w:pgMar w:top="1077" w:right="1134" w:bottom="1077" w:left="1134" w:header="850"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w Cen MT">
    <w:panose1 w:val="020B0602020104020603"/>
    <w:charset w:val="00"/>
    <w:family w:val="swiss"/>
    <w:pitch w:val="default"/>
    <w:sig w:usb0="00000003" w:usb1="00000000" w:usb2="00000000" w:usb3="00000000" w:csb0="20000003"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KNLe">
    <w:altName w:val="Times New Roman"/>
    <w:panose1 w:val="00000000000000000000"/>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Noto Sans CJK JP Regular">
    <w:altName w:val="Arial"/>
    <w:panose1 w:val="00000000000000000000"/>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B9E91">
    <w:pPr>
      <w:pStyle w:val="34"/>
      <w:jc w:val="center"/>
    </w:pPr>
    <w:r>
      <w:rPr>
        <w:rStyle w:val="57"/>
      </w:rPr>
      <w:fldChar w:fldCharType="begin"/>
    </w:r>
    <w:r>
      <w:rPr>
        <w:rStyle w:val="57"/>
      </w:rPr>
      <w:instrText xml:space="preserve"> PAGE </w:instrText>
    </w:r>
    <w:r>
      <w:rPr>
        <w:rStyle w:val="57"/>
      </w:rPr>
      <w:fldChar w:fldCharType="separate"/>
    </w:r>
    <w:r>
      <w:rPr>
        <w:rStyle w:val="57"/>
      </w:rPr>
      <w:t>7</w:t>
    </w:r>
    <w:r>
      <w:rPr>
        <w:rStyle w:val="5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65B0E">
    <w:pPr>
      <w:pStyle w:val="3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959218757" name="文本框 1"/>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6350">
                        <a:noFill/>
                      </a:ln>
                      <a:effectLst/>
                    </wps:spPr>
                    <wps:txbx>
                      <w:txbxContent>
                        <w:p w14:paraId="3A72F2B3">
                          <w:pPr>
                            <w:pStyle w:val="34"/>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u8AFjRAAAAAgEAAA8AAAAAAAAAAQAgAAAAIgAAAGRycy9kb3du&#10;cmV2LnhtbFBLAQIUABQAAAAIAIdO4kDhOMqCPwIAAGkEAAAOAAAAAAAAAAEAIAAAACABAABkcnMv&#10;ZTJvRG9jLnhtbFBLBQYAAAAABgAGAFkBAADRBQAAAAA=&#10;">
              <v:fill on="f" focussize="0,0"/>
              <v:stroke on="f" weight="0.5pt"/>
              <v:imagedata o:title=""/>
              <o:lock v:ext="edit" aspectratio="f"/>
              <v:textbox inset="0mm,0mm,0mm,0mm" style="mso-fit-shape-to-text:t;">
                <w:txbxContent>
                  <w:p w14:paraId="3A72F2B3">
                    <w:pPr>
                      <w:pStyle w:val="34"/>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4B6A5">
    <w:pPr>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DDB47">
    <w:pPr>
      <w:spacing w:before="7"/>
      <w:ind w:left="2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D4563">
    <w:pPr>
      <w:pStyle w:val="3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6261B">
    <w:pPr>
      <w:pStyle w:val="3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C83B1">
    <w:pPr>
      <w:pStyle w:val="34"/>
      <w:jc w:val="center"/>
    </w:pPr>
    <w:r>
      <w:rPr>
        <w:rStyle w:val="57"/>
      </w:rPr>
      <w:fldChar w:fldCharType="begin"/>
    </w:r>
    <w:r>
      <w:rPr>
        <w:rStyle w:val="57"/>
      </w:rPr>
      <w:instrText xml:space="preserve"> PAGE </w:instrText>
    </w:r>
    <w:r>
      <w:rPr>
        <w:rStyle w:val="57"/>
      </w:rPr>
      <w:fldChar w:fldCharType="separate"/>
    </w:r>
    <w:r>
      <w:rPr>
        <w:rStyle w:val="57"/>
      </w:rPr>
      <w:t>95</w:t>
    </w:r>
    <w:r>
      <w:rPr>
        <w:rStyle w:val="57"/>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89B42">
    <w:pPr>
      <w:pStyle w:val="34"/>
      <w:jc w:val="center"/>
      <w:rPr>
        <w:lang w:val="zh-CN"/>
      </w:rPr>
    </w:pPr>
    <w:r>
      <w:fldChar w:fldCharType="begin"/>
    </w:r>
    <w:r>
      <w:instrText xml:space="preserve">PAGE   \* MERGEFORMAT</w:instrText>
    </w:r>
    <w:r>
      <w:fldChar w:fldCharType="separate"/>
    </w:r>
    <w:r>
      <w:rPr>
        <w:lang w:val="zh-CN"/>
      </w:rPr>
      <w:t>98</w:t>
    </w:r>
    <w:r>
      <w:rPr>
        <w:lang w:val="zh-CN"/>
      </w:rPr>
      <w:fldChar w:fldCharType="end"/>
    </w:r>
  </w:p>
  <w:p w14:paraId="192B9AF8">
    <w:pPr>
      <w:pStyle w:val="34"/>
      <w:jc w:val="center"/>
      <w:rPr>
        <w:lang w:val="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84B8C">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E3DF7">
    <w:pPr>
      <w:pStyle w:val="35"/>
      <w:pBdr>
        <w:bottom w:val="none" w:color="auto" w:sz="0" w:space="0"/>
      </w:pBd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CF1B8">
    <w:pPr>
      <w:pStyle w:val="3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CFB3E"/>
    <w:multiLevelType w:val="singleLevel"/>
    <w:tmpl w:val="94ECFB3E"/>
    <w:lvl w:ilvl="0" w:tentative="0">
      <w:start w:val="1"/>
      <w:numFmt w:val="decimal"/>
      <w:suff w:val="nothing"/>
      <w:lvlText w:val="%1、"/>
      <w:lvlJc w:val="left"/>
    </w:lvl>
  </w:abstractNum>
  <w:abstractNum w:abstractNumId="1">
    <w:nsid w:val="74800A27"/>
    <w:multiLevelType w:val="singleLevel"/>
    <w:tmpl w:val="74800A27"/>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hideSpellingErrors/>
  <w:documentProtection w:enforcement="0"/>
  <w:defaultTabStop w:val="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NTFmN2NlZTk0MGQ1OTkxM2M1ZDNhNDkyN2Q1NDc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4F70"/>
    <w:rsid w:val="00005598"/>
    <w:rsid w:val="00005649"/>
    <w:rsid w:val="00005CAD"/>
    <w:rsid w:val="00005DE9"/>
    <w:rsid w:val="0000617C"/>
    <w:rsid w:val="00007C20"/>
    <w:rsid w:val="00007D89"/>
    <w:rsid w:val="000100A9"/>
    <w:rsid w:val="00010E14"/>
    <w:rsid w:val="00011076"/>
    <w:rsid w:val="0001155C"/>
    <w:rsid w:val="00011644"/>
    <w:rsid w:val="00011CAB"/>
    <w:rsid w:val="00011DD3"/>
    <w:rsid w:val="00011EBE"/>
    <w:rsid w:val="00012197"/>
    <w:rsid w:val="00012AF8"/>
    <w:rsid w:val="000135AD"/>
    <w:rsid w:val="000143DD"/>
    <w:rsid w:val="00014437"/>
    <w:rsid w:val="00014C19"/>
    <w:rsid w:val="00014CA0"/>
    <w:rsid w:val="00014EDF"/>
    <w:rsid w:val="00014F88"/>
    <w:rsid w:val="00015A06"/>
    <w:rsid w:val="00015DA4"/>
    <w:rsid w:val="00016BA2"/>
    <w:rsid w:val="00017722"/>
    <w:rsid w:val="00017CD2"/>
    <w:rsid w:val="00020064"/>
    <w:rsid w:val="00020501"/>
    <w:rsid w:val="00020F92"/>
    <w:rsid w:val="00021B4D"/>
    <w:rsid w:val="00021BBD"/>
    <w:rsid w:val="00021C64"/>
    <w:rsid w:val="00021C6A"/>
    <w:rsid w:val="000226D7"/>
    <w:rsid w:val="000227E7"/>
    <w:rsid w:val="00022FEF"/>
    <w:rsid w:val="00023252"/>
    <w:rsid w:val="000232BA"/>
    <w:rsid w:val="000237AD"/>
    <w:rsid w:val="0002417A"/>
    <w:rsid w:val="000243F4"/>
    <w:rsid w:val="00024576"/>
    <w:rsid w:val="00024E63"/>
    <w:rsid w:val="00025510"/>
    <w:rsid w:val="0002566C"/>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894"/>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604"/>
    <w:rsid w:val="000429DA"/>
    <w:rsid w:val="000432F5"/>
    <w:rsid w:val="00043672"/>
    <w:rsid w:val="000436F0"/>
    <w:rsid w:val="00043804"/>
    <w:rsid w:val="00043AE0"/>
    <w:rsid w:val="00043CFB"/>
    <w:rsid w:val="00043FD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CDF"/>
    <w:rsid w:val="00053E13"/>
    <w:rsid w:val="00053EC0"/>
    <w:rsid w:val="000549A7"/>
    <w:rsid w:val="00054B73"/>
    <w:rsid w:val="0005654F"/>
    <w:rsid w:val="0005690C"/>
    <w:rsid w:val="00057B47"/>
    <w:rsid w:val="00057C1F"/>
    <w:rsid w:val="00057C2C"/>
    <w:rsid w:val="00057C3C"/>
    <w:rsid w:val="0006073A"/>
    <w:rsid w:val="00060872"/>
    <w:rsid w:val="000608D1"/>
    <w:rsid w:val="00060C2E"/>
    <w:rsid w:val="000611C7"/>
    <w:rsid w:val="00061D22"/>
    <w:rsid w:val="0006240E"/>
    <w:rsid w:val="0006259B"/>
    <w:rsid w:val="0006268A"/>
    <w:rsid w:val="000628BD"/>
    <w:rsid w:val="00062EAB"/>
    <w:rsid w:val="00063AC0"/>
    <w:rsid w:val="00064610"/>
    <w:rsid w:val="0006464A"/>
    <w:rsid w:val="000649B8"/>
    <w:rsid w:val="000652B6"/>
    <w:rsid w:val="00065328"/>
    <w:rsid w:val="000659EB"/>
    <w:rsid w:val="00065A6B"/>
    <w:rsid w:val="00065EFD"/>
    <w:rsid w:val="000667BA"/>
    <w:rsid w:val="000667CB"/>
    <w:rsid w:val="00066A32"/>
    <w:rsid w:val="00070195"/>
    <w:rsid w:val="0007061A"/>
    <w:rsid w:val="00070F6C"/>
    <w:rsid w:val="000712B3"/>
    <w:rsid w:val="000716AA"/>
    <w:rsid w:val="00072A0F"/>
    <w:rsid w:val="00074313"/>
    <w:rsid w:val="00074557"/>
    <w:rsid w:val="00074881"/>
    <w:rsid w:val="00074A6F"/>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942"/>
    <w:rsid w:val="00091DDD"/>
    <w:rsid w:val="000923A0"/>
    <w:rsid w:val="000927FB"/>
    <w:rsid w:val="00092A27"/>
    <w:rsid w:val="000933D4"/>
    <w:rsid w:val="000934FE"/>
    <w:rsid w:val="00093B24"/>
    <w:rsid w:val="00094122"/>
    <w:rsid w:val="000946E2"/>
    <w:rsid w:val="00094768"/>
    <w:rsid w:val="00094A75"/>
    <w:rsid w:val="00094D81"/>
    <w:rsid w:val="0009513C"/>
    <w:rsid w:val="00095359"/>
    <w:rsid w:val="000954EC"/>
    <w:rsid w:val="00095843"/>
    <w:rsid w:val="00095DE5"/>
    <w:rsid w:val="00096027"/>
    <w:rsid w:val="0009686D"/>
    <w:rsid w:val="00096909"/>
    <w:rsid w:val="00096B4E"/>
    <w:rsid w:val="00096E9E"/>
    <w:rsid w:val="00096FDF"/>
    <w:rsid w:val="00097200"/>
    <w:rsid w:val="00097A3F"/>
    <w:rsid w:val="00097B48"/>
    <w:rsid w:val="000A00E2"/>
    <w:rsid w:val="000A029F"/>
    <w:rsid w:val="000A02E7"/>
    <w:rsid w:val="000A04C5"/>
    <w:rsid w:val="000A14FE"/>
    <w:rsid w:val="000A15D4"/>
    <w:rsid w:val="000A198A"/>
    <w:rsid w:val="000A201B"/>
    <w:rsid w:val="000A2AC5"/>
    <w:rsid w:val="000A2E1A"/>
    <w:rsid w:val="000A3445"/>
    <w:rsid w:val="000A43F1"/>
    <w:rsid w:val="000A48BB"/>
    <w:rsid w:val="000A53C1"/>
    <w:rsid w:val="000A573C"/>
    <w:rsid w:val="000A5AA3"/>
    <w:rsid w:val="000A61A4"/>
    <w:rsid w:val="000A6704"/>
    <w:rsid w:val="000A6B29"/>
    <w:rsid w:val="000A74C0"/>
    <w:rsid w:val="000A7652"/>
    <w:rsid w:val="000A7781"/>
    <w:rsid w:val="000B07B3"/>
    <w:rsid w:val="000B1C61"/>
    <w:rsid w:val="000B1D9E"/>
    <w:rsid w:val="000B269E"/>
    <w:rsid w:val="000B3EA2"/>
    <w:rsid w:val="000B5179"/>
    <w:rsid w:val="000B527D"/>
    <w:rsid w:val="000B6105"/>
    <w:rsid w:val="000B6288"/>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4B0"/>
    <w:rsid w:val="000C5573"/>
    <w:rsid w:val="000C5702"/>
    <w:rsid w:val="000C5876"/>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9F5"/>
    <w:rsid w:val="000D2CF7"/>
    <w:rsid w:val="000D3014"/>
    <w:rsid w:val="000D35AE"/>
    <w:rsid w:val="000D3C6D"/>
    <w:rsid w:val="000D3E30"/>
    <w:rsid w:val="000D4266"/>
    <w:rsid w:val="000D4283"/>
    <w:rsid w:val="000D4376"/>
    <w:rsid w:val="000D5557"/>
    <w:rsid w:val="000D56DF"/>
    <w:rsid w:val="000D5B98"/>
    <w:rsid w:val="000D6779"/>
    <w:rsid w:val="000D6A72"/>
    <w:rsid w:val="000D6ED0"/>
    <w:rsid w:val="000D73EF"/>
    <w:rsid w:val="000D7A16"/>
    <w:rsid w:val="000E05EC"/>
    <w:rsid w:val="000E15E4"/>
    <w:rsid w:val="000E1945"/>
    <w:rsid w:val="000E244F"/>
    <w:rsid w:val="000E2D8F"/>
    <w:rsid w:val="000E2EE9"/>
    <w:rsid w:val="000E3065"/>
    <w:rsid w:val="000E347D"/>
    <w:rsid w:val="000E378D"/>
    <w:rsid w:val="000E3C52"/>
    <w:rsid w:val="000E4037"/>
    <w:rsid w:val="000E4540"/>
    <w:rsid w:val="000E479E"/>
    <w:rsid w:val="000E4915"/>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022"/>
    <w:rsid w:val="000F4158"/>
    <w:rsid w:val="000F4256"/>
    <w:rsid w:val="000F44EA"/>
    <w:rsid w:val="000F4D50"/>
    <w:rsid w:val="000F51F9"/>
    <w:rsid w:val="000F52F9"/>
    <w:rsid w:val="000F5688"/>
    <w:rsid w:val="000F6ECE"/>
    <w:rsid w:val="000F766E"/>
    <w:rsid w:val="001004AE"/>
    <w:rsid w:val="001006CD"/>
    <w:rsid w:val="00100A86"/>
    <w:rsid w:val="00100AB7"/>
    <w:rsid w:val="00100D83"/>
    <w:rsid w:val="00100E60"/>
    <w:rsid w:val="00101271"/>
    <w:rsid w:val="0010144C"/>
    <w:rsid w:val="00101B0A"/>
    <w:rsid w:val="00101B3E"/>
    <w:rsid w:val="0010218E"/>
    <w:rsid w:val="001023E9"/>
    <w:rsid w:val="00102734"/>
    <w:rsid w:val="00102A5C"/>
    <w:rsid w:val="00102B04"/>
    <w:rsid w:val="00103917"/>
    <w:rsid w:val="00103C6B"/>
    <w:rsid w:val="00103C87"/>
    <w:rsid w:val="00103E20"/>
    <w:rsid w:val="00105249"/>
    <w:rsid w:val="00105447"/>
    <w:rsid w:val="001057EA"/>
    <w:rsid w:val="00105FEF"/>
    <w:rsid w:val="00106904"/>
    <w:rsid w:val="001069A3"/>
    <w:rsid w:val="00106A18"/>
    <w:rsid w:val="00107489"/>
    <w:rsid w:val="001105F7"/>
    <w:rsid w:val="00110B1C"/>
    <w:rsid w:val="001114F3"/>
    <w:rsid w:val="00111A40"/>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836"/>
    <w:rsid w:val="0011794E"/>
    <w:rsid w:val="001203AF"/>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527"/>
    <w:rsid w:val="00134848"/>
    <w:rsid w:val="00134D71"/>
    <w:rsid w:val="00134F77"/>
    <w:rsid w:val="00136299"/>
    <w:rsid w:val="00136731"/>
    <w:rsid w:val="00136D0F"/>
    <w:rsid w:val="00137331"/>
    <w:rsid w:val="00137AB8"/>
    <w:rsid w:val="00137EF9"/>
    <w:rsid w:val="00137FC0"/>
    <w:rsid w:val="00140110"/>
    <w:rsid w:val="00140525"/>
    <w:rsid w:val="00141A63"/>
    <w:rsid w:val="001424CD"/>
    <w:rsid w:val="00142B7E"/>
    <w:rsid w:val="00143069"/>
    <w:rsid w:val="001430C2"/>
    <w:rsid w:val="00143366"/>
    <w:rsid w:val="0014346D"/>
    <w:rsid w:val="001435A6"/>
    <w:rsid w:val="00143AF2"/>
    <w:rsid w:val="00143F34"/>
    <w:rsid w:val="0014443C"/>
    <w:rsid w:val="00144F3B"/>
    <w:rsid w:val="001450FB"/>
    <w:rsid w:val="00145265"/>
    <w:rsid w:val="0014557B"/>
    <w:rsid w:val="0014568E"/>
    <w:rsid w:val="00146119"/>
    <w:rsid w:val="001461C5"/>
    <w:rsid w:val="001462D1"/>
    <w:rsid w:val="00146B10"/>
    <w:rsid w:val="001472F9"/>
    <w:rsid w:val="00147696"/>
    <w:rsid w:val="00147915"/>
    <w:rsid w:val="00147FE9"/>
    <w:rsid w:val="0015087B"/>
    <w:rsid w:val="00150AF6"/>
    <w:rsid w:val="00150B59"/>
    <w:rsid w:val="001524FE"/>
    <w:rsid w:val="0015358E"/>
    <w:rsid w:val="001537FB"/>
    <w:rsid w:val="00153C34"/>
    <w:rsid w:val="00153D9D"/>
    <w:rsid w:val="001541BA"/>
    <w:rsid w:val="00154C3B"/>
    <w:rsid w:val="00154C57"/>
    <w:rsid w:val="00155E6E"/>
    <w:rsid w:val="001568EE"/>
    <w:rsid w:val="00157252"/>
    <w:rsid w:val="00157260"/>
    <w:rsid w:val="001574E1"/>
    <w:rsid w:val="00157510"/>
    <w:rsid w:val="00157785"/>
    <w:rsid w:val="00157EB0"/>
    <w:rsid w:val="0016025C"/>
    <w:rsid w:val="00160728"/>
    <w:rsid w:val="00160B2C"/>
    <w:rsid w:val="00160DB7"/>
    <w:rsid w:val="00161791"/>
    <w:rsid w:val="001617DA"/>
    <w:rsid w:val="00161A09"/>
    <w:rsid w:val="00161FB1"/>
    <w:rsid w:val="001622F7"/>
    <w:rsid w:val="00162944"/>
    <w:rsid w:val="00162B38"/>
    <w:rsid w:val="00162C04"/>
    <w:rsid w:val="00163AAD"/>
    <w:rsid w:val="0016585F"/>
    <w:rsid w:val="00165996"/>
    <w:rsid w:val="00165A72"/>
    <w:rsid w:val="00165D73"/>
    <w:rsid w:val="00165DFE"/>
    <w:rsid w:val="0016621F"/>
    <w:rsid w:val="0016623C"/>
    <w:rsid w:val="00166399"/>
    <w:rsid w:val="00166953"/>
    <w:rsid w:val="00166A2E"/>
    <w:rsid w:val="00166A67"/>
    <w:rsid w:val="00167646"/>
    <w:rsid w:val="00167950"/>
    <w:rsid w:val="001679F5"/>
    <w:rsid w:val="00167D43"/>
    <w:rsid w:val="001706E9"/>
    <w:rsid w:val="001712F9"/>
    <w:rsid w:val="00172757"/>
    <w:rsid w:val="00172A1B"/>
    <w:rsid w:val="00172A27"/>
    <w:rsid w:val="00172C6D"/>
    <w:rsid w:val="00172DCD"/>
    <w:rsid w:val="00173149"/>
    <w:rsid w:val="00173186"/>
    <w:rsid w:val="00173813"/>
    <w:rsid w:val="00173CD0"/>
    <w:rsid w:val="00173FEB"/>
    <w:rsid w:val="00174C1B"/>
    <w:rsid w:val="00175CB0"/>
    <w:rsid w:val="00175F8B"/>
    <w:rsid w:val="00176243"/>
    <w:rsid w:val="001762AD"/>
    <w:rsid w:val="001763BD"/>
    <w:rsid w:val="001764B9"/>
    <w:rsid w:val="00176541"/>
    <w:rsid w:val="00176677"/>
    <w:rsid w:val="00176AF7"/>
    <w:rsid w:val="00176E8C"/>
    <w:rsid w:val="00176FA9"/>
    <w:rsid w:val="00177180"/>
    <w:rsid w:val="0017751F"/>
    <w:rsid w:val="00177866"/>
    <w:rsid w:val="001778F5"/>
    <w:rsid w:val="00180863"/>
    <w:rsid w:val="001809FF"/>
    <w:rsid w:val="00181336"/>
    <w:rsid w:val="00182E23"/>
    <w:rsid w:val="00183158"/>
    <w:rsid w:val="001831A9"/>
    <w:rsid w:val="001838DE"/>
    <w:rsid w:val="00183BA0"/>
    <w:rsid w:val="00183FDE"/>
    <w:rsid w:val="001844A7"/>
    <w:rsid w:val="00184717"/>
    <w:rsid w:val="001848D4"/>
    <w:rsid w:val="001849E9"/>
    <w:rsid w:val="00185093"/>
    <w:rsid w:val="001850C1"/>
    <w:rsid w:val="00185740"/>
    <w:rsid w:val="00185884"/>
    <w:rsid w:val="00185C80"/>
    <w:rsid w:val="00185D06"/>
    <w:rsid w:val="00186DD3"/>
    <w:rsid w:val="001871C6"/>
    <w:rsid w:val="00187489"/>
    <w:rsid w:val="001876E7"/>
    <w:rsid w:val="00187ACB"/>
    <w:rsid w:val="001909E7"/>
    <w:rsid w:val="00191236"/>
    <w:rsid w:val="00191727"/>
    <w:rsid w:val="00191894"/>
    <w:rsid w:val="00191934"/>
    <w:rsid w:val="00191D50"/>
    <w:rsid w:val="00191DEF"/>
    <w:rsid w:val="00192594"/>
    <w:rsid w:val="001926E6"/>
    <w:rsid w:val="001928B9"/>
    <w:rsid w:val="00192CDC"/>
    <w:rsid w:val="00193096"/>
    <w:rsid w:val="00193494"/>
    <w:rsid w:val="00193DB5"/>
    <w:rsid w:val="00193E7B"/>
    <w:rsid w:val="00193EC5"/>
    <w:rsid w:val="00193EF8"/>
    <w:rsid w:val="001941AF"/>
    <w:rsid w:val="001941D2"/>
    <w:rsid w:val="001941E5"/>
    <w:rsid w:val="001945EF"/>
    <w:rsid w:val="001948AE"/>
    <w:rsid w:val="00194A88"/>
    <w:rsid w:val="001957B3"/>
    <w:rsid w:val="00195802"/>
    <w:rsid w:val="00195875"/>
    <w:rsid w:val="00195A6D"/>
    <w:rsid w:val="00195E08"/>
    <w:rsid w:val="00195FBA"/>
    <w:rsid w:val="00196271"/>
    <w:rsid w:val="001969AE"/>
    <w:rsid w:val="00196C95"/>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AAD"/>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0C48"/>
    <w:rsid w:val="001C1489"/>
    <w:rsid w:val="001C18CA"/>
    <w:rsid w:val="001C1A69"/>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2E13"/>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2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926"/>
    <w:rsid w:val="001F5B14"/>
    <w:rsid w:val="001F5DE1"/>
    <w:rsid w:val="001F6568"/>
    <w:rsid w:val="001F6B9F"/>
    <w:rsid w:val="001F6C95"/>
    <w:rsid w:val="001F6DA5"/>
    <w:rsid w:val="001F75BB"/>
    <w:rsid w:val="001F7B8E"/>
    <w:rsid w:val="00200034"/>
    <w:rsid w:val="00200287"/>
    <w:rsid w:val="0020057F"/>
    <w:rsid w:val="002005CA"/>
    <w:rsid w:val="00200826"/>
    <w:rsid w:val="00200833"/>
    <w:rsid w:val="00200A4D"/>
    <w:rsid w:val="0020134B"/>
    <w:rsid w:val="0020261F"/>
    <w:rsid w:val="00203112"/>
    <w:rsid w:val="00203382"/>
    <w:rsid w:val="00203A60"/>
    <w:rsid w:val="00203FC4"/>
    <w:rsid w:val="002044CB"/>
    <w:rsid w:val="002045F6"/>
    <w:rsid w:val="00204944"/>
    <w:rsid w:val="002049B8"/>
    <w:rsid w:val="00204DBA"/>
    <w:rsid w:val="00206116"/>
    <w:rsid w:val="00206594"/>
    <w:rsid w:val="002076C9"/>
    <w:rsid w:val="00207731"/>
    <w:rsid w:val="00207DEA"/>
    <w:rsid w:val="00210228"/>
    <w:rsid w:val="002102CB"/>
    <w:rsid w:val="002103B3"/>
    <w:rsid w:val="002117D1"/>
    <w:rsid w:val="00211B64"/>
    <w:rsid w:val="00211FC6"/>
    <w:rsid w:val="00212FD7"/>
    <w:rsid w:val="002139E2"/>
    <w:rsid w:val="00214D58"/>
    <w:rsid w:val="00214D60"/>
    <w:rsid w:val="00214EB8"/>
    <w:rsid w:val="0021504D"/>
    <w:rsid w:val="002150C6"/>
    <w:rsid w:val="0021598C"/>
    <w:rsid w:val="002164B5"/>
    <w:rsid w:val="00216CB2"/>
    <w:rsid w:val="002173BB"/>
    <w:rsid w:val="0021741D"/>
    <w:rsid w:val="00217683"/>
    <w:rsid w:val="002201BE"/>
    <w:rsid w:val="002204E1"/>
    <w:rsid w:val="002207E3"/>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75"/>
    <w:rsid w:val="00230EF7"/>
    <w:rsid w:val="00231295"/>
    <w:rsid w:val="00231B73"/>
    <w:rsid w:val="00233472"/>
    <w:rsid w:val="00233B86"/>
    <w:rsid w:val="00233E4A"/>
    <w:rsid w:val="002340BE"/>
    <w:rsid w:val="002342CE"/>
    <w:rsid w:val="0023534C"/>
    <w:rsid w:val="0023566A"/>
    <w:rsid w:val="00235D0C"/>
    <w:rsid w:val="002365E3"/>
    <w:rsid w:val="00236A15"/>
    <w:rsid w:val="00237037"/>
    <w:rsid w:val="00240068"/>
    <w:rsid w:val="0024022A"/>
    <w:rsid w:val="002405C0"/>
    <w:rsid w:val="0024060F"/>
    <w:rsid w:val="00241AD3"/>
    <w:rsid w:val="002421DC"/>
    <w:rsid w:val="002421E4"/>
    <w:rsid w:val="002423D5"/>
    <w:rsid w:val="002426F3"/>
    <w:rsid w:val="0024279A"/>
    <w:rsid w:val="00242A78"/>
    <w:rsid w:val="00242CE8"/>
    <w:rsid w:val="00243015"/>
    <w:rsid w:val="00243B33"/>
    <w:rsid w:val="00243D2E"/>
    <w:rsid w:val="00244055"/>
    <w:rsid w:val="00244C28"/>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47FB8"/>
    <w:rsid w:val="0025081F"/>
    <w:rsid w:val="00250AD2"/>
    <w:rsid w:val="00251379"/>
    <w:rsid w:val="00251445"/>
    <w:rsid w:val="00251680"/>
    <w:rsid w:val="00252585"/>
    <w:rsid w:val="00252824"/>
    <w:rsid w:val="00253536"/>
    <w:rsid w:val="00253B1B"/>
    <w:rsid w:val="00254003"/>
    <w:rsid w:val="00254DC3"/>
    <w:rsid w:val="00255779"/>
    <w:rsid w:val="0025611D"/>
    <w:rsid w:val="0025611F"/>
    <w:rsid w:val="00256273"/>
    <w:rsid w:val="00256391"/>
    <w:rsid w:val="002571E4"/>
    <w:rsid w:val="002575F4"/>
    <w:rsid w:val="00257999"/>
    <w:rsid w:val="00257EE8"/>
    <w:rsid w:val="00260382"/>
    <w:rsid w:val="00260597"/>
    <w:rsid w:val="00260828"/>
    <w:rsid w:val="00260B4F"/>
    <w:rsid w:val="002613F5"/>
    <w:rsid w:val="00262A4E"/>
    <w:rsid w:val="00263211"/>
    <w:rsid w:val="00263363"/>
    <w:rsid w:val="0026367B"/>
    <w:rsid w:val="00263D51"/>
    <w:rsid w:val="00263DB2"/>
    <w:rsid w:val="002641D0"/>
    <w:rsid w:val="00264577"/>
    <w:rsid w:val="00264F2F"/>
    <w:rsid w:val="002655F3"/>
    <w:rsid w:val="00266E2C"/>
    <w:rsid w:val="00266ED8"/>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ED6"/>
    <w:rsid w:val="00275F10"/>
    <w:rsid w:val="00276784"/>
    <w:rsid w:val="00277518"/>
    <w:rsid w:val="002778AB"/>
    <w:rsid w:val="00280AF5"/>
    <w:rsid w:val="00280C23"/>
    <w:rsid w:val="00281885"/>
    <w:rsid w:val="00281A01"/>
    <w:rsid w:val="00281A36"/>
    <w:rsid w:val="00281A43"/>
    <w:rsid w:val="00281BBA"/>
    <w:rsid w:val="00282022"/>
    <w:rsid w:val="002824C8"/>
    <w:rsid w:val="00282AD7"/>
    <w:rsid w:val="00283250"/>
    <w:rsid w:val="0028405B"/>
    <w:rsid w:val="0028468A"/>
    <w:rsid w:val="00284F28"/>
    <w:rsid w:val="0028638D"/>
    <w:rsid w:val="00286786"/>
    <w:rsid w:val="00286A35"/>
    <w:rsid w:val="002878E6"/>
    <w:rsid w:val="00287A21"/>
    <w:rsid w:val="00287AE8"/>
    <w:rsid w:val="002902FF"/>
    <w:rsid w:val="0029035D"/>
    <w:rsid w:val="002905F5"/>
    <w:rsid w:val="00290FF1"/>
    <w:rsid w:val="00291067"/>
    <w:rsid w:val="00291EFC"/>
    <w:rsid w:val="002925A7"/>
    <w:rsid w:val="00292902"/>
    <w:rsid w:val="00292A19"/>
    <w:rsid w:val="00292A3B"/>
    <w:rsid w:val="00292D91"/>
    <w:rsid w:val="00293163"/>
    <w:rsid w:val="002933D7"/>
    <w:rsid w:val="00293A1A"/>
    <w:rsid w:val="00293D4C"/>
    <w:rsid w:val="002953CF"/>
    <w:rsid w:val="002960E1"/>
    <w:rsid w:val="002968B5"/>
    <w:rsid w:val="002969D6"/>
    <w:rsid w:val="00296C07"/>
    <w:rsid w:val="00296F48"/>
    <w:rsid w:val="0029766F"/>
    <w:rsid w:val="00297A96"/>
    <w:rsid w:val="00297BAA"/>
    <w:rsid w:val="00297CBD"/>
    <w:rsid w:val="00297FB3"/>
    <w:rsid w:val="002A0AF0"/>
    <w:rsid w:val="002A0C73"/>
    <w:rsid w:val="002A1725"/>
    <w:rsid w:val="002A1D6F"/>
    <w:rsid w:val="002A22C4"/>
    <w:rsid w:val="002A285C"/>
    <w:rsid w:val="002A28AD"/>
    <w:rsid w:val="002A2E79"/>
    <w:rsid w:val="002A3654"/>
    <w:rsid w:val="002A3875"/>
    <w:rsid w:val="002A43DD"/>
    <w:rsid w:val="002A4A05"/>
    <w:rsid w:val="002A547C"/>
    <w:rsid w:val="002A59A3"/>
    <w:rsid w:val="002A5B99"/>
    <w:rsid w:val="002A5CEC"/>
    <w:rsid w:val="002A606D"/>
    <w:rsid w:val="002A76DB"/>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57"/>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20C"/>
    <w:rsid w:val="002C087C"/>
    <w:rsid w:val="002C09E1"/>
    <w:rsid w:val="002C0A4F"/>
    <w:rsid w:val="002C0B37"/>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E45"/>
    <w:rsid w:val="002C72F8"/>
    <w:rsid w:val="002C74D1"/>
    <w:rsid w:val="002C75DA"/>
    <w:rsid w:val="002C772F"/>
    <w:rsid w:val="002C7CF6"/>
    <w:rsid w:val="002C7DBF"/>
    <w:rsid w:val="002D04FA"/>
    <w:rsid w:val="002D0785"/>
    <w:rsid w:val="002D0952"/>
    <w:rsid w:val="002D0F67"/>
    <w:rsid w:val="002D184A"/>
    <w:rsid w:val="002D1B84"/>
    <w:rsid w:val="002D21AD"/>
    <w:rsid w:val="002D26C9"/>
    <w:rsid w:val="002D2D73"/>
    <w:rsid w:val="002D31A4"/>
    <w:rsid w:val="002D3C5F"/>
    <w:rsid w:val="002D4100"/>
    <w:rsid w:val="002D43F7"/>
    <w:rsid w:val="002D4465"/>
    <w:rsid w:val="002D468E"/>
    <w:rsid w:val="002D4B41"/>
    <w:rsid w:val="002D4B86"/>
    <w:rsid w:val="002D5215"/>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74C4"/>
    <w:rsid w:val="002E75A6"/>
    <w:rsid w:val="002E75E7"/>
    <w:rsid w:val="002E7DD2"/>
    <w:rsid w:val="002F01E3"/>
    <w:rsid w:val="002F0380"/>
    <w:rsid w:val="002F0C91"/>
    <w:rsid w:val="002F0E8A"/>
    <w:rsid w:val="002F165E"/>
    <w:rsid w:val="002F17B6"/>
    <w:rsid w:val="002F1A5C"/>
    <w:rsid w:val="002F2381"/>
    <w:rsid w:val="002F2798"/>
    <w:rsid w:val="002F2BE4"/>
    <w:rsid w:val="002F2F11"/>
    <w:rsid w:val="002F31EC"/>
    <w:rsid w:val="002F3349"/>
    <w:rsid w:val="002F3379"/>
    <w:rsid w:val="002F3398"/>
    <w:rsid w:val="002F33DF"/>
    <w:rsid w:val="002F3852"/>
    <w:rsid w:val="002F43DB"/>
    <w:rsid w:val="002F4BBD"/>
    <w:rsid w:val="002F5A62"/>
    <w:rsid w:val="002F6666"/>
    <w:rsid w:val="002F6E09"/>
    <w:rsid w:val="002F748C"/>
    <w:rsid w:val="002F7C9F"/>
    <w:rsid w:val="00300090"/>
    <w:rsid w:val="003007AA"/>
    <w:rsid w:val="00300B05"/>
    <w:rsid w:val="00300CE8"/>
    <w:rsid w:val="00301488"/>
    <w:rsid w:val="003016FF"/>
    <w:rsid w:val="00301AE8"/>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4F0A"/>
    <w:rsid w:val="00325219"/>
    <w:rsid w:val="003252DD"/>
    <w:rsid w:val="003260E7"/>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3D0"/>
    <w:rsid w:val="00334DAC"/>
    <w:rsid w:val="003365A4"/>
    <w:rsid w:val="003366A2"/>
    <w:rsid w:val="003373FA"/>
    <w:rsid w:val="003379B3"/>
    <w:rsid w:val="00337C62"/>
    <w:rsid w:val="00337C81"/>
    <w:rsid w:val="00340344"/>
    <w:rsid w:val="003405BD"/>
    <w:rsid w:val="00340999"/>
    <w:rsid w:val="00340B33"/>
    <w:rsid w:val="00340B42"/>
    <w:rsid w:val="00340CC9"/>
    <w:rsid w:val="003410FA"/>
    <w:rsid w:val="00341187"/>
    <w:rsid w:val="003414A5"/>
    <w:rsid w:val="00341646"/>
    <w:rsid w:val="003418F0"/>
    <w:rsid w:val="00342B39"/>
    <w:rsid w:val="00343085"/>
    <w:rsid w:val="003431D9"/>
    <w:rsid w:val="00344963"/>
    <w:rsid w:val="00344A96"/>
    <w:rsid w:val="00344F4B"/>
    <w:rsid w:val="00345344"/>
    <w:rsid w:val="00345499"/>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3F19"/>
    <w:rsid w:val="003543CF"/>
    <w:rsid w:val="00354549"/>
    <w:rsid w:val="00354753"/>
    <w:rsid w:val="00354DFA"/>
    <w:rsid w:val="00354E96"/>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D8D"/>
    <w:rsid w:val="003620ED"/>
    <w:rsid w:val="00362B40"/>
    <w:rsid w:val="003632D9"/>
    <w:rsid w:val="00363A85"/>
    <w:rsid w:val="00363D32"/>
    <w:rsid w:val="00363FF5"/>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0F2E"/>
    <w:rsid w:val="0037146D"/>
    <w:rsid w:val="00371A6D"/>
    <w:rsid w:val="0037259F"/>
    <w:rsid w:val="00372661"/>
    <w:rsid w:val="00372756"/>
    <w:rsid w:val="00373411"/>
    <w:rsid w:val="003738FC"/>
    <w:rsid w:val="003745AD"/>
    <w:rsid w:val="0037496D"/>
    <w:rsid w:val="00375B46"/>
    <w:rsid w:val="00375FA4"/>
    <w:rsid w:val="003760F9"/>
    <w:rsid w:val="00376145"/>
    <w:rsid w:val="0037653A"/>
    <w:rsid w:val="00376563"/>
    <w:rsid w:val="00376E03"/>
    <w:rsid w:val="00377481"/>
    <w:rsid w:val="0037757F"/>
    <w:rsid w:val="00377619"/>
    <w:rsid w:val="00377FE2"/>
    <w:rsid w:val="003803D7"/>
    <w:rsid w:val="00380AED"/>
    <w:rsid w:val="003815D1"/>
    <w:rsid w:val="00381B56"/>
    <w:rsid w:val="00382288"/>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102"/>
    <w:rsid w:val="003A34D5"/>
    <w:rsid w:val="003A3922"/>
    <w:rsid w:val="003A3991"/>
    <w:rsid w:val="003A3A19"/>
    <w:rsid w:val="003A3A95"/>
    <w:rsid w:val="003A3A9F"/>
    <w:rsid w:val="003A41BC"/>
    <w:rsid w:val="003A43AD"/>
    <w:rsid w:val="003A4400"/>
    <w:rsid w:val="003A4A29"/>
    <w:rsid w:val="003A65A4"/>
    <w:rsid w:val="003A6B7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456"/>
    <w:rsid w:val="003B683B"/>
    <w:rsid w:val="003B706F"/>
    <w:rsid w:val="003B7319"/>
    <w:rsid w:val="003B7505"/>
    <w:rsid w:val="003B7E94"/>
    <w:rsid w:val="003C058C"/>
    <w:rsid w:val="003C0C1D"/>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B98"/>
    <w:rsid w:val="003D1DE4"/>
    <w:rsid w:val="003D2047"/>
    <w:rsid w:val="003D2AB8"/>
    <w:rsid w:val="003D2F49"/>
    <w:rsid w:val="003D3DBE"/>
    <w:rsid w:val="003D4B2E"/>
    <w:rsid w:val="003D55E8"/>
    <w:rsid w:val="003D570E"/>
    <w:rsid w:val="003D6379"/>
    <w:rsid w:val="003D7084"/>
    <w:rsid w:val="003D7474"/>
    <w:rsid w:val="003D77EE"/>
    <w:rsid w:val="003D7A8C"/>
    <w:rsid w:val="003D7B3C"/>
    <w:rsid w:val="003D7DD4"/>
    <w:rsid w:val="003E0595"/>
    <w:rsid w:val="003E07AA"/>
    <w:rsid w:val="003E1293"/>
    <w:rsid w:val="003E14AE"/>
    <w:rsid w:val="003E1847"/>
    <w:rsid w:val="003E18C8"/>
    <w:rsid w:val="003E232C"/>
    <w:rsid w:val="003E291A"/>
    <w:rsid w:val="003E2B6F"/>
    <w:rsid w:val="003E3171"/>
    <w:rsid w:val="003E3D22"/>
    <w:rsid w:val="003E406D"/>
    <w:rsid w:val="003E5340"/>
    <w:rsid w:val="003E53C9"/>
    <w:rsid w:val="003E58A8"/>
    <w:rsid w:val="003E7143"/>
    <w:rsid w:val="003E7238"/>
    <w:rsid w:val="003E74AF"/>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04F"/>
    <w:rsid w:val="003F422F"/>
    <w:rsid w:val="003F4278"/>
    <w:rsid w:val="003F4483"/>
    <w:rsid w:val="003F4A1D"/>
    <w:rsid w:val="003F522C"/>
    <w:rsid w:val="003F53FD"/>
    <w:rsid w:val="003F5784"/>
    <w:rsid w:val="003F5897"/>
    <w:rsid w:val="003F649F"/>
    <w:rsid w:val="003F6BB4"/>
    <w:rsid w:val="003F6D34"/>
    <w:rsid w:val="003F6EB3"/>
    <w:rsid w:val="003F6F38"/>
    <w:rsid w:val="003F782C"/>
    <w:rsid w:val="003F7A7B"/>
    <w:rsid w:val="003F7C46"/>
    <w:rsid w:val="003F7E87"/>
    <w:rsid w:val="00400378"/>
    <w:rsid w:val="004008E7"/>
    <w:rsid w:val="00400EAB"/>
    <w:rsid w:val="00400EB3"/>
    <w:rsid w:val="004011A7"/>
    <w:rsid w:val="0040124C"/>
    <w:rsid w:val="00401304"/>
    <w:rsid w:val="004013F6"/>
    <w:rsid w:val="004018B1"/>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77B"/>
    <w:rsid w:val="00417B51"/>
    <w:rsid w:val="00417C3A"/>
    <w:rsid w:val="00417D9E"/>
    <w:rsid w:val="00420520"/>
    <w:rsid w:val="00420A4A"/>
    <w:rsid w:val="00420B11"/>
    <w:rsid w:val="00420F2F"/>
    <w:rsid w:val="00421623"/>
    <w:rsid w:val="00421B2E"/>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4CA"/>
    <w:rsid w:val="00427578"/>
    <w:rsid w:val="00427C76"/>
    <w:rsid w:val="00430B84"/>
    <w:rsid w:val="00431002"/>
    <w:rsid w:val="00431068"/>
    <w:rsid w:val="00431196"/>
    <w:rsid w:val="0043132C"/>
    <w:rsid w:val="004317E5"/>
    <w:rsid w:val="00432D33"/>
    <w:rsid w:val="00432E5E"/>
    <w:rsid w:val="00432EC3"/>
    <w:rsid w:val="00433092"/>
    <w:rsid w:val="004330A3"/>
    <w:rsid w:val="00433112"/>
    <w:rsid w:val="004331D1"/>
    <w:rsid w:val="0043324F"/>
    <w:rsid w:val="00433562"/>
    <w:rsid w:val="0043448E"/>
    <w:rsid w:val="00434702"/>
    <w:rsid w:val="004347AB"/>
    <w:rsid w:val="00434894"/>
    <w:rsid w:val="00434CBE"/>
    <w:rsid w:val="00434F4D"/>
    <w:rsid w:val="004352D2"/>
    <w:rsid w:val="004360FE"/>
    <w:rsid w:val="004368D4"/>
    <w:rsid w:val="00436BBC"/>
    <w:rsid w:val="00436E8F"/>
    <w:rsid w:val="0043730E"/>
    <w:rsid w:val="00437E18"/>
    <w:rsid w:val="00437E80"/>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2DF"/>
    <w:rsid w:val="004466C7"/>
    <w:rsid w:val="00446764"/>
    <w:rsid w:val="00446B14"/>
    <w:rsid w:val="004470B6"/>
    <w:rsid w:val="00447699"/>
    <w:rsid w:val="004478AF"/>
    <w:rsid w:val="00447B61"/>
    <w:rsid w:val="00447E6F"/>
    <w:rsid w:val="00447EF9"/>
    <w:rsid w:val="00450DA6"/>
    <w:rsid w:val="00451714"/>
    <w:rsid w:val="00451A47"/>
    <w:rsid w:val="00451AA7"/>
    <w:rsid w:val="00451E5E"/>
    <w:rsid w:val="00452A24"/>
    <w:rsid w:val="00452A5B"/>
    <w:rsid w:val="00453A11"/>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E79"/>
    <w:rsid w:val="0048194D"/>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5D3"/>
    <w:rsid w:val="00496FEA"/>
    <w:rsid w:val="004970A5"/>
    <w:rsid w:val="004A0178"/>
    <w:rsid w:val="004A04A4"/>
    <w:rsid w:val="004A06BB"/>
    <w:rsid w:val="004A06BD"/>
    <w:rsid w:val="004A0881"/>
    <w:rsid w:val="004A0BC8"/>
    <w:rsid w:val="004A0CF0"/>
    <w:rsid w:val="004A0DB3"/>
    <w:rsid w:val="004A0EBE"/>
    <w:rsid w:val="004A10A3"/>
    <w:rsid w:val="004A1247"/>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5F7"/>
    <w:rsid w:val="004A5C54"/>
    <w:rsid w:val="004A68E8"/>
    <w:rsid w:val="004A6B30"/>
    <w:rsid w:val="004A74CF"/>
    <w:rsid w:val="004A75A5"/>
    <w:rsid w:val="004B071E"/>
    <w:rsid w:val="004B0973"/>
    <w:rsid w:val="004B0B88"/>
    <w:rsid w:val="004B0E56"/>
    <w:rsid w:val="004B11AF"/>
    <w:rsid w:val="004B129A"/>
    <w:rsid w:val="004B171F"/>
    <w:rsid w:val="004B1DCC"/>
    <w:rsid w:val="004B2A5A"/>
    <w:rsid w:val="004B3001"/>
    <w:rsid w:val="004B30B7"/>
    <w:rsid w:val="004B314A"/>
    <w:rsid w:val="004B50F0"/>
    <w:rsid w:val="004B5556"/>
    <w:rsid w:val="004B5952"/>
    <w:rsid w:val="004B5990"/>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0B7"/>
    <w:rsid w:val="004C11BD"/>
    <w:rsid w:val="004C1B7D"/>
    <w:rsid w:val="004C2E49"/>
    <w:rsid w:val="004C37B9"/>
    <w:rsid w:val="004C3A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0E3"/>
    <w:rsid w:val="004D1736"/>
    <w:rsid w:val="004D1A90"/>
    <w:rsid w:val="004D1E3E"/>
    <w:rsid w:val="004D2234"/>
    <w:rsid w:val="004D236E"/>
    <w:rsid w:val="004D2461"/>
    <w:rsid w:val="004D25EB"/>
    <w:rsid w:val="004D26DD"/>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167"/>
    <w:rsid w:val="004D7951"/>
    <w:rsid w:val="004E05DB"/>
    <w:rsid w:val="004E06B9"/>
    <w:rsid w:val="004E0904"/>
    <w:rsid w:val="004E118E"/>
    <w:rsid w:val="004E176A"/>
    <w:rsid w:val="004E18BC"/>
    <w:rsid w:val="004E1B61"/>
    <w:rsid w:val="004E2D9B"/>
    <w:rsid w:val="004E324E"/>
    <w:rsid w:val="004E3552"/>
    <w:rsid w:val="004E3832"/>
    <w:rsid w:val="004E3B73"/>
    <w:rsid w:val="004E3ED6"/>
    <w:rsid w:val="004E3F32"/>
    <w:rsid w:val="004E429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074"/>
    <w:rsid w:val="004F5140"/>
    <w:rsid w:val="004F5469"/>
    <w:rsid w:val="004F6F61"/>
    <w:rsid w:val="004F76A6"/>
    <w:rsid w:val="004F7A3C"/>
    <w:rsid w:val="004F7D71"/>
    <w:rsid w:val="004F7DA4"/>
    <w:rsid w:val="004F7DA9"/>
    <w:rsid w:val="004F7DC1"/>
    <w:rsid w:val="00500C8D"/>
    <w:rsid w:val="0050177B"/>
    <w:rsid w:val="00501A26"/>
    <w:rsid w:val="00501F97"/>
    <w:rsid w:val="005022A5"/>
    <w:rsid w:val="005028B0"/>
    <w:rsid w:val="005029F9"/>
    <w:rsid w:val="0050305C"/>
    <w:rsid w:val="005035C9"/>
    <w:rsid w:val="005039C8"/>
    <w:rsid w:val="00504CFC"/>
    <w:rsid w:val="005053B4"/>
    <w:rsid w:val="00505E28"/>
    <w:rsid w:val="005060A0"/>
    <w:rsid w:val="005063AF"/>
    <w:rsid w:val="005067F4"/>
    <w:rsid w:val="00506B79"/>
    <w:rsid w:val="00506C28"/>
    <w:rsid w:val="00506E1E"/>
    <w:rsid w:val="0050719E"/>
    <w:rsid w:val="005077BD"/>
    <w:rsid w:val="005079A4"/>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BA"/>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4FE6"/>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99F"/>
    <w:rsid w:val="00543B55"/>
    <w:rsid w:val="00543C41"/>
    <w:rsid w:val="00543D89"/>
    <w:rsid w:val="00543FD8"/>
    <w:rsid w:val="0054419A"/>
    <w:rsid w:val="00544402"/>
    <w:rsid w:val="00544574"/>
    <w:rsid w:val="005445C0"/>
    <w:rsid w:val="00544CC3"/>
    <w:rsid w:val="00544D9E"/>
    <w:rsid w:val="005454DB"/>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4E8"/>
    <w:rsid w:val="00550815"/>
    <w:rsid w:val="00550E94"/>
    <w:rsid w:val="00551532"/>
    <w:rsid w:val="00551804"/>
    <w:rsid w:val="0055329E"/>
    <w:rsid w:val="00553407"/>
    <w:rsid w:val="00553E97"/>
    <w:rsid w:val="005549B2"/>
    <w:rsid w:val="00554A64"/>
    <w:rsid w:val="00555E3C"/>
    <w:rsid w:val="0055646F"/>
    <w:rsid w:val="00556575"/>
    <w:rsid w:val="005567C2"/>
    <w:rsid w:val="005567F8"/>
    <w:rsid w:val="00556E56"/>
    <w:rsid w:val="00556EFE"/>
    <w:rsid w:val="005574B7"/>
    <w:rsid w:val="00557809"/>
    <w:rsid w:val="00557B0B"/>
    <w:rsid w:val="0056038E"/>
    <w:rsid w:val="0056114A"/>
    <w:rsid w:val="0056180E"/>
    <w:rsid w:val="00561AF1"/>
    <w:rsid w:val="00561E8A"/>
    <w:rsid w:val="0056241C"/>
    <w:rsid w:val="00562612"/>
    <w:rsid w:val="00562710"/>
    <w:rsid w:val="00562F8B"/>
    <w:rsid w:val="005639ED"/>
    <w:rsid w:val="00563A47"/>
    <w:rsid w:val="0056421B"/>
    <w:rsid w:val="0056475D"/>
    <w:rsid w:val="005648D5"/>
    <w:rsid w:val="00565383"/>
    <w:rsid w:val="00566B98"/>
    <w:rsid w:val="00567B5B"/>
    <w:rsid w:val="00567FA4"/>
    <w:rsid w:val="00570499"/>
    <w:rsid w:val="005708A6"/>
    <w:rsid w:val="00570AAD"/>
    <w:rsid w:val="0057148A"/>
    <w:rsid w:val="00571991"/>
    <w:rsid w:val="00572490"/>
    <w:rsid w:val="005728A7"/>
    <w:rsid w:val="00573268"/>
    <w:rsid w:val="005732FC"/>
    <w:rsid w:val="00573580"/>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B24"/>
    <w:rsid w:val="0058685A"/>
    <w:rsid w:val="00586EC8"/>
    <w:rsid w:val="00587074"/>
    <w:rsid w:val="00587C5E"/>
    <w:rsid w:val="00587C9D"/>
    <w:rsid w:val="00587E33"/>
    <w:rsid w:val="005900F2"/>
    <w:rsid w:val="005906BC"/>
    <w:rsid w:val="00590B47"/>
    <w:rsid w:val="00590C96"/>
    <w:rsid w:val="0059112A"/>
    <w:rsid w:val="0059151E"/>
    <w:rsid w:val="00591D6A"/>
    <w:rsid w:val="005920D4"/>
    <w:rsid w:val="0059235D"/>
    <w:rsid w:val="005928EB"/>
    <w:rsid w:val="00592AB2"/>
    <w:rsid w:val="00592B9C"/>
    <w:rsid w:val="0059356D"/>
    <w:rsid w:val="00593819"/>
    <w:rsid w:val="00593FAB"/>
    <w:rsid w:val="00593FEA"/>
    <w:rsid w:val="005945E8"/>
    <w:rsid w:val="0059466E"/>
    <w:rsid w:val="00594D1C"/>
    <w:rsid w:val="00595ECE"/>
    <w:rsid w:val="0059601A"/>
    <w:rsid w:val="0059697F"/>
    <w:rsid w:val="00596A91"/>
    <w:rsid w:val="005976AE"/>
    <w:rsid w:val="00597D51"/>
    <w:rsid w:val="005A0817"/>
    <w:rsid w:val="005A091F"/>
    <w:rsid w:val="005A10EE"/>
    <w:rsid w:val="005A15EE"/>
    <w:rsid w:val="005A1CD6"/>
    <w:rsid w:val="005A2536"/>
    <w:rsid w:val="005A2A76"/>
    <w:rsid w:val="005A2F9B"/>
    <w:rsid w:val="005A301F"/>
    <w:rsid w:val="005A314E"/>
    <w:rsid w:val="005A4044"/>
    <w:rsid w:val="005A46E2"/>
    <w:rsid w:val="005A4A64"/>
    <w:rsid w:val="005A4E57"/>
    <w:rsid w:val="005A52F3"/>
    <w:rsid w:val="005A5368"/>
    <w:rsid w:val="005A5998"/>
    <w:rsid w:val="005A59C1"/>
    <w:rsid w:val="005A5B38"/>
    <w:rsid w:val="005A5E57"/>
    <w:rsid w:val="005A6CB4"/>
    <w:rsid w:val="005A6FD4"/>
    <w:rsid w:val="005A7023"/>
    <w:rsid w:val="005A75F2"/>
    <w:rsid w:val="005B0839"/>
    <w:rsid w:val="005B113A"/>
    <w:rsid w:val="005B14D9"/>
    <w:rsid w:val="005B16F7"/>
    <w:rsid w:val="005B1ABC"/>
    <w:rsid w:val="005B1E4E"/>
    <w:rsid w:val="005B1E56"/>
    <w:rsid w:val="005B2443"/>
    <w:rsid w:val="005B256D"/>
    <w:rsid w:val="005B25AF"/>
    <w:rsid w:val="005B2C5A"/>
    <w:rsid w:val="005B31E1"/>
    <w:rsid w:val="005B3262"/>
    <w:rsid w:val="005B326E"/>
    <w:rsid w:val="005B34CF"/>
    <w:rsid w:val="005B3BF7"/>
    <w:rsid w:val="005B3C81"/>
    <w:rsid w:val="005B3EE7"/>
    <w:rsid w:val="005B404F"/>
    <w:rsid w:val="005B4299"/>
    <w:rsid w:val="005B4840"/>
    <w:rsid w:val="005B4980"/>
    <w:rsid w:val="005B4B13"/>
    <w:rsid w:val="005B545D"/>
    <w:rsid w:val="005B5EE0"/>
    <w:rsid w:val="005B6939"/>
    <w:rsid w:val="005B6F3F"/>
    <w:rsid w:val="005B75D1"/>
    <w:rsid w:val="005B793B"/>
    <w:rsid w:val="005C0A42"/>
    <w:rsid w:val="005C0B96"/>
    <w:rsid w:val="005C12C5"/>
    <w:rsid w:val="005C12CB"/>
    <w:rsid w:val="005C1395"/>
    <w:rsid w:val="005C141A"/>
    <w:rsid w:val="005C2082"/>
    <w:rsid w:val="005C285E"/>
    <w:rsid w:val="005C2A22"/>
    <w:rsid w:val="005C2A6E"/>
    <w:rsid w:val="005C300B"/>
    <w:rsid w:val="005C318B"/>
    <w:rsid w:val="005C390B"/>
    <w:rsid w:val="005C3C6C"/>
    <w:rsid w:val="005C400B"/>
    <w:rsid w:val="005C415C"/>
    <w:rsid w:val="005C461C"/>
    <w:rsid w:val="005C48D1"/>
    <w:rsid w:val="005C5450"/>
    <w:rsid w:val="005C5501"/>
    <w:rsid w:val="005C5E6E"/>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BDA"/>
    <w:rsid w:val="005D2E4C"/>
    <w:rsid w:val="005D2F16"/>
    <w:rsid w:val="005D3398"/>
    <w:rsid w:val="005D39ED"/>
    <w:rsid w:val="005D3B5E"/>
    <w:rsid w:val="005D3C20"/>
    <w:rsid w:val="005D3DDA"/>
    <w:rsid w:val="005D3F8D"/>
    <w:rsid w:val="005D46DE"/>
    <w:rsid w:val="005D5BD4"/>
    <w:rsid w:val="005D5C11"/>
    <w:rsid w:val="005D60A2"/>
    <w:rsid w:val="005D67DB"/>
    <w:rsid w:val="005D6FC8"/>
    <w:rsid w:val="005E01C0"/>
    <w:rsid w:val="005E0510"/>
    <w:rsid w:val="005E054F"/>
    <w:rsid w:val="005E0799"/>
    <w:rsid w:val="005E0C3B"/>
    <w:rsid w:val="005E1464"/>
    <w:rsid w:val="005E1F3A"/>
    <w:rsid w:val="005E2941"/>
    <w:rsid w:val="005E2FE3"/>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98"/>
    <w:rsid w:val="005F5BE9"/>
    <w:rsid w:val="005F614C"/>
    <w:rsid w:val="005F65C5"/>
    <w:rsid w:val="005F68EF"/>
    <w:rsid w:val="005F7587"/>
    <w:rsid w:val="005F7885"/>
    <w:rsid w:val="005F7BF5"/>
    <w:rsid w:val="0060037A"/>
    <w:rsid w:val="00600C05"/>
    <w:rsid w:val="00600F70"/>
    <w:rsid w:val="006015AD"/>
    <w:rsid w:val="0060222D"/>
    <w:rsid w:val="006024CF"/>
    <w:rsid w:val="00602AEE"/>
    <w:rsid w:val="00602CC1"/>
    <w:rsid w:val="00603219"/>
    <w:rsid w:val="00603624"/>
    <w:rsid w:val="00604574"/>
    <w:rsid w:val="00604CE0"/>
    <w:rsid w:val="00605366"/>
    <w:rsid w:val="006055FA"/>
    <w:rsid w:val="00605ACF"/>
    <w:rsid w:val="006073AD"/>
    <w:rsid w:val="0060747D"/>
    <w:rsid w:val="00607596"/>
    <w:rsid w:val="00607978"/>
    <w:rsid w:val="00607BCC"/>
    <w:rsid w:val="00607F95"/>
    <w:rsid w:val="00610C32"/>
    <w:rsid w:val="00610E99"/>
    <w:rsid w:val="00611178"/>
    <w:rsid w:val="0061186C"/>
    <w:rsid w:val="00611A2A"/>
    <w:rsid w:val="00611D20"/>
    <w:rsid w:val="00611E42"/>
    <w:rsid w:val="00611EE6"/>
    <w:rsid w:val="00611FB0"/>
    <w:rsid w:val="0061233F"/>
    <w:rsid w:val="006128A0"/>
    <w:rsid w:val="00613F1A"/>
    <w:rsid w:val="00614389"/>
    <w:rsid w:val="00614A48"/>
    <w:rsid w:val="00614D42"/>
    <w:rsid w:val="00614D4F"/>
    <w:rsid w:val="006156E1"/>
    <w:rsid w:val="00615E8F"/>
    <w:rsid w:val="00615FC6"/>
    <w:rsid w:val="00616337"/>
    <w:rsid w:val="00616643"/>
    <w:rsid w:val="00616A68"/>
    <w:rsid w:val="00616B65"/>
    <w:rsid w:val="00617348"/>
    <w:rsid w:val="0062034F"/>
    <w:rsid w:val="006205EE"/>
    <w:rsid w:val="006206A1"/>
    <w:rsid w:val="006208FB"/>
    <w:rsid w:val="00620AF6"/>
    <w:rsid w:val="00621246"/>
    <w:rsid w:val="006215CF"/>
    <w:rsid w:val="006218E6"/>
    <w:rsid w:val="00621CCF"/>
    <w:rsid w:val="006220CD"/>
    <w:rsid w:val="0062239B"/>
    <w:rsid w:val="0062243D"/>
    <w:rsid w:val="006228D0"/>
    <w:rsid w:val="00622B83"/>
    <w:rsid w:val="00623321"/>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0E00"/>
    <w:rsid w:val="00631402"/>
    <w:rsid w:val="0063152D"/>
    <w:rsid w:val="00631A2E"/>
    <w:rsid w:val="006322C6"/>
    <w:rsid w:val="00632DFF"/>
    <w:rsid w:val="00632FEB"/>
    <w:rsid w:val="006336E3"/>
    <w:rsid w:val="00633A30"/>
    <w:rsid w:val="00633D18"/>
    <w:rsid w:val="00633F1C"/>
    <w:rsid w:val="00634262"/>
    <w:rsid w:val="006345FA"/>
    <w:rsid w:val="006348A9"/>
    <w:rsid w:val="0063503A"/>
    <w:rsid w:val="00635246"/>
    <w:rsid w:val="00635B7D"/>
    <w:rsid w:val="00636339"/>
    <w:rsid w:val="006363DB"/>
    <w:rsid w:val="00636C2B"/>
    <w:rsid w:val="006374E1"/>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3CE5"/>
    <w:rsid w:val="006443C2"/>
    <w:rsid w:val="00644D52"/>
    <w:rsid w:val="00645100"/>
    <w:rsid w:val="00645349"/>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8DD"/>
    <w:rsid w:val="00651BA6"/>
    <w:rsid w:val="00652278"/>
    <w:rsid w:val="006527E2"/>
    <w:rsid w:val="006528F2"/>
    <w:rsid w:val="00652916"/>
    <w:rsid w:val="006530B8"/>
    <w:rsid w:val="00653183"/>
    <w:rsid w:val="00653200"/>
    <w:rsid w:val="0065339A"/>
    <w:rsid w:val="00653AAC"/>
    <w:rsid w:val="00653E36"/>
    <w:rsid w:val="0065462A"/>
    <w:rsid w:val="006547DA"/>
    <w:rsid w:val="00654B92"/>
    <w:rsid w:val="00654DFB"/>
    <w:rsid w:val="00654FEF"/>
    <w:rsid w:val="006559EC"/>
    <w:rsid w:val="00655DBE"/>
    <w:rsid w:val="00655F3B"/>
    <w:rsid w:val="00656320"/>
    <w:rsid w:val="00656429"/>
    <w:rsid w:val="00656470"/>
    <w:rsid w:val="00656BD3"/>
    <w:rsid w:val="00657052"/>
    <w:rsid w:val="006570EF"/>
    <w:rsid w:val="00657159"/>
    <w:rsid w:val="0065794E"/>
    <w:rsid w:val="006579A9"/>
    <w:rsid w:val="006602DA"/>
    <w:rsid w:val="00660373"/>
    <w:rsid w:val="00660770"/>
    <w:rsid w:val="00660968"/>
    <w:rsid w:val="00661033"/>
    <w:rsid w:val="006615FA"/>
    <w:rsid w:val="006619D2"/>
    <w:rsid w:val="0066241B"/>
    <w:rsid w:val="00663AEA"/>
    <w:rsid w:val="00663C09"/>
    <w:rsid w:val="00664091"/>
    <w:rsid w:val="006649D2"/>
    <w:rsid w:val="00664A95"/>
    <w:rsid w:val="00664BFE"/>
    <w:rsid w:val="00664E38"/>
    <w:rsid w:val="00664E91"/>
    <w:rsid w:val="0066530D"/>
    <w:rsid w:val="006657CB"/>
    <w:rsid w:val="00665B8E"/>
    <w:rsid w:val="00665BAD"/>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3FA3"/>
    <w:rsid w:val="00674044"/>
    <w:rsid w:val="0067439B"/>
    <w:rsid w:val="00674FFA"/>
    <w:rsid w:val="00675604"/>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5C5A"/>
    <w:rsid w:val="0068606D"/>
    <w:rsid w:val="0068736C"/>
    <w:rsid w:val="00690BDB"/>
    <w:rsid w:val="00690C80"/>
    <w:rsid w:val="0069141B"/>
    <w:rsid w:val="0069167D"/>
    <w:rsid w:val="00692F51"/>
    <w:rsid w:val="006931E5"/>
    <w:rsid w:val="00693853"/>
    <w:rsid w:val="00693A55"/>
    <w:rsid w:val="0069478B"/>
    <w:rsid w:val="00694A68"/>
    <w:rsid w:val="00694FC2"/>
    <w:rsid w:val="0069594D"/>
    <w:rsid w:val="00695AE8"/>
    <w:rsid w:val="00695BFB"/>
    <w:rsid w:val="00695F79"/>
    <w:rsid w:val="0069607B"/>
    <w:rsid w:val="006968A6"/>
    <w:rsid w:val="00697A74"/>
    <w:rsid w:val="00697F05"/>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E5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E11"/>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3DF"/>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4185"/>
    <w:rsid w:val="006D453B"/>
    <w:rsid w:val="006D4D04"/>
    <w:rsid w:val="006D51FA"/>
    <w:rsid w:val="006D5511"/>
    <w:rsid w:val="006D5671"/>
    <w:rsid w:val="006D5D09"/>
    <w:rsid w:val="006D5E3B"/>
    <w:rsid w:val="006D6132"/>
    <w:rsid w:val="006D620F"/>
    <w:rsid w:val="006D62CC"/>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0DB"/>
    <w:rsid w:val="006F2397"/>
    <w:rsid w:val="006F2CBC"/>
    <w:rsid w:val="006F3176"/>
    <w:rsid w:val="006F35DB"/>
    <w:rsid w:val="006F40A8"/>
    <w:rsid w:val="006F41F2"/>
    <w:rsid w:val="006F4359"/>
    <w:rsid w:val="006F47B7"/>
    <w:rsid w:val="006F4BB3"/>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772"/>
    <w:rsid w:val="00701905"/>
    <w:rsid w:val="00701F7D"/>
    <w:rsid w:val="00702789"/>
    <w:rsid w:val="0070299E"/>
    <w:rsid w:val="00703591"/>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10EAC"/>
    <w:rsid w:val="00711234"/>
    <w:rsid w:val="00711475"/>
    <w:rsid w:val="00711841"/>
    <w:rsid w:val="00711A95"/>
    <w:rsid w:val="00711F71"/>
    <w:rsid w:val="007123B7"/>
    <w:rsid w:val="007123F8"/>
    <w:rsid w:val="007130E2"/>
    <w:rsid w:val="00713547"/>
    <w:rsid w:val="00713A3F"/>
    <w:rsid w:val="00714536"/>
    <w:rsid w:val="00714990"/>
    <w:rsid w:val="00714F9A"/>
    <w:rsid w:val="00714FB8"/>
    <w:rsid w:val="00715233"/>
    <w:rsid w:val="007157C3"/>
    <w:rsid w:val="007159E7"/>
    <w:rsid w:val="00716BB5"/>
    <w:rsid w:val="00716D0D"/>
    <w:rsid w:val="00716E80"/>
    <w:rsid w:val="00716F5C"/>
    <w:rsid w:val="00717798"/>
    <w:rsid w:val="00717982"/>
    <w:rsid w:val="00717A3B"/>
    <w:rsid w:val="00717BBB"/>
    <w:rsid w:val="007204BA"/>
    <w:rsid w:val="00720715"/>
    <w:rsid w:val="007207F2"/>
    <w:rsid w:val="00720D15"/>
    <w:rsid w:val="00720D1B"/>
    <w:rsid w:val="00720FDA"/>
    <w:rsid w:val="00721021"/>
    <w:rsid w:val="00721823"/>
    <w:rsid w:val="007219B6"/>
    <w:rsid w:val="00721BA1"/>
    <w:rsid w:val="007223DD"/>
    <w:rsid w:val="007228E2"/>
    <w:rsid w:val="00722A7C"/>
    <w:rsid w:val="00722FFF"/>
    <w:rsid w:val="007234CA"/>
    <w:rsid w:val="00724150"/>
    <w:rsid w:val="007243AC"/>
    <w:rsid w:val="007246A9"/>
    <w:rsid w:val="00724C12"/>
    <w:rsid w:val="00725445"/>
    <w:rsid w:val="007259D9"/>
    <w:rsid w:val="00725D3B"/>
    <w:rsid w:val="00725FA0"/>
    <w:rsid w:val="00726297"/>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2A9"/>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700D"/>
    <w:rsid w:val="00757CD2"/>
    <w:rsid w:val="00757DF8"/>
    <w:rsid w:val="0076081B"/>
    <w:rsid w:val="00760D38"/>
    <w:rsid w:val="00761506"/>
    <w:rsid w:val="00761727"/>
    <w:rsid w:val="007617EC"/>
    <w:rsid w:val="00761CC5"/>
    <w:rsid w:val="00762587"/>
    <w:rsid w:val="007626EE"/>
    <w:rsid w:val="00762758"/>
    <w:rsid w:val="00762797"/>
    <w:rsid w:val="00762B70"/>
    <w:rsid w:val="007630CE"/>
    <w:rsid w:val="007633F9"/>
    <w:rsid w:val="00763F3A"/>
    <w:rsid w:val="0076413A"/>
    <w:rsid w:val="007647B3"/>
    <w:rsid w:val="00764857"/>
    <w:rsid w:val="00764912"/>
    <w:rsid w:val="00764FEB"/>
    <w:rsid w:val="007656E6"/>
    <w:rsid w:val="00765A28"/>
    <w:rsid w:val="0076673D"/>
    <w:rsid w:val="007668C7"/>
    <w:rsid w:val="007675F0"/>
    <w:rsid w:val="00767B1F"/>
    <w:rsid w:val="00770A59"/>
    <w:rsid w:val="00770E3A"/>
    <w:rsid w:val="00771A89"/>
    <w:rsid w:val="00771AFF"/>
    <w:rsid w:val="0077209B"/>
    <w:rsid w:val="0077270C"/>
    <w:rsid w:val="0077397A"/>
    <w:rsid w:val="00773988"/>
    <w:rsid w:val="00773B29"/>
    <w:rsid w:val="00773D68"/>
    <w:rsid w:val="0077477C"/>
    <w:rsid w:val="00774FB0"/>
    <w:rsid w:val="0077534E"/>
    <w:rsid w:val="007758EC"/>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77F6E"/>
    <w:rsid w:val="00780759"/>
    <w:rsid w:val="00780933"/>
    <w:rsid w:val="00780E9C"/>
    <w:rsid w:val="00780EC0"/>
    <w:rsid w:val="0078107B"/>
    <w:rsid w:val="0078146A"/>
    <w:rsid w:val="007817AC"/>
    <w:rsid w:val="00781A1C"/>
    <w:rsid w:val="00781F30"/>
    <w:rsid w:val="007824E7"/>
    <w:rsid w:val="00783421"/>
    <w:rsid w:val="0078368F"/>
    <w:rsid w:val="0078440E"/>
    <w:rsid w:val="00784449"/>
    <w:rsid w:val="00784981"/>
    <w:rsid w:val="00785B13"/>
    <w:rsid w:val="00786532"/>
    <w:rsid w:val="0078654C"/>
    <w:rsid w:val="007865E0"/>
    <w:rsid w:val="007867A7"/>
    <w:rsid w:val="00786B94"/>
    <w:rsid w:val="00787108"/>
    <w:rsid w:val="007877BE"/>
    <w:rsid w:val="007878E9"/>
    <w:rsid w:val="00787C06"/>
    <w:rsid w:val="00790665"/>
    <w:rsid w:val="007908C9"/>
    <w:rsid w:val="00790B1F"/>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909"/>
    <w:rsid w:val="007A7D62"/>
    <w:rsid w:val="007B0754"/>
    <w:rsid w:val="007B0759"/>
    <w:rsid w:val="007B0DAB"/>
    <w:rsid w:val="007B0F44"/>
    <w:rsid w:val="007B10ED"/>
    <w:rsid w:val="007B1E7A"/>
    <w:rsid w:val="007B2E30"/>
    <w:rsid w:val="007B38F9"/>
    <w:rsid w:val="007B4548"/>
    <w:rsid w:val="007B45BB"/>
    <w:rsid w:val="007B47FC"/>
    <w:rsid w:val="007B4ACB"/>
    <w:rsid w:val="007B4F33"/>
    <w:rsid w:val="007B5730"/>
    <w:rsid w:val="007B578D"/>
    <w:rsid w:val="007B59C8"/>
    <w:rsid w:val="007B5CE6"/>
    <w:rsid w:val="007B61F3"/>
    <w:rsid w:val="007B6717"/>
    <w:rsid w:val="007B695B"/>
    <w:rsid w:val="007B6B86"/>
    <w:rsid w:val="007B7093"/>
    <w:rsid w:val="007B768C"/>
    <w:rsid w:val="007B772D"/>
    <w:rsid w:val="007B7C77"/>
    <w:rsid w:val="007B7EA4"/>
    <w:rsid w:val="007C005B"/>
    <w:rsid w:val="007C0063"/>
    <w:rsid w:val="007C028E"/>
    <w:rsid w:val="007C037A"/>
    <w:rsid w:val="007C0F2D"/>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611B"/>
    <w:rsid w:val="007D69C1"/>
    <w:rsid w:val="007D6F27"/>
    <w:rsid w:val="007E021E"/>
    <w:rsid w:val="007E0241"/>
    <w:rsid w:val="007E051A"/>
    <w:rsid w:val="007E053E"/>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7"/>
    <w:rsid w:val="007E2EFF"/>
    <w:rsid w:val="007E3559"/>
    <w:rsid w:val="007E3AC6"/>
    <w:rsid w:val="007E46CC"/>
    <w:rsid w:val="007E493C"/>
    <w:rsid w:val="007E51A7"/>
    <w:rsid w:val="007E54AA"/>
    <w:rsid w:val="007E56B1"/>
    <w:rsid w:val="007E58EB"/>
    <w:rsid w:val="007E5B89"/>
    <w:rsid w:val="007E67C8"/>
    <w:rsid w:val="007E6909"/>
    <w:rsid w:val="007E6C64"/>
    <w:rsid w:val="007E7E4A"/>
    <w:rsid w:val="007F0021"/>
    <w:rsid w:val="007F04A3"/>
    <w:rsid w:val="007F092F"/>
    <w:rsid w:val="007F125E"/>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71A"/>
    <w:rsid w:val="007F6735"/>
    <w:rsid w:val="007F6B7F"/>
    <w:rsid w:val="007F6D3D"/>
    <w:rsid w:val="007F6FDB"/>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723C"/>
    <w:rsid w:val="0080725E"/>
    <w:rsid w:val="00807668"/>
    <w:rsid w:val="0080793C"/>
    <w:rsid w:val="00807DF4"/>
    <w:rsid w:val="0081046E"/>
    <w:rsid w:val="0081071C"/>
    <w:rsid w:val="0081094D"/>
    <w:rsid w:val="00811055"/>
    <w:rsid w:val="00811B5F"/>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715"/>
    <w:rsid w:val="008209D0"/>
    <w:rsid w:val="00820E21"/>
    <w:rsid w:val="00820EF3"/>
    <w:rsid w:val="00821D69"/>
    <w:rsid w:val="00822043"/>
    <w:rsid w:val="008229A0"/>
    <w:rsid w:val="00822BC3"/>
    <w:rsid w:val="00824840"/>
    <w:rsid w:val="00824B23"/>
    <w:rsid w:val="00825074"/>
    <w:rsid w:val="00825628"/>
    <w:rsid w:val="00826030"/>
    <w:rsid w:val="0082605D"/>
    <w:rsid w:val="0082607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2E5E"/>
    <w:rsid w:val="0084340D"/>
    <w:rsid w:val="0084476B"/>
    <w:rsid w:val="00845AAD"/>
    <w:rsid w:val="008462ED"/>
    <w:rsid w:val="00846785"/>
    <w:rsid w:val="00846DE9"/>
    <w:rsid w:val="00847364"/>
    <w:rsid w:val="00847900"/>
    <w:rsid w:val="00847AE0"/>
    <w:rsid w:val="00847E7D"/>
    <w:rsid w:val="0085082E"/>
    <w:rsid w:val="00850E1F"/>
    <w:rsid w:val="00851172"/>
    <w:rsid w:val="00851695"/>
    <w:rsid w:val="00851A3E"/>
    <w:rsid w:val="00851CEB"/>
    <w:rsid w:val="008522AB"/>
    <w:rsid w:val="00852894"/>
    <w:rsid w:val="0085295A"/>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458"/>
    <w:rsid w:val="00860975"/>
    <w:rsid w:val="0086114F"/>
    <w:rsid w:val="008612B1"/>
    <w:rsid w:val="00861421"/>
    <w:rsid w:val="008616D2"/>
    <w:rsid w:val="00861BC5"/>
    <w:rsid w:val="00861F38"/>
    <w:rsid w:val="00862D29"/>
    <w:rsid w:val="008632AD"/>
    <w:rsid w:val="00863A9A"/>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6E98"/>
    <w:rsid w:val="00867116"/>
    <w:rsid w:val="00867E54"/>
    <w:rsid w:val="00870A29"/>
    <w:rsid w:val="00870AB3"/>
    <w:rsid w:val="00870BAC"/>
    <w:rsid w:val="00870E91"/>
    <w:rsid w:val="00870F6F"/>
    <w:rsid w:val="00871343"/>
    <w:rsid w:val="008717DA"/>
    <w:rsid w:val="00871B61"/>
    <w:rsid w:val="00871E28"/>
    <w:rsid w:val="0087205E"/>
    <w:rsid w:val="00872118"/>
    <w:rsid w:val="008726F6"/>
    <w:rsid w:val="00873164"/>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44A"/>
    <w:rsid w:val="008847D1"/>
    <w:rsid w:val="00884CE6"/>
    <w:rsid w:val="0088563B"/>
    <w:rsid w:val="00885A93"/>
    <w:rsid w:val="00885BA6"/>
    <w:rsid w:val="00885F0E"/>
    <w:rsid w:val="008863E8"/>
    <w:rsid w:val="00887181"/>
    <w:rsid w:val="008876E9"/>
    <w:rsid w:val="00887CAC"/>
    <w:rsid w:val="00887E76"/>
    <w:rsid w:val="00890120"/>
    <w:rsid w:val="00890E5F"/>
    <w:rsid w:val="0089232F"/>
    <w:rsid w:val="0089244E"/>
    <w:rsid w:val="00892759"/>
    <w:rsid w:val="008927AA"/>
    <w:rsid w:val="00892C1F"/>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339"/>
    <w:rsid w:val="008A08CC"/>
    <w:rsid w:val="008A0C82"/>
    <w:rsid w:val="008A0D54"/>
    <w:rsid w:val="008A192C"/>
    <w:rsid w:val="008A1DB6"/>
    <w:rsid w:val="008A2589"/>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2F72"/>
    <w:rsid w:val="008B3058"/>
    <w:rsid w:val="008B3157"/>
    <w:rsid w:val="008B3337"/>
    <w:rsid w:val="008B35F3"/>
    <w:rsid w:val="008B3695"/>
    <w:rsid w:val="008B424E"/>
    <w:rsid w:val="008B4CB8"/>
    <w:rsid w:val="008B53E9"/>
    <w:rsid w:val="008B5425"/>
    <w:rsid w:val="008B582B"/>
    <w:rsid w:val="008B639C"/>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7050"/>
    <w:rsid w:val="008C73C0"/>
    <w:rsid w:val="008C75CE"/>
    <w:rsid w:val="008C768B"/>
    <w:rsid w:val="008C79B9"/>
    <w:rsid w:val="008C7B66"/>
    <w:rsid w:val="008D00A7"/>
    <w:rsid w:val="008D0787"/>
    <w:rsid w:val="008D0C12"/>
    <w:rsid w:val="008D15E7"/>
    <w:rsid w:val="008D1840"/>
    <w:rsid w:val="008D1D57"/>
    <w:rsid w:val="008D1F70"/>
    <w:rsid w:val="008D1FF5"/>
    <w:rsid w:val="008D22AD"/>
    <w:rsid w:val="008D2619"/>
    <w:rsid w:val="008D2B36"/>
    <w:rsid w:val="008D3365"/>
    <w:rsid w:val="008D3758"/>
    <w:rsid w:val="008D3916"/>
    <w:rsid w:val="008D3D13"/>
    <w:rsid w:val="008D4301"/>
    <w:rsid w:val="008D43C2"/>
    <w:rsid w:val="008D4DD2"/>
    <w:rsid w:val="008D54A8"/>
    <w:rsid w:val="008D5E30"/>
    <w:rsid w:val="008D6AD6"/>
    <w:rsid w:val="008D6DAE"/>
    <w:rsid w:val="008D7624"/>
    <w:rsid w:val="008E05D5"/>
    <w:rsid w:val="008E13D7"/>
    <w:rsid w:val="008E163D"/>
    <w:rsid w:val="008E1D74"/>
    <w:rsid w:val="008E2012"/>
    <w:rsid w:val="008E3397"/>
    <w:rsid w:val="008E3739"/>
    <w:rsid w:val="008E3869"/>
    <w:rsid w:val="008E40EA"/>
    <w:rsid w:val="008E56A9"/>
    <w:rsid w:val="008E57E3"/>
    <w:rsid w:val="008E73CB"/>
    <w:rsid w:val="008E77D6"/>
    <w:rsid w:val="008E798A"/>
    <w:rsid w:val="008E7B54"/>
    <w:rsid w:val="008E7D71"/>
    <w:rsid w:val="008F002C"/>
    <w:rsid w:val="008F0C74"/>
    <w:rsid w:val="008F2804"/>
    <w:rsid w:val="008F2D15"/>
    <w:rsid w:val="008F378E"/>
    <w:rsid w:val="008F37CA"/>
    <w:rsid w:val="008F42A3"/>
    <w:rsid w:val="008F4617"/>
    <w:rsid w:val="008F4627"/>
    <w:rsid w:val="008F4DE2"/>
    <w:rsid w:val="008F54AE"/>
    <w:rsid w:val="008F654F"/>
    <w:rsid w:val="008F6987"/>
    <w:rsid w:val="0090045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D6D"/>
    <w:rsid w:val="00910881"/>
    <w:rsid w:val="00911155"/>
    <w:rsid w:val="00911263"/>
    <w:rsid w:val="009113A4"/>
    <w:rsid w:val="00911BD2"/>
    <w:rsid w:val="00912643"/>
    <w:rsid w:val="009127EC"/>
    <w:rsid w:val="00912D93"/>
    <w:rsid w:val="00912F9F"/>
    <w:rsid w:val="0091352B"/>
    <w:rsid w:val="009135C8"/>
    <w:rsid w:val="009137CF"/>
    <w:rsid w:val="00913EE5"/>
    <w:rsid w:val="00914A71"/>
    <w:rsid w:val="00914D0E"/>
    <w:rsid w:val="00915004"/>
    <w:rsid w:val="0091523C"/>
    <w:rsid w:val="009158B2"/>
    <w:rsid w:val="00915E6A"/>
    <w:rsid w:val="0091610D"/>
    <w:rsid w:val="00916242"/>
    <w:rsid w:val="0091684F"/>
    <w:rsid w:val="00916C99"/>
    <w:rsid w:val="00916D42"/>
    <w:rsid w:val="00917686"/>
    <w:rsid w:val="00917FCE"/>
    <w:rsid w:val="009203E3"/>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A25"/>
    <w:rsid w:val="00924C58"/>
    <w:rsid w:val="00924E89"/>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5D6"/>
    <w:rsid w:val="00935FA4"/>
    <w:rsid w:val="00935FBE"/>
    <w:rsid w:val="00936992"/>
    <w:rsid w:val="009369D0"/>
    <w:rsid w:val="00936A33"/>
    <w:rsid w:val="00936F27"/>
    <w:rsid w:val="009371F1"/>
    <w:rsid w:val="00937202"/>
    <w:rsid w:val="009374B8"/>
    <w:rsid w:val="009375F3"/>
    <w:rsid w:val="009378AA"/>
    <w:rsid w:val="0093795B"/>
    <w:rsid w:val="0094042F"/>
    <w:rsid w:val="009404F3"/>
    <w:rsid w:val="00940735"/>
    <w:rsid w:val="00940846"/>
    <w:rsid w:val="00941A02"/>
    <w:rsid w:val="0094230A"/>
    <w:rsid w:val="009428F4"/>
    <w:rsid w:val="009431C9"/>
    <w:rsid w:val="00943731"/>
    <w:rsid w:val="00943DA0"/>
    <w:rsid w:val="00944129"/>
    <w:rsid w:val="0094479E"/>
    <w:rsid w:val="00945598"/>
    <w:rsid w:val="00945C23"/>
    <w:rsid w:val="00945D43"/>
    <w:rsid w:val="00945FD5"/>
    <w:rsid w:val="0094636C"/>
    <w:rsid w:val="0094689D"/>
    <w:rsid w:val="00946FC1"/>
    <w:rsid w:val="00947A50"/>
    <w:rsid w:val="00947FEB"/>
    <w:rsid w:val="009508EB"/>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29A"/>
    <w:rsid w:val="00965907"/>
    <w:rsid w:val="00965BC0"/>
    <w:rsid w:val="00965C4B"/>
    <w:rsid w:val="00965EE9"/>
    <w:rsid w:val="00965F26"/>
    <w:rsid w:val="009661D7"/>
    <w:rsid w:val="009667AB"/>
    <w:rsid w:val="0096686C"/>
    <w:rsid w:val="00966AC3"/>
    <w:rsid w:val="00966D04"/>
    <w:rsid w:val="009673EA"/>
    <w:rsid w:val="009675CE"/>
    <w:rsid w:val="009677EA"/>
    <w:rsid w:val="00967B85"/>
    <w:rsid w:val="00967E84"/>
    <w:rsid w:val="00967EF1"/>
    <w:rsid w:val="00970984"/>
    <w:rsid w:val="00970D81"/>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693D"/>
    <w:rsid w:val="00977098"/>
    <w:rsid w:val="00977252"/>
    <w:rsid w:val="00977372"/>
    <w:rsid w:val="00977781"/>
    <w:rsid w:val="009778D3"/>
    <w:rsid w:val="00977EEB"/>
    <w:rsid w:val="00980BDE"/>
    <w:rsid w:val="00980BE0"/>
    <w:rsid w:val="00980FD7"/>
    <w:rsid w:val="0098115C"/>
    <w:rsid w:val="00981773"/>
    <w:rsid w:val="0098226C"/>
    <w:rsid w:val="00982438"/>
    <w:rsid w:val="00983159"/>
    <w:rsid w:val="009833E5"/>
    <w:rsid w:val="00983672"/>
    <w:rsid w:val="00983784"/>
    <w:rsid w:val="00983BD2"/>
    <w:rsid w:val="00983BD7"/>
    <w:rsid w:val="00983CB7"/>
    <w:rsid w:val="00983D0F"/>
    <w:rsid w:val="00984597"/>
    <w:rsid w:val="009846C4"/>
    <w:rsid w:val="00984882"/>
    <w:rsid w:val="00984949"/>
    <w:rsid w:val="00984975"/>
    <w:rsid w:val="009849D7"/>
    <w:rsid w:val="00984B74"/>
    <w:rsid w:val="009850FA"/>
    <w:rsid w:val="009854AD"/>
    <w:rsid w:val="009858BF"/>
    <w:rsid w:val="0098593E"/>
    <w:rsid w:val="00985A52"/>
    <w:rsid w:val="009860EC"/>
    <w:rsid w:val="0098616B"/>
    <w:rsid w:val="009863AA"/>
    <w:rsid w:val="00986D83"/>
    <w:rsid w:val="009870F2"/>
    <w:rsid w:val="009877DE"/>
    <w:rsid w:val="009900FC"/>
    <w:rsid w:val="00990171"/>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3B3"/>
    <w:rsid w:val="009A14C0"/>
    <w:rsid w:val="009A1BF5"/>
    <w:rsid w:val="009A2A57"/>
    <w:rsid w:val="009A2F96"/>
    <w:rsid w:val="009A326B"/>
    <w:rsid w:val="009A32D6"/>
    <w:rsid w:val="009A400E"/>
    <w:rsid w:val="009A4507"/>
    <w:rsid w:val="009A46BA"/>
    <w:rsid w:val="009A55F0"/>
    <w:rsid w:val="009A5EFE"/>
    <w:rsid w:val="009A5F0E"/>
    <w:rsid w:val="009A6BE2"/>
    <w:rsid w:val="009A6F8F"/>
    <w:rsid w:val="009A766D"/>
    <w:rsid w:val="009A7986"/>
    <w:rsid w:val="009B0351"/>
    <w:rsid w:val="009B0E08"/>
    <w:rsid w:val="009B1EA0"/>
    <w:rsid w:val="009B25F9"/>
    <w:rsid w:val="009B2BE7"/>
    <w:rsid w:val="009B3291"/>
    <w:rsid w:val="009B338D"/>
    <w:rsid w:val="009B3468"/>
    <w:rsid w:val="009B3CB1"/>
    <w:rsid w:val="009B3CBE"/>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681"/>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3B0C"/>
    <w:rsid w:val="009D450D"/>
    <w:rsid w:val="009D500C"/>
    <w:rsid w:val="009D5FD4"/>
    <w:rsid w:val="009D676A"/>
    <w:rsid w:val="009D67EC"/>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3D4C"/>
    <w:rsid w:val="009E4784"/>
    <w:rsid w:val="009E4BEE"/>
    <w:rsid w:val="009E4CE6"/>
    <w:rsid w:val="009E5142"/>
    <w:rsid w:val="009E567F"/>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0CB2"/>
    <w:rsid w:val="00A010E9"/>
    <w:rsid w:val="00A01434"/>
    <w:rsid w:val="00A0188F"/>
    <w:rsid w:val="00A01DD0"/>
    <w:rsid w:val="00A0211A"/>
    <w:rsid w:val="00A023E0"/>
    <w:rsid w:val="00A023EC"/>
    <w:rsid w:val="00A025E2"/>
    <w:rsid w:val="00A030B9"/>
    <w:rsid w:val="00A039D1"/>
    <w:rsid w:val="00A03CB1"/>
    <w:rsid w:val="00A03D40"/>
    <w:rsid w:val="00A03F09"/>
    <w:rsid w:val="00A04D8B"/>
    <w:rsid w:val="00A04F19"/>
    <w:rsid w:val="00A04F8B"/>
    <w:rsid w:val="00A050AE"/>
    <w:rsid w:val="00A05330"/>
    <w:rsid w:val="00A05559"/>
    <w:rsid w:val="00A05A4A"/>
    <w:rsid w:val="00A05BAE"/>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287"/>
    <w:rsid w:val="00A13484"/>
    <w:rsid w:val="00A13924"/>
    <w:rsid w:val="00A14341"/>
    <w:rsid w:val="00A1435E"/>
    <w:rsid w:val="00A156DC"/>
    <w:rsid w:val="00A15FDD"/>
    <w:rsid w:val="00A1685E"/>
    <w:rsid w:val="00A169EB"/>
    <w:rsid w:val="00A16A23"/>
    <w:rsid w:val="00A17724"/>
    <w:rsid w:val="00A17BD5"/>
    <w:rsid w:val="00A20ABC"/>
    <w:rsid w:val="00A20E5F"/>
    <w:rsid w:val="00A21198"/>
    <w:rsid w:val="00A21347"/>
    <w:rsid w:val="00A21DAE"/>
    <w:rsid w:val="00A21EAC"/>
    <w:rsid w:val="00A21FC6"/>
    <w:rsid w:val="00A22403"/>
    <w:rsid w:val="00A2287A"/>
    <w:rsid w:val="00A22D3E"/>
    <w:rsid w:val="00A243B4"/>
    <w:rsid w:val="00A24742"/>
    <w:rsid w:val="00A24D5C"/>
    <w:rsid w:val="00A25F50"/>
    <w:rsid w:val="00A2614F"/>
    <w:rsid w:val="00A262D2"/>
    <w:rsid w:val="00A264DC"/>
    <w:rsid w:val="00A268BC"/>
    <w:rsid w:val="00A26C04"/>
    <w:rsid w:val="00A26EE1"/>
    <w:rsid w:val="00A2775F"/>
    <w:rsid w:val="00A27C35"/>
    <w:rsid w:val="00A3002C"/>
    <w:rsid w:val="00A30214"/>
    <w:rsid w:val="00A30A52"/>
    <w:rsid w:val="00A31394"/>
    <w:rsid w:val="00A320E5"/>
    <w:rsid w:val="00A32B3D"/>
    <w:rsid w:val="00A33007"/>
    <w:rsid w:val="00A33A96"/>
    <w:rsid w:val="00A34382"/>
    <w:rsid w:val="00A34496"/>
    <w:rsid w:val="00A34CA7"/>
    <w:rsid w:val="00A35060"/>
    <w:rsid w:val="00A3597D"/>
    <w:rsid w:val="00A36259"/>
    <w:rsid w:val="00A36270"/>
    <w:rsid w:val="00A366EE"/>
    <w:rsid w:val="00A368A8"/>
    <w:rsid w:val="00A36D24"/>
    <w:rsid w:val="00A37302"/>
    <w:rsid w:val="00A37D25"/>
    <w:rsid w:val="00A37FA6"/>
    <w:rsid w:val="00A402A6"/>
    <w:rsid w:val="00A40D05"/>
    <w:rsid w:val="00A40D79"/>
    <w:rsid w:val="00A4124B"/>
    <w:rsid w:val="00A41305"/>
    <w:rsid w:val="00A41C2B"/>
    <w:rsid w:val="00A42040"/>
    <w:rsid w:val="00A42295"/>
    <w:rsid w:val="00A42B8B"/>
    <w:rsid w:val="00A42CBF"/>
    <w:rsid w:val="00A43077"/>
    <w:rsid w:val="00A43609"/>
    <w:rsid w:val="00A43D7A"/>
    <w:rsid w:val="00A43FCE"/>
    <w:rsid w:val="00A4464B"/>
    <w:rsid w:val="00A448F8"/>
    <w:rsid w:val="00A44A9B"/>
    <w:rsid w:val="00A45020"/>
    <w:rsid w:val="00A456E8"/>
    <w:rsid w:val="00A45990"/>
    <w:rsid w:val="00A45C78"/>
    <w:rsid w:val="00A46083"/>
    <w:rsid w:val="00A4653F"/>
    <w:rsid w:val="00A46807"/>
    <w:rsid w:val="00A47764"/>
    <w:rsid w:val="00A501B2"/>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57A8F"/>
    <w:rsid w:val="00A60214"/>
    <w:rsid w:val="00A60985"/>
    <w:rsid w:val="00A60C5C"/>
    <w:rsid w:val="00A614D3"/>
    <w:rsid w:val="00A61537"/>
    <w:rsid w:val="00A61618"/>
    <w:rsid w:val="00A624C2"/>
    <w:rsid w:val="00A62988"/>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132"/>
    <w:rsid w:val="00A728BF"/>
    <w:rsid w:val="00A72A2F"/>
    <w:rsid w:val="00A72DBC"/>
    <w:rsid w:val="00A73006"/>
    <w:rsid w:val="00A7323F"/>
    <w:rsid w:val="00A734DE"/>
    <w:rsid w:val="00A7364A"/>
    <w:rsid w:val="00A73A44"/>
    <w:rsid w:val="00A743EF"/>
    <w:rsid w:val="00A7498A"/>
    <w:rsid w:val="00A74B08"/>
    <w:rsid w:val="00A74BC3"/>
    <w:rsid w:val="00A751D1"/>
    <w:rsid w:val="00A7525C"/>
    <w:rsid w:val="00A761AF"/>
    <w:rsid w:val="00A77214"/>
    <w:rsid w:val="00A77ABC"/>
    <w:rsid w:val="00A80140"/>
    <w:rsid w:val="00A801A2"/>
    <w:rsid w:val="00A806C6"/>
    <w:rsid w:val="00A808D1"/>
    <w:rsid w:val="00A80A16"/>
    <w:rsid w:val="00A811A9"/>
    <w:rsid w:val="00A81632"/>
    <w:rsid w:val="00A818F4"/>
    <w:rsid w:val="00A827A4"/>
    <w:rsid w:val="00A83084"/>
    <w:rsid w:val="00A83BB5"/>
    <w:rsid w:val="00A84113"/>
    <w:rsid w:val="00A846D3"/>
    <w:rsid w:val="00A84CCC"/>
    <w:rsid w:val="00A85BC0"/>
    <w:rsid w:val="00A85D5D"/>
    <w:rsid w:val="00A864DB"/>
    <w:rsid w:val="00A86590"/>
    <w:rsid w:val="00A86796"/>
    <w:rsid w:val="00A8691A"/>
    <w:rsid w:val="00A86DA8"/>
    <w:rsid w:val="00A871DC"/>
    <w:rsid w:val="00A877F2"/>
    <w:rsid w:val="00A9016C"/>
    <w:rsid w:val="00A90B39"/>
    <w:rsid w:val="00A90DF7"/>
    <w:rsid w:val="00A910CB"/>
    <w:rsid w:val="00A91DEA"/>
    <w:rsid w:val="00A91E98"/>
    <w:rsid w:val="00A9248C"/>
    <w:rsid w:val="00A92503"/>
    <w:rsid w:val="00A92884"/>
    <w:rsid w:val="00A928EF"/>
    <w:rsid w:val="00A92A85"/>
    <w:rsid w:val="00A93379"/>
    <w:rsid w:val="00A9349A"/>
    <w:rsid w:val="00A9416B"/>
    <w:rsid w:val="00A9430E"/>
    <w:rsid w:val="00A95AAF"/>
    <w:rsid w:val="00A95C22"/>
    <w:rsid w:val="00A9704C"/>
    <w:rsid w:val="00A97E2E"/>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14E"/>
    <w:rsid w:val="00AA4439"/>
    <w:rsid w:val="00AA4503"/>
    <w:rsid w:val="00AA4623"/>
    <w:rsid w:val="00AA4C05"/>
    <w:rsid w:val="00AA5107"/>
    <w:rsid w:val="00AA5D65"/>
    <w:rsid w:val="00AA6293"/>
    <w:rsid w:val="00AA689A"/>
    <w:rsid w:val="00AA6A1B"/>
    <w:rsid w:val="00AA6A89"/>
    <w:rsid w:val="00AA7077"/>
    <w:rsid w:val="00AA7173"/>
    <w:rsid w:val="00AA7405"/>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76E0"/>
    <w:rsid w:val="00AB77B7"/>
    <w:rsid w:val="00AC003A"/>
    <w:rsid w:val="00AC0289"/>
    <w:rsid w:val="00AC061F"/>
    <w:rsid w:val="00AC06A2"/>
    <w:rsid w:val="00AC1434"/>
    <w:rsid w:val="00AC2638"/>
    <w:rsid w:val="00AC2F3F"/>
    <w:rsid w:val="00AC3313"/>
    <w:rsid w:val="00AC358C"/>
    <w:rsid w:val="00AC39EF"/>
    <w:rsid w:val="00AC40E2"/>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20E"/>
    <w:rsid w:val="00AD24F8"/>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7B1"/>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F83"/>
    <w:rsid w:val="00AE7563"/>
    <w:rsid w:val="00AE75D0"/>
    <w:rsid w:val="00AE7731"/>
    <w:rsid w:val="00AE7DE6"/>
    <w:rsid w:val="00AF00FA"/>
    <w:rsid w:val="00AF055D"/>
    <w:rsid w:val="00AF0BAE"/>
    <w:rsid w:val="00AF0FDC"/>
    <w:rsid w:val="00AF102C"/>
    <w:rsid w:val="00AF132F"/>
    <w:rsid w:val="00AF1C35"/>
    <w:rsid w:val="00AF204C"/>
    <w:rsid w:val="00AF29B2"/>
    <w:rsid w:val="00AF3639"/>
    <w:rsid w:val="00AF3B27"/>
    <w:rsid w:val="00AF4190"/>
    <w:rsid w:val="00AF449C"/>
    <w:rsid w:val="00AF47F0"/>
    <w:rsid w:val="00AF4ADA"/>
    <w:rsid w:val="00AF4F5E"/>
    <w:rsid w:val="00AF5024"/>
    <w:rsid w:val="00AF5131"/>
    <w:rsid w:val="00AF525C"/>
    <w:rsid w:val="00AF5629"/>
    <w:rsid w:val="00AF6914"/>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333A"/>
    <w:rsid w:val="00B041BA"/>
    <w:rsid w:val="00B0430F"/>
    <w:rsid w:val="00B04E11"/>
    <w:rsid w:val="00B04E2A"/>
    <w:rsid w:val="00B04FE6"/>
    <w:rsid w:val="00B055B7"/>
    <w:rsid w:val="00B05AD0"/>
    <w:rsid w:val="00B06363"/>
    <w:rsid w:val="00B06549"/>
    <w:rsid w:val="00B066D6"/>
    <w:rsid w:val="00B06C4F"/>
    <w:rsid w:val="00B06F2B"/>
    <w:rsid w:val="00B100E7"/>
    <w:rsid w:val="00B10265"/>
    <w:rsid w:val="00B10783"/>
    <w:rsid w:val="00B10BFF"/>
    <w:rsid w:val="00B1157E"/>
    <w:rsid w:val="00B1164D"/>
    <w:rsid w:val="00B11CDC"/>
    <w:rsid w:val="00B1225E"/>
    <w:rsid w:val="00B13BCF"/>
    <w:rsid w:val="00B14727"/>
    <w:rsid w:val="00B14BA8"/>
    <w:rsid w:val="00B14DCA"/>
    <w:rsid w:val="00B155EA"/>
    <w:rsid w:val="00B1597A"/>
    <w:rsid w:val="00B162DC"/>
    <w:rsid w:val="00B16383"/>
    <w:rsid w:val="00B16807"/>
    <w:rsid w:val="00B16A5C"/>
    <w:rsid w:val="00B16FB2"/>
    <w:rsid w:val="00B171BE"/>
    <w:rsid w:val="00B1726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2E8A"/>
    <w:rsid w:val="00B237DB"/>
    <w:rsid w:val="00B2403F"/>
    <w:rsid w:val="00B244BE"/>
    <w:rsid w:val="00B245CA"/>
    <w:rsid w:val="00B24B7E"/>
    <w:rsid w:val="00B25B3B"/>
    <w:rsid w:val="00B26230"/>
    <w:rsid w:val="00B2698E"/>
    <w:rsid w:val="00B274B9"/>
    <w:rsid w:val="00B27A59"/>
    <w:rsid w:val="00B27F5E"/>
    <w:rsid w:val="00B301EF"/>
    <w:rsid w:val="00B302F7"/>
    <w:rsid w:val="00B30401"/>
    <w:rsid w:val="00B30823"/>
    <w:rsid w:val="00B30AEC"/>
    <w:rsid w:val="00B30FE6"/>
    <w:rsid w:val="00B3170D"/>
    <w:rsid w:val="00B33AF6"/>
    <w:rsid w:val="00B33D9C"/>
    <w:rsid w:val="00B341E2"/>
    <w:rsid w:val="00B341FC"/>
    <w:rsid w:val="00B34454"/>
    <w:rsid w:val="00B34A48"/>
    <w:rsid w:val="00B34ABE"/>
    <w:rsid w:val="00B34DBA"/>
    <w:rsid w:val="00B34E4F"/>
    <w:rsid w:val="00B34F0C"/>
    <w:rsid w:val="00B352DD"/>
    <w:rsid w:val="00B35810"/>
    <w:rsid w:val="00B35B04"/>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37BB"/>
    <w:rsid w:val="00B444CA"/>
    <w:rsid w:val="00B45213"/>
    <w:rsid w:val="00B45954"/>
    <w:rsid w:val="00B45967"/>
    <w:rsid w:val="00B45F0B"/>
    <w:rsid w:val="00B46A9C"/>
    <w:rsid w:val="00B46FD7"/>
    <w:rsid w:val="00B47272"/>
    <w:rsid w:val="00B472CB"/>
    <w:rsid w:val="00B47C07"/>
    <w:rsid w:val="00B500EB"/>
    <w:rsid w:val="00B50C62"/>
    <w:rsid w:val="00B513EB"/>
    <w:rsid w:val="00B5145C"/>
    <w:rsid w:val="00B51497"/>
    <w:rsid w:val="00B5189C"/>
    <w:rsid w:val="00B51EB7"/>
    <w:rsid w:val="00B51ECA"/>
    <w:rsid w:val="00B52953"/>
    <w:rsid w:val="00B53C20"/>
    <w:rsid w:val="00B53C7F"/>
    <w:rsid w:val="00B540E4"/>
    <w:rsid w:val="00B54236"/>
    <w:rsid w:val="00B54796"/>
    <w:rsid w:val="00B54AC3"/>
    <w:rsid w:val="00B564C3"/>
    <w:rsid w:val="00B56B15"/>
    <w:rsid w:val="00B56B51"/>
    <w:rsid w:val="00B5711A"/>
    <w:rsid w:val="00B60026"/>
    <w:rsid w:val="00B60BA0"/>
    <w:rsid w:val="00B61502"/>
    <w:rsid w:val="00B61573"/>
    <w:rsid w:val="00B6166A"/>
    <w:rsid w:val="00B621D0"/>
    <w:rsid w:val="00B62AD8"/>
    <w:rsid w:val="00B6304A"/>
    <w:rsid w:val="00B63116"/>
    <w:rsid w:val="00B6359A"/>
    <w:rsid w:val="00B64322"/>
    <w:rsid w:val="00B6497A"/>
    <w:rsid w:val="00B64CFF"/>
    <w:rsid w:val="00B66626"/>
    <w:rsid w:val="00B66F59"/>
    <w:rsid w:val="00B67029"/>
    <w:rsid w:val="00B67400"/>
    <w:rsid w:val="00B6756D"/>
    <w:rsid w:val="00B67892"/>
    <w:rsid w:val="00B70016"/>
    <w:rsid w:val="00B700E4"/>
    <w:rsid w:val="00B70398"/>
    <w:rsid w:val="00B707DF"/>
    <w:rsid w:val="00B71674"/>
    <w:rsid w:val="00B7180E"/>
    <w:rsid w:val="00B71DA0"/>
    <w:rsid w:val="00B72E3A"/>
    <w:rsid w:val="00B72EA8"/>
    <w:rsid w:val="00B7367E"/>
    <w:rsid w:val="00B7428F"/>
    <w:rsid w:val="00B74466"/>
    <w:rsid w:val="00B74516"/>
    <w:rsid w:val="00B7477D"/>
    <w:rsid w:val="00B74A5E"/>
    <w:rsid w:val="00B74F82"/>
    <w:rsid w:val="00B7556A"/>
    <w:rsid w:val="00B75C24"/>
    <w:rsid w:val="00B7605A"/>
    <w:rsid w:val="00B76E99"/>
    <w:rsid w:val="00B76EE1"/>
    <w:rsid w:val="00B77672"/>
    <w:rsid w:val="00B77942"/>
    <w:rsid w:val="00B77D0C"/>
    <w:rsid w:val="00B80329"/>
    <w:rsid w:val="00B80529"/>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0A45"/>
    <w:rsid w:val="00B90C8C"/>
    <w:rsid w:val="00B9112D"/>
    <w:rsid w:val="00B91824"/>
    <w:rsid w:val="00B91DF0"/>
    <w:rsid w:val="00B92104"/>
    <w:rsid w:val="00B9249E"/>
    <w:rsid w:val="00B924BE"/>
    <w:rsid w:val="00B9347E"/>
    <w:rsid w:val="00B936D7"/>
    <w:rsid w:val="00B9383D"/>
    <w:rsid w:val="00B93D6C"/>
    <w:rsid w:val="00B94077"/>
    <w:rsid w:val="00B943FE"/>
    <w:rsid w:val="00B94C3F"/>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81"/>
    <w:rsid w:val="00BB01D4"/>
    <w:rsid w:val="00BB0AAE"/>
    <w:rsid w:val="00BB0B45"/>
    <w:rsid w:val="00BB0E11"/>
    <w:rsid w:val="00BB1143"/>
    <w:rsid w:val="00BB15AD"/>
    <w:rsid w:val="00BB19DF"/>
    <w:rsid w:val="00BB19F8"/>
    <w:rsid w:val="00BB1D9F"/>
    <w:rsid w:val="00BB28C6"/>
    <w:rsid w:val="00BB2C88"/>
    <w:rsid w:val="00BB2EC7"/>
    <w:rsid w:val="00BB2FD8"/>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1AA5"/>
    <w:rsid w:val="00BC2311"/>
    <w:rsid w:val="00BC2971"/>
    <w:rsid w:val="00BC2E03"/>
    <w:rsid w:val="00BC2FD3"/>
    <w:rsid w:val="00BC32D8"/>
    <w:rsid w:val="00BC3504"/>
    <w:rsid w:val="00BC39DD"/>
    <w:rsid w:val="00BC3BD1"/>
    <w:rsid w:val="00BC3C97"/>
    <w:rsid w:val="00BC4159"/>
    <w:rsid w:val="00BC437A"/>
    <w:rsid w:val="00BC46BE"/>
    <w:rsid w:val="00BC4A31"/>
    <w:rsid w:val="00BC5226"/>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443"/>
    <w:rsid w:val="00BD3494"/>
    <w:rsid w:val="00BD4068"/>
    <w:rsid w:val="00BD4B3D"/>
    <w:rsid w:val="00BD4D35"/>
    <w:rsid w:val="00BD582D"/>
    <w:rsid w:val="00BD59A0"/>
    <w:rsid w:val="00BD61E0"/>
    <w:rsid w:val="00BD63E5"/>
    <w:rsid w:val="00BD725C"/>
    <w:rsid w:val="00BD7627"/>
    <w:rsid w:val="00BD7A1F"/>
    <w:rsid w:val="00BD7E84"/>
    <w:rsid w:val="00BE01EA"/>
    <w:rsid w:val="00BE0396"/>
    <w:rsid w:val="00BE0850"/>
    <w:rsid w:val="00BE179C"/>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570C"/>
    <w:rsid w:val="00BE6E1E"/>
    <w:rsid w:val="00BE71FD"/>
    <w:rsid w:val="00BE7F53"/>
    <w:rsid w:val="00BF0508"/>
    <w:rsid w:val="00BF0F95"/>
    <w:rsid w:val="00BF0FAB"/>
    <w:rsid w:val="00BF1233"/>
    <w:rsid w:val="00BF1607"/>
    <w:rsid w:val="00BF17C2"/>
    <w:rsid w:val="00BF1801"/>
    <w:rsid w:val="00BF18CE"/>
    <w:rsid w:val="00BF1AE6"/>
    <w:rsid w:val="00BF24A7"/>
    <w:rsid w:val="00BF26E2"/>
    <w:rsid w:val="00BF281E"/>
    <w:rsid w:val="00BF2F1A"/>
    <w:rsid w:val="00BF2F64"/>
    <w:rsid w:val="00BF2FA7"/>
    <w:rsid w:val="00BF318D"/>
    <w:rsid w:val="00BF3385"/>
    <w:rsid w:val="00BF3387"/>
    <w:rsid w:val="00BF352F"/>
    <w:rsid w:val="00BF38D6"/>
    <w:rsid w:val="00BF3BD2"/>
    <w:rsid w:val="00BF3F72"/>
    <w:rsid w:val="00BF3F7D"/>
    <w:rsid w:val="00BF404D"/>
    <w:rsid w:val="00BF40DC"/>
    <w:rsid w:val="00BF41EA"/>
    <w:rsid w:val="00BF4833"/>
    <w:rsid w:val="00BF522F"/>
    <w:rsid w:val="00BF5470"/>
    <w:rsid w:val="00BF5886"/>
    <w:rsid w:val="00BF5D89"/>
    <w:rsid w:val="00BF618A"/>
    <w:rsid w:val="00BF6857"/>
    <w:rsid w:val="00BF6EC3"/>
    <w:rsid w:val="00BF7139"/>
    <w:rsid w:val="00BF71D3"/>
    <w:rsid w:val="00BF7F3B"/>
    <w:rsid w:val="00C006BD"/>
    <w:rsid w:val="00C007DF"/>
    <w:rsid w:val="00C0119B"/>
    <w:rsid w:val="00C01482"/>
    <w:rsid w:val="00C022EE"/>
    <w:rsid w:val="00C024EC"/>
    <w:rsid w:val="00C03175"/>
    <w:rsid w:val="00C0406B"/>
    <w:rsid w:val="00C04251"/>
    <w:rsid w:val="00C051D7"/>
    <w:rsid w:val="00C051DF"/>
    <w:rsid w:val="00C05530"/>
    <w:rsid w:val="00C05BE7"/>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5"/>
    <w:rsid w:val="00C12779"/>
    <w:rsid w:val="00C12BAE"/>
    <w:rsid w:val="00C13087"/>
    <w:rsid w:val="00C134F3"/>
    <w:rsid w:val="00C13E0D"/>
    <w:rsid w:val="00C13E54"/>
    <w:rsid w:val="00C14170"/>
    <w:rsid w:val="00C141B8"/>
    <w:rsid w:val="00C142B1"/>
    <w:rsid w:val="00C142DB"/>
    <w:rsid w:val="00C149C3"/>
    <w:rsid w:val="00C14A7F"/>
    <w:rsid w:val="00C14CAF"/>
    <w:rsid w:val="00C158FB"/>
    <w:rsid w:val="00C15A93"/>
    <w:rsid w:val="00C15BA8"/>
    <w:rsid w:val="00C15BC0"/>
    <w:rsid w:val="00C1610E"/>
    <w:rsid w:val="00C1619F"/>
    <w:rsid w:val="00C16354"/>
    <w:rsid w:val="00C16E7D"/>
    <w:rsid w:val="00C17984"/>
    <w:rsid w:val="00C17B6F"/>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D56"/>
    <w:rsid w:val="00C31E25"/>
    <w:rsid w:val="00C32178"/>
    <w:rsid w:val="00C32852"/>
    <w:rsid w:val="00C338D9"/>
    <w:rsid w:val="00C339F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1C8D"/>
    <w:rsid w:val="00C421C1"/>
    <w:rsid w:val="00C42D76"/>
    <w:rsid w:val="00C434CD"/>
    <w:rsid w:val="00C43512"/>
    <w:rsid w:val="00C439FE"/>
    <w:rsid w:val="00C43BF2"/>
    <w:rsid w:val="00C44874"/>
    <w:rsid w:val="00C44D14"/>
    <w:rsid w:val="00C44D97"/>
    <w:rsid w:val="00C456CE"/>
    <w:rsid w:val="00C457F1"/>
    <w:rsid w:val="00C45B58"/>
    <w:rsid w:val="00C461C1"/>
    <w:rsid w:val="00C46210"/>
    <w:rsid w:val="00C4651F"/>
    <w:rsid w:val="00C46532"/>
    <w:rsid w:val="00C46678"/>
    <w:rsid w:val="00C46A27"/>
    <w:rsid w:val="00C46C40"/>
    <w:rsid w:val="00C4723C"/>
    <w:rsid w:val="00C47742"/>
    <w:rsid w:val="00C479EB"/>
    <w:rsid w:val="00C47B4D"/>
    <w:rsid w:val="00C47CFA"/>
    <w:rsid w:val="00C47D13"/>
    <w:rsid w:val="00C50161"/>
    <w:rsid w:val="00C50850"/>
    <w:rsid w:val="00C51046"/>
    <w:rsid w:val="00C51261"/>
    <w:rsid w:val="00C51342"/>
    <w:rsid w:val="00C516A8"/>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A9F"/>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235"/>
    <w:rsid w:val="00C87458"/>
    <w:rsid w:val="00C87EB8"/>
    <w:rsid w:val="00C9030F"/>
    <w:rsid w:val="00C90900"/>
    <w:rsid w:val="00C9091F"/>
    <w:rsid w:val="00C90EEC"/>
    <w:rsid w:val="00C91974"/>
    <w:rsid w:val="00C91ABC"/>
    <w:rsid w:val="00C92108"/>
    <w:rsid w:val="00C92CD0"/>
    <w:rsid w:val="00C9346B"/>
    <w:rsid w:val="00C93825"/>
    <w:rsid w:val="00C93A4F"/>
    <w:rsid w:val="00C941E2"/>
    <w:rsid w:val="00C9434C"/>
    <w:rsid w:val="00C947E8"/>
    <w:rsid w:val="00C950CF"/>
    <w:rsid w:val="00C95708"/>
    <w:rsid w:val="00C95FA3"/>
    <w:rsid w:val="00C96306"/>
    <w:rsid w:val="00C96B00"/>
    <w:rsid w:val="00C96B63"/>
    <w:rsid w:val="00C97627"/>
    <w:rsid w:val="00C97688"/>
    <w:rsid w:val="00CA0121"/>
    <w:rsid w:val="00CA017C"/>
    <w:rsid w:val="00CA05C6"/>
    <w:rsid w:val="00CA0BC0"/>
    <w:rsid w:val="00CA0CDE"/>
    <w:rsid w:val="00CA0DFA"/>
    <w:rsid w:val="00CA2329"/>
    <w:rsid w:val="00CA2911"/>
    <w:rsid w:val="00CA309B"/>
    <w:rsid w:val="00CA32A9"/>
    <w:rsid w:val="00CA3AF0"/>
    <w:rsid w:val="00CA3B70"/>
    <w:rsid w:val="00CA3F6F"/>
    <w:rsid w:val="00CA4403"/>
    <w:rsid w:val="00CA49C6"/>
    <w:rsid w:val="00CA4DF4"/>
    <w:rsid w:val="00CA4FB2"/>
    <w:rsid w:val="00CA68F7"/>
    <w:rsid w:val="00CA6CB8"/>
    <w:rsid w:val="00CA77F6"/>
    <w:rsid w:val="00CA7DB2"/>
    <w:rsid w:val="00CB1B77"/>
    <w:rsid w:val="00CB2486"/>
    <w:rsid w:val="00CB4334"/>
    <w:rsid w:val="00CB462B"/>
    <w:rsid w:val="00CB4E6C"/>
    <w:rsid w:val="00CB4FF4"/>
    <w:rsid w:val="00CB5FB5"/>
    <w:rsid w:val="00CB65F1"/>
    <w:rsid w:val="00CB730C"/>
    <w:rsid w:val="00CB7AF6"/>
    <w:rsid w:val="00CB7F6C"/>
    <w:rsid w:val="00CC0265"/>
    <w:rsid w:val="00CC0A15"/>
    <w:rsid w:val="00CC0A92"/>
    <w:rsid w:val="00CC0B58"/>
    <w:rsid w:val="00CC14FC"/>
    <w:rsid w:val="00CC2424"/>
    <w:rsid w:val="00CC2C08"/>
    <w:rsid w:val="00CC307A"/>
    <w:rsid w:val="00CC31C3"/>
    <w:rsid w:val="00CC4AD4"/>
    <w:rsid w:val="00CC4E2A"/>
    <w:rsid w:val="00CC5387"/>
    <w:rsid w:val="00CC580B"/>
    <w:rsid w:val="00CC59AE"/>
    <w:rsid w:val="00CC5CA9"/>
    <w:rsid w:val="00CC6189"/>
    <w:rsid w:val="00CC64B9"/>
    <w:rsid w:val="00CC6511"/>
    <w:rsid w:val="00CC655C"/>
    <w:rsid w:val="00CC6BE5"/>
    <w:rsid w:val="00CC6C74"/>
    <w:rsid w:val="00CC7267"/>
    <w:rsid w:val="00CD0192"/>
    <w:rsid w:val="00CD0918"/>
    <w:rsid w:val="00CD1E89"/>
    <w:rsid w:val="00CD2865"/>
    <w:rsid w:val="00CD2D12"/>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3E88"/>
    <w:rsid w:val="00CE403C"/>
    <w:rsid w:val="00CE42D6"/>
    <w:rsid w:val="00CE46B5"/>
    <w:rsid w:val="00CE471B"/>
    <w:rsid w:val="00CE4A0A"/>
    <w:rsid w:val="00CE4B3D"/>
    <w:rsid w:val="00CE4EED"/>
    <w:rsid w:val="00CE4F69"/>
    <w:rsid w:val="00CE506A"/>
    <w:rsid w:val="00CE5305"/>
    <w:rsid w:val="00CE5D0A"/>
    <w:rsid w:val="00CE5EE9"/>
    <w:rsid w:val="00CE5F20"/>
    <w:rsid w:val="00CE60C5"/>
    <w:rsid w:val="00CE635E"/>
    <w:rsid w:val="00CE647E"/>
    <w:rsid w:val="00CE6822"/>
    <w:rsid w:val="00CE6857"/>
    <w:rsid w:val="00CE6D3E"/>
    <w:rsid w:val="00CE6DFC"/>
    <w:rsid w:val="00CE6F68"/>
    <w:rsid w:val="00CE74B4"/>
    <w:rsid w:val="00CE766A"/>
    <w:rsid w:val="00CE77F5"/>
    <w:rsid w:val="00CE7B3B"/>
    <w:rsid w:val="00CF0669"/>
    <w:rsid w:val="00CF14B4"/>
    <w:rsid w:val="00CF1E68"/>
    <w:rsid w:val="00CF1FC4"/>
    <w:rsid w:val="00CF2326"/>
    <w:rsid w:val="00CF2559"/>
    <w:rsid w:val="00CF2C47"/>
    <w:rsid w:val="00CF3024"/>
    <w:rsid w:val="00CF3737"/>
    <w:rsid w:val="00CF430E"/>
    <w:rsid w:val="00CF471B"/>
    <w:rsid w:val="00CF4BC4"/>
    <w:rsid w:val="00CF4FAE"/>
    <w:rsid w:val="00CF4FB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50E"/>
    <w:rsid w:val="00D05D91"/>
    <w:rsid w:val="00D05DE3"/>
    <w:rsid w:val="00D062B0"/>
    <w:rsid w:val="00D06539"/>
    <w:rsid w:val="00D06866"/>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1AF"/>
    <w:rsid w:val="00D25716"/>
    <w:rsid w:val="00D269B7"/>
    <w:rsid w:val="00D273C7"/>
    <w:rsid w:val="00D274D3"/>
    <w:rsid w:val="00D312CB"/>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A7A"/>
    <w:rsid w:val="00D37C8E"/>
    <w:rsid w:val="00D37D45"/>
    <w:rsid w:val="00D403D7"/>
    <w:rsid w:val="00D40585"/>
    <w:rsid w:val="00D40A8E"/>
    <w:rsid w:val="00D40E64"/>
    <w:rsid w:val="00D40E68"/>
    <w:rsid w:val="00D41119"/>
    <w:rsid w:val="00D41826"/>
    <w:rsid w:val="00D41A70"/>
    <w:rsid w:val="00D41B6D"/>
    <w:rsid w:val="00D43187"/>
    <w:rsid w:val="00D43192"/>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28BF"/>
    <w:rsid w:val="00D53608"/>
    <w:rsid w:val="00D537A5"/>
    <w:rsid w:val="00D539CC"/>
    <w:rsid w:val="00D53C9F"/>
    <w:rsid w:val="00D54281"/>
    <w:rsid w:val="00D54323"/>
    <w:rsid w:val="00D54769"/>
    <w:rsid w:val="00D54AC9"/>
    <w:rsid w:val="00D558EC"/>
    <w:rsid w:val="00D55F34"/>
    <w:rsid w:val="00D566A0"/>
    <w:rsid w:val="00D5727C"/>
    <w:rsid w:val="00D60604"/>
    <w:rsid w:val="00D60A8D"/>
    <w:rsid w:val="00D61030"/>
    <w:rsid w:val="00D615D9"/>
    <w:rsid w:val="00D61609"/>
    <w:rsid w:val="00D62421"/>
    <w:rsid w:val="00D6283E"/>
    <w:rsid w:val="00D6299A"/>
    <w:rsid w:val="00D63654"/>
    <w:rsid w:val="00D638B0"/>
    <w:rsid w:val="00D64679"/>
    <w:rsid w:val="00D64BE2"/>
    <w:rsid w:val="00D64F1B"/>
    <w:rsid w:val="00D655E6"/>
    <w:rsid w:val="00D658CD"/>
    <w:rsid w:val="00D65B37"/>
    <w:rsid w:val="00D6716B"/>
    <w:rsid w:val="00D672AD"/>
    <w:rsid w:val="00D6752D"/>
    <w:rsid w:val="00D7002B"/>
    <w:rsid w:val="00D710FC"/>
    <w:rsid w:val="00D71277"/>
    <w:rsid w:val="00D718F2"/>
    <w:rsid w:val="00D71CB9"/>
    <w:rsid w:val="00D7202D"/>
    <w:rsid w:val="00D721C2"/>
    <w:rsid w:val="00D728D4"/>
    <w:rsid w:val="00D729DC"/>
    <w:rsid w:val="00D7311B"/>
    <w:rsid w:val="00D7348E"/>
    <w:rsid w:val="00D73506"/>
    <w:rsid w:val="00D73BC5"/>
    <w:rsid w:val="00D74487"/>
    <w:rsid w:val="00D74ED2"/>
    <w:rsid w:val="00D7509F"/>
    <w:rsid w:val="00D75D57"/>
    <w:rsid w:val="00D76328"/>
    <w:rsid w:val="00D764EA"/>
    <w:rsid w:val="00D76569"/>
    <w:rsid w:val="00D765E9"/>
    <w:rsid w:val="00D76A22"/>
    <w:rsid w:val="00D801D8"/>
    <w:rsid w:val="00D8136E"/>
    <w:rsid w:val="00D822D8"/>
    <w:rsid w:val="00D82550"/>
    <w:rsid w:val="00D826BD"/>
    <w:rsid w:val="00D83669"/>
    <w:rsid w:val="00D836BC"/>
    <w:rsid w:val="00D83878"/>
    <w:rsid w:val="00D838D0"/>
    <w:rsid w:val="00D84E6D"/>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527"/>
    <w:rsid w:val="00D9197C"/>
    <w:rsid w:val="00D919EA"/>
    <w:rsid w:val="00D91B6A"/>
    <w:rsid w:val="00D92057"/>
    <w:rsid w:val="00D921CE"/>
    <w:rsid w:val="00D9280D"/>
    <w:rsid w:val="00D928F3"/>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2DF"/>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0F5A"/>
    <w:rsid w:val="00DB17C5"/>
    <w:rsid w:val="00DB1B41"/>
    <w:rsid w:val="00DB1C0F"/>
    <w:rsid w:val="00DB1EF2"/>
    <w:rsid w:val="00DB1FF7"/>
    <w:rsid w:val="00DB3401"/>
    <w:rsid w:val="00DB3571"/>
    <w:rsid w:val="00DB3A31"/>
    <w:rsid w:val="00DB3DC1"/>
    <w:rsid w:val="00DB4280"/>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1D5"/>
    <w:rsid w:val="00DC1935"/>
    <w:rsid w:val="00DC199B"/>
    <w:rsid w:val="00DC2451"/>
    <w:rsid w:val="00DC2767"/>
    <w:rsid w:val="00DC28AF"/>
    <w:rsid w:val="00DC2D97"/>
    <w:rsid w:val="00DC2E16"/>
    <w:rsid w:val="00DC3082"/>
    <w:rsid w:val="00DC30A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142"/>
    <w:rsid w:val="00DE1DAD"/>
    <w:rsid w:val="00DE1EAE"/>
    <w:rsid w:val="00DE2438"/>
    <w:rsid w:val="00DE243C"/>
    <w:rsid w:val="00DE2536"/>
    <w:rsid w:val="00DE282A"/>
    <w:rsid w:val="00DE3242"/>
    <w:rsid w:val="00DE4081"/>
    <w:rsid w:val="00DE4653"/>
    <w:rsid w:val="00DE4963"/>
    <w:rsid w:val="00DE4C36"/>
    <w:rsid w:val="00DE4F6F"/>
    <w:rsid w:val="00DE5DA2"/>
    <w:rsid w:val="00DE5F09"/>
    <w:rsid w:val="00DE6ED2"/>
    <w:rsid w:val="00DE7749"/>
    <w:rsid w:val="00DE7EC4"/>
    <w:rsid w:val="00DF008C"/>
    <w:rsid w:val="00DF07CE"/>
    <w:rsid w:val="00DF093F"/>
    <w:rsid w:val="00DF094C"/>
    <w:rsid w:val="00DF0F89"/>
    <w:rsid w:val="00DF1366"/>
    <w:rsid w:val="00DF164A"/>
    <w:rsid w:val="00DF22BB"/>
    <w:rsid w:val="00DF2900"/>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2F2"/>
    <w:rsid w:val="00E01624"/>
    <w:rsid w:val="00E01AEF"/>
    <w:rsid w:val="00E01CA8"/>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7C7"/>
    <w:rsid w:val="00E06872"/>
    <w:rsid w:val="00E06B97"/>
    <w:rsid w:val="00E0702B"/>
    <w:rsid w:val="00E0722D"/>
    <w:rsid w:val="00E074CD"/>
    <w:rsid w:val="00E07AA1"/>
    <w:rsid w:val="00E07D42"/>
    <w:rsid w:val="00E07FF7"/>
    <w:rsid w:val="00E10064"/>
    <w:rsid w:val="00E1100B"/>
    <w:rsid w:val="00E1116A"/>
    <w:rsid w:val="00E1154F"/>
    <w:rsid w:val="00E11B51"/>
    <w:rsid w:val="00E11F3E"/>
    <w:rsid w:val="00E121BE"/>
    <w:rsid w:val="00E12510"/>
    <w:rsid w:val="00E13C26"/>
    <w:rsid w:val="00E14001"/>
    <w:rsid w:val="00E148F4"/>
    <w:rsid w:val="00E1516E"/>
    <w:rsid w:val="00E152A6"/>
    <w:rsid w:val="00E156B9"/>
    <w:rsid w:val="00E15719"/>
    <w:rsid w:val="00E16A10"/>
    <w:rsid w:val="00E16F63"/>
    <w:rsid w:val="00E170A1"/>
    <w:rsid w:val="00E17CD8"/>
    <w:rsid w:val="00E20447"/>
    <w:rsid w:val="00E20CAB"/>
    <w:rsid w:val="00E20CB1"/>
    <w:rsid w:val="00E20F12"/>
    <w:rsid w:val="00E22157"/>
    <w:rsid w:val="00E22224"/>
    <w:rsid w:val="00E2283A"/>
    <w:rsid w:val="00E22AFE"/>
    <w:rsid w:val="00E2338F"/>
    <w:rsid w:val="00E2381E"/>
    <w:rsid w:val="00E238EF"/>
    <w:rsid w:val="00E2457A"/>
    <w:rsid w:val="00E251EB"/>
    <w:rsid w:val="00E25B40"/>
    <w:rsid w:val="00E2630F"/>
    <w:rsid w:val="00E26E76"/>
    <w:rsid w:val="00E275AA"/>
    <w:rsid w:val="00E3049C"/>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08C"/>
    <w:rsid w:val="00E357AA"/>
    <w:rsid w:val="00E361ED"/>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AC"/>
    <w:rsid w:val="00E47AE8"/>
    <w:rsid w:val="00E47D8F"/>
    <w:rsid w:val="00E500A9"/>
    <w:rsid w:val="00E513D2"/>
    <w:rsid w:val="00E51B57"/>
    <w:rsid w:val="00E51CBF"/>
    <w:rsid w:val="00E51DF8"/>
    <w:rsid w:val="00E51E50"/>
    <w:rsid w:val="00E52115"/>
    <w:rsid w:val="00E53097"/>
    <w:rsid w:val="00E53098"/>
    <w:rsid w:val="00E53B44"/>
    <w:rsid w:val="00E53B5D"/>
    <w:rsid w:val="00E53D30"/>
    <w:rsid w:val="00E53E24"/>
    <w:rsid w:val="00E54477"/>
    <w:rsid w:val="00E5461E"/>
    <w:rsid w:val="00E54CE8"/>
    <w:rsid w:val="00E5519A"/>
    <w:rsid w:val="00E55756"/>
    <w:rsid w:val="00E5589E"/>
    <w:rsid w:val="00E55BDE"/>
    <w:rsid w:val="00E55CF2"/>
    <w:rsid w:val="00E56586"/>
    <w:rsid w:val="00E56926"/>
    <w:rsid w:val="00E56A66"/>
    <w:rsid w:val="00E56E27"/>
    <w:rsid w:val="00E571A7"/>
    <w:rsid w:val="00E57317"/>
    <w:rsid w:val="00E579CD"/>
    <w:rsid w:val="00E579CE"/>
    <w:rsid w:val="00E57DEB"/>
    <w:rsid w:val="00E601A3"/>
    <w:rsid w:val="00E60382"/>
    <w:rsid w:val="00E60614"/>
    <w:rsid w:val="00E618F4"/>
    <w:rsid w:val="00E61AED"/>
    <w:rsid w:val="00E6256E"/>
    <w:rsid w:val="00E62668"/>
    <w:rsid w:val="00E627EF"/>
    <w:rsid w:val="00E628BB"/>
    <w:rsid w:val="00E62A9C"/>
    <w:rsid w:val="00E637C2"/>
    <w:rsid w:val="00E63E6B"/>
    <w:rsid w:val="00E6454D"/>
    <w:rsid w:val="00E647E1"/>
    <w:rsid w:val="00E64D09"/>
    <w:rsid w:val="00E6580A"/>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2AC2"/>
    <w:rsid w:val="00E7314B"/>
    <w:rsid w:val="00E731B3"/>
    <w:rsid w:val="00E733CB"/>
    <w:rsid w:val="00E73679"/>
    <w:rsid w:val="00E73B29"/>
    <w:rsid w:val="00E740B0"/>
    <w:rsid w:val="00E740D1"/>
    <w:rsid w:val="00E74703"/>
    <w:rsid w:val="00E7475C"/>
    <w:rsid w:val="00E74C1E"/>
    <w:rsid w:val="00E74F6A"/>
    <w:rsid w:val="00E7630B"/>
    <w:rsid w:val="00E76A42"/>
    <w:rsid w:val="00E76DF9"/>
    <w:rsid w:val="00E77413"/>
    <w:rsid w:val="00E7744F"/>
    <w:rsid w:val="00E778A4"/>
    <w:rsid w:val="00E778B5"/>
    <w:rsid w:val="00E77941"/>
    <w:rsid w:val="00E80784"/>
    <w:rsid w:val="00E81201"/>
    <w:rsid w:val="00E812AB"/>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5CE4"/>
    <w:rsid w:val="00EB7301"/>
    <w:rsid w:val="00EB7BCD"/>
    <w:rsid w:val="00EB7EE6"/>
    <w:rsid w:val="00EC008C"/>
    <w:rsid w:val="00EC032D"/>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1CFA"/>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7ED"/>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3C7F"/>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ECA"/>
    <w:rsid w:val="00F10038"/>
    <w:rsid w:val="00F10222"/>
    <w:rsid w:val="00F106AA"/>
    <w:rsid w:val="00F10AC6"/>
    <w:rsid w:val="00F10F48"/>
    <w:rsid w:val="00F112D2"/>
    <w:rsid w:val="00F1155D"/>
    <w:rsid w:val="00F121B3"/>
    <w:rsid w:val="00F1251F"/>
    <w:rsid w:val="00F127C1"/>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9D2"/>
    <w:rsid w:val="00F23F8B"/>
    <w:rsid w:val="00F24A7B"/>
    <w:rsid w:val="00F24DA3"/>
    <w:rsid w:val="00F25102"/>
    <w:rsid w:val="00F25EF5"/>
    <w:rsid w:val="00F25F70"/>
    <w:rsid w:val="00F2634F"/>
    <w:rsid w:val="00F26627"/>
    <w:rsid w:val="00F26FD3"/>
    <w:rsid w:val="00F27720"/>
    <w:rsid w:val="00F27B11"/>
    <w:rsid w:val="00F3073C"/>
    <w:rsid w:val="00F307CF"/>
    <w:rsid w:val="00F30910"/>
    <w:rsid w:val="00F30ACB"/>
    <w:rsid w:val="00F30E54"/>
    <w:rsid w:val="00F3149C"/>
    <w:rsid w:val="00F31A9C"/>
    <w:rsid w:val="00F31F19"/>
    <w:rsid w:val="00F31FC4"/>
    <w:rsid w:val="00F320B7"/>
    <w:rsid w:val="00F327F0"/>
    <w:rsid w:val="00F32C7A"/>
    <w:rsid w:val="00F33DB6"/>
    <w:rsid w:val="00F34135"/>
    <w:rsid w:val="00F341A0"/>
    <w:rsid w:val="00F343D8"/>
    <w:rsid w:val="00F343EB"/>
    <w:rsid w:val="00F34472"/>
    <w:rsid w:val="00F349BB"/>
    <w:rsid w:val="00F34D3D"/>
    <w:rsid w:val="00F3546C"/>
    <w:rsid w:val="00F35738"/>
    <w:rsid w:val="00F35E74"/>
    <w:rsid w:val="00F35F96"/>
    <w:rsid w:val="00F35FEC"/>
    <w:rsid w:val="00F36089"/>
    <w:rsid w:val="00F36B32"/>
    <w:rsid w:val="00F3715C"/>
    <w:rsid w:val="00F37344"/>
    <w:rsid w:val="00F37656"/>
    <w:rsid w:val="00F37B75"/>
    <w:rsid w:val="00F41715"/>
    <w:rsid w:val="00F424FC"/>
    <w:rsid w:val="00F42B4D"/>
    <w:rsid w:val="00F42F79"/>
    <w:rsid w:val="00F43084"/>
    <w:rsid w:val="00F430CB"/>
    <w:rsid w:val="00F43698"/>
    <w:rsid w:val="00F438BC"/>
    <w:rsid w:val="00F44FB4"/>
    <w:rsid w:val="00F4501D"/>
    <w:rsid w:val="00F45140"/>
    <w:rsid w:val="00F4525C"/>
    <w:rsid w:val="00F45496"/>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4E1"/>
    <w:rsid w:val="00F54899"/>
    <w:rsid w:val="00F54901"/>
    <w:rsid w:val="00F54E28"/>
    <w:rsid w:val="00F552E1"/>
    <w:rsid w:val="00F55618"/>
    <w:rsid w:val="00F558BD"/>
    <w:rsid w:val="00F55D4F"/>
    <w:rsid w:val="00F564B4"/>
    <w:rsid w:val="00F56AF6"/>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5133"/>
    <w:rsid w:val="00F65B6D"/>
    <w:rsid w:val="00F65E84"/>
    <w:rsid w:val="00F666EF"/>
    <w:rsid w:val="00F66D2A"/>
    <w:rsid w:val="00F6753B"/>
    <w:rsid w:val="00F67705"/>
    <w:rsid w:val="00F67831"/>
    <w:rsid w:val="00F70835"/>
    <w:rsid w:val="00F70AC9"/>
    <w:rsid w:val="00F70E3A"/>
    <w:rsid w:val="00F70EA8"/>
    <w:rsid w:val="00F71157"/>
    <w:rsid w:val="00F711B1"/>
    <w:rsid w:val="00F7146C"/>
    <w:rsid w:val="00F71EB1"/>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5F"/>
    <w:rsid w:val="00F8198C"/>
    <w:rsid w:val="00F819B4"/>
    <w:rsid w:val="00F81E06"/>
    <w:rsid w:val="00F82787"/>
    <w:rsid w:val="00F82A72"/>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4E7"/>
    <w:rsid w:val="00F92511"/>
    <w:rsid w:val="00F92FA7"/>
    <w:rsid w:val="00F938C4"/>
    <w:rsid w:val="00F93D94"/>
    <w:rsid w:val="00F93F82"/>
    <w:rsid w:val="00F9459F"/>
    <w:rsid w:val="00F945F7"/>
    <w:rsid w:val="00F94E69"/>
    <w:rsid w:val="00F954B8"/>
    <w:rsid w:val="00F957E7"/>
    <w:rsid w:val="00F95A0E"/>
    <w:rsid w:val="00F96299"/>
    <w:rsid w:val="00F9675E"/>
    <w:rsid w:val="00F967A9"/>
    <w:rsid w:val="00F96C9F"/>
    <w:rsid w:val="00F96CA1"/>
    <w:rsid w:val="00F96F1D"/>
    <w:rsid w:val="00F9703F"/>
    <w:rsid w:val="00F97721"/>
    <w:rsid w:val="00F97D8A"/>
    <w:rsid w:val="00FA0368"/>
    <w:rsid w:val="00FA0759"/>
    <w:rsid w:val="00FA0FEB"/>
    <w:rsid w:val="00FA10E6"/>
    <w:rsid w:val="00FA1656"/>
    <w:rsid w:val="00FA1C08"/>
    <w:rsid w:val="00FA1C7D"/>
    <w:rsid w:val="00FA2677"/>
    <w:rsid w:val="00FA3371"/>
    <w:rsid w:val="00FA3D68"/>
    <w:rsid w:val="00FA3E56"/>
    <w:rsid w:val="00FA424C"/>
    <w:rsid w:val="00FA48A1"/>
    <w:rsid w:val="00FA4DA6"/>
    <w:rsid w:val="00FA5998"/>
    <w:rsid w:val="00FA60A9"/>
    <w:rsid w:val="00FA6F6A"/>
    <w:rsid w:val="00FA7BAD"/>
    <w:rsid w:val="00FB0264"/>
    <w:rsid w:val="00FB0761"/>
    <w:rsid w:val="00FB0CD3"/>
    <w:rsid w:val="00FB177E"/>
    <w:rsid w:val="00FB1920"/>
    <w:rsid w:val="00FB1BB5"/>
    <w:rsid w:val="00FB1EFA"/>
    <w:rsid w:val="00FB2399"/>
    <w:rsid w:val="00FB2620"/>
    <w:rsid w:val="00FB2F32"/>
    <w:rsid w:val="00FB3A3A"/>
    <w:rsid w:val="00FB3F7E"/>
    <w:rsid w:val="00FB40FE"/>
    <w:rsid w:val="00FB4D06"/>
    <w:rsid w:val="00FB4EDE"/>
    <w:rsid w:val="00FB5AA5"/>
    <w:rsid w:val="00FB5D6E"/>
    <w:rsid w:val="00FB6B0B"/>
    <w:rsid w:val="00FB6EC3"/>
    <w:rsid w:val="00FB731E"/>
    <w:rsid w:val="00FB7DB8"/>
    <w:rsid w:val="00FC0140"/>
    <w:rsid w:val="00FC0B5A"/>
    <w:rsid w:val="00FC0DD5"/>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E81"/>
    <w:rsid w:val="00FC7A8A"/>
    <w:rsid w:val="00FC7D5F"/>
    <w:rsid w:val="00FD009A"/>
    <w:rsid w:val="00FD0334"/>
    <w:rsid w:val="00FD059E"/>
    <w:rsid w:val="00FD084D"/>
    <w:rsid w:val="00FD1146"/>
    <w:rsid w:val="00FD1554"/>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17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6C8D"/>
    <w:rsid w:val="00FE7101"/>
    <w:rsid w:val="00FE71AE"/>
    <w:rsid w:val="00FE7750"/>
    <w:rsid w:val="00FE79BE"/>
    <w:rsid w:val="00FE7B8C"/>
    <w:rsid w:val="00FE7C6E"/>
    <w:rsid w:val="00FF00E9"/>
    <w:rsid w:val="00FF0330"/>
    <w:rsid w:val="00FF0414"/>
    <w:rsid w:val="00FF0423"/>
    <w:rsid w:val="00FF04CA"/>
    <w:rsid w:val="00FF056F"/>
    <w:rsid w:val="00FF065F"/>
    <w:rsid w:val="00FF0AE5"/>
    <w:rsid w:val="00FF0C79"/>
    <w:rsid w:val="00FF167B"/>
    <w:rsid w:val="00FF2222"/>
    <w:rsid w:val="00FF25F7"/>
    <w:rsid w:val="00FF282B"/>
    <w:rsid w:val="00FF2972"/>
    <w:rsid w:val="00FF2C5D"/>
    <w:rsid w:val="00FF3DC2"/>
    <w:rsid w:val="00FF4627"/>
    <w:rsid w:val="00FF547A"/>
    <w:rsid w:val="00FF54EE"/>
    <w:rsid w:val="00FF5913"/>
    <w:rsid w:val="00FF5E96"/>
    <w:rsid w:val="00FF62C6"/>
    <w:rsid w:val="00FF6388"/>
    <w:rsid w:val="00FF649A"/>
    <w:rsid w:val="00FF68B6"/>
    <w:rsid w:val="00FF7B2A"/>
    <w:rsid w:val="01097B79"/>
    <w:rsid w:val="01185E5C"/>
    <w:rsid w:val="01265791"/>
    <w:rsid w:val="01284E14"/>
    <w:rsid w:val="012A599E"/>
    <w:rsid w:val="01342903"/>
    <w:rsid w:val="0137077E"/>
    <w:rsid w:val="01395070"/>
    <w:rsid w:val="01524FE8"/>
    <w:rsid w:val="0153685F"/>
    <w:rsid w:val="016656C0"/>
    <w:rsid w:val="0170427A"/>
    <w:rsid w:val="018104CB"/>
    <w:rsid w:val="019962FA"/>
    <w:rsid w:val="01A625AB"/>
    <w:rsid w:val="01B61CDD"/>
    <w:rsid w:val="01C40DDD"/>
    <w:rsid w:val="01C960A0"/>
    <w:rsid w:val="01D37172"/>
    <w:rsid w:val="01D706C2"/>
    <w:rsid w:val="01DA23AF"/>
    <w:rsid w:val="01E07299"/>
    <w:rsid w:val="01E274FB"/>
    <w:rsid w:val="01E763C8"/>
    <w:rsid w:val="01E817C1"/>
    <w:rsid w:val="01EA636A"/>
    <w:rsid w:val="01F359CB"/>
    <w:rsid w:val="01F76C4B"/>
    <w:rsid w:val="01FB1BCA"/>
    <w:rsid w:val="02162CED"/>
    <w:rsid w:val="02180C7E"/>
    <w:rsid w:val="022141A7"/>
    <w:rsid w:val="02240460"/>
    <w:rsid w:val="025316C7"/>
    <w:rsid w:val="02532284"/>
    <w:rsid w:val="02535CBD"/>
    <w:rsid w:val="02776BE2"/>
    <w:rsid w:val="027F799E"/>
    <w:rsid w:val="02812293"/>
    <w:rsid w:val="028D1FD3"/>
    <w:rsid w:val="02A03C9D"/>
    <w:rsid w:val="02A542F9"/>
    <w:rsid w:val="02BA2C72"/>
    <w:rsid w:val="02C4551B"/>
    <w:rsid w:val="02C62933"/>
    <w:rsid w:val="02CC171F"/>
    <w:rsid w:val="02D358E5"/>
    <w:rsid w:val="02D56624"/>
    <w:rsid w:val="02DD06B7"/>
    <w:rsid w:val="02E322B5"/>
    <w:rsid w:val="02E71453"/>
    <w:rsid w:val="02FC00B0"/>
    <w:rsid w:val="02FE031F"/>
    <w:rsid w:val="02FE29D2"/>
    <w:rsid w:val="0313544C"/>
    <w:rsid w:val="031E3C27"/>
    <w:rsid w:val="03271306"/>
    <w:rsid w:val="03364C39"/>
    <w:rsid w:val="033C2BF5"/>
    <w:rsid w:val="034A5744"/>
    <w:rsid w:val="03585DA0"/>
    <w:rsid w:val="035D2D41"/>
    <w:rsid w:val="036211E3"/>
    <w:rsid w:val="036244BF"/>
    <w:rsid w:val="03655CA8"/>
    <w:rsid w:val="03776491"/>
    <w:rsid w:val="037D49FB"/>
    <w:rsid w:val="03824859"/>
    <w:rsid w:val="0383331D"/>
    <w:rsid w:val="03855BFE"/>
    <w:rsid w:val="038C373E"/>
    <w:rsid w:val="03963ABA"/>
    <w:rsid w:val="039D7017"/>
    <w:rsid w:val="03A85387"/>
    <w:rsid w:val="03AA7B5F"/>
    <w:rsid w:val="03BD15D0"/>
    <w:rsid w:val="03C26479"/>
    <w:rsid w:val="03C439D8"/>
    <w:rsid w:val="03C71830"/>
    <w:rsid w:val="03E47515"/>
    <w:rsid w:val="03EC6A64"/>
    <w:rsid w:val="03F04E00"/>
    <w:rsid w:val="04095F8D"/>
    <w:rsid w:val="04447E77"/>
    <w:rsid w:val="044E1CF2"/>
    <w:rsid w:val="04597A82"/>
    <w:rsid w:val="045D12AD"/>
    <w:rsid w:val="04603F27"/>
    <w:rsid w:val="046229F6"/>
    <w:rsid w:val="04692B45"/>
    <w:rsid w:val="046B3792"/>
    <w:rsid w:val="04796D38"/>
    <w:rsid w:val="047C1332"/>
    <w:rsid w:val="04877F4F"/>
    <w:rsid w:val="04891E6A"/>
    <w:rsid w:val="04916893"/>
    <w:rsid w:val="049251C3"/>
    <w:rsid w:val="04934D6A"/>
    <w:rsid w:val="04942448"/>
    <w:rsid w:val="04A81243"/>
    <w:rsid w:val="04AB3ACC"/>
    <w:rsid w:val="04B41056"/>
    <w:rsid w:val="04B4790D"/>
    <w:rsid w:val="04BD4A66"/>
    <w:rsid w:val="04C26740"/>
    <w:rsid w:val="04D538A4"/>
    <w:rsid w:val="04E01BE6"/>
    <w:rsid w:val="04ED58F4"/>
    <w:rsid w:val="050E4D14"/>
    <w:rsid w:val="050E735A"/>
    <w:rsid w:val="05101565"/>
    <w:rsid w:val="05123C0E"/>
    <w:rsid w:val="0517575E"/>
    <w:rsid w:val="051A6227"/>
    <w:rsid w:val="051E617D"/>
    <w:rsid w:val="051F2A30"/>
    <w:rsid w:val="05207916"/>
    <w:rsid w:val="0529107D"/>
    <w:rsid w:val="05364A10"/>
    <w:rsid w:val="054E253C"/>
    <w:rsid w:val="05544226"/>
    <w:rsid w:val="05546B72"/>
    <w:rsid w:val="0559372E"/>
    <w:rsid w:val="05601D15"/>
    <w:rsid w:val="056D51B2"/>
    <w:rsid w:val="05744540"/>
    <w:rsid w:val="057D53E6"/>
    <w:rsid w:val="05807ACB"/>
    <w:rsid w:val="058E7E06"/>
    <w:rsid w:val="059748DE"/>
    <w:rsid w:val="05A44ECC"/>
    <w:rsid w:val="05A7349C"/>
    <w:rsid w:val="05B54980"/>
    <w:rsid w:val="05C007C6"/>
    <w:rsid w:val="05C13974"/>
    <w:rsid w:val="05C256CB"/>
    <w:rsid w:val="05C72C4A"/>
    <w:rsid w:val="05C86FFC"/>
    <w:rsid w:val="05D66DA1"/>
    <w:rsid w:val="05E43321"/>
    <w:rsid w:val="05EE2C1D"/>
    <w:rsid w:val="05F466EA"/>
    <w:rsid w:val="06013AE0"/>
    <w:rsid w:val="06024E45"/>
    <w:rsid w:val="061D06DC"/>
    <w:rsid w:val="062F0F2B"/>
    <w:rsid w:val="062F4041"/>
    <w:rsid w:val="063876A4"/>
    <w:rsid w:val="064778DF"/>
    <w:rsid w:val="064F62FE"/>
    <w:rsid w:val="06585F98"/>
    <w:rsid w:val="065B1F66"/>
    <w:rsid w:val="067107AD"/>
    <w:rsid w:val="067535B1"/>
    <w:rsid w:val="06792E74"/>
    <w:rsid w:val="067A65CC"/>
    <w:rsid w:val="067E5E2F"/>
    <w:rsid w:val="06816C78"/>
    <w:rsid w:val="0682270D"/>
    <w:rsid w:val="0687474B"/>
    <w:rsid w:val="068C3DC8"/>
    <w:rsid w:val="069762F5"/>
    <w:rsid w:val="06A27213"/>
    <w:rsid w:val="06AA6C8B"/>
    <w:rsid w:val="06AB256C"/>
    <w:rsid w:val="06B35B88"/>
    <w:rsid w:val="06BB4AD0"/>
    <w:rsid w:val="06BE3393"/>
    <w:rsid w:val="06CB4160"/>
    <w:rsid w:val="06D612B7"/>
    <w:rsid w:val="06DB3915"/>
    <w:rsid w:val="06DC1B10"/>
    <w:rsid w:val="06DF5D71"/>
    <w:rsid w:val="06EC6F8C"/>
    <w:rsid w:val="06F55595"/>
    <w:rsid w:val="06F8712F"/>
    <w:rsid w:val="06F9038A"/>
    <w:rsid w:val="070103DE"/>
    <w:rsid w:val="07096A6A"/>
    <w:rsid w:val="07183561"/>
    <w:rsid w:val="07201331"/>
    <w:rsid w:val="0720238F"/>
    <w:rsid w:val="072347E0"/>
    <w:rsid w:val="07366F15"/>
    <w:rsid w:val="07470644"/>
    <w:rsid w:val="074777CE"/>
    <w:rsid w:val="074B3407"/>
    <w:rsid w:val="075E291E"/>
    <w:rsid w:val="075F4D2E"/>
    <w:rsid w:val="07603D70"/>
    <w:rsid w:val="07643262"/>
    <w:rsid w:val="076B5857"/>
    <w:rsid w:val="07771691"/>
    <w:rsid w:val="077C323D"/>
    <w:rsid w:val="078D7776"/>
    <w:rsid w:val="07966FC7"/>
    <w:rsid w:val="079A79E3"/>
    <w:rsid w:val="079E5FC9"/>
    <w:rsid w:val="07A36A8F"/>
    <w:rsid w:val="07A96360"/>
    <w:rsid w:val="07AF472D"/>
    <w:rsid w:val="07B9146B"/>
    <w:rsid w:val="07D735F7"/>
    <w:rsid w:val="07D85670"/>
    <w:rsid w:val="07DD5954"/>
    <w:rsid w:val="07E33991"/>
    <w:rsid w:val="07F43213"/>
    <w:rsid w:val="07F6630D"/>
    <w:rsid w:val="081E545D"/>
    <w:rsid w:val="083E693B"/>
    <w:rsid w:val="08491408"/>
    <w:rsid w:val="084D5042"/>
    <w:rsid w:val="0853129E"/>
    <w:rsid w:val="08575FA1"/>
    <w:rsid w:val="085827EC"/>
    <w:rsid w:val="08644B70"/>
    <w:rsid w:val="086735A3"/>
    <w:rsid w:val="086D6B12"/>
    <w:rsid w:val="08706155"/>
    <w:rsid w:val="08730321"/>
    <w:rsid w:val="0883315A"/>
    <w:rsid w:val="08873A47"/>
    <w:rsid w:val="089F0A40"/>
    <w:rsid w:val="089F1C5C"/>
    <w:rsid w:val="08B22272"/>
    <w:rsid w:val="08B23A33"/>
    <w:rsid w:val="08BC189C"/>
    <w:rsid w:val="08BE14D6"/>
    <w:rsid w:val="08C47915"/>
    <w:rsid w:val="08CB05AB"/>
    <w:rsid w:val="08D27052"/>
    <w:rsid w:val="08D32ED8"/>
    <w:rsid w:val="08E7430C"/>
    <w:rsid w:val="08E94B44"/>
    <w:rsid w:val="08F04266"/>
    <w:rsid w:val="08F507C4"/>
    <w:rsid w:val="08FA0FEF"/>
    <w:rsid w:val="090E1ACE"/>
    <w:rsid w:val="091075FA"/>
    <w:rsid w:val="091A7764"/>
    <w:rsid w:val="091E62F3"/>
    <w:rsid w:val="09255ECB"/>
    <w:rsid w:val="092B562C"/>
    <w:rsid w:val="0935611C"/>
    <w:rsid w:val="09364165"/>
    <w:rsid w:val="093F7979"/>
    <w:rsid w:val="09464D68"/>
    <w:rsid w:val="0949618F"/>
    <w:rsid w:val="095655D5"/>
    <w:rsid w:val="095D1288"/>
    <w:rsid w:val="095E086F"/>
    <w:rsid w:val="0970598A"/>
    <w:rsid w:val="097868FD"/>
    <w:rsid w:val="097A6ABB"/>
    <w:rsid w:val="097C3F46"/>
    <w:rsid w:val="09AF36E1"/>
    <w:rsid w:val="09B50AD7"/>
    <w:rsid w:val="09BD67E2"/>
    <w:rsid w:val="09C32890"/>
    <w:rsid w:val="09D05C72"/>
    <w:rsid w:val="09FE6E56"/>
    <w:rsid w:val="0A102C03"/>
    <w:rsid w:val="0A1A2592"/>
    <w:rsid w:val="0A204C57"/>
    <w:rsid w:val="0A226E39"/>
    <w:rsid w:val="0A362471"/>
    <w:rsid w:val="0A3B451B"/>
    <w:rsid w:val="0A432CAB"/>
    <w:rsid w:val="0A4B4837"/>
    <w:rsid w:val="0A56459C"/>
    <w:rsid w:val="0A5821F3"/>
    <w:rsid w:val="0A907698"/>
    <w:rsid w:val="0A997225"/>
    <w:rsid w:val="0AA1031E"/>
    <w:rsid w:val="0AA57C07"/>
    <w:rsid w:val="0AB03C77"/>
    <w:rsid w:val="0AB22970"/>
    <w:rsid w:val="0AB87C7B"/>
    <w:rsid w:val="0AC250B1"/>
    <w:rsid w:val="0AD20D0D"/>
    <w:rsid w:val="0AE323C5"/>
    <w:rsid w:val="0AE5319E"/>
    <w:rsid w:val="0AF278F9"/>
    <w:rsid w:val="0AF655CE"/>
    <w:rsid w:val="0B0C7FEC"/>
    <w:rsid w:val="0B0E4E77"/>
    <w:rsid w:val="0B2443EE"/>
    <w:rsid w:val="0B251306"/>
    <w:rsid w:val="0B424235"/>
    <w:rsid w:val="0B474033"/>
    <w:rsid w:val="0B504DC9"/>
    <w:rsid w:val="0B52613C"/>
    <w:rsid w:val="0B5B6073"/>
    <w:rsid w:val="0B6902FF"/>
    <w:rsid w:val="0B6C6569"/>
    <w:rsid w:val="0B6F316E"/>
    <w:rsid w:val="0B7000E5"/>
    <w:rsid w:val="0B71221C"/>
    <w:rsid w:val="0B7B0FB9"/>
    <w:rsid w:val="0B7C11DF"/>
    <w:rsid w:val="0B7F178F"/>
    <w:rsid w:val="0B8C1DA8"/>
    <w:rsid w:val="0B91053A"/>
    <w:rsid w:val="0B916CD0"/>
    <w:rsid w:val="0B9B3C6F"/>
    <w:rsid w:val="0BA157E0"/>
    <w:rsid w:val="0BA346F0"/>
    <w:rsid w:val="0BA852CC"/>
    <w:rsid w:val="0BAA5CA2"/>
    <w:rsid w:val="0BAE74DB"/>
    <w:rsid w:val="0BC1638D"/>
    <w:rsid w:val="0BCE4606"/>
    <w:rsid w:val="0BD03300"/>
    <w:rsid w:val="0BDD6757"/>
    <w:rsid w:val="0BE81026"/>
    <w:rsid w:val="0BEA7692"/>
    <w:rsid w:val="0C0E082E"/>
    <w:rsid w:val="0C381237"/>
    <w:rsid w:val="0C3A304E"/>
    <w:rsid w:val="0C3E1563"/>
    <w:rsid w:val="0C3E24A5"/>
    <w:rsid w:val="0C476893"/>
    <w:rsid w:val="0C4C070E"/>
    <w:rsid w:val="0C5267CD"/>
    <w:rsid w:val="0C5705EF"/>
    <w:rsid w:val="0C657023"/>
    <w:rsid w:val="0C6874A9"/>
    <w:rsid w:val="0C7249B2"/>
    <w:rsid w:val="0C762CD4"/>
    <w:rsid w:val="0C782A46"/>
    <w:rsid w:val="0C8A677F"/>
    <w:rsid w:val="0C8F1A50"/>
    <w:rsid w:val="0C980E30"/>
    <w:rsid w:val="0C985340"/>
    <w:rsid w:val="0C994C14"/>
    <w:rsid w:val="0C9A601A"/>
    <w:rsid w:val="0CB82678"/>
    <w:rsid w:val="0CBD3875"/>
    <w:rsid w:val="0CC2677E"/>
    <w:rsid w:val="0CC41EE7"/>
    <w:rsid w:val="0CCF5D4D"/>
    <w:rsid w:val="0CD64F3A"/>
    <w:rsid w:val="0CD7651F"/>
    <w:rsid w:val="0CDC016B"/>
    <w:rsid w:val="0CDD0434"/>
    <w:rsid w:val="0CF32576"/>
    <w:rsid w:val="0CFB142B"/>
    <w:rsid w:val="0D1057E7"/>
    <w:rsid w:val="0D1E5CDA"/>
    <w:rsid w:val="0D236E25"/>
    <w:rsid w:val="0D3463E4"/>
    <w:rsid w:val="0D3606B5"/>
    <w:rsid w:val="0D360803"/>
    <w:rsid w:val="0D3A08A9"/>
    <w:rsid w:val="0D3F7F5D"/>
    <w:rsid w:val="0D406E04"/>
    <w:rsid w:val="0D494E29"/>
    <w:rsid w:val="0D542184"/>
    <w:rsid w:val="0D75660B"/>
    <w:rsid w:val="0D75742F"/>
    <w:rsid w:val="0D8C7158"/>
    <w:rsid w:val="0D8D7D5B"/>
    <w:rsid w:val="0D9720FC"/>
    <w:rsid w:val="0D9C3D36"/>
    <w:rsid w:val="0D9C4FA7"/>
    <w:rsid w:val="0DA27C4A"/>
    <w:rsid w:val="0DAA40BE"/>
    <w:rsid w:val="0DAA74A9"/>
    <w:rsid w:val="0DAB390A"/>
    <w:rsid w:val="0DB40520"/>
    <w:rsid w:val="0DB461AA"/>
    <w:rsid w:val="0DC21F49"/>
    <w:rsid w:val="0DDC7E26"/>
    <w:rsid w:val="0DDE52CA"/>
    <w:rsid w:val="0DE864CF"/>
    <w:rsid w:val="0DEB1C39"/>
    <w:rsid w:val="0DEE139E"/>
    <w:rsid w:val="0DF66254"/>
    <w:rsid w:val="0DFD107F"/>
    <w:rsid w:val="0E0811F0"/>
    <w:rsid w:val="0E091DAC"/>
    <w:rsid w:val="0E1718C3"/>
    <w:rsid w:val="0E1F284E"/>
    <w:rsid w:val="0E257293"/>
    <w:rsid w:val="0E584AD3"/>
    <w:rsid w:val="0E5F1A11"/>
    <w:rsid w:val="0E612CFB"/>
    <w:rsid w:val="0E615A33"/>
    <w:rsid w:val="0E6179B4"/>
    <w:rsid w:val="0E707BF7"/>
    <w:rsid w:val="0E8575A6"/>
    <w:rsid w:val="0E85774E"/>
    <w:rsid w:val="0E8B6526"/>
    <w:rsid w:val="0E946118"/>
    <w:rsid w:val="0E996540"/>
    <w:rsid w:val="0E9E3431"/>
    <w:rsid w:val="0EA2308E"/>
    <w:rsid w:val="0EA77F3C"/>
    <w:rsid w:val="0EAE6781"/>
    <w:rsid w:val="0EB00DB3"/>
    <w:rsid w:val="0EB43D1A"/>
    <w:rsid w:val="0EB70AC1"/>
    <w:rsid w:val="0ED600BF"/>
    <w:rsid w:val="0EDC0796"/>
    <w:rsid w:val="0EDC1F41"/>
    <w:rsid w:val="0EE77EB9"/>
    <w:rsid w:val="0EED213A"/>
    <w:rsid w:val="0EFB4113"/>
    <w:rsid w:val="0F03493E"/>
    <w:rsid w:val="0F0D5912"/>
    <w:rsid w:val="0F0D7267"/>
    <w:rsid w:val="0F114F36"/>
    <w:rsid w:val="0F164AC1"/>
    <w:rsid w:val="0F2F6013"/>
    <w:rsid w:val="0F3635F3"/>
    <w:rsid w:val="0F3B40F8"/>
    <w:rsid w:val="0F5D2932"/>
    <w:rsid w:val="0F793BFA"/>
    <w:rsid w:val="0F7A75AE"/>
    <w:rsid w:val="0F881AD4"/>
    <w:rsid w:val="0F8C662B"/>
    <w:rsid w:val="0F9C6413"/>
    <w:rsid w:val="0FA059CA"/>
    <w:rsid w:val="0FA378C2"/>
    <w:rsid w:val="0FA41546"/>
    <w:rsid w:val="0FA945B6"/>
    <w:rsid w:val="0FB23173"/>
    <w:rsid w:val="0FB5541F"/>
    <w:rsid w:val="0FD07B85"/>
    <w:rsid w:val="0FDD306A"/>
    <w:rsid w:val="0FE4089C"/>
    <w:rsid w:val="0FED6DA6"/>
    <w:rsid w:val="0FF94348"/>
    <w:rsid w:val="0FFD3F73"/>
    <w:rsid w:val="100952E4"/>
    <w:rsid w:val="100B7EEA"/>
    <w:rsid w:val="1010343F"/>
    <w:rsid w:val="10116CC6"/>
    <w:rsid w:val="10205F68"/>
    <w:rsid w:val="102E54F6"/>
    <w:rsid w:val="10345380"/>
    <w:rsid w:val="103E7A9B"/>
    <w:rsid w:val="10407FE1"/>
    <w:rsid w:val="10434DAD"/>
    <w:rsid w:val="10533F62"/>
    <w:rsid w:val="105716E7"/>
    <w:rsid w:val="10626BD6"/>
    <w:rsid w:val="106E4298"/>
    <w:rsid w:val="106F6655"/>
    <w:rsid w:val="108574CC"/>
    <w:rsid w:val="108654B0"/>
    <w:rsid w:val="108A323A"/>
    <w:rsid w:val="10945E1E"/>
    <w:rsid w:val="10961B97"/>
    <w:rsid w:val="10A122E9"/>
    <w:rsid w:val="10A23F1C"/>
    <w:rsid w:val="10A52E9B"/>
    <w:rsid w:val="10B023C0"/>
    <w:rsid w:val="10BB3C21"/>
    <w:rsid w:val="10D12BCF"/>
    <w:rsid w:val="10DB1C9F"/>
    <w:rsid w:val="10F16DCD"/>
    <w:rsid w:val="112348B4"/>
    <w:rsid w:val="11252103"/>
    <w:rsid w:val="11284932"/>
    <w:rsid w:val="112C42A9"/>
    <w:rsid w:val="113413B0"/>
    <w:rsid w:val="113849FC"/>
    <w:rsid w:val="11467468"/>
    <w:rsid w:val="11476D6F"/>
    <w:rsid w:val="115B04C6"/>
    <w:rsid w:val="115B0613"/>
    <w:rsid w:val="116F702A"/>
    <w:rsid w:val="116F7EBA"/>
    <w:rsid w:val="11733B3A"/>
    <w:rsid w:val="117368E9"/>
    <w:rsid w:val="117F19A5"/>
    <w:rsid w:val="11803E3B"/>
    <w:rsid w:val="11A61B83"/>
    <w:rsid w:val="11AA7CE5"/>
    <w:rsid w:val="11AB0191"/>
    <w:rsid w:val="11BC19B4"/>
    <w:rsid w:val="11C37AF8"/>
    <w:rsid w:val="11CA01E4"/>
    <w:rsid w:val="11CB6EEB"/>
    <w:rsid w:val="11CE710E"/>
    <w:rsid w:val="11D04EBA"/>
    <w:rsid w:val="11D521F7"/>
    <w:rsid w:val="11DA169D"/>
    <w:rsid w:val="11DD1A47"/>
    <w:rsid w:val="11DD2E09"/>
    <w:rsid w:val="11F23340"/>
    <w:rsid w:val="11F50F86"/>
    <w:rsid w:val="11FB1AFA"/>
    <w:rsid w:val="12092999"/>
    <w:rsid w:val="120D5C80"/>
    <w:rsid w:val="120F0AB5"/>
    <w:rsid w:val="121424C3"/>
    <w:rsid w:val="12152F8F"/>
    <w:rsid w:val="12230A25"/>
    <w:rsid w:val="122B514D"/>
    <w:rsid w:val="123675A1"/>
    <w:rsid w:val="124424BE"/>
    <w:rsid w:val="12446061"/>
    <w:rsid w:val="12483AC2"/>
    <w:rsid w:val="124A58C5"/>
    <w:rsid w:val="124B1D03"/>
    <w:rsid w:val="124C41A9"/>
    <w:rsid w:val="124F64A1"/>
    <w:rsid w:val="12562953"/>
    <w:rsid w:val="12647FF7"/>
    <w:rsid w:val="1276280A"/>
    <w:rsid w:val="127B0FBC"/>
    <w:rsid w:val="128E5888"/>
    <w:rsid w:val="12947380"/>
    <w:rsid w:val="12E93E96"/>
    <w:rsid w:val="12F65081"/>
    <w:rsid w:val="12FF7778"/>
    <w:rsid w:val="13070604"/>
    <w:rsid w:val="134C0F84"/>
    <w:rsid w:val="135C6122"/>
    <w:rsid w:val="135D4CFC"/>
    <w:rsid w:val="13623D0A"/>
    <w:rsid w:val="136524E8"/>
    <w:rsid w:val="13652D77"/>
    <w:rsid w:val="137238C4"/>
    <w:rsid w:val="1379754E"/>
    <w:rsid w:val="137A6968"/>
    <w:rsid w:val="13807929"/>
    <w:rsid w:val="1398491D"/>
    <w:rsid w:val="139C6EB7"/>
    <w:rsid w:val="13A50381"/>
    <w:rsid w:val="13AA0D11"/>
    <w:rsid w:val="13C04B96"/>
    <w:rsid w:val="13C0751A"/>
    <w:rsid w:val="13D349CB"/>
    <w:rsid w:val="13D4344A"/>
    <w:rsid w:val="13D604FC"/>
    <w:rsid w:val="13D73FBA"/>
    <w:rsid w:val="13DA4D31"/>
    <w:rsid w:val="13E35A30"/>
    <w:rsid w:val="13E367F8"/>
    <w:rsid w:val="13F80330"/>
    <w:rsid w:val="13FA392F"/>
    <w:rsid w:val="13FC61B5"/>
    <w:rsid w:val="14033D75"/>
    <w:rsid w:val="14035E61"/>
    <w:rsid w:val="140F7932"/>
    <w:rsid w:val="141A488D"/>
    <w:rsid w:val="141A663B"/>
    <w:rsid w:val="141A7667"/>
    <w:rsid w:val="141B60E9"/>
    <w:rsid w:val="141D5EB6"/>
    <w:rsid w:val="14217DA6"/>
    <w:rsid w:val="142450EE"/>
    <w:rsid w:val="142626F1"/>
    <w:rsid w:val="14276FAA"/>
    <w:rsid w:val="14281EF4"/>
    <w:rsid w:val="142B6BC4"/>
    <w:rsid w:val="14355F11"/>
    <w:rsid w:val="14357563"/>
    <w:rsid w:val="143B4DEB"/>
    <w:rsid w:val="143F371B"/>
    <w:rsid w:val="144B2C49"/>
    <w:rsid w:val="14583EBC"/>
    <w:rsid w:val="145E35A6"/>
    <w:rsid w:val="14666054"/>
    <w:rsid w:val="146A1F1B"/>
    <w:rsid w:val="147745A1"/>
    <w:rsid w:val="14785EF3"/>
    <w:rsid w:val="14787805"/>
    <w:rsid w:val="148058A7"/>
    <w:rsid w:val="14887A48"/>
    <w:rsid w:val="1490546B"/>
    <w:rsid w:val="14942891"/>
    <w:rsid w:val="14964BCE"/>
    <w:rsid w:val="14977C8B"/>
    <w:rsid w:val="149B0B4A"/>
    <w:rsid w:val="149D4212"/>
    <w:rsid w:val="14A80E58"/>
    <w:rsid w:val="14BE3617"/>
    <w:rsid w:val="14C1461A"/>
    <w:rsid w:val="14C173FE"/>
    <w:rsid w:val="14C342FB"/>
    <w:rsid w:val="14CA0466"/>
    <w:rsid w:val="14CD4882"/>
    <w:rsid w:val="14CF4894"/>
    <w:rsid w:val="14F66DC2"/>
    <w:rsid w:val="14FA09BB"/>
    <w:rsid w:val="14FE2EA5"/>
    <w:rsid w:val="15017C76"/>
    <w:rsid w:val="150807E9"/>
    <w:rsid w:val="150A27E0"/>
    <w:rsid w:val="15192552"/>
    <w:rsid w:val="15326D43"/>
    <w:rsid w:val="153656F6"/>
    <w:rsid w:val="15432F59"/>
    <w:rsid w:val="15446705"/>
    <w:rsid w:val="155142DE"/>
    <w:rsid w:val="155947B0"/>
    <w:rsid w:val="155C5B2A"/>
    <w:rsid w:val="156B4B02"/>
    <w:rsid w:val="156C2EC6"/>
    <w:rsid w:val="157416CF"/>
    <w:rsid w:val="15785D0F"/>
    <w:rsid w:val="157E217F"/>
    <w:rsid w:val="15861985"/>
    <w:rsid w:val="1588053C"/>
    <w:rsid w:val="159B3128"/>
    <w:rsid w:val="159E5BE6"/>
    <w:rsid w:val="15AC562F"/>
    <w:rsid w:val="15B17DEF"/>
    <w:rsid w:val="15E70E21"/>
    <w:rsid w:val="15F964A6"/>
    <w:rsid w:val="16051D7A"/>
    <w:rsid w:val="160738D3"/>
    <w:rsid w:val="160A50CA"/>
    <w:rsid w:val="160D5E6A"/>
    <w:rsid w:val="161815DC"/>
    <w:rsid w:val="162074D6"/>
    <w:rsid w:val="16246677"/>
    <w:rsid w:val="162F1770"/>
    <w:rsid w:val="163559AE"/>
    <w:rsid w:val="164C2E3D"/>
    <w:rsid w:val="164D0A2F"/>
    <w:rsid w:val="164F7A91"/>
    <w:rsid w:val="165D133B"/>
    <w:rsid w:val="16793F2F"/>
    <w:rsid w:val="16902FF3"/>
    <w:rsid w:val="1691227C"/>
    <w:rsid w:val="16922CCB"/>
    <w:rsid w:val="16927796"/>
    <w:rsid w:val="169A45C7"/>
    <w:rsid w:val="16B10105"/>
    <w:rsid w:val="16B313BF"/>
    <w:rsid w:val="16C12F4B"/>
    <w:rsid w:val="16C13E3E"/>
    <w:rsid w:val="16C33C21"/>
    <w:rsid w:val="16C730F7"/>
    <w:rsid w:val="16D361A6"/>
    <w:rsid w:val="16E2339D"/>
    <w:rsid w:val="16EA57E0"/>
    <w:rsid w:val="16ED0D4C"/>
    <w:rsid w:val="17127A9D"/>
    <w:rsid w:val="1719349F"/>
    <w:rsid w:val="172436D6"/>
    <w:rsid w:val="1729416D"/>
    <w:rsid w:val="173F5F8B"/>
    <w:rsid w:val="17496C17"/>
    <w:rsid w:val="17521130"/>
    <w:rsid w:val="17545E40"/>
    <w:rsid w:val="17653A69"/>
    <w:rsid w:val="17663D3A"/>
    <w:rsid w:val="176957FD"/>
    <w:rsid w:val="176A0E26"/>
    <w:rsid w:val="176B319B"/>
    <w:rsid w:val="17771FF6"/>
    <w:rsid w:val="17793FC0"/>
    <w:rsid w:val="17870005"/>
    <w:rsid w:val="178A4283"/>
    <w:rsid w:val="178E0DE1"/>
    <w:rsid w:val="17A03ED2"/>
    <w:rsid w:val="17A74645"/>
    <w:rsid w:val="17A74DE2"/>
    <w:rsid w:val="17A94B72"/>
    <w:rsid w:val="17AD0E8D"/>
    <w:rsid w:val="17AF2623"/>
    <w:rsid w:val="17C03FA8"/>
    <w:rsid w:val="17C32F16"/>
    <w:rsid w:val="17C90AA4"/>
    <w:rsid w:val="17C935AD"/>
    <w:rsid w:val="17D92497"/>
    <w:rsid w:val="17DC48EE"/>
    <w:rsid w:val="17E07605"/>
    <w:rsid w:val="17F322C8"/>
    <w:rsid w:val="17FA17E7"/>
    <w:rsid w:val="18105A34"/>
    <w:rsid w:val="18142F29"/>
    <w:rsid w:val="18215292"/>
    <w:rsid w:val="18396AC0"/>
    <w:rsid w:val="18572966"/>
    <w:rsid w:val="186E0CFA"/>
    <w:rsid w:val="187529D9"/>
    <w:rsid w:val="188C5197"/>
    <w:rsid w:val="189149A2"/>
    <w:rsid w:val="18923DCD"/>
    <w:rsid w:val="189B5E4A"/>
    <w:rsid w:val="18A3257C"/>
    <w:rsid w:val="18A91672"/>
    <w:rsid w:val="18AA3E77"/>
    <w:rsid w:val="18AE6CC5"/>
    <w:rsid w:val="18B5769A"/>
    <w:rsid w:val="18BA663E"/>
    <w:rsid w:val="18BD6659"/>
    <w:rsid w:val="18CA2601"/>
    <w:rsid w:val="18D91166"/>
    <w:rsid w:val="18E02A66"/>
    <w:rsid w:val="18E84612"/>
    <w:rsid w:val="18F23557"/>
    <w:rsid w:val="18F2658E"/>
    <w:rsid w:val="18F67A50"/>
    <w:rsid w:val="19033123"/>
    <w:rsid w:val="19225CD0"/>
    <w:rsid w:val="19241D0A"/>
    <w:rsid w:val="1924539C"/>
    <w:rsid w:val="1931017A"/>
    <w:rsid w:val="19393A07"/>
    <w:rsid w:val="193E726F"/>
    <w:rsid w:val="194C0E04"/>
    <w:rsid w:val="194D1260"/>
    <w:rsid w:val="19540841"/>
    <w:rsid w:val="1955254E"/>
    <w:rsid w:val="195C1F0C"/>
    <w:rsid w:val="195F08E7"/>
    <w:rsid w:val="19616ABA"/>
    <w:rsid w:val="19622F5E"/>
    <w:rsid w:val="19630AF9"/>
    <w:rsid w:val="19645A6F"/>
    <w:rsid w:val="19662322"/>
    <w:rsid w:val="19711559"/>
    <w:rsid w:val="19742A0A"/>
    <w:rsid w:val="197579B0"/>
    <w:rsid w:val="19762565"/>
    <w:rsid w:val="19783C6C"/>
    <w:rsid w:val="19801636"/>
    <w:rsid w:val="19805DF3"/>
    <w:rsid w:val="19832ED4"/>
    <w:rsid w:val="19865B44"/>
    <w:rsid w:val="198E50F6"/>
    <w:rsid w:val="19A236DB"/>
    <w:rsid w:val="19A54BF8"/>
    <w:rsid w:val="19A65A2B"/>
    <w:rsid w:val="19A90731"/>
    <w:rsid w:val="19AC79E7"/>
    <w:rsid w:val="19BA0578"/>
    <w:rsid w:val="19CA31AD"/>
    <w:rsid w:val="19D419FA"/>
    <w:rsid w:val="19DB60D7"/>
    <w:rsid w:val="19EE380A"/>
    <w:rsid w:val="19F43B2B"/>
    <w:rsid w:val="19F73DCE"/>
    <w:rsid w:val="19F86FAC"/>
    <w:rsid w:val="19F90672"/>
    <w:rsid w:val="1A0C1BB5"/>
    <w:rsid w:val="1A1324AA"/>
    <w:rsid w:val="1A1720E3"/>
    <w:rsid w:val="1A2631DF"/>
    <w:rsid w:val="1A2B6B53"/>
    <w:rsid w:val="1A42341B"/>
    <w:rsid w:val="1A46299C"/>
    <w:rsid w:val="1A4E388A"/>
    <w:rsid w:val="1A587EBD"/>
    <w:rsid w:val="1A6828D6"/>
    <w:rsid w:val="1A8E5FAA"/>
    <w:rsid w:val="1A90757C"/>
    <w:rsid w:val="1AA45216"/>
    <w:rsid w:val="1AA935A9"/>
    <w:rsid w:val="1AAC2222"/>
    <w:rsid w:val="1AB816F5"/>
    <w:rsid w:val="1ACF410A"/>
    <w:rsid w:val="1ADD0C85"/>
    <w:rsid w:val="1AFA25F1"/>
    <w:rsid w:val="1B000A6F"/>
    <w:rsid w:val="1B081FC3"/>
    <w:rsid w:val="1B1261DA"/>
    <w:rsid w:val="1B190F63"/>
    <w:rsid w:val="1B193B3F"/>
    <w:rsid w:val="1B203AC6"/>
    <w:rsid w:val="1B25593D"/>
    <w:rsid w:val="1B3E1F36"/>
    <w:rsid w:val="1B3F2E49"/>
    <w:rsid w:val="1B4154E1"/>
    <w:rsid w:val="1B49021B"/>
    <w:rsid w:val="1B530684"/>
    <w:rsid w:val="1B546553"/>
    <w:rsid w:val="1B5A2A6B"/>
    <w:rsid w:val="1B5C1C2F"/>
    <w:rsid w:val="1B661EA8"/>
    <w:rsid w:val="1B766FBD"/>
    <w:rsid w:val="1B787413"/>
    <w:rsid w:val="1B7E6B75"/>
    <w:rsid w:val="1B8A60CF"/>
    <w:rsid w:val="1B8B0700"/>
    <w:rsid w:val="1B933EB4"/>
    <w:rsid w:val="1B940146"/>
    <w:rsid w:val="1BBF6CE5"/>
    <w:rsid w:val="1BC2672F"/>
    <w:rsid w:val="1BD476D4"/>
    <w:rsid w:val="1BE063BC"/>
    <w:rsid w:val="1BEA5071"/>
    <w:rsid w:val="1BF41E67"/>
    <w:rsid w:val="1BF4247F"/>
    <w:rsid w:val="1BFA4187"/>
    <w:rsid w:val="1C0659C6"/>
    <w:rsid w:val="1C0B7892"/>
    <w:rsid w:val="1C146065"/>
    <w:rsid w:val="1C22722E"/>
    <w:rsid w:val="1C2B56F6"/>
    <w:rsid w:val="1C3B5F1F"/>
    <w:rsid w:val="1C5950B9"/>
    <w:rsid w:val="1C7F09F1"/>
    <w:rsid w:val="1C7F168E"/>
    <w:rsid w:val="1C902289"/>
    <w:rsid w:val="1C926D66"/>
    <w:rsid w:val="1C9A2D97"/>
    <w:rsid w:val="1C9B6E2D"/>
    <w:rsid w:val="1CA06DF2"/>
    <w:rsid w:val="1CCB76D1"/>
    <w:rsid w:val="1CD0621D"/>
    <w:rsid w:val="1CD072AF"/>
    <w:rsid w:val="1CEB326A"/>
    <w:rsid w:val="1D1000E6"/>
    <w:rsid w:val="1D167BBB"/>
    <w:rsid w:val="1D17153B"/>
    <w:rsid w:val="1D253A81"/>
    <w:rsid w:val="1D2C0953"/>
    <w:rsid w:val="1D2C5888"/>
    <w:rsid w:val="1D3C0D82"/>
    <w:rsid w:val="1D41732E"/>
    <w:rsid w:val="1D475D11"/>
    <w:rsid w:val="1D4B1F5B"/>
    <w:rsid w:val="1D517A01"/>
    <w:rsid w:val="1D6A5B9D"/>
    <w:rsid w:val="1D6D286F"/>
    <w:rsid w:val="1D754BB9"/>
    <w:rsid w:val="1D7A000E"/>
    <w:rsid w:val="1D7E131B"/>
    <w:rsid w:val="1D8316F5"/>
    <w:rsid w:val="1D865E97"/>
    <w:rsid w:val="1D875ADE"/>
    <w:rsid w:val="1D8B2357"/>
    <w:rsid w:val="1D8B4DA1"/>
    <w:rsid w:val="1D90676A"/>
    <w:rsid w:val="1D9C2B50"/>
    <w:rsid w:val="1D9D7C95"/>
    <w:rsid w:val="1DAA6C81"/>
    <w:rsid w:val="1DB25484"/>
    <w:rsid w:val="1DBD1F1B"/>
    <w:rsid w:val="1DC2479B"/>
    <w:rsid w:val="1DC6338F"/>
    <w:rsid w:val="1DC835AB"/>
    <w:rsid w:val="1DC97785"/>
    <w:rsid w:val="1DCA1810"/>
    <w:rsid w:val="1DCF493A"/>
    <w:rsid w:val="1DD42672"/>
    <w:rsid w:val="1DD47BD8"/>
    <w:rsid w:val="1DD9031B"/>
    <w:rsid w:val="1DE04FD0"/>
    <w:rsid w:val="1DF37FBA"/>
    <w:rsid w:val="1DF42B2E"/>
    <w:rsid w:val="1DF468D5"/>
    <w:rsid w:val="1DFA1281"/>
    <w:rsid w:val="1E1C0B92"/>
    <w:rsid w:val="1E1E3996"/>
    <w:rsid w:val="1E235B8E"/>
    <w:rsid w:val="1E3572B4"/>
    <w:rsid w:val="1E474F60"/>
    <w:rsid w:val="1E581B6D"/>
    <w:rsid w:val="1E655E3F"/>
    <w:rsid w:val="1E702A59"/>
    <w:rsid w:val="1E7A497B"/>
    <w:rsid w:val="1E7B79ED"/>
    <w:rsid w:val="1E7D17E5"/>
    <w:rsid w:val="1E7E5E73"/>
    <w:rsid w:val="1E7F1C07"/>
    <w:rsid w:val="1E81218F"/>
    <w:rsid w:val="1E85353B"/>
    <w:rsid w:val="1E902326"/>
    <w:rsid w:val="1E9364BB"/>
    <w:rsid w:val="1EA436CE"/>
    <w:rsid w:val="1EB0554F"/>
    <w:rsid w:val="1ED70BE9"/>
    <w:rsid w:val="1EE46FEC"/>
    <w:rsid w:val="1EE605EB"/>
    <w:rsid w:val="1EE64E9A"/>
    <w:rsid w:val="1EE71983"/>
    <w:rsid w:val="1EE75CB3"/>
    <w:rsid w:val="1EE92462"/>
    <w:rsid w:val="1EEB0A74"/>
    <w:rsid w:val="1EEE421A"/>
    <w:rsid w:val="1EF031A4"/>
    <w:rsid w:val="1EF1174E"/>
    <w:rsid w:val="1EF569C7"/>
    <w:rsid w:val="1EF8002C"/>
    <w:rsid w:val="1F026342"/>
    <w:rsid w:val="1F066139"/>
    <w:rsid w:val="1F2227F3"/>
    <w:rsid w:val="1F2871AC"/>
    <w:rsid w:val="1F2A3BCC"/>
    <w:rsid w:val="1F2B5BA0"/>
    <w:rsid w:val="1F3861FE"/>
    <w:rsid w:val="1F4C085B"/>
    <w:rsid w:val="1F564B81"/>
    <w:rsid w:val="1F58121E"/>
    <w:rsid w:val="1F5E36EA"/>
    <w:rsid w:val="1F6274C4"/>
    <w:rsid w:val="1F73409D"/>
    <w:rsid w:val="1F817EB6"/>
    <w:rsid w:val="1F823640"/>
    <w:rsid w:val="1F9B4FB8"/>
    <w:rsid w:val="1FA07553"/>
    <w:rsid w:val="1FC542A0"/>
    <w:rsid w:val="1FCC3186"/>
    <w:rsid w:val="1FCE7D89"/>
    <w:rsid w:val="1FDA2B30"/>
    <w:rsid w:val="1FDF4177"/>
    <w:rsid w:val="1FE12702"/>
    <w:rsid w:val="1FE22505"/>
    <w:rsid w:val="1FEA15B7"/>
    <w:rsid w:val="1FEA7178"/>
    <w:rsid w:val="1FEA7390"/>
    <w:rsid w:val="1FED72F9"/>
    <w:rsid w:val="1FEF4E1F"/>
    <w:rsid w:val="1FF45730"/>
    <w:rsid w:val="20196340"/>
    <w:rsid w:val="202B1AC3"/>
    <w:rsid w:val="202B6A99"/>
    <w:rsid w:val="203A1426"/>
    <w:rsid w:val="20636F06"/>
    <w:rsid w:val="20790826"/>
    <w:rsid w:val="207F00D8"/>
    <w:rsid w:val="208A1DE8"/>
    <w:rsid w:val="208C08C0"/>
    <w:rsid w:val="20911220"/>
    <w:rsid w:val="20921AE5"/>
    <w:rsid w:val="20A70BCE"/>
    <w:rsid w:val="20D8583A"/>
    <w:rsid w:val="20D95E48"/>
    <w:rsid w:val="20E53EFA"/>
    <w:rsid w:val="21352B51"/>
    <w:rsid w:val="21410299"/>
    <w:rsid w:val="21413ACD"/>
    <w:rsid w:val="21454CC2"/>
    <w:rsid w:val="214B2529"/>
    <w:rsid w:val="21670D4B"/>
    <w:rsid w:val="218302D6"/>
    <w:rsid w:val="219F4A17"/>
    <w:rsid w:val="21A91226"/>
    <w:rsid w:val="21B555A2"/>
    <w:rsid w:val="21B579A2"/>
    <w:rsid w:val="21D06ED2"/>
    <w:rsid w:val="21E21841"/>
    <w:rsid w:val="21E604A4"/>
    <w:rsid w:val="21ED08E4"/>
    <w:rsid w:val="21F1298E"/>
    <w:rsid w:val="21F20BF7"/>
    <w:rsid w:val="21FE7EEB"/>
    <w:rsid w:val="220E3A49"/>
    <w:rsid w:val="222801FB"/>
    <w:rsid w:val="222E18B2"/>
    <w:rsid w:val="2246211F"/>
    <w:rsid w:val="22513B6F"/>
    <w:rsid w:val="225706FB"/>
    <w:rsid w:val="22572D5B"/>
    <w:rsid w:val="225F3FF8"/>
    <w:rsid w:val="226A31BA"/>
    <w:rsid w:val="227D4D49"/>
    <w:rsid w:val="22801A20"/>
    <w:rsid w:val="2286469E"/>
    <w:rsid w:val="229020E4"/>
    <w:rsid w:val="2294579D"/>
    <w:rsid w:val="22BD7457"/>
    <w:rsid w:val="22C12272"/>
    <w:rsid w:val="22C20A38"/>
    <w:rsid w:val="22FC1CB6"/>
    <w:rsid w:val="22FC20A1"/>
    <w:rsid w:val="23056708"/>
    <w:rsid w:val="231A36C1"/>
    <w:rsid w:val="231D3FC2"/>
    <w:rsid w:val="23200A97"/>
    <w:rsid w:val="23203542"/>
    <w:rsid w:val="23261982"/>
    <w:rsid w:val="233823D2"/>
    <w:rsid w:val="236055F1"/>
    <w:rsid w:val="23667D2B"/>
    <w:rsid w:val="237C7B45"/>
    <w:rsid w:val="23827980"/>
    <w:rsid w:val="238409AA"/>
    <w:rsid w:val="23910CCA"/>
    <w:rsid w:val="23A777BF"/>
    <w:rsid w:val="23AF75DB"/>
    <w:rsid w:val="23B51EDC"/>
    <w:rsid w:val="23BD3997"/>
    <w:rsid w:val="23BF71FF"/>
    <w:rsid w:val="23C120F8"/>
    <w:rsid w:val="23C72534"/>
    <w:rsid w:val="23CB6CD9"/>
    <w:rsid w:val="23CF3B9F"/>
    <w:rsid w:val="23D83245"/>
    <w:rsid w:val="23DC0E1E"/>
    <w:rsid w:val="23EC4586"/>
    <w:rsid w:val="23EC723A"/>
    <w:rsid w:val="23FC5D5D"/>
    <w:rsid w:val="2406759C"/>
    <w:rsid w:val="240B7534"/>
    <w:rsid w:val="24102D51"/>
    <w:rsid w:val="24166017"/>
    <w:rsid w:val="24166FC1"/>
    <w:rsid w:val="241E1F43"/>
    <w:rsid w:val="2423375B"/>
    <w:rsid w:val="24240C87"/>
    <w:rsid w:val="242D175B"/>
    <w:rsid w:val="24427902"/>
    <w:rsid w:val="244A59E2"/>
    <w:rsid w:val="245139E7"/>
    <w:rsid w:val="24536634"/>
    <w:rsid w:val="24564EE1"/>
    <w:rsid w:val="24575F83"/>
    <w:rsid w:val="247162CB"/>
    <w:rsid w:val="247A4E6C"/>
    <w:rsid w:val="248C6643"/>
    <w:rsid w:val="249B2D85"/>
    <w:rsid w:val="249F7326"/>
    <w:rsid w:val="24A5341B"/>
    <w:rsid w:val="24B36FFF"/>
    <w:rsid w:val="24BA637F"/>
    <w:rsid w:val="24BC7835"/>
    <w:rsid w:val="24BD4359"/>
    <w:rsid w:val="24C92C1F"/>
    <w:rsid w:val="24EA1C3F"/>
    <w:rsid w:val="250F48CD"/>
    <w:rsid w:val="25157097"/>
    <w:rsid w:val="252A4F29"/>
    <w:rsid w:val="252D7EDC"/>
    <w:rsid w:val="25343356"/>
    <w:rsid w:val="25367819"/>
    <w:rsid w:val="253B62ED"/>
    <w:rsid w:val="25403586"/>
    <w:rsid w:val="254623D7"/>
    <w:rsid w:val="257162D7"/>
    <w:rsid w:val="257B0F03"/>
    <w:rsid w:val="257F5599"/>
    <w:rsid w:val="258A50ED"/>
    <w:rsid w:val="258D3591"/>
    <w:rsid w:val="259340F6"/>
    <w:rsid w:val="25985368"/>
    <w:rsid w:val="2599228C"/>
    <w:rsid w:val="25A555A4"/>
    <w:rsid w:val="25A55F54"/>
    <w:rsid w:val="25AC1221"/>
    <w:rsid w:val="25AD703B"/>
    <w:rsid w:val="25B368EF"/>
    <w:rsid w:val="25C66593"/>
    <w:rsid w:val="25D96FC7"/>
    <w:rsid w:val="25DE587E"/>
    <w:rsid w:val="25E116AE"/>
    <w:rsid w:val="25F13F59"/>
    <w:rsid w:val="25F276EF"/>
    <w:rsid w:val="25FD7B6A"/>
    <w:rsid w:val="25FD7F5A"/>
    <w:rsid w:val="260678C3"/>
    <w:rsid w:val="260B22E1"/>
    <w:rsid w:val="26190E48"/>
    <w:rsid w:val="26215F4F"/>
    <w:rsid w:val="26285466"/>
    <w:rsid w:val="264A1001"/>
    <w:rsid w:val="264B4071"/>
    <w:rsid w:val="26582561"/>
    <w:rsid w:val="2659342C"/>
    <w:rsid w:val="266243F1"/>
    <w:rsid w:val="266C2A3A"/>
    <w:rsid w:val="26726B5F"/>
    <w:rsid w:val="2692725A"/>
    <w:rsid w:val="269B38E3"/>
    <w:rsid w:val="269C55D5"/>
    <w:rsid w:val="26A03988"/>
    <w:rsid w:val="26A60B5D"/>
    <w:rsid w:val="26B27FDA"/>
    <w:rsid w:val="26B33298"/>
    <w:rsid w:val="26B66486"/>
    <w:rsid w:val="26BF02DB"/>
    <w:rsid w:val="26C822E2"/>
    <w:rsid w:val="26D20DE7"/>
    <w:rsid w:val="26DB7EAB"/>
    <w:rsid w:val="26EF07BB"/>
    <w:rsid w:val="26FC231E"/>
    <w:rsid w:val="26FE003E"/>
    <w:rsid w:val="2700590E"/>
    <w:rsid w:val="27023A81"/>
    <w:rsid w:val="27063945"/>
    <w:rsid w:val="270A192C"/>
    <w:rsid w:val="271105DD"/>
    <w:rsid w:val="271138CD"/>
    <w:rsid w:val="2713289E"/>
    <w:rsid w:val="27191DB9"/>
    <w:rsid w:val="271E2548"/>
    <w:rsid w:val="272210FA"/>
    <w:rsid w:val="273270D1"/>
    <w:rsid w:val="27346357"/>
    <w:rsid w:val="27380BDE"/>
    <w:rsid w:val="273A7C33"/>
    <w:rsid w:val="27586C7A"/>
    <w:rsid w:val="27630ECE"/>
    <w:rsid w:val="27637EA1"/>
    <w:rsid w:val="27677991"/>
    <w:rsid w:val="276E2ACE"/>
    <w:rsid w:val="277D0F63"/>
    <w:rsid w:val="277E277E"/>
    <w:rsid w:val="277F5317"/>
    <w:rsid w:val="278725F0"/>
    <w:rsid w:val="278732D8"/>
    <w:rsid w:val="279B63E0"/>
    <w:rsid w:val="27AF5D51"/>
    <w:rsid w:val="27BE4DD0"/>
    <w:rsid w:val="27C53B56"/>
    <w:rsid w:val="27CE5C62"/>
    <w:rsid w:val="27DC7A7D"/>
    <w:rsid w:val="27DD2FAC"/>
    <w:rsid w:val="27E93769"/>
    <w:rsid w:val="27F136FF"/>
    <w:rsid w:val="27F24799"/>
    <w:rsid w:val="27F52FD8"/>
    <w:rsid w:val="27F82CDF"/>
    <w:rsid w:val="28020EDA"/>
    <w:rsid w:val="280C08E3"/>
    <w:rsid w:val="280D000E"/>
    <w:rsid w:val="280E60FA"/>
    <w:rsid w:val="281022BF"/>
    <w:rsid w:val="28114E6E"/>
    <w:rsid w:val="28285496"/>
    <w:rsid w:val="28315327"/>
    <w:rsid w:val="283902D2"/>
    <w:rsid w:val="28622D6C"/>
    <w:rsid w:val="286363AA"/>
    <w:rsid w:val="28651878"/>
    <w:rsid w:val="286914E7"/>
    <w:rsid w:val="28697830"/>
    <w:rsid w:val="286E3DC2"/>
    <w:rsid w:val="28800F82"/>
    <w:rsid w:val="28855269"/>
    <w:rsid w:val="289F3242"/>
    <w:rsid w:val="28A93FBD"/>
    <w:rsid w:val="28AF1D08"/>
    <w:rsid w:val="28AF5706"/>
    <w:rsid w:val="28B57353"/>
    <w:rsid w:val="28B67F4E"/>
    <w:rsid w:val="28C6692F"/>
    <w:rsid w:val="28DE24E8"/>
    <w:rsid w:val="28E55011"/>
    <w:rsid w:val="28E9418A"/>
    <w:rsid w:val="28EC0E63"/>
    <w:rsid w:val="28ED6AA1"/>
    <w:rsid w:val="28EF373E"/>
    <w:rsid w:val="28F37DE0"/>
    <w:rsid w:val="28F60946"/>
    <w:rsid w:val="28F81264"/>
    <w:rsid w:val="290F2F1B"/>
    <w:rsid w:val="292210FF"/>
    <w:rsid w:val="292819A2"/>
    <w:rsid w:val="292973B7"/>
    <w:rsid w:val="293D465D"/>
    <w:rsid w:val="293F0E54"/>
    <w:rsid w:val="293F552F"/>
    <w:rsid w:val="29442E5E"/>
    <w:rsid w:val="29543F45"/>
    <w:rsid w:val="29557CC0"/>
    <w:rsid w:val="29566AD5"/>
    <w:rsid w:val="29642BB8"/>
    <w:rsid w:val="29671702"/>
    <w:rsid w:val="296738AA"/>
    <w:rsid w:val="29840DCA"/>
    <w:rsid w:val="29937272"/>
    <w:rsid w:val="29AB1205"/>
    <w:rsid w:val="29B34712"/>
    <w:rsid w:val="29C72969"/>
    <w:rsid w:val="29C942A8"/>
    <w:rsid w:val="29CE0798"/>
    <w:rsid w:val="29CF356A"/>
    <w:rsid w:val="29D82A4D"/>
    <w:rsid w:val="29DC3032"/>
    <w:rsid w:val="29E60727"/>
    <w:rsid w:val="29E907C2"/>
    <w:rsid w:val="29EA0C59"/>
    <w:rsid w:val="29EC1D7B"/>
    <w:rsid w:val="29ED5DF1"/>
    <w:rsid w:val="29F67CF2"/>
    <w:rsid w:val="29F91838"/>
    <w:rsid w:val="29FA689B"/>
    <w:rsid w:val="29FB777B"/>
    <w:rsid w:val="2A064840"/>
    <w:rsid w:val="2A0911D4"/>
    <w:rsid w:val="2A0C1204"/>
    <w:rsid w:val="2A17774C"/>
    <w:rsid w:val="2A190230"/>
    <w:rsid w:val="2A1C32B0"/>
    <w:rsid w:val="2A2E0F97"/>
    <w:rsid w:val="2A320B9A"/>
    <w:rsid w:val="2A34580C"/>
    <w:rsid w:val="2A3F0B3B"/>
    <w:rsid w:val="2A42363D"/>
    <w:rsid w:val="2A472ED1"/>
    <w:rsid w:val="2A584C16"/>
    <w:rsid w:val="2A612DBE"/>
    <w:rsid w:val="2A695D70"/>
    <w:rsid w:val="2A6D3510"/>
    <w:rsid w:val="2A783D93"/>
    <w:rsid w:val="2A7913F8"/>
    <w:rsid w:val="2AA76D25"/>
    <w:rsid w:val="2AAD284E"/>
    <w:rsid w:val="2AAD6003"/>
    <w:rsid w:val="2AD922D5"/>
    <w:rsid w:val="2AF16562"/>
    <w:rsid w:val="2AF806BD"/>
    <w:rsid w:val="2B003384"/>
    <w:rsid w:val="2B087877"/>
    <w:rsid w:val="2B0F13ED"/>
    <w:rsid w:val="2B240021"/>
    <w:rsid w:val="2B2A1401"/>
    <w:rsid w:val="2B312790"/>
    <w:rsid w:val="2B3816AB"/>
    <w:rsid w:val="2B4E4BA3"/>
    <w:rsid w:val="2B540D0F"/>
    <w:rsid w:val="2B563FA5"/>
    <w:rsid w:val="2B6568DD"/>
    <w:rsid w:val="2B697D9A"/>
    <w:rsid w:val="2B732A8D"/>
    <w:rsid w:val="2B746B21"/>
    <w:rsid w:val="2B7C591E"/>
    <w:rsid w:val="2B7E5D9A"/>
    <w:rsid w:val="2B836D64"/>
    <w:rsid w:val="2B9022FF"/>
    <w:rsid w:val="2B954CAE"/>
    <w:rsid w:val="2B984948"/>
    <w:rsid w:val="2B9F1671"/>
    <w:rsid w:val="2BB31A46"/>
    <w:rsid w:val="2BB46F1D"/>
    <w:rsid w:val="2BBF6949"/>
    <w:rsid w:val="2BCD1923"/>
    <w:rsid w:val="2BD31A99"/>
    <w:rsid w:val="2BD33D28"/>
    <w:rsid w:val="2BDD2D68"/>
    <w:rsid w:val="2BF046C6"/>
    <w:rsid w:val="2C052A87"/>
    <w:rsid w:val="2C070FE8"/>
    <w:rsid w:val="2C097269"/>
    <w:rsid w:val="2C0C0B07"/>
    <w:rsid w:val="2C2E3173"/>
    <w:rsid w:val="2C4123F8"/>
    <w:rsid w:val="2C5C0A87"/>
    <w:rsid w:val="2C6B2B88"/>
    <w:rsid w:val="2C751737"/>
    <w:rsid w:val="2C7860A9"/>
    <w:rsid w:val="2C813E03"/>
    <w:rsid w:val="2C815051"/>
    <w:rsid w:val="2C89295F"/>
    <w:rsid w:val="2C93791D"/>
    <w:rsid w:val="2C95210E"/>
    <w:rsid w:val="2CA94ABE"/>
    <w:rsid w:val="2CAD3624"/>
    <w:rsid w:val="2CB53AE6"/>
    <w:rsid w:val="2CB62C03"/>
    <w:rsid w:val="2CB76CC5"/>
    <w:rsid w:val="2CBC042B"/>
    <w:rsid w:val="2CBC3313"/>
    <w:rsid w:val="2CC95BEE"/>
    <w:rsid w:val="2CCD3D32"/>
    <w:rsid w:val="2CEA52EC"/>
    <w:rsid w:val="2CEE5A73"/>
    <w:rsid w:val="2CFB41D2"/>
    <w:rsid w:val="2CFF066C"/>
    <w:rsid w:val="2D027874"/>
    <w:rsid w:val="2D063FE2"/>
    <w:rsid w:val="2D126FC5"/>
    <w:rsid w:val="2D1C37CA"/>
    <w:rsid w:val="2D1F7442"/>
    <w:rsid w:val="2D215F55"/>
    <w:rsid w:val="2D3F6E46"/>
    <w:rsid w:val="2D421AD2"/>
    <w:rsid w:val="2D460049"/>
    <w:rsid w:val="2D577161"/>
    <w:rsid w:val="2D5D6FD4"/>
    <w:rsid w:val="2D602562"/>
    <w:rsid w:val="2D627E50"/>
    <w:rsid w:val="2D720E3E"/>
    <w:rsid w:val="2D753097"/>
    <w:rsid w:val="2D7C088F"/>
    <w:rsid w:val="2D8172D3"/>
    <w:rsid w:val="2D833375"/>
    <w:rsid w:val="2D9333B4"/>
    <w:rsid w:val="2D9D4CF4"/>
    <w:rsid w:val="2DAF052C"/>
    <w:rsid w:val="2DB04ED5"/>
    <w:rsid w:val="2DB337BD"/>
    <w:rsid w:val="2DB81174"/>
    <w:rsid w:val="2DBA4734"/>
    <w:rsid w:val="2DBB0976"/>
    <w:rsid w:val="2DBF02C5"/>
    <w:rsid w:val="2DC22FBC"/>
    <w:rsid w:val="2DC53663"/>
    <w:rsid w:val="2DCF6290"/>
    <w:rsid w:val="2DDA3075"/>
    <w:rsid w:val="2DDA5D82"/>
    <w:rsid w:val="2DE31066"/>
    <w:rsid w:val="2DF135C9"/>
    <w:rsid w:val="2DF87595"/>
    <w:rsid w:val="2E002ED5"/>
    <w:rsid w:val="2E0069D9"/>
    <w:rsid w:val="2E322F72"/>
    <w:rsid w:val="2E324C75"/>
    <w:rsid w:val="2E3D469A"/>
    <w:rsid w:val="2E407F77"/>
    <w:rsid w:val="2E4C168F"/>
    <w:rsid w:val="2E5F21DD"/>
    <w:rsid w:val="2E62166D"/>
    <w:rsid w:val="2E650D3C"/>
    <w:rsid w:val="2E6B525A"/>
    <w:rsid w:val="2E6E124B"/>
    <w:rsid w:val="2E76670C"/>
    <w:rsid w:val="2E912BB3"/>
    <w:rsid w:val="2E95072C"/>
    <w:rsid w:val="2EA24A03"/>
    <w:rsid w:val="2EA535BD"/>
    <w:rsid w:val="2EA72D69"/>
    <w:rsid w:val="2EBA3DF2"/>
    <w:rsid w:val="2EC61441"/>
    <w:rsid w:val="2EE031D7"/>
    <w:rsid w:val="2EE950C8"/>
    <w:rsid w:val="2EEF4510"/>
    <w:rsid w:val="2EF1680D"/>
    <w:rsid w:val="2EF9267D"/>
    <w:rsid w:val="2EFF0FD8"/>
    <w:rsid w:val="2F0469CD"/>
    <w:rsid w:val="2F0E64CF"/>
    <w:rsid w:val="2F112658"/>
    <w:rsid w:val="2F162EA4"/>
    <w:rsid w:val="2F17146B"/>
    <w:rsid w:val="2F190463"/>
    <w:rsid w:val="2F1A1B42"/>
    <w:rsid w:val="2F1F16C8"/>
    <w:rsid w:val="2F245232"/>
    <w:rsid w:val="2F2B12E9"/>
    <w:rsid w:val="2F3A3BDD"/>
    <w:rsid w:val="2F3E191F"/>
    <w:rsid w:val="2F431078"/>
    <w:rsid w:val="2F5348ED"/>
    <w:rsid w:val="2F534C00"/>
    <w:rsid w:val="2F5D6F3E"/>
    <w:rsid w:val="2F615E06"/>
    <w:rsid w:val="2F674F0F"/>
    <w:rsid w:val="2F69083D"/>
    <w:rsid w:val="2F6B3D97"/>
    <w:rsid w:val="2F74599F"/>
    <w:rsid w:val="2F7A3CBF"/>
    <w:rsid w:val="2F953EB4"/>
    <w:rsid w:val="2F990058"/>
    <w:rsid w:val="2FA86D99"/>
    <w:rsid w:val="2FB120F1"/>
    <w:rsid w:val="2FB70CF2"/>
    <w:rsid w:val="2FB7522E"/>
    <w:rsid w:val="2FC46484"/>
    <w:rsid w:val="2FD4081B"/>
    <w:rsid w:val="2FD649BA"/>
    <w:rsid w:val="2FDF5AEE"/>
    <w:rsid w:val="2FE14539"/>
    <w:rsid w:val="2FEA115F"/>
    <w:rsid w:val="2FF06C35"/>
    <w:rsid w:val="30042C93"/>
    <w:rsid w:val="30044399"/>
    <w:rsid w:val="30170083"/>
    <w:rsid w:val="301C50A4"/>
    <w:rsid w:val="301E1925"/>
    <w:rsid w:val="30207EA6"/>
    <w:rsid w:val="30226DD3"/>
    <w:rsid w:val="30277D1C"/>
    <w:rsid w:val="30366D3A"/>
    <w:rsid w:val="30372959"/>
    <w:rsid w:val="303B4053"/>
    <w:rsid w:val="303C114F"/>
    <w:rsid w:val="303E53DD"/>
    <w:rsid w:val="30476F70"/>
    <w:rsid w:val="304C7BB2"/>
    <w:rsid w:val="304E5B92"/>
    <w:rsid w:val="30565A9C"/>
    <w:rsid w:val="305B4F44"/>
    <w:rsid w:val="30633C3B"/>
    <w:rsid w:val="30656D47"/>
    <w:rsid w:val="306802C6"/>
    <w:rsid w:val="3070005D"/>
    <w:rsid w:val="307554EA"/>
    <w:rsid w:val="30757DAB"/>
    <w:rsid w:val="30863F97"/>
    <w:rsid w:val="309D6D3A"/>
    <w:rsid w:val="30A6152A"/>
    <w:rsid w:val="30A90346"/>
    <w:rsid w:val="30B47367"/>
    <w:rsid w:val="30B54613"/>
    <w:rsid w:val="30D57E4D"/>
    <w:rsid w:val="30D74A22"/>
    <w:rsid w:val="30ED1F7A"/>
    <w:rsid w:val="30FC69B6"/>
    <w:rsid w:val="30FF104A"/>
    <w:rsid w:val="31073B12"/>
    <w:rsid w:val="310B3A83"/>
    <w:rsid w:val="311355CC"/>
    <w:rsid w:val="31277CE2"/>
    <w:rsid w:val="31401CF2"/>
    <w:rsid w:val="3141517A"/>
    <w:rsid w:val="314E6CBC"/>
    <w:rsid w:val="31603DCF"/>
    <w:rsid w:val="31792812"/>
    <w:rsid w:val="317F3B29"/>
    <w:rsid w:val="3189214B"/>
    <w:rsid w:val="318B24CE"/>
    <w:rsid w:val="318D6AB0"/>
    <w:rsid w:val="319161B5"/>
    <w:rsid w:val="319A611D"/>
    <w:rsid w:val="31A007FB"/>
    <w:rsid w:val="31A50DC8"/>
    <w:rsid w:val="31B075DC"/>
    <w:rsid w:val="31CB6FC8"/>
    <w:rsid w:val="31D515B8"/>
    <w:rsid w:val="31D54793"/>
    <w:rsid w:val="31D71BB7"/>
    <w:rsid w:val="31E45E5E"/>
    <w:rsid w:val="320A7971"/>
    <w:rsid w:val="320F0386"/>
    <w:rsid w:val="320F4EAD"/>
    <w:rsid w:val="32195FF7"/>
    <w:rsid w:val="321B5F48"/>
    <w:rsid w:val="321C75CA"/>
    <w:rsid w:val="3223555C"/>
    <w:rsid w:val="32244A82"/>
    <w:rsid w:val="322748ED"/>
    <w:rsid w:val="322E3B96"/>
    <w:rsid w:val="32522348"/>
    <w:rsid w:val="32744109"/>
    <w:rsid w:val="32787D25"/>
    <w:rsid w:val="32801CB6"/>
    <w:rsid w:val="328822B7"/>
    <w:rsid w:val="328B3846"/>
    <w:rsid w:val="329D3582"/>
    <w:rsid w:val="32A02DFC"/>
    <w:rsid w:val="32A91739"/>
    <w:rsid w:val="32AC44E9"/>
    <w:rsid w:val="32C6357C"/>
    <w:rsid w:val="32D3237F"/>
    <w:rsid w:val="32F04CDF"/>
    <w:rsid w:val="32F07795"/>
    <w:rsid w:val="32F1274D"/>
    <w:rsid w:val="32F6137C"/>
    <w:rsid w:val="32F83AA6"/>
    <w:rsid w:val="32F87249"/>
    <w:rsid w:val="32FE10C3"/>
    <w:rsid w:val="32FE2BF5"/>
    <w:rsid w:val="33115E0F"/>
    <w:rsid w:val="33181FD0"/>
    <w:rsid w:val="331942F6"/>
    <w:rsid w:val="33273832"/>
    <w:rsid w:val="33333133"/>
    <w:rsid w:val="33382209"/>
    <w:rsid w:val="33665059"/>
    <w:rsid w:val="337C4783"/>
    <w:rsid w:val="338A6296"/>
    <w:rsid w:val="338C39A2"/>
    <w:rsid w:val="339677A9"/>
    <w:rsid w:val="339A2E9C"/>
    <w:rsid w:val="33B51E64"/>
    <w:rsid w:val="33B81962"/>
    <w:rsid w:val="33B82D15"/>
    <w:rsid w:val="33C11EAD"/>
    <w:rsid w:val="33CE39EB"/>
    <w:rsid w:val="33D01B1A"/>
    <w:rsid w:val="33D23A93"/>
    <w:rsid w:val="33D73933"/>
    <w:rsid w:val="33D748C6"/>
    <w:rsid w:val="33D9052A"/>
    <w:rsid w:val="33D939C5"/>
    <w:rsid w:val="33DA3519"/>
    <w:rsid w:val="33E42967"/>
    <w:rsid w:val="33E86AE2"/>
    <w:rsid w:val="33F2287E"/>
    <w:rsid w:val="33F57067"/>
    <w:rsid w:val="34001071"/>
    <w:rsid w:val="34264A08"/>
    <w:rsid w:val="342B1D46"/>
    <w:rsid w:val="342E628A"/>
    <w:rsid w:val="34364EAB"/>
    <w:rsid w:val="34391C62"/>
    <w:rsid w:val="343A46DB"/>
    <w:rsid w:val="343C502F"/>
    <w:rsid w:val="343C7C22"/>
    <w:rsid w:val="34445E98"/>
    <w:rsid w:val="34464E1A"/>
    <w:rsid w:val="345474EF"/>
    <w:rsid w:val="3455441A"/>
    <w:rsid w:val="345614B9"/>
    <w:rsid w:val="345F24AD"/>
    <w:rsid w:val="347B5D20"/>
    <w:rsid w:val="34837293"/>
    <w:rsid w:val="34956229"/>
    <w:rsid w:val="34A264AC"/>
    <w:rsid w:val="34B86CDC"/>
    <w:rsid w:val="34C007AF"/>
    <w:rsid w:val="34C24EE8"/>
    <w:rsid w:val="34DA1912"/>
    <w:rsid w:val="34E14044"/>
    <w:rsid w:val="34ED583B"/>
    <w:rsid w:val="350348A2"/>
    <w:rsid w:val="350B22A4"/>
    <w:rsid w:val="350B6CD1"/>
    <w:rsid w:val="35156C7E"/>
    <w:rsid w:val="352073D1"/>
    <w:rsid w:val="35270760"/>
    <w:rsid w:val="35324F9E"/>
    <w:rsid w:val="353A3587"/>
    <w:rsid w:val="353D78BC"/>
    <w:rsid w:val="354457B6"/>
    <w:rsid w:val="3549133A"/>
    <w:rsid w:val="354D7A89"/>
    <w:rsid w:val="355325D3"/>
    <w:rsid w:val="3557414D"/>
    <w:rsid w:val="357F29AC"/>
    <w:rsid w:val="35845033"/>
    <w:rsid w:val="358D2394"/>
    <w:rsid w:val="358F0D50"/>
    <w:rsid w:val="35A51EA0"/>
    <w:rsid w:val="35A62056"/>
    <w:rsid w:val="35A67081"/>
    <w:rsid w:val="35AB1896"/>
    <w:rsid w:val="35AC6949"/>
    <w:rsid w:val="35B362F5"/>
    <w:rsid w:val="35BC06D2"/>
    <w:rsid w:val="35C50C7A"/>
    <w:rsid w:val="35CB558F"/>
    <w:rsid w:val="35CF32D1"/>
    <w:rsid w:val="35D53D7D"/>
    <w:rsid w:val="35DB7EC8"/>
    <w:rsid w:val="35DE28FA"/>
    <w:rsid w:val="35E23B11"/>
    <w:rsid w:val="35EC7AB6"/>
    <w:rsid w:val="35F155ED"/>
    <w:rsid w:val="35F70052"/>
    <w:rsid w:val="360931E6"/>
    <w:rsid w:val="360D5BA8"/>
    <w:rsid w:val="360E4570"/>
    <w:rsid w:val="361227C4"/>
    <w:rsid w:val="36165CD1"/>
    <w:rsid w:val="361C70D1"/>
    <w:rsid w:val="362A535F"/>
    <w:rsid w:val="362F3C1B"/>
    <w:rsid w:val="362F5B1E"/>
    <w:rsid w:val="36453ED6"/>
    <w:rsid w:val="364E5458"/>
    <w:rsid w:val="364F5169"/>
    <w:rsid w:val="364F5242"/>
    <w:rsid w:val="365C682C"/>
    <w:rsid w:val="366003CD"/>
    <w:rsid w:val="3664704C"/>
    <w:rsid w:val="36660724"/>
    <w:rsid w:val="366E4A0B"/>
    <w:rsid w:val="366F6234"/>
    <w:rsid w:val="36747319"/>
    <w:rsid w:val="367E5478"/>
    <w:rsid w:val="36814D91"/>
    <w:rsid w:val="368F4F9A"/>
    <w:rsid w:val="3699568D"/>
    <w:rsid w:val="36A95AC9"/>
    <w:rsid w:val="36AC1AA0"/>
    <w:rsid w:val="36AE738B"/>
    <w:rsid w:val="36B15804"/>
    <w:rsid w:val="36BD0613"/>
    <w:rsid w:val="36C117CA"/>
    <w:rsid w:val="36C24173"/>
    <w:rsid w:val="36C47652"/>
    <w:rsid w:val="36C904B5"/>
    <w:rsid w:val="36CE0C3E"/>
    <w:rsid w:val="36D00D5A"/>
    <w:rsid w:val="36E67FDB"/>
    <w:rsid w:val="36EC0D1E"/>
    <w:rsid w:val="36EC2811"/>
    <w:rsid w:val="36F13EF1"/>
    <w:rsid w:val="36F4510C"/>
    <w:rsid w:val="36F72946"/>
    <w:rsid w:val="36F91FC5"/>
    <w:rsid w:val="37005405"/>
    <w:rsid w:val="370A5610"/>
    <w:rsid w:val="370E49AA"/>
    <w:rsid w:val="3715494F"/>
    <w:rsid w:val="37181804"/>
    <w:rsid w:val="371F15C9"/>
    <w:rsid w:val="37215089"/>
    <w:rsid w:val="372D76E5"/>
    <w:rsid w:val="372F5D28"/>
    <w:rsid w:val="37335AE2"/>
    <w:rsid w:val="374106B7"/>
    <w:rsid w:val="37494035"/>
    <w:rsid w:val="374D6BA3"/>
    <w:rsid w:val="375F56FE"/>
    <w:rsid w:val="37654F88"/>
    <w:rsid w:val="37675CE5"/>
    <w:rsid w:val="376F4E86"/>
    <w:rsid w:val="378E263A"/>
    <w:rsid w:val="378F7E82"/>
    <w:rsid w:val="37910CC6"/>
    <w:rsid w:val="37974313"/>
    <w:rsid w:val="37A50D58"/>
    <w:rsid w:val="37A84E13"/>
    <w:rsid w:val="37BC7885"/>
    <w:rsid w:val="37C15E47"/>
    <w:rsid w:val="37CF7D44"/>
    <w:rsid w:val="37F52845"/>
    <w:rsid w:val="37F64AF5"/>
    <w:rsid w:val="37FC2678"/>
    <w:rsid w:val="38153AD8"/>
    <w:rsid w:val="38222F62"/>
    <w:rsid w:val="38235F70"/>
    <w:rsid w:val="38304E13"/>
    <w:rsid w:val="383252C1"/>
    <w:rsid w:val="384D7FEA"/>
    <w:rsid w:val="385861CA"/>
    <w:rsid w:val="387F0992"/>
    <w:rsid w:val="38820824"/>
    <w:rsid w:val="388A1731"/>
    <w:rsid w:val="389806F5"/>
    <w:rsid w:val="38A709EE"/>
    <w:rsid w:val="38B72DF7"/>
    <w:rsid w:val="38B73E51"/>
    <w:rsid w:val="38C644A7"/>
    <w:rsid w:val="38C85DAF"/>
    <w:rsid w:val="38CE2048"/>
    <w:rsid w:val="38F4590A"/>
    <w:rsid w:val="38F671C2"/>
    <w:rsid w:val="38F92413"/>
    <w:rsid w:val="390C5071"/>
    <w:rsid w:val="3913116B"/>
    <w:rsid w:val="391D4354"/>
    <w:rsid w:val="39216E79"/>
    <w:rsid w:val="392327CE"/>
    <w:rsid w:val="392B274A"/>
    <w:rsid w:val="392D63D3"/>
    <w:rsid w:val="392F4087"/>
    <w:rsid w:val="3938118D"/>
    <w:rsid w:val="393F076E"/>
    <w:rsid w:val="394E61CB"/>
    <w:rsid w:val="39505AC2"/>
    <w:rsid w:val="396174F8"/>
    <w:rsid w:val="3962445C"/>
    <w:rsid w:val="39754534"/>
    <w:rsid w:val="397F4B08"/>
    <w:rsid w:val="398366D3"/>
    <w:rsid w:val="39864609"/>
    <w:rsid w:val="39881476"/>
    <w:rsid w:val="39902D77"/>
    <w:rsid w:val="399F46BE"/>
    <w:rsid w:val="39AE4E7F"/>
    <w:rsid w:val="39AE5BC0"/>
    <w:rsid w:val="39B622D0"/>
    <w:rsid w:val="39C11183"/>
    <w:rsid w:val="39CB57B4"/>
    <w:rsid w:val="39D070E9"/>
    <w:rsid w:val="39DD2461"/>
    <w:rsid w:val="39DE64CC"/>
    <w:rsid w:val="39DE68DF"/>
    <w:rsid w:val="39E6508D"/>
    <w:rsid w:val="39EB4050"/>
    <w:rsid w:val="39EB5851"/>
    <w:rsid w:val="39F4589E"/>
    <w:rsid w:val="39FF3A59"/>
    <w:rsid w:val="3A062648"/>
    <w:rsid w:val="3A0D5606"/>
    <w:rsid w:val="3A1F176C"/>
    <w:rsid w:val="3A284819"/>
    <w:rsid w:val="3A416ED2"/>
    <w:rsid w:val="3A59760D"/>
    <w:rsid w:val="3A5C1BAC"/>
    <w:rsid w:val="3A60626A"/>
    <w:rsid w:val="3A69631B"/>
    <w:rsid w:val="3A6C4951"/>
    <w:rsid w:val="3A74311E"/>
    <w:rsid w:val="3A8C1E05"/>
    <w:rsid w:val="3ACB5733"/>
    <w:rsid w:val="3AEA4709"/>
    <w:rsid w:val="3AF40EAF"/>
    <w:rsid w:val="3B081A71"/>
    <w:rsid w:val="3B0F72CE"/>
    <w:rsid w:val="3B1B60DB"/>
    <w:rsid w:val="3B2566FA"/>
    <w:rsid w:val="3B2F712A"/>
    <w:rsid w:val="3B345AAB"/>
    <w:rsid w:val="3B3E0A5D"/>
    <w:rsid w:val="3B417A68"/>
    <w:rsid w:val="3B4877CF"/>
    <w:rsid w:val="3B4A7D03"/>
    <w:rsid w:val="3B4B164C"/>
    <w:rsid w:val="3B4C1284"/>
    <w:rsid w:val="3B4F157F"/>
    <w:rsid w:val="3B53251D"/>
    <w:rsid w:val="3B566CE4"/>
    <w:rsid w:val="3B6852F6"/>
    <w:rsid w:val="3B6E50FF"/>
    <w:rsid w:val="3B7010B2"/>
    <w:rsid w:val="3B816B31"/>
    <w:rsid w:val="3B910789"/>
    <w:rsid w:val="3B934DA1"/>
    <w:rsid w:val="3B9434AF"/>
    <w:rsid w:val="3BC33B1E"/>
    <w:rsid w:val="3BE455FD"/>
    <w:rsid w:val="3BE644F7"/>
    <w:rsid w:val="3BEB16AD"/>
    <w:rsid w:val="3BFA6D3A"/>
    <w:rsid w:val="3BFF41E4"/>
    <w:rsid w:val="3C0A592A"/>
    <w:rsid w:val="3C127390"/>
    <w:rsid w:val="3C221C81"/>
    <w:rsid w:val="3C2A0D9F"/>
    <w:rsid w:val="3C432323"/>
    <w:rsid w:val="3C4C7F33"/>
    <w:rsid w:val="3C681222"/>
    <w:rsid w:val="3C821CD3"/>
    <w:rsid w:val="3C9C1A33"/>
    <w:rsid w:val="3CA41744"/>
    <w:rsid w:val="3CAB7EC8"/>
    <w:rsid w:val="3CAC749C"/>
    <w:rsid w:val="3CAE1501"/>
    <w:rsid w:val="3CB25C19"/>
    <w:rsid w:val="3CBF7EB3"/>
    <w:rsid w:val="3CC8269A"/>
    <w:rsid w:val="3CCA65A0"/>
    <w:rsid w:val="3CCD65FE"/>
    <w:rsid w:val="3CCF0666"/>
    <w:rsid w:val="3CD81B6A"/>
    <w:rsid w:val="3CE219B8"/>
    <w:rsid w:val="3CE505AF"/>
    <w:rsid w:val="3CE72485"/>
    <w:rsid w:val="3CE90EB4"/>
    <w:rsid w:val="3CEA6C43"/>
    <w:rsid w:val="3CED6733"/>
    <w:rsid w:val="3CEE4898"/>
    <w:rsid w:val="3CF13E86"/>
    <w:rsid w:val="3CF770E1"/>
    <w:rsid w:val="3CFB69A6"/>
    <w:rsid w:val="3D0906D0"/>
    <w:rsid w:val="3D0958EF"/>
    <w:rsid w:val="3D0A2E41"/>
    <w:rsid w:val="3D0E2B02"/>
    <w:rsid w:val="3D1E1295"/>
    <w:rsid w:val="3D236758"/>
    <w:rsid w:val="3D331D31"/>
    <w:rsid w:val="3D4273C4"/>
    <w:rsid w:val="3D44025E"/>
    <w:rsid w:val="3D4533A3"/>
    <w:rsid w:val="3D5A3963"/>
    <w:rsid w:val="3D5E05C0"/>
    <w:rsid w:val="3D6551A4"/>
    <w:rsid w:val="3D7D428C"/>
    <w:rsid w:val="3D843783"/>
    <w:rsid w:val="3D8D0218"/>
    <w:rsid w:val="3D9B7F3D"/>
    <w:rsid w:val="3DA20CB6"/>
    <w:rsid w:val="3DA212CB"/>
    <w:rsid w:val="3DAB5897"/>
    <w:rsid w:val="3DAD2B58"/>
    <w:rsid w:val="3DB465D0"/>
    <w:rsid w:val="3DC41796"/>
    <w:rsid w:val="3DCD5FC9"/>
    <w:rsid w:val="3DE5227C"/>
    <w:rsid w:val="3DE77EC2"/>
    <w:rsid w:val="3DED337E"/>
    <w:rsid w:val="3DEE0A2C"/>
    <w:rsid w:val="3DFE1172"/>
    <w:rsid w:val="3E016BF0"/>
    <w:rsid w:val="3E0A0982"/>
    <w:rsid w:val="3E0E1C40"/>
    <w:rsid w:val="3E114BAB"/>
    <w:rsid w:val="3E1267A1"/>
    <w:rsid w:val="3E200140"/>
    <w:rsid w:val="3E300AD3"/>
    <w:rsid w:val="3E337AC5"/>
    <w:rsid w:val="3E353EED"/>
    <w:rsid w:val="3E392972"/>
    <w:rsid w:val="3E424750"/>
    <w:rsid w:val="3E4610AC"/>
    <w:rsid w:val="3E5117AC"/>
    <w:rsid w:val="3E5C6787"/>
    <w:rsid w:val="3E70649F"/>
    <w:rsid w:val="3E74259F"/>
    <w:rsid w:val="3E744864"/>
    <w:rsid w:val="3E752FEE"/>
    <w:rsid w:val="3E78466F"/>
    <w:rsid w:val="3E7F47A2"/>
    <w:rsid w:val="3E9335BB"/>
    <w:rsid w:val="3E9728EC"/>
    <w:rsid w:val="3E9744DA"/>
    <w:rsid w:val="3E9C475A"/>
    <w:rsid w:val="3EA36DA2"/>
    <w:rsid w:val="3EB06664"/>
    <w:rsid w:val="3EBC0AE0"/>
    <w:rsid w:val="3EBC702C"/>
    <w:rsid w:val="3EC4017B"/>
    <w:rsid w:val="3ECA6A47"/>
    <w:rsid w:val="3EDA34FF"/>
    <w:rsid w:val="3EE341B6"/>
    <w:rsid w:val="3EE86108"/>
    <w:rsid w:val="3EEA6702"/>
    <w:rsid w:val="3EF73899"/>
    <w:rsid w:val="3F06701C"/>
    <w:rsid w:val="3F1006DB"/>
    <w:rsid w:val="3F12297B"/>
    <w:rsid w:val="3F167184"/>
    <w:rsid w:val="3F1735F3"/>
    <w:rsid w:val="3F1A7E55"/>
    <w:rsid w:val="3F1B5A0A"/>
    <w:rsid w:val="3F204B9E"/>
    <w:rsid w:val="3F282217"/>
    <w:rsid w:val="3F2A67D7"/>
    <w:rsid w:val="3F4404BD"/>
    <w:rsid w:val="3F4C3D76"/>
    <w:rsid w:val="3F4D16E6"/>
    <w:rsid w:val="3F4F0EC3"/>
    <w:rsid w:val="3F5126CC"/>
    <w:rsid w:val="3F5648CC"/>
    <w:rsid w:val="3F5B7A4B"/>
    <w:rsid w:val="3F5E3A27"/>
    <w:rsid w:val="3F5F2902"/>
    <w:rsid w:val="3F615AFE"/>
    <w:rsid w:val="3F6459E6"/>
    <w:rsid w:val="3F7174B0"/>
    <w:rsid w:val="3F721802"/>
    <w:rsid w:val="3F7C238F"/>
    <w:rsid w:val="3F8275A7"/>
    <w:rsid w:val="3F85593D"/>
    <w:rsid w:val="3F9317EA"/>
    <w:rsid w:val="3F9D22CF"/>
    <w:rsid w:val="3FAA6838"/>
    <w:rsid w:val="3FC4377B"/>
    <w:rsid w:val="3FC50744"/>
    <w:rsid w:val="3FCA26DD"/>
    <w:rsid w:val="3FD80FD4"/>
    <w:rsid w:val="3FE81564"/>
    <w:rsid w:val="3FF036CE"/>
    <w:rsid w:val="3FF06655"/>
    <w:rsid w:val="3FF51B86"/>
    <w:rsid w:val="4000052B"/>
    <w:rsid w:val="40084DA7"/>
    <w:rsid w:val="40090B8E"/>
    <w:rsid w:val="400A39E4"/>
    <w:rsid w:val="400D2571"/>
    <w:rsid w:val="40196F34"/>
    <w:rsid w:val="401B1B5E"/>
    <w:rsid w:val="401D2804"/>
    <w:rsid w:val="402E32EA"/>
    <w:rsid w:val="40420A0D"/>
    <w:rsid w:val="40503261"/>
    <w:rsid w:val="40570AE2"/>
    <w:rsid w:val="405B5EF2"/>
    <w:rsid w:val="405D3337"/>
    <w:rsid w:val="4066501E"/>
    <w:rsid w:val="406B3335"/>
    <w:rsid w:val="406E36E7"/>
    <w:rsid w:val="406F1C68"/>
    <w:rsid w:val="407329E4"/>
    <w:rsid w:val="40801DC5"/>
    <w:rsid w:val="40826F9E"/>
    <w:rsid w:val="40844EC0"/>
    <w:rsid w:val="4086025B"/>
    <w:rsid w:val="40880D78"/>
    <w:rsid w:val="408A55A8"/>
    <w:rsid w:val="40942E4E"/>
    <w:rsid w:val="409749EB"/>
    <w:rsid w:val="40AF2926"/>
    <w:rsid w:val="40B05102"/>
    <w:rsid w:val="40B14B10"/>
    <w:rsid w:val="40BE5D0C"/>
    <w:rsid w:val="40C70F5A"/>
    <w:rsid w:val="40D37419"/>
    <w:rsid w:val="40DA7ECD"/>
    <w:rsid w:val="40DC34B7"/>
    <w:rsid w:val="40DF7353"/>
    <w:rsid w:val="40EC000C"/>
    <w:rsid w:val="40EC543D"/>
    <w:rsid w:val="40F57964"/>
    <w:rsid w:val="410B4A24"/>
    <w:rsid w:val="4124393F"/>
    <w:rsid w:val="41313C50"/>
    <w:rsid w:val="41430135"/>
    <w:rsid w:val="41452699"/>
    <w:rsid w:val="4155493C"/>
    <w:rsid w:val="417322CC"/>
    <w:rsid w:val="417C1E33"/>
    <w:rsid w:val="41953C04"/>
    <w:rsid w:val="419864C3"/>
    <w:rsid w:val="41A62D03"/>
    <w:rsid w:val="41AE1830"/>
    <w:rsid w:val="41C0228F"/>
    <w:rsid w:val="41C14003"/>
    <w:rsid w:val="41C9096F"/>
    <w:rsid w:val="41CA4380"/>
    <w:rsid w:val="41CB0956"/>
    <w:rsid w:val="41D86512"/>
    <w:rsid w:val="41D87379"/>
    <w:rsid w:val="41E35ABC"/>
    <w:rsid w:val="41E520D3"/>
    <w:rsid w:val="41E649D0"/>
    <w:rsid w:val="41EB7464"/>
    <w:rsid w:val="41F2318B"/>
    <w:rsid w:val="42172A99"/>
    <w:rsid w:val="422F3ECC"/>
    <w:rsid w:val="423D50D1"/>
    <w:rsid w:val="423E6B8A"/>
    <w:rsid w:val="424007C7"/>
    <w:rsid w:val="424636FE"/>
    <w:rsid w:val="42477501"/>
    <w:rsid w:val="424C4E9D"/>
    <w:rsid w:val="425242EA"/>
    <w:rsid w:val="426F1683"/>
    <w:rsid w:val="42706705"/>
    <w:rsid w:val="429374B9"/>
    <w:rsid w:val="42A15C59"/>
    <w:rsid w:val="42A90F3F"/>
    <w:rsid w:val="42CC735E"/>
    <w:rsid w:val="42CF24CB"/>
    <w:rsid w:val="42D51B10"/>
    <w:rsid w:val="42EF61FF"/>
    <w:rsid w:val="42F120BE"/>
    <w:rsid w:val="42F37E9E"/>
    <w:rsid w:val="42F44377"/>
    <w:rsid w:val="42F5548C"/>
    <w:rsid w:val="42F56341"/>
    <w:rsid w:val="42FE460C"/>
    <w:rsid w:val="430601B1"/>
    <w:rsid w:val="43097C52"/>
    <w:rsid w:val="431467C7"/>
    <w:rsid w:val="43195B8C"/>
    <w:rsid w:val="431B1C8F"/>
    <w:rsid w:val="432307B8"/>
    <w:rsid w:val="43266E38"/>
    <w:rsid w:val="433F5744"/>
    <w:rsid w:val="434234FA"/>
    <w:rsid w:val="434A13EE"/>
    <w:rsid w:val="434D4336"/>
    <w:rsid w:val="43572F92"/>
    <w:rsid w:val="435B045B"/>
    <w:rsid w:val="436112E1"/>
    <w:rsid w:val="43660DBD"/>
    <w:rsid w:val="436A193A"/>
    <w:rsid w:val="43832E5A"/>
    <w:rsid w:val="43947B2E"/>
    <w:rsid w:val="439875C0"/>
    <w:rsid w:val="439926D3"/>
    <w:rsid w:val="43A35DF9"/>
    <w:rsid w:val="43A46235"/>
    <w:rsid w:val="43A56D67"/>
    <w:rsid w:val="43AA46B5"/>
    <w:rsid w:val="43B458B4"/>
    <w:rsid w:val="43C3165A"/>
    <w:rsid w:val="43CA2851"/>
    <w:rsid w:val="43D22853"/>
    <w:rsid w:val="43D9446E"/>
    <w:rsid w:val="43DE1C7E"/>
    <w:rsid w:val="43E02066"/>
    <w:rsid w:val="43E4411D"/>
    <w:rsid w:val="43EA7DE0"/>
    <w:rsid w:val="44014CFB"/>
    <w:rsid w:val="44135796"/>
    <w:rsid w:val="44180A5F"/>
    <w:rsid w:val="441A0C1B"/>
    <w:rsid w:val="441B330B"/>
    <w:rsid w:val="44273AF0"/>
    <w:rsid w:val="442E5667"/>
    <w:rsid w:val="443851F9"/>
    <w:rsid w:val="443B3874"/>
    <w:rsid w:val="443B5A10"/>
    <w:rsid w:val="443C404D"/>
    <w:rsid w:val="443D77D7"/>
    <w:rsid w:val="44435F8B"/>
    <w:rsid w:val="44533B09"/>
    <w:rsid w:val="445A2900"/>
    <w:rsid w:val="445A7CE8"/>
    <w:rsid w:val="445C4EDE"/>
    <w:rsid w:val="4464273F"/>
    <w:rsid w:val="446D1A0C"/>
    <w:rsid w:val="44756293"/>
    <w:rsid w:val="448D2381"/>
    <w:rsid w:val="448E2E10"/>
    <w:rsid w:val="448E723D"/>
    <w:rsid w:val="44933F74"/>
    <w:rsid w:val="44940020"/>
    <w:rsid w:val="449905B8"/>
    <w:rsid w:val="449A0F4E"/>
    <w:rsid w:val="44A83764"/>
    <w:rsid w:val="44AE577E"/>
    <w:rsid w:val="44CA72EB"/>
    <w:rsid w:val="44D51F86"/>
    <w:rsid w:val="44E53CB8"/>
    <w:rsid w:val="44EE60F3"/>
    <w:rsid w:val="44F63AE0"/>
    <w:rsid w:val="450C4F62"/>
    <w:rsid w:val="45212A8B"/>
    <w:rsid w:val="452A0524"/>
    <w:rsid w:val="452B74FC"/>
    <w:rsid w:val="45334C4D"/>
    <w:rsid w:val="453429B9"/>
    <w:rsid w:val="453A11DD"/>
    <w:rsid w:val="453B6F2D"/>
    <w:rsid w:val="453E18DA"/>
    <w:rsid w:val="454E0D58"/>
    <w:rsid w:val="4551194E"/>
    <w:rsid w:val="45594965"/>
    <w:rsid w:val="455E47F1"/>
    <w:rsid w:val="45605CF4"/>
    <w:rsid w:val="456060AA"/>
    <w:rsid w:val="456C1406"/>
    <w:rsid w:val="456E75A5"/>
    <w:rsid w:val="456F4189"/>
    <w:rsid w:val="457908D6"/>
    <w:rsid w:val="457D6D04"/>
    <w:rsid w:val="457E57DD"/>
    <w:rsid w:val="458634EA"/>
    <w:rsid w:val="458B0897"/>
    <w:rsid w:val="458B5F46"/>
    <w:rsid w:val="45963D33"/>
    <w:rsid w:val="459C4888"/>
    <w:rsid w:val="45B81E60"/>
    <w:rsid w:val="45C2730A"/>
    <w:rsid w:val="45C30AA3"/>
    <w:rsid w:val="45C7704C"/>
    <w:rsid w:val="45CF2C69"/>
    <w:rsid w:val="45D12C21"/>
    <w:rsid w:val="45DB3B6F"/>
    <w:rsid w:val="45E41D14"/>
    <w:rsid w:val="45E910E1"/>
    <w:rsid w:val="45EB47A3"/>
    <w:rsid w:val="45F91D12"/>
    <w:rsid w:val="45FF0D4F"/>
    <w:rsid w:val="460074D7"/>
    <w:rsid w:val="460F0BBC"/>
    <w:rsid w:val="4627138C"/>
    <w:rsid w:val="46312007"/>
    <w:rsid w:val="463C3CB8"/>
    <w:rsid w:val="46497BAC"/>
    <w:rsid w:val="46687358"/>
    <w:rsid w:val="46725BCE"/>
    <w:rsid w:val="467B7BF4"/>
    <w:rsid w:val="467E3B9D"/>
    <w:rsid w:val="468C2B19"/>
    <w:rsid w:val="468C347D"/>
    <w:rsid w:val="468D3034"/>
    <w:rsid w:val="468F2D28"/>
    <w:rsid w:val="46921B15"/>
    <w:rsid w:val="46AB3CF3"/>
    <w:rsid w:val="46C30770"/>
    <w:rsid w:val="46C704E7"/>
    <w:rsid w:val="46CF70F3"/>
    <w:rsid w:val="46D01AE7"/>
    <w:rsid w:val="46D06D1B"/>
    <w:rsid w:val="46D70238"/>
    <w:rsid w:val="46E94558"/>
    <w:rsid w:val="46EA1664"/>
    <w:rsid w:val="46F563E4"/>
    <w:rsid w:val="471C20EE"/>
    <w:rsid w:val="471E680C"/>
    <w:rsid w:val="47263A4B"/>
    <w:rsid w:val="472965B9"/>
    <w:rsid w:val="4736268C"/>
    <w:rsid w:val="473C470F"/>
    <w:rsid w:val="47406DA1"/>
    <w:rsid w:val="474A4BC8"/>
    <w:rsid w:val="47574ED5"/>
    <w:rsid w:val="475F56B3"/>
    <w:rsid w:val="47630C56"/>
    <w:rsid w:val="47655E8C"/>
    <w:rsid w:val="4767145E"/>
    <w:rsid w:val="47747677"/>
    <w:rsid w:val="47753672"/>
    <w:rsid w:val="477616BF"/>
    <w:rsid w:val="47922A24"/>
    <w:rsid w:val="47947ED7"/>
    <w:rsid w:val="4798090A"/>
    <w:rsid w:val="47987786"/>
    <w:rsid w:val="47AA594C"/>
    <w:rsid w:val="47AC6FDA"/>
    <w:rsid w:val="47B24801"/>
    <w:rsid w:val="47B4400A"/>
    <w:rsid w:val="47C15B9F"/>
    <w:rsid w:val="47D53EAF"/>
    <w:rsid w:val="47DD2E02"/>
    <w:rsid w:val="47E34FCD"/>
    <w:rsid w:val="47F21F2D"/>
    <w:rsid w:val="47FE4E2C"/>
    <w:rsid w:val="48072584"/>
    <w:rsid w:val="48164D90"/>
    <w:rsid w:val="48194880"/>
    <w:rsid w:val="48312561"/>
    <w:rsid w:val="48495531"/>
    <w:rsid w:val="486661DE"/>
    <w:rsid w:val="48671147"/>
    <w:rsid w:val="48693111"/>
    <w:rsid w:val="486A1DCD"/>
    <w:rsid w:val="486A5A4F"/>
    <w:rsid w:val="4872500F"/>
    <w:rsid w:val="4875155F"/>
    <w:rsid w:val="4878300A"/>
    <w:rsid w:val="487B0E3D"/>
    <w:rsid w:val="488542A2"/>
    <w:rsid w:val="48AA712A"/>
    <w:rsid w:val="48AF5D2A"/>
    <w:rsid w:val="48B67698"/>
    <w:rsid w:val="48BA396D"/>
    <w:rsid w:val="48BD09D7"/>
    <w:rsid w:val="48BE3BC7"/>
    <w:rsid w:val="48C77F99"/>
    <w:rsid w:val="48D16F09"/>
    <w:rsid w:val="48D827DD"/>
    <w:rsid w:val="48DE2FB1"/>
    <w:rsid w:val="48DF3154"/>
    <w:rsid w:val="48EB6CD4"/>
    <w:rsid w:val="48EE2F0B"/>
    <w:rsid w:val="48F63CA3"/>
    <w:rsid w:val="49093A36"/>
    <w:rsid w:val="49096DDC"/>
    <w:rsid w:val="49165410"/>
    <w:rsid w:val="491D04DC"/>
    <w:rsid w:val="493641C0"/>
    <w:rsid w:val="49366D6C"/>
    <w:rsid w:val="49441701"/>
    <w:rsid w:val="49482C33"/>
    <w:rsid w:val="494B1727"/>
    <w:rsid w:val="495C67D2"/>
    <w:rsid w:val="495D254A"/>
    <w:rsid w:val="49684160"/>
    <w:rsid w:val="496A410F"/>
    <w:rsid w:val="496C5704"/>
    <w:rsid w:val="496C6828"/>
    <w:rsid w:val="496F04CE"/>
    <w:rsid w:val="497A30FC"/>
    <w:rsid w:val="497F684D"/>
    <w:rsid w:val="49845D29"/>
    <w:rsid w:val="49896F8C"/>
    <w:rsid w:val="498A6E51"/>
    <w:rsid w:val="49946DC4"/>
    <w:rsid w:val="49A00B3F"/>
    <w:rsid w:val="49AB06C8"/>
    <w:rsid w:val="49AF3BBF"/>
    <w:rsid w:val="49BC1967"/>
    <w:rsid w:val="49BF6D61"/>
    <w:rsid w:val="49C0071F"/>
    <w:rsid w:val="49C01457"/>
    <w:rsid w:val="49C87424"/>
    <w:rsid w:val="49CA4E78"/>
    <w:rsid w:val="49CB55A4"/>
    <w:rsid w:val="49E07403"/>
    <w:rsid w:val="49E407AB"/>
    <w:rsid w:val="49F509D5"/>
    <w:rsid w:val="49F779D1"/>
    <w:rsid w:val="49FE17A9"/>
    <w:rsid w:val="49FE77D3"/>
    <w:rsid w:val="4A096E32"/>
    <w:rsid w:val="4A204457"/>
    <w:rsid w:val="4A365275"/>
    <w:rsid w:val="4A39732F"/>
    <w:rsid w:val="4A3E05CE"/>
    <w:rsid w:val="4A42384A"/>
    <w:rsid w:val="4A4C18E3"/>
    <w:rsid w:val="4A552084"/>
    <w:rsid w:val="4A5B1BAA"/>
    <w:rsid w:val="4A606404"/>
    <w:rsid w:val="4A745318"/>
    <w:rsid w:val="4A7E6C1C"/>
    <w:rsid w:val="4A7F1F5E"/>
    <w:rsid w:val="4A885CE9"/>
    <w:rsid w:val="4A8A35A1"/>
    <w:rsid w:val="4A8D7331"/>
    <w:rsid w:val="4A9258DF"/>
    <w:rsid w:val="4A94660C"/>
    <w:rsid w:val="4AA9193A"/>
    <w:rsid w:val="4AB07A97"/>
    <w:rsid w:val="4AB756F3"/>
    <w:rsid w:val="4ABE2647"/>
    <w:rsid w:val="4AC45BA9"/>
    <w:rsid w:val="4AD4362D"/>
    <w:rsid w:val="4AE80BFD"/>
    <w:rsid w:val="4AF168F9"/>
    <w:rsid w:val="4AF64F39"/>
    <w:rsid w:val="4B037629"/>
    <w:rsid w:val="4B0442C3"/>
    <w:rsid w:val="4B0610EB"/>
    <w:rsid w:val="4B0E512A"/>
    <w:rsid w:val="4B0F35B0"/>
    <w:rsid w:val="4B1D01E3"/>
    <w:rsid w:val="4B3914B4"/>
    <w:rsid w:val="4B3B6FA9"/>
    <w:rsid w:val="4B470643"/>
    <w:rsid w:val="4B482464"/>
    <w:rsid w:val="4B490C5C"/>
    <w:rsid w:val="4B493655"/>
    <w:rsid w:val="4B53314F"/>
    <w:rsid w:val="4B5A1437"/>
    <w:rsid w:val="4B6F2F85"/>
    <w:rsid w:val="4B701635"/>
    <w:rsid w:val="4B715C38"/>
    <w:rsid w:val="4B8538D4"/>
    <w:rsid w:val="4B882896"/>
    <w:rsid w:val="4B9510D8"/>
    <w:rsid w:val="4BA40904"/>
    <w:rsid w:val="4BA95F1B"/>
    <w:rsid w:val="4BB4256C"/>
    <w:rsid w:val="4BC2192A"/>
    <w:rsid w:val="4BC2321A"/>
    <w:rsid w:val="4BC367C1"/>
    <w:rsid w:val="4BCB5417"/>
    <w:rsid w:val="4BCC2A13"/>
    <w:rsid w:val="4BD76155"/>
    <w:rsid w:val="4BD96800"/>
    <w:rsid w:val="4BDD57B2"/>
    <w:rsid w:val="4BE46F11"/>
    <w:rsid w:val="4BE60CC7"/>
    <w:rsid w:val="4BEB03BD"/>
    <w:rsid w:val="4C0137F8"/>
    <w:rsid w:val="4C071319"/>
    <w:rsid w:val="4C072AE3"/>
    <w:rsid w:val="4C0F515C"/>
    <w:rsid w:val="4C14480A"/>
    <w:rsid w:val="4C214789"/>
    <w:rsid w:val="4C295139"/>
    <w:rsid w:val="4C2D05BF"/>
    <w:rsid w:val="4C4A325A"/>
    <w:rsid w:val="4C4C4D08"/>
    <w:rsid w:val="4C4D4AF8"/>
    <w:rsid w:val="4C52655F"/>
    <w:rsid w:val="4C58653E"/>
    <w:rsid w:val="4C59298C"/>
    <w:rsid w:val="4C6836E0"/>
    <w:rsid w:val="4C6E6FFC"/>
    <w:rsid w:val="4C77362C"/>
    <w:rsid w:val="4C872909"/>
    <w:rsid w:val="4CA26108"/>
    <w:rsid w:val="4CA848AB"/>
    <w:rsid w:val="4CAE412C"/>
    <w:rsid w:val="4CBF498E"/>
    <w:rsid w:val="4CC84A9B"/>
    <w:rsid w:val="4CD1154E"/>
    <w:rsid w:val="4CD13F6E"/>
    <w:rsid w:val="4CD4774E"/>
    <w:rsid w:val="4CD6249A"/>
    <w:rsid w:val="4CF36C5F"/>
    <w:rsid w:val="4CF3744D"/>
    <w:rsid w:val="4CFF2296"/>
    <w:rsid w:val="4D0105E9"/>
    <w:rsid w:val="4D123086"/>
    <w:rsid w:val="4D19246F"/>
    <w:rsid w:val="4D31441A"/>
    <w:rsid w:val="4D385556"/>
    <w:rsid w:val="4D39679C"/>
    <w:rsid w:val="4D3C16EA"/>
    <w:rsid w:val="4D3E7FF5"/>
    <w:rsid w:val="4D4B1038"/>
    <w:rsid w:val="4D5D7F08"/>
    <w:rsid w:val="4D5E372E"/>
    <w:rsid w:val="4D5F4AE3"/>
    <w:rsid w:val="4D6046C3"/>
    <w:rsid w:val="4D673A2D"/>
    <w:rsid w:val="4D6E55A1"/>
    <w:rsid w:val="4D73233C"/>
    <w:rsid w:val="4D7B75CA"/>
    <w:rsid w:val="4D974EAA"/>
    <w:rsid w:val="4D9A3D6D"/>
    <w:rsid w:val="4D9D13E7"/>
    <w:rsid w:val="4DA619F7"/>
    <w:rsid w:val="4DA70238"/>
    <w:rsid w:val="4DAC6CCE"/>
    <w:rsid w:val="4DB21593"/>
    <w:rsid w:val="4DD0556D"/>
    <w:rsid w:val="4DD57160"/>
    <w:rsid w:val="4DD77C46"/>
    <w:rsid w:val="4DDC4386"/>
    <w:rsid w:val="4DDE110F"/>
    <w:rsid w:val="4DDE7F96"/>
    <w:rsid w:val="4DF863E6"/>
    <w:rsid w:val="4DFB01D4"/>
    <w:rsid w:val="4E003FBB"/>
    <w:rsid w:val="4E047438"/>
    <w:rsid w:val="4E0E2891"/>
    <w:rsid w:val="4E1A0DEA"/>
    <w:rsid w:val="4E1E292C"/>
    <w:rsid w:val="4E23403A"/>
    <w:rsid w:val="4E235B10"/>
    <w:rsid w:val="4E294836"/>
    <w:rsid w:val="4E2C6989"/>
    <w:rsid w:val="4E2E43E9"/>
    <w:rsid w:val="4E375A60"/>
    <w:rsid w:val="4E3C6BD2"/>
    <w:rsid w:val="4E4B7D53"/>
    <w:rsid w:val="4E541AB7"/>
    <w:rsid w:val="4E611273"/>
    <w:rsid w:val="4E64167E"/>
    <w:rsid w:val="4E7C65A6"/>
    <w:rsid w:val="4E800EC2"/>
    <w:rsid w:val="4E8A686D"/>
    <w:rsid w:val="4E926EB5"/>
    <w:rsid w:val="4E974666"/>
    <w:rsid w:val="4E9A627C"/>
    <w:rsid w:val="4EAA25F3"/>
    <w:rsid w:val="4EAB169B"/>
    <w:rsid w:val="4EB33338"/>
    <w:rsid w:val="4EBE561C"/>
    <w:rsid w:val="4EC32085"/>
    <w:rsid w:val="4EC76D10"/>
    <w:rsid w:val="4ED427D9"/>
    <w:rsid w:val="4EED611E"/>
    <w:rsid w:val="4EF5098A"/>
    <w:rsid w:val="4EF870B5"/>
    <w:rsid w:val="4F1064E5"/>
    <w:rsid w:val="4F1C04FD"/>
    <w:rsid w:val="4F255B67"/>
    <w:rsid w:val="4F26400E"/>
    <w:rsid w:val="4F286530"/>
    <w:rsid w:val="4F3775E0"/>
    <w:rsid w:val="4F461E57"/>
    <w:rsid w:val="4F52203E"/>
    <w:rsid w:val="4F5C6193"/>
    <w:rsid w:val="4F5E0189"/>
    <w:rsid w:val="4F6826DC"/>
    <w:rsid w:val="4F74574B"/>
    <w:rsid w:val="4F814B44"/>
    <w:rsid w:val="4F837799"/>
    <w:rsid w:val="4F95136A"/>
    <w:rsid w:val="4FA54F39"/>
    <w:rsid w:val="4FAB04E2"/>
    <w:rsid w:val="4FB8672C"/>
    <w:rsid w:val="4FB91FD8"/>
    <w:rsid w:val="4FBB6EB0"/>
    <w:rsid w:val="4FBD1F95"/>
    <w:rsid w:val="4FCA3BF2"/>
    <w:rsid w:val="4FD83B8B"/>
    <w:rsid w:val="4FD953DD"/>
    <w:rsid w:val="4FE72267"/>
    <w:rsid w:val="4FFD193D"/>
    <w:rsid w:val="4FFF435B"/>
    <w:rsid w:val="500879CF"/>
    <w:rsid w:val="500E10AF"/>
    <w:rsid w:val="50176C0F"/>
    <w:rsid w:val="501C5797"/>
    <w:rsid w:val="502046A4"/>
    <w:rsid w:val="502823B9"/>
    <w:rsid w:val="50291D40"/>
    <w:rsid w:val="50311825"/>
    <w:rsid w:val="50354221"/>
    <w:rsid w:val="50465417"/>
    <w:rsid w:val="50465CA9"/>
    <w:rsid w:val="504B5E71"/>
    <w:rsid w:val="50504B33"/>
    <w:rsid w:val="505A3BDE"/>
    <w:rsid w:val="505F3754"/>
    <w:rsid w:val="5085014F"/>
    <w:rsid w:val="50917B30"/>
    <w:rsid w:val="50943E0D"/>
    <w:rsid w:val="5097143B"/>
    <w:rsid w:val="50A20D17"/>
    <w:rsid w:val="50A415C4"/>
    <w:rsid w:val="50A44FA4"/>
    <w:rsid w:val="50A4605D"/>
    <w:rsid w:val="50AC6E78"/>
    <w:rsid w:val="50B43398"/>
    <w:rsid w:val="50B4496F"/>
    <w:rsid w:val="50B565E8"/>
    <w:rsid w:val="50C86E43"/>
    <w:rsid w:val="50CA42C2"/>
    <w:rsid w:val="50E008BD"/>
    <w:rsid w:val="50E961B4"/>
    <w:rsid w:val="50EC2AF4"/>
    <w:rsid w:val="51034031"/>
    <w:rsid w:val="51041210"/>
    <w:rsid w:val="510709C1"/>
    <w:rsid w:val="512578B9"/>
    <w:rsid w:val="514A5AAA"/>
    <w:rsid w:val="515417A6"/>
    <w:rsid w:val="515F411E"/>
    <w:rsid w:val="51642F65"/>
    <w:rsid w:val="51661AFD"/>
    <w:rsid w:val="517F4786"/>
    <w:rsid w:val="51804839"/>
    <w:rsid w:val="51822D96"/>
    <w:rsid w:val="51857924"/>
    <w:rsid w:val="51896518"/>
    <w:rsid w:val="51903C9C"/>
    <w:rsid w:val="51905BB3"/>
    <w:rsid w:val="51A517AE"/>
    <w:rsid w:val="51A553DD"/>
    <w:rsid w:val="51B2378D"/>
    <w:rsid w:val="51BC69A8"/>
    <w:rsid w:val="51C20C58"/>
    <w:rsid w:val="51CA623A"/>
    <w:rsid w:val="51ED095D"/>
    <w:rsid w:val="51FC2388"/>
    <w:rsid w:val="52045C59"/>
    <w:rsid w:val="520774F7"/>
    <w:rsid w:val="520A74A5"/>
    <w:rsid w:val="52163DC5"/>
    <w:rsid w:val="52270036"/>
    <w:rsid w:val="522E3391"/>
    <w:rsid w:val="5269647B"/>
    <w:rsid w:val="52705982"/>
    <w:rsid w:val="5272221A"/>
    <w:rsid w:val="52891B7D"/>
    <w:rsid w:val="529450F0"/>
    <w:rsid w:val="529B4336"/>
    <w:rsid w:val="529F02C0"/>
    <w:rsid w:val="52A1792A"/>
    <w:rsid w:val="52AC4E28"/>
    <w:rsid w:val="52B256B5"/>
    <w:rsid w:val="52B91055"/>
    <w:rsid w:val="52C36427"/>
    <w:rsid w:val="52C84ED8"/>
    <w:rsid w:val="52D25E2B"/>
    <w:rsid w:val="52D41ACF"/>
    <w:rsid w:val="52DB5D80"/>
    <w:rsid w:val="52DD2414"/>
    <w:rsid w:val="52E302E8"/>
    <w:rsid w:val="52E52B92"/>
    <w:rsid w:val="52E937A5"/>
    <w:rsid w:val="52ED493F"/>
    <w:rsid w:val="52F56E59"/>
    <w:rsid w:val="52F60BB9"/>
    <w:rsid w:val="53000E29"/>
    <w:rsid w:val="53114F36"/>
    <w:rsid w:val="53134F03"/>
    <w:rsid w:val="53187214"/>
    <w:rsid w:val="5325585C"/>
    <w:rsid w:val="53313159"/>
    <w:rsid w:val="533B1B4E"/>
    <w:rsid w:val="533E5DF5"/>
    <w:rsid w:val="53443438"/>
    <w:rsid w:val="53480197"/>
    <w:rsid w:val="53543B01"/>
    <w:rsid w:val="53574B86"/>
    <w:rsid w:val="535B4415"/>
    <w:rsid w:val="535D337D"/>
    <w:rsid w:val="53603D67"/>
    <w:rsid w:val="53646BE9"/>
    <w:rsid w:val="53852DC9"/>
    <w:rsid w:val="53861BE4"/>
    <w:rsid w:val="53AC4743"/>
    <w:rsid w:val="53AE3C0D"/>
    <w:rsid w:val="53D24B98"/>
    <w:rsid w:val="53DF247D"/>
    <w:rsid w:val="53E701A0"/>
    <w:rsid w:val="53EE096F"/>
    <w:rsid w:val="53F57FB6"/>
    <w:rsid w:val="53F95FC5"/>
    <w:rsid w:val="54102FDB"/>
    <w:rsid w:val="5412588F"/>
    <w:rsid w:val="54134430"/>
    <w:rsid w:val="541A05B0"/>
    <w:rsid w:val="541C0A31"/>
    <w:rsid w:val="541C62AC"/>
    <w:rsid w:val="5420592D"/>
    <w:rsid w:val="5444625D"/>
    <w:rsid w:val="54462559"/>
    <w:rsid w:val="544809EA"/>
    <w:rsid w:val="544834D0"/>
    <w:rsid w:val="544942E0"/>
    <w:rsid w:val="54532EC8"/>
    <w:rsid w:val="54546791"/>
    <w:rsid w:val="545F1F94"/>
    <w:rsid w:val="546026E6"/>
    <w:rsid w:val="546046C0"/>
    <w:rsid w:val="546970A9"/>
    <w:rsid w:val="54820D9F"/>
    <w:rsid w:val="54840398"/>
    <w:rsid w:val="54844A42"/>
    <w:rsid w:val="548557F2"/>
    <w:rsid w:val="549341D5"/>
    <w:rsid w:val="549A0AF6"/>
    <w:rsid w:val="549C03CB"/>
    <w:rsid w:val="54A1544A"/>
    <w:rsid w:val="54AC58BB"/>
    <w:rsid w:val="54C60354"/>
    <w:rsid w:val="54D2531E"/>
    <w:rsid w:val="54EC4E0C"/>
    <w:rsid w:val="54EE59D1"/>
    <w:rsid w:val="54EF7507"/>
    <w:rsid w:val="54FC7481"/>
    <w:rsid w:val="55076685"/>
    <w:rsid w:val="551560C4"/>
    <w:rsid w:val="55156FE6"/>
    <w:rsid w:val="551F623A"/>
    <w:rsid w:val="55201F0A"/>
    <w:rsid w:val="552C6161"/>
    <w:rsid w:val="553C4AA2"/>
    <w:rsid w:val="55425416"/>
    <w:rsid w:val="554D40AF"/>
    <w:rsid w:val="554E699B"/>
    <w:rsid w:val="554F0586"/>
    <w:rsid w:val="555111B5"/>
    <w:rsid w:val="555B7B15"/>
    <w:rsid w:val="555F0D08"/>
    <w:rsid w:val="555F62BF"/>
    <w:rsid w:val="556119D6"/>
    <w:rsid w:val="556565EB"/>
    <w:rsid w:val="557355CF"/>
    <w:rsid w:val="55755817"/>
    <w:rsid w:val="557F54CC"/>
    <w:rsid w:val="55886BA1"/>
    <w:rsid w:val="558A0B6B"/>
    <w:rsid w:val="55983288"/>
    <w:rsid w:val="5599459B"/>
    <w:rsid w:val="55B47996"/>
    <w:rsid w:val="55BE0C47"/>
    <w:rsid w:val="55D122F6"/>
    <w:rsid w:val="55D25FE3"/>
    <w:rsid w:val="55D43B94"/>
    <w:rsid w:val="55DB3208"/>
    <w:rsid w:val="55EC7425"/>
    <w:rsid w:val="55EE7D60"/>
    <w:rsid w:val="56035375"/>
    <w:rsid w:val="56122EF8"/>
    <w:rsid w:val="56146717"/>
    <w:rsid w:val="561640AD"/>
    <w:rsid w:val="56173136"/>
    <w:rsid w:val="56251FCB"/>
    <w:rsid w:val="56267FBF"/>
    <w:rsid w:val="563343C8"/>
    <w:rsid w:val="56465DDB"/>
    <w:rsid w:val="567F1442"/>
    <w:rsid w:val="56820CC2"/>
    <w:rsid w:val="568C604D"/>
    <w:rsid w:val="569D64EB"/>
    <w:rsid w:val="569E36E5"/>
    <w:rsid w:val="56C8194B"/>
    <w:rsid w:val="56D4713A"/>
    <w:rsid w:val="56E66275"/>
    <w:rsid w:val="56F8634C"/>
    <w:rsid w:val="56FF47FD"/>
    <w:rsid w:val="570022BB"/>
    <w:rsid w:val="570045FE"/>
    <w:rsid w:val="57006263"/>
    <w:rsid w:val="57032983"/>
    <w:rsid w:val="57051323"/>
    <w:rsid w:val="570F190A"/>
    <w:rsid w:val="5712319A"/>
    <w:rsid w:val="571B3AA1"/>
    <w:rsid w:val="572715EE"/>
    <w:rsid w:val="572A4A6B"/>
    <w:rsid w:val="572C6B20"/>
    <w:rsid w:val="57571936"/>
    <w:rsid w:val="57580AD4"/>
    <w:rsid w:val="576803C8"/>
    <w:rsid w:val="576B0811"/>
    <w:rsid w:val="57875E85"/>
    <w:rsid w:val="57916D13"/>
    <w:rsid w:val="57AC0848"/>
    <w:rsid w:val="57B97296"/>
    <w:rsid w:val="57BA719C"/>
    <w:rsid w:val="57BD53D9"/>
    <w:rsid w:val="57CF76F3"/>
    <w:rsid w:val="57CF77E1"/>
    <w:rsid w:val="57CF7B6C"/>
    <w:rsid w:val="57D508FC"/>
    <w:rsid w:val="57DC653B"/>
    <w:rsid w:val="57E44562"/>
    <w:rsid w:val="57EA6B91"/>
    <w:rsid w:val="57F21333"/>
    <w:rsid w:val="57F3507D"/>
    <w:rsid w:val="57F40927"/>
    <w:rsid w:val="58031E5D"/>
    <w:rsid w:val="580A094B"/>
    <w:rsid w:val="581A5507"/>
    <w:rsid w:val="582207F3"/>
    <w:rsid w:val="583077A8"/>
    <w:rsid w:val="583774B0"/>
    <w:rsid w:val="583A4160"/>
    <w:rsid w:val="583B6713"/>
    <w:rsid w:val="584077DE"/>
    <w:rsid w:val="58450E21"/>
    <w:rsid w:val="585548F3"/>
    <w:rsid w:val="58671A06"/>
    <w:rsid w:val="587454CC"/>
    <w:rsid w:val="5879462D"/>
    <w:rsid w:val="58934800"/>
    <w:rsid w:val="58950439"/>
    <w:rsid w:val="58957BA8"/>
    <w:rsid w:val="5898638F"/>
    <w:rsid w:val="589B1722"/>
    <w:rsid w:val="589D3AE7"/>
    <w:rsid w:val="589E1BBA"/>
    <w:rsid w:val="58A24244"/>
    <w:rsid w:val="58AA2CB6"/>
    <w:rsid w:val="58AF60A7"/>
    <w:rsid w:val="58B8779D"/>
    <w:rsid w:val="58BB3318"/>
    <w:rsid w:val="58D32C02"/>
    <w:rsid w:val="58D33B94"/>
    <w:rsid w:val="58DC5F5D"/>
    <w:rsid w:val="58E4234C"/>
    <w:rsid w:val="58F4053E"/>
    <w:rsid w:val="58F670FB"/>
    <w:rsid w:val="59060509"/>
    <w:rsid w:val="590B33F8"/>
    <w:rsid w:val="590D7AE9"/>
    <w:rsid w:val="590E6F2B"/>
    <w:rsid w:val="591F15CA"/>
    <w:rsid w:val="59214D2E"/>
    <w:rsid w:val="592F49BE"/>
    <w:rsid w:val="592F7D98"/>
    <w:rsid w:val="593E0F5E"/>
    <w:rsid w:val="594159E5"/>
    <w:rsid w:val="594606CC"/>
    <w:rsid w:val="594D66C3"/>
    <w:rsid w:val="5962719D"/>
    <w:rsid w:val="59730EB3"/>
    <w:rsid w:val="59745DBA"/>
    <w:rsid w:val="5976669E"/>
    <w:rsid w:val="598D0C2A"/>
    <w:rsid w:val="59907A46"/>
    <w:rsid w:val="59936A96"/>
    <w:rsid w:val="5997294F"/>
    <w:rsid w:val="59AA50E9"/>
    <w:rsid w:val="59AD307A"/>
    <w:rsid w:val="59B31D71"/>
    <w:rsid w:val="59B771AD"/>
    <w:rsid w:val="59C36D98"/>
    <w:rsid w:val="59CB6BFA"/>
    <w:rsid w:val="59CC55F1"/>
    <w:rsid w:val="59DF79A1"/>
    <w:rsid w:val="59E26693"/>
    <w:rsid w:val="59EC5FE7"/>
    <w:rsid w:val="59F039FB"/>
    <w:rsid w:val="5A0638AD"/>
    <w:rsid w:val="5A1244EF"/>
    <w:rsid w:val="5A136211"/>
    <w:rsid w:val="5A145DE7"/>
    <w:rsid w:val="5A146810"/>
    <w:rsid w:val="5A290B1D"/>
    <w:rsid w:val="5A3410A5"/>
    <w:rsid w:val="5A386DE8"/>
    <w:rsid w:val="5A3960DA"/>
    <w:rsid w:val="5A3E1C48"/>
    <w:rsid w:val="5A595137"/>
    <w:rsid w:val="5A646C06"/>
    <w:rsid w:val="5A6837D9"/>
    <w:rsid w:val="5A7871E4"/>
    <w:rsid w:val="5A79676E"/>
    <w:rsid w:val="5A7E1A98"/>
    <w:rsid w:val="5AAE5546"/>
    <w:rsid w:val="5ABA5A4E"/>
    <w:rsid w:val="5ACD4E7B"/>
    <w:rsid w:val="5AE57E5B"/>
    <w:rsid w:val="5AF373BF"/>
    <w:rsid w:val="5AFF7241"/>
    <w:rsid w:val="5B03308B"/>
    <w:rsid w:val="5B1007ED"/>
    <w:rsid w:val="5B152C85"/>
    <w:rsid w:val="5B192A6C"/>
    <w:rsid w:val="5B220D98"/>
    <w:rsid w:val="5B2353A2"/>
    <w:rsid w:val="5B263CF6"/>
    <w:rsid w:val="5B296730"/>
    <w:rsid w:val="5B2B11F5"/>
    <w:rsid w:val="5B315714"/>
    <w:rsid w:val="5B352A79"/>
    <w:rsid w:val="5B37709F"/>
    <w:rsid w:val="5B4A3E5F"/>
    <w:rsid w:val="5B4B0AFE"/>
    <w:rsid w:val="5B607011"/>
    <w:rsid w:val="5B8C7FB3"/>
    <w:rsid w:val="5B8F6E01"/>
    <w:rsid w:val="5B953DC6"/>
    <w:rsid w:val="5B9676B4"/>
    <w:rsid w:val="5BA41908"/>
    <w:rsid w:val="5BB701E0"/>
    <w:rsid w:val="5BC16969"/>
    <w:rsid w:val="5BCF56C3"/>
    <w:rsid w:val="5BE43C2C"/>
    <w:rsid w:val="5BE4769E"/>
    <w:rsid w:val="5BE95110"/>
    <w:rsid w:val="5BF77EF4"/>
    <w:rsid w:val="5C024917"/>
    <w:rsid w:val="5C0C455A"/>
    <w:rsid w:val="5C102159"/>
    <w:rsid w:val="5C105D2E"/>
    <w:rsid w:val="5C162428"/>
    <w:rsid w:val="5C180C7F"/>
    <w:rsid w:val="5C1C64B0"/>
    <w:rsid w:val="5C226257"/>
    <w:rsid w:val="5C294C92"/>
    <w:rsid w:val="5C2F210C"/>
    <w:rsid w:val="5C327061"/>
    <w:rsid w:val="5C384C17"/>
    <w:rsid w:val="5C4430E1"/>
    <w:rsid w:val="5C515D40"/>
    <w:rsid w:val="5C6519EA"/>
    <w:rsid w:val="5C6B6C1B"/>
    <w:rsid w:val="5C8D5319"/>
    <w:rsid w:val="5C8E61B7"/>
    <w:rsid w:val="5C901244"/>
    <w:rsid w:val="5C982F89"/>
    <w:rsid w:val="5CB8437B"/>
    <w:rsid w:val="5CBA1D36"/>
    <w:rsid w:val="5CBB785C"/>
    <w:rsid w:val="5CBD0B29"/>
    <w:rsid w:val="5CCB2DCD"/>
    <w:rsid w:val="5CCC421E"/>
    <w:rsid w:val="5CCF1A37"/>
    <w:rsid w:val="5CD663C3"/>
    <w:rsid w:val="5CF42FA5"/>
    <w:rsid w:val="5CF52848"/>
    <w:rsid w:val="5CFA26B5"/>
    <w:rsid w:val="5CFC3A31"/>
    <w:rsid w:val="5D023A7A"/>
    <w:rsid w:val="5D0C3E49"/>
    <w:rsid w:val="5D2864C2"/>
    <w:rsid w:val="5D5C7515"/>
    <w:rsid w:val="5D634116"/>
    <w:rsid w:val="5D6722DE"/>
    <w:rsid w:val="5D6E5F12"/>
    <w:rsid w:val="5D70764A"/>
    <w:rsid w:val="5D76101E"/>
    <w:rsid w:val="5D776B68"/>
    <w:rsid w:val="5D797989"/>
    <w:rsid w:val="5D7A3BB6"/>
    <w:rsid w:val="5D845EA0"/>
    <w:rsid w:val="5D9179E9"/>
    <w:rsid w:val="5D951D50"/>
    <w:rsid w:val="5D98265D"/>
    <w:rsid w:val="5D9C54AD"/>
    <w:rsid w:val="5DA31852"/>
    <w:rsid w:val="5DA402F0"/>
    <w:rsid w:val="5DAF1603"/>
    <w:rsid w:val="5DD35807"/>
    <w:rsid w:val="5DE35D1B"/>
    <w:rsid w:val="5DE377B1"/>
    <w:rsid w:val="5DE63AF6"/>
    <w:rsid w:val="5DF03535"/>
    <w:rsid w:val="5DF21FF8"/>
    <w:rsid w:val="5DF7493D"/>
    <w:rsid w:val="5E0201F9"/>
    <w:rsid w:val="5E09194E"/>
    <w:rsid w:val="5E1133BD"/>
    <w:rsid w:val="5E1223C5"/>
    <w:rsid w:val="5E126FBA"/>
    <w:rsid w:val="5E270CC9"/>
    <w:rsid w:val="5E3A6883"/>
    <w:rsid w:val="5E56783C"/>
    <w:rsid w:val="5E6F08FE"/>
    <w:rsid w:val="5E8625BA"/>
    <w:rsid w:val="5E954808"/>
    <w:rsid w:val="5E9B0D32"/>
    <w:rsid w:val="5EAC0899"/>
    <w:rsid w:val="5EAE0FE5"/>
    <w:rsid w:val="5EAF1170"/>
    <w:rsid w:val="5EC50765"/>
    <w:rsid w:val="5EC92749"/>
    <w:rsid w:val="5ECD7C6A"/>
    <w:rsid w:val="5ED13107"/>
    <w:rsid w:val="5ED73600"/>
    <w:rsid w:val="5EDC2437"/>
    <w:rsid w:val="5EDE46F2"/>
    <w:rsid w:val="5EE05471"/>
    <w:rsid w:val="5EF818FC"/>
    <w:rsid w:val="5EFC34CD"/>
    <w:rsid w:val="5F036867"/>
    <w:rsid w:val="5F1514A5"/>
    <w:rsid w:val="5F177E86"/>
    <w:rsid w:val="5F1B5299"/>
    <w:rsid w:val="5F1F5BF9"/>
    <w:rsid w:val="5F24793A"/>
    <w:rsid w:val="5F277FBB"/>
    <w:rsid w:val="5F2F357C"/>
    <w:rsid w:val="5F3A2EB9"/>
    <w:rsid w:val="5F3B6A32"/>
    <w:rsid w:val="5F403F95"/>
    <w:rsid w:val="5F4C2CB5"/>
    <w:rsid w:val="5F586D18"/>
    <w:rsid w:val="5F603F5D"/>
    <w:rsid w:val="5F7212D4"/>
    <w:rsid w:val="5F7448AD"/>
    <w:rsid w:val="5F8E07E5"/>
    <w:rsid w:val="5F983BF6"/>
    <w:rsid w:val="5F9C1BC7"/>
    <w:rsid w:val="5FB07671"/>
    <w:rsid w:val="5FC209B5"/>
    <w:rsid w:val="5FC70D92"/>
    <w:rsid w:val="5FCB08A8"/>
    <w:rsid w:val="5FCF36E9"/>
    <w:rsid w:val="5FCF75A9"/>
    <w:rsid w:val="5FE20C53"/>
    <w:rsid w:val="5FF76DFD"/>
    <w:rsid w:val="5FFA377F"/>
    <w:rsid w:val="60071B82"/>
    <w:rsid w:val="60190C1F"/>
    <w:rsid w:val="601962C9"/>
    <w:rsid w:val="601A0781"/>
    <w:rsid w:val="60237486"/>
    <w:rsid w:val="602768DB"/>
    <w:rsid w:val="60523293"/>
    <w:rsid w:val="60646943"/>
    <w:rsid w:val="6067284D"/>
    <w:rsid w:val="60844B35"/>
    <w:rsid w:val="6088503C"/>
    <w:rsid w:val="608C7256"/>
    <w:rsid w:val="6098593E"/>
    <w:rsid w:val="60A73CB4"/>
    <w:rsid w:val="60AD40B9"/>
    <w:rsid w:val="60B9497D"/>
    <w:rsid w:val="60BE791B"/>
    <w:rsid w:val="60D266CD"/>
    <w:rsid w:val="60E60420"/>
    <w:rsid w:val="60EC2838"/>
    <w:rsid w:val="610B56FE"/>
    <w:rsid w:val="61144209"/>
    <w:rsid w:val="61182CBD"/>
    <w:rsid w:val="611A7E07"/>
    <w:rsid w:val="611F7F1D"/>
    <w:rsid w:val="61371BA7"/>
    <w:rsid w:val="613F6E41"/>
    <w:rsid w:val="61533910"/>
    <w:rsid w:val="615648BD"/>
    <w:rsid w:val="616675C0"/>
    <w:rsid w:val="61793A27"/>
    <w:rsid w:val="61973182"/>
    <w:rsid w:val="61A454AE"/>
    <w:rsid w:val="61A82A86"/>
    <w:rsid w:val="61A92AD9"/>
    <w:rsid w:val="61B14CEC"/>
    <w:rsid w:val="61B54872"/>
    <w:rsid w:val="61BD221B"/>
    <w:rsid w:val="61BF394A"/>
    <w:rsid w:val="61D91CD9"/>
    <w:rsid w:val="6201046A"/>
    <w:rsid w:val="62137A18"/>
    <w:rsid w:val="622B1727"/>
    <w:rsid w:val="622E559F"/>
    <w:rsid w:val="623C3AF6"/>
    <w:rsid w:val="62401047"/>
    <w:rsid w:val="625042FF"/>
    <w:rsid w:val="625D7E54"/>
    <w:rsid w:val="625E13B5"/>
    <w:rsid w:val="62645476"/>
    <w:rsid w:val="626670E5"/>
    <w:rsid w:val="626B09F5"/>
    <w:rsid w:val="627F080C"/>
    <w:rsid w:val="62854401"/>
    <w:rsid w:val="628C5F22"/>
    <w:rsid w:val="6292176D"/>
    <w:rsid w:val="629C6553"/>
    <w:rsid w:val="62BB2364"/>
    <w:rsid w:val="62C26090"/>
    <w:rsid w:val="62C44DBF"/>
    <w:rsid w:val="62C86917"/>
    <w:rsid w:val="62D9002A"/>
    <w:rsid w:val="62DB0C58"/>
    <w:rsid w:val="62DF67FF"/>
    <w:rsid w:val="62E805B1"/>
    <w:rsid w:val="62E970CA"/>
    <w:rsid w:val="62F812DB"/>
    <w:rsid w:val="62FB3F89"/>
    <w:rsid w:val="62FC4B31"/>
    <w:rsid w:val="6308402D"/>
    <w:rsid w:val="630E6961"/>
    <w:rsid w:val="63177005"/>
    <w:rsid w:val="631A2203"/>
    <w:rsid w:val="6322673A"/>
    <w:rsid w:val="63241F79"/>
    <w:rsid w:val="632F25B4"/>
    <w:rsid w:val="633869B9"/>
    <w:rsid w:val="633C5AC4"/>
    <w:rsid w:val="633F1673"/>
    <w:rsid w:val="634479E5"/>
    <w:rsid w:val="63462575"/>
    <w:rsid w:val="63552738"/>
    <w:rsid w:val="635B1933"/>
    <w:rsid w:val="635B710A"/>
    <w:rsid w:val="636173B9"/>
    <w:rsid w:val="636724EC"/>
    <w:rsid w:val="637349EC"/>
    <w:rsid w:val="637A3FCD"/>
    <w:rsid w:val="63890BA5"/>
    <w:rsid w:val="63933A8F"/>
    <w:rsid w:val="639D7CBB"/>
    <w:rsid w:val="63AD0A58"/>
    <w:rsid w:val="63B307BC"/>
    <w:rsid w:val="63B922B6"/>
    <w:rsid w:val="63BA7D07"/>
    <w:rsid w:val="63BB45AE"/>
    <w:rsid w:val="63C811DC"/>
    <w:rsid w:val="63D62198"/>
    <w:rsid w:val="63E41F20"/>
    <w:rsid w:val="63E7206A"/>
    <w:rsid w:val="63E73E74"/>
    <w:rsid w:val="63F467B3"/>
    <w:rsid w:val="63F53CF2"/>
    <w:rsid w:val="63F70E45"/>
    <w:rsid w:val="63F83144"/>
    <w:rsid w:val="63FD4238"/>
    <w:rsid w:val="63FF0976"/>
    <w:rsid w:val="64032818"/>
    <w:rsid w:val="640901FE"/>
    <w:rsid w:val="640D58CD"/>
    <w:rsid w:val="640F3529"/>
    <w:rsid w:val="642B7D4B"/>
    <w:rsid w:val="64315DD3"/>
    <w:rsid w:val="645667E8"/>
    <w:rsid w:val="64686B51"/>
    <w:rsid w:val="646A17FA"/>
    <w:rsid w:val="646A3B2F"/>
    <w:rsid w:val="64735608"/>
    <w:rsid w:val="647B4DC0"/>
    <w:rsid w:val="648522D5"/>
    <w:rsid w:val="64AA08E2"/>
    <w:rsid w:val="64B136F6"/>
    <w:rsid w:val="64B13B58"/>
    <w:rsid w:val="64C6702C"/>
    <w:rsid w:val="64D902DC"/>
    <w:rsid w:val="64D94AFD"/>
    <w:rsid w:val="64E76A90"/>
    <w:rsid w:val="64E900F9"/>
    <w:rsid w:val="64EB4C2B"/>
    <w:rsid w:val="64EB63C6"/>
    <w:rsid w:val="64EC3A2A"/>
    <w:rsid w:val="64F045A5"/>
    <w:rsid w:val="64F30ACD"/>
    <w:rsid w:val="6502635D"/>
    <w:rsid w:val="65055A58"/>
    <w:rsid w:val="650E0E71"/>
    <w:rsid w:val="651B358E"/>
    <w:rsid w:val="65261873"/>
    <w:rsid w:val="652B55BF"/>
    <w:rsid w:val="653E1BAB"/>
    <w:rsid w:val="654347C6"/>
    <w:rsid w:val="65651BD8"/>
    <w:rsid w:val="656C4A8D"/>
    <w:rsid w:val="656E505B"/>
    <w:rsid w:val="65705687"/>
    <w:rsid w:val="657609CF"/>
    <w:rsid w:val="65764C68"/>
    <w:rsid w:val="65797DB5"/>
    <w:rsid w:val="658421CA"/>
    <w:rsid w:val="658C4BF5"/>
    <w:rsid w:val="659833EA"/>
    <w:rsid w:val="659E00D7"/>
    <w:rsid w:val="65A00535"/>
    <w:rsid w:val="65A4159C"/>
    <w:rsid w:val="65C63153"/>
    <w:rsid w:val="65CD1834"/>
    <w:rsid w:val="65CF750C"/>
    <w:rsid w:val="65E15B96"/>
    <w:rsid w:val="65E22230"/>
    <w:rsid w:val="65E74046"/>
    <w:rsid w:val="65E8740B"/>
    <w:rsid w:val="65EE56B8"/>
    <w:rsid w:val="65EF1284"/>
    <w:rsid w:val="65EF6E39"/>
    <w:rsid w:val="65F75CDA"/>
    <w:rsid w:val="65FB1EF1"/>
    <w:rsid w:val="65FC2314"/>
    <w:rsid w:val="65FD7111"/>
    <w:rsid w:val="65FE5E70"/>
    <w:rsid w:val="66236B9E"/>
    <w:rsid w:val="662F04F3"/>
    <w:rsid w:val="6635244C"/>
    <w:rsid w:val="66380A9E"/>
    <w:rsid w:val="663C0501"/>
    <w:rsid w:val="663D647B"/>
    <w:rsid w:val="66404F77"/>
    <w:rsid w:val="665416FC"/>
    <w:rsid w:val="665705F5"/>
    <w:rsid w:val="665A1E94"/>
    <w:rsid w:val="665B4000"/>
    <w:rsid w:val="665C26CF"/>
    <w:rsid w:val="665F751B"/>
    <w:rsid w:val="66693C8D"/>
    <w:rsid w:val="666F06D1"/>
    <w:rsid w:val="66703465"/>
    <w:rsid w:val="66A10DE1"/>
    <w:rsid w:val="66B70049"/>
    <w:rsid w:val="66B9465C"/>
    <w:rsid w:val="66BA0410"/>
    <w:rsid w:val="66C06DDA"/>
    <w:rsid w:val="66C32801"/>
    <w:rsid w:val="66CE6D5F"/>
    <w:rsid w:val="66D46BAB"/>
    <w:rsid w:val="66DA0468"/>
    <w:rsid w:val="66E520A5"/>
    <w:rsid w:val="670424C4"/>
    <w:rsid w:val="67125AC9"/>
    <w:rsid w:val="67243E94"/>
    <w:rsid w:val="672A0023"/>
    <w:rsid w:val="672A7051"/>
    <w:rsid w:val="672B508F"/>
    <w:rsid w:val="672C6FF0"/>
    <w:rsid w:val="673932F2"/>
    <w:rsid w:val="673E4937"/>
    <w:rsid w:val="67426CE4"/>
    <w:rsid w:val="67445AE3"/>
    <w:rsid w:val="674A1F08"/>
    <w:rsid w:val="674F55E8"/>
    <w:rsid w:val="67517B38"/>
    <w:rsid w:val="675356A9"/>
    <w:rsid w:val="67562A20"/>
    <w:rsid w:val="67587A01"/>
    <w:rsid w:val="676F7B14"/>
    <w:rsid w:val="676F7BC1"/>
    <w:rsid w:val="677173E4"/>
    <w:rsid w:val="677A17D2"/>
    <w:rsid w:val="677C2030"/>
    <w:rsid w:val="67BF28F6"/>
    <w:rsid w:val="67C43CDF"/>
    <w:rsid w:val="67C94C9C"/>
    <w:rsid w:val="67DA4A82"/>
    <w:rsid w:val="67DF69A8"/>
    <w:rsid w:val="67E01E23"/>
    <w:rsid w:val="67E32903"/>
    <w:rsid w:val="67E87F1E"/>
    <w:rsid w:val="67ED38AF"/>
    <w:rsid w:val="67F253DD"/>
    <w:rsid w:val="67F500C6"/>
    <w:rsid w:val="67F51E74"/>
    <w:rsid w:val="67F5562F"/>
    <w:rsid w:val="67F674E9"/>
    <w:rsid w:val="67F850DF"/>
    <w:rsid w:val="6821710D"/>
    <w:rsid w:val="682473CB"/>
    <w:rsid w:val="68366386"/>
    <w:rsid w:val="68384210"/>
    <w:rsid w:val="68420280"/>
    <w:rsid w:val="68445125"/>
    <w:rsid w:val="6849753C"/>
    <w:rsid w:val="685B602A"/>
    <w:rsid w:val="685E0FE1"/>
    <w:rsid w:val="686F709E"/>
    <w:rsid w:val="68702EF7"/>
    <w:rsid w:val="68712A30"/>
    <w:rsid w:val="68712C94"/>
    <w:rsid w:val="68932E6C"/>
    <w:rsid w:val="68941A08"/>
    <w:rsid w:val="689618A9"/>
    <w:rsid w:val="68A40712"/>
    <w:rsid w:val="68B158F6"/>
    <w:rsid w:val="68D5612D"/>
    <w:rsid w:val="68F55EA4"/>
    <w:rsid w:val="68FB170C"/>
    <w:rsid w:val="69046FA0"/>
    <w:rsid w:val="6906436F"/>
    <w:rsid w:val="690864AC"/>
    <w:rsid w:val="690F3409"/>
    <w:rsid w:val="69156C0D"/>
    <w:rsid w:val="691577D1"/>
    <w:rsid w:val="691D23E0"/>
    <w:rsid w:val="69202BB7"/>
    <w:rsid w:val="69202F82"/>
    <w:rsid w:val="69242406"/>
    <w:rsid w:val="69387987"/>
    <w:rsid w:val="69464E4D"/>
    <w:rsid w:val="694B6780"/>
    <w:rsid w:val="694F5F19"/>
    <w:rsid w:val="69510FB9"/>
    <w:rsid w:val="69662BF3"/>
    <w:rsid w:val="69761FF0"/>
    <w:rsid w:val="69774871"/>
    <w:rsid w:val="697A5B23"/>
    <w:rsid w:val="6986266A"/>
    <w:rsid w:val="69941590"/>
    <w:rsid w:val="699B4C9D"/>
    <w:rsid w:val="69A444D8"/>
    <w:rsid w:val="69AC5364"/>
    <w:rsid w:val="69AF4E45"/>
    <w:rsid w:val="69B54FD9"/>
    <w:rsid w:val="69B60ACD"/>
    <w:rsid w:val="69B67D29"/>
    <w:rsid w:val="69B81716"/>
    <w:rsid w:val="69C452BF"/>
    <w:rsid w:val="69C53AC8"/>
    <w:rsid w:val="69C97A5C"/>
    <w:rsid w:val="69CC08A0"/>
    <w:rsid w:val="69CC46C9"/>
    <w:rsid w:val="69D06E8B"/>
    <w:rsid w:val="69D5106F"/>
    <w:rsid w:val="69DC0CF7"/>
    <w:rsid w:val="69E162BB"/>
    <w:rsid w:val="69E41B66"/>
    <w:rsid w:val="69F04469"/>
    <w:rsid w:val="69F62E76"/>
    <w:rsid w:val="69F85C4B"/>
    <w:rsid w:val="69FA7873"/>
    <w:rsid w:val="6A230078"/>
    <w:rsid w:val="6A274438"/>
    <w:rsid w:val="6A2B6021"/>
    <w:rsid w:val="6A4333E4"/>
    <w:rsid w:val="6A5B3EB9"/>
    <w:rsid w:val="6A607D15"/>
    <w:rsid w:val="6A6622B1"/>
    <w:rsid w:val="6A70714A"/>
    <w:rsid w:val="6A7800EF"/>
    <w:rsid w:val="6A7E25F5"/>
    <w:rsid w:val="6AA177E0"/>
    <w:rsid w:val="6AAB0F10"/>
    <w:rsid w:val="6AB04BCE"/>
    <w:rsid w:val="6AB26742"/>
    <w:rsid w:val="6AB31B5E"/>
    <w:rsid w:val="6AB40412"/>
    <w:rsid w:val="6AB6231D"/>
    <w:rsid w:val="6AB67F05"/>
    <w:rsid w:val="6AC85D9D"/>
    <w:rsid w:val="6AD7460E"/>
    <w:rsid w:val="6ADE1D55"/>
    <w:rsid w:val="6ADF5A77"/>
    <w:rsid w:val="6AE05A45"/>
    <w:rsid w:val="6AF159A8"/>
    <w:rsid w:val="6AF2109A"/>
    <w:rsid w:val="6AF94006"/>
    <w:rsid w:val="6AF967A0"/>
    <w:rsid w:val="6B0B0091"/>
    <w:rsid w:val="6B120F8F"/>
    <w:rsid w:val="6B1E0D9B"/>
    <w:rsid w:val="6B1E4C0E"/>
    <w:rsid w:val="6B2140C9"/>
    <w:rsid w:val="6B3F2CC3"/>
    <w:rsid w:val="6B451C6F"/>
    <w:rsid w:val="6B461D26"/>
    <w:rsid w:val="6B83503B"/>
    <w:rsid w:val="6B8F438D"/>
    <w:rsid w:val="6B8F67A0"/>
    <w:rsid w:val="6BAC0B87"/>
    <w:rsid w:val="6BB22E2F"/>
    <w:rsid w:val="6BB7072B"/>
    <w:rsid w:val="6BC5589D"/>
    <w:rsid w:val="6BDF5F53"/>
    <w:rsid w:val="6BF405FE"/>
    <w:rsid w:val="6BF6644D"/>
    <w:rsid w:val="6BF70FC5"/>
    <w:rsid w:val="6BFB2BB3"/>
    <w:rsid w:val="6C0503AD"/>
    <w:rsid w:val="6C057467"/>
    <w:rsid w:val="6C1E689F"/>
    <w:rsid w:val="6C2546F7"/>
    <w:rsid w:val="6C2562E4"/>
    <w:rsid w:val="6C2A48C4"/>
    <w:rsid w:val="6C323E12"/>
    <w:rsid w:val="6C3A1E2A"/>
    <w:rsid w:val="6C422FCA"/>
    <w:rsid w:val="6C43467E"/>
    <w:rsid w:val="6C4E249B"/>
    <w:rsid w:val="6C50046A"/>
    <w:rsid w:val="6C550BE8"/>
    <w:rsid w:val="6C7B7FD8"/>
    <w:rsid w:val="6C852857"/>
    <w:rsid w:val="6C8C6B1F"/>
    <w:rsid w:val="6C9723F2"/>
    <w:rsid w:val="6CA10D20"/>
    <w:rsid w:val="6CA200F0"/>
    <w:rsid w:val="6CA35BF5"/>
    <w:rsid w:val="6CB95B66"/>
    <w:rsid w:val="6CBC7E34"/>
    <w:rsid w:val="6CD667BB"/>
    <w:rsid w:val="6CD9122E"/>
    <w:rsid w:val="6CDD247E"/>
    <w:rsid w:val="6CE70A90"/>
    <w:rsid w:val="6CE80574"/>
    <w:rsid w:val="6CEA4CE6"/>
    <w:rsid w:val="6CFA12CC"/>
    <w:rsid w:val="6D0252AE"/>
    <w:rsid w:val="6D032CC5"/>
    <w:rsid w:val="6D101AFC"/>
    <w:rsid w:val="6D1422CB"/>
    <w:rsid w:val="6D16224E"/>
    <w:rsid w:val="6D1B7C30"/>
    <w:rsid w:val="6D1D20D3"/>
    <w:rsid w:val="6D301BA0"/>
    <w:rsid w:val="6D3165EF"/>
    <w:rsid w:val="6D3B443E"/>
    <w:rsid w:val="6D3E5248"/>
    <w:rsid w:val="6D453DD7"/>
    <w:rsid w:val="6D4A2C62"/>
    <w:rsid w:val="6D4A6418"/>
    <w:rsid w:val="6D572F93"/>
    <w:rsid w:val="6D593823"/>
    <w:rsid w:val="6D68133A"/>
    <w:rsid w:val="6D733DC9"/>
    <w:rsid w:val="6D8776D8"/>
    <w:rsid w:val="6D8B2E85"/>
    <w:rsid w:val="6D8D3B34"/>
    <w:rsid w:val="6D980CFE"/>
    <w:rsid w:val="6D9B3D49"/>
    <w:rsid w:val="6DA514C3"/>
    <w:rsid w:val="6DAE7750"/>
    <w:rsid w:val="6DB4435B"/>
    <w:rsid w:val="6DB61AA5"/>
    <w:rsid w:val="6DB9056F"/>
    <w:rsid w:val="6DBA05AB"/>
    <w:rsid w:val="6DC87DCD"/>
    <w:rsid w:val="6DCD7BF1"/>
    <w:rsid w:val="6DCF6036"/>
    <w:rsid w:val="6DD2546C"/>
    <w:rsid w:val="6DE16D9C"/>
    <w:rsid w:val="6DED569B"/>
    <w:rsid w:val="6E032E11"/>
    <w:rsid w:val="6E1E003F"/>
    <w:rsid w:val="6E2D0BB3"/>
    <w:rsid w:val="6E430ED5"/>
    <w:rsid w:val="6E48251F"/>
    <w:rsid w:val="6E5D725B"/>
    <w:rsid w:val="6E6A0BA0"/>
    <w:rsid w:val="6E6F2F93"/>
    <w:rsid w:val="6E7A2392"/>
    <w:rsid w:val="6E7A5A1C"/>
    <w:rsid w:val="6E88502C"/>
    <w:rsid w:val="6E9B09E7"/>
    <w:rsid w:val="6EB61E25"/>
    <w:rsid w:val="6EB94D5E"/>
    <w:rsid w:val="6EBB75EB"/>
    <w:rsid w:val="6ECD58F9"/>
    <w:rsid w:val="6ED45E93"/>
    <w:rsid w:val="6ED925BB"/>
    <w:rsid w:val="6EE45160"/>
    <w:rsid w:val="6EE62A6A"/>
    <w:rsid w:val="6EEE586F"/>
    <w:rsid w:val="6EFD7E34"/>
    <w:rsid w:val="6EFE24AE"/>
    <w:rsid w:val="6F03756C"/>
    <w:rsid w:val="6F054CBC"/>
    <w:rsid w:val="6F083D55"/>
    <w:rsid w:val="6F13399E"/>
    <w:rsid w:val="6F153967"/>
    <w:rsid w:val="6F222505"/>
    <w:rsid w:val="6F2908C4"/>
    <w:rsid w:val="6F2A3FC6"/>
    <w:rsid w:val="6F2B1E4D"/>
    <w:rsid w:val="6F2C4BFF"/>
    <w:rsid w:val="6F36360B"/>
    <w:rsid w:val="6F4468FE"/>
    <w:rsid w:val="6F5C390A"/>
    <w:rsid w:val="6F5D2E5F"/>
    <w:rsid w:val="6F651A77"/>
    <w:rsid w:val="6F6541DA"/>
    <w:rsid w:val="6F6D1650"/>
    <w:rsid w:val="6F6E4CA3"/>
    <w:rsid w:val="6F713270"/>
    <w:rsid w:val="6F8238FA"/>
    <w:rsid w:val="6F8D3179"/>
    <w:rsid w:val="6F8E1C2E"/>
    <w:rsid w:val="6F8F7A40"/>
    <w:rsid w:val="6F9C351D"/>
    <w:rsid w:val="6F9E036B"/>
    <w:rsid w:val="6FAB5ECE"/>
    <w:rsid w:val="6FC2655F"/>
    <w:rsid w:val="6FC53B02"/>
    <w:rsid w:val="6FC65BDB"/>
    <w:rsid w:val="6FC71100"/>
    <w:rsid w:val="6FC83C81"/>
    <w:rsid w:val="6FC941CA"/>
    <w:rsid w:val="6FD44A65"/>
    <w:rsid w:val="6FE5551A"/>
    <w:rsid w:val="6FEC07AC"/>
    <w:rsid w:val="6FF13869"/>
    <w:rsid w:val="7003225E"/>
    <w:rsid w:val="70037069"/>
    <w:rsid w:val="70090582"/>
    <w:rsid w:val="700F241C"/>
    <w:rsid w:val="70112762"/>
    <w:rsid w:val="702C0FBB"/>
    <w:rsid w:val="70340273"/>
    <w:rsid w:val="703A66F6"/>
    <w:rsid w:val="704B365B"/>
    <w:rsid w:val="704B74EC"/>
    <w:rsid w:val="70552C40"/>
    <w:rsid w:val="705826B2"/>
    <w:rsid w:val="705D1EC8"/>
    <w:rsid w:val="70623D62"/>
    <w:rsid w:val="70664B9D"/>
    <w:rsid w:val="707C53CF"/>
    <w:rsid w:val="708C1CDB"/>
    <w:rsid w:val="70974410"/>
    <w:rsid w:val="70B328CC"/>
    <w:rsid w:val="70B54896"/>
    <w:rsid w:val="70D02B39"/>
    <w:rsid w:val="70D060F7"/>
    <w:rsid w:val="70D07605"/>
    <w:rsid w:val="70D61D20"/>
    <w:rsid w:val="70D86D3F"/>
    <w:rsid w:val="70EB4D6F"/>
    <w:rsid w:val="70EE60DC"/>
    <w:rsid w:val="70F27898"/>
    <w:rsid w:val="710868D3"/>
    <w:rsid w:val="710A2FD0"/>
    <w:rsid w:val="710F4C32"/>
    <w:rsid w:val="71111BBE"/>
    <w:rsid w:val="71146A7C"/>
    <w:rsid w:val="71202A40"/>
    <w:rsid w:val="71315679"/>
    <w:rsid w:val="71323B75"/>
    <w:rsid w:val="713F19C8"/>
    <w:rsid w:val="716D5171"/>
    <w:rsid w:val="717C5D3C"/>
    <w:rsid w:val="71824465"/>
    <w:rsid w:val="7186131D"/>
    <w:rsid w:val="71B45316"/>
    <w:rsid w:val="71B55189"/>
    <w:rsid w:val="71B96608"/>
    <w:rsid w:val="71BA7C8A"/>
    <w:rsid w:val="71D015D1"/>
    <w:rsid w:val="71DB7205"/>
    <w:rsid w:val="71DD22F7"/>
    <w:rsid w:val="71E116BB"/>
    <w:rsid w:val="71E22D74"/>
    <w:rsid w:val="71E73849"/>
    <w:rsid w:val="71F30D93"/>
    <w:rsid w:val="71F31B1A"/>
    <w:rsid w:val="71F81C58"/>
    <w:rsid w:val="71FA53E6"/>
    <w:rsid w:val="720D05E3"/>
    <w:rsid w:val="72151326"/>
    <w:rsid w:val="72166761"/>
    <w:rsid w:val="721B4BCD"/>
    <w:rsid w:val="72216288"/>
    <w:rsid w:val="722E5DAE"/>
    <w:rsid w:val="723D5ED0"/>
    <w:rsid w:val="723E61A1"/>
    <w:rsid w:val="7249173A"/>
    <w:rsid w:val="724A559D"/>
    <w:rsid w:val="725325B9"/>
    <w:rsid w:val="72604CD6"/>
    <w:rsid w:val="72680562"/>
    <w:rsid w:val="726C367A"/>
    <w:rsid w:val="726F4F19"/>
    <w:rsid w:val="72785B7B"/>
    <w:rsid w:val="727E6F0A"/>
    <w:rsid w:val="728165FD"/>
    <w:rsid w:val="728A1F72"/>
    <w:rsid w:val="729F135A"/>
    <w:rsid w:val="72A050D2"/>
    <w:rsid w:val="72AB3B96"/>
    <w:rsid w:val="72BA05C8"/>
    <w:rsid w:val="72C76139"/>
    <w:rsid w:val="72CA1155"/>
    <w:rsid w:val="72D11DF7"/>
    <w:rsid w:val="72D20F88"/>
    <w:rsid w:val="72D52DFB"/>
    <w:rsid w:val="72D815C5"/>
    <w:rsid w:val="72E05562"/>
    <w:rsid w:val="72E852C7"/>
    <w:rsid w:val="72F90332"/>
    <w:rsid w:val="7300666B"/>
    <w:rsid w:val="73035EAF"/>
    <w:rsid w:val="730471E0"/>
    <w:rsid w:val="730A3586"/>
    <w:rsid w:val="730E1EFB"/>
    <w:rsid w:val="733778B4"/>
    <w:rsid w:val="73492750"/>
    <w:rsid w:val="73583660"/>
    <w:rsid w:val="73616ABC"/>
    <w:rsid w:val="73747A59"/>
    <w:rsid w:val="737B3F55"/>
    <w:rsid w:val="737C448D"/>
    <w:rsid w:val="737E5413"/>
    <w:rsid w:val="738A6BAD"/>
    <w:rsid w:val="738D5656"/>
    <w:rsid w:val="73910F1F"/>
    <w:rsid w:val="739943AC"/>
    <w:rsid w:val="73A741B5"/>
    <w:rsid w:val="73A75A3C"/>
    <w:rsid w:val="73A75BCA"/>
    <w:rsid w:val="73AB7919"/>
    <w:rsid w:val="73AE3639"/>
    <w:rsid w:val="73AF3631"/>
    <w:rsid w:val="73B04E6C"/>
    <w:rsid w:val="73B70423"/>
    <w:rsid w:val="73B72D5A"/>
    <w:rsid w:val="73C56A33"/>
    <w:rsid w:val="73D73B1A"/>
    <w:rsid w:val="73D9051D"/>
    <w:rsid w:val="73DB0AB8"/>
    <w:rsid w:val="73E122AB"/>
    <w:rsid w:val="73E82174"/>
    <w:rsid w:val="73E83652"/>
    <w:rsid w:val="73EF00BF"/>
    <w:rsid w:val="73FC4A4A"/>
    <w:rsid w:val="73FF5865"/>
    <w:rsid w:val="74020576"/>
    <w:rsid w:val="7406346F"/>
    <w:rsid w:val="740F28E3"/>
    <w:rsid w:val="741778F4"/>
    <w:rsid w:val="741E08BA"/>
    <w:rsid w:val="743507CA"/>
    <w:rsid w:val="743A4A7F"/>
    <w:rsid w:val="744F2F1D"/>
    <w:rsid w:val="74566BC0"/>
    <w:rsid w:val="74590478"/>
    <w:rsid w:val="746213A9"/>
    <w:rsid w:val="74627923"/>
    <w:rsid w:val="746B6F6E"/>
    <w:rsid w:val="74834EFC"/>
    <w:rsid w:val="748B678A"/>
    <w:rsid w:val="748D3B3A"/>
    <w:rsid w:val="748E2C56"/>
    <w:rsid w:val="749173C8"/>
    <w:rsid w:val="749331F8"/>
    <w:rsid w:val="74980232"/>
    <w:rsid w:val="74A42DFF"/>
    <w:rsid w:val="74AC7D5E"/>
    <w:rsid w:val="74AE53EF"/>
    <w:rsid w:val="74B505CD"/>
    <w:rsid w:val="74C04DD9"/>
    <w:rsid w:val="74C23C48"/>
    <w:rsid w:val="74CD648D"/>
    <w:rsid w:val="74DB6895"/>
    <w:rsid w:val="74E02B7C"/>
    <w:rsid w:val="74E129B1"/>
    <w:rsid w:val="74E95DDF"/>
    <w:rsid w:val="75156208"/>
    <w:rsid w:val="751E2E09"/>
    <w:rsid w:val="75247D31"/>
    <w:rsid w:val="752B15CB"/>
    <w:rsid w:val="752D0451"/>
    <w:rsid w:val="753B10E2"/>
    <w:rsid w:val="755E5FCB"/>
    <w:rsid w:val="756415E7"/>
    <w:rsid w:val="7565467F"/>
    <w:rsid w:val="757042D4"/>
    <w:rsid w:val="75733191"/>
    <w:rsid w:val="757541AF"/>
    <w:rsid w:val="75867936"/>
    <w:rsid w:val="758962F1"/>
    <w:rsid w:val="758C457F"/>
    <w:rsid w:val="758D7803"/>
    <w:rsid w:val="759063C7"/>
    <w:rsid w:val="75933738"/>
    <w:rsid w:val="75A03D67"/>
    <w:rsid w:val="75A22BCD"/>
    <w:rsid w:val="75B15D73"/>
    <w:rsid w:val="75B72AFE"/>
    <w:rsid w:val="75C12B48"/>
    <w:rsid w:val="75CA44F0"/>
    <w:rsid w:val="75CB090F"/>
    <w:rsid w:val="75EA4FE2"/>
    <w:rsid w:val="75EE5BAD"/>
    <w:rsid w:val="75F25C45"/>
    <w:rsid w:val="76035D04"/>
    <w:rsid w:val="760C7611"/>
    <w:rsid w:val="761A2389"/>
    <w:rsid w:val="762A1882"/>
    <w:rsid w:val="7637442D"/>
    <w:rsid w:val="7640675C"/>
    <w:rsid w:val="76455427"/>
    <w:rsid w:val="764C7A4B"/>
    <w:rsid w:val="764F3F97"/>
    <w:rsid w:val="766D4581"/>
    <w:rsid w:val="76830430"/>
    <w:rsid w:val="76A03E8F"/>
    <w:rsid w:val="76AC3C2F"/>
    <w:rsid w:val="76AE4262"/>
    <w:rsid w:val="76C21ABB"/>
    <w:rsid w:val="76C30285"/>
    <w:rsid w:val="76CE62BA"/>
    <w:rsid w:val="76CF4F9B"/>
    <w:rsid w:val="76DA518C"/>
    <w:rsid w:val="76DC7579"/>
    <w:rsid w:val="76DD64E5"/>
    <w:rsid w:val="76E04775"/>
    <w:rsid w:val="76E732D0"/>
    <w:rsid w:val="76E91BE4"/>
    <w:rsid w:val="76EE1039"/>
    <w:rsid w:val="76F854DD"/>
    <w:rsid w:val="77013EA9"/>
    <w:rsid w:val="77014AB0"/>
    <w:rsid w:val="770A6ACB"/>
    <w:rsid w:val="770C145C"/>
    <w:rsid w:val="77152585"/>
    <w:rsid w:val="772041FE"/>
    <w:rsid w:val="772F7608"/>
    <w:rsid w:val="773810BB"/>
    <w:rsid w:val="773C79BF"/>
    <w:rsid w:val="774B29AD"/>
    <w:rsid w:val="77541FD3"/>
    <w:rsid w:val="77793F2D"/>
    <w:rsid w:val="778159DD"/>
    <w:rsid w:val="778169B2"/>
    <w:rsid w:val="77873D98"/>
    <w:rsid w:val="779924F8"/>
    <w:rsid w:val="77A14EA4"/>
    <w:rsid w:val="77A72D4F"/>
    <w:rsid w:val="77AF4564"/>
    <w:rsid w:val="77B07755"/>
    <w:rsid w:val="77B46FD8"/>
    <w:rsid w:val="77C05245"/>
    <w:rsid w:val="77CB0E43"/>
    <w:rsid w:val="77CD0717"/>
    <w:rsid w:val="77D30A01"/>
    <w:rsid w:val="77D600B8"/>
    <w:rsid w:val="77DE586C"/>
    <w:rsid w:val="77DE5F22"/>
    <w:rsid w:val="77F05565"/>
    <w:rsid w:val="77F263D0"/>
    <w:rsid w:val="77F56165"/>
    <w:rsid w:val="77F91A2C"/>
    <w:rsid w:val="78100F72"/>
    <w:rsid w:val="78221902"/>
    <w:rsid w:val="78240954"/>
    <w:rsid w:val="78266A5C"/>
    <w:rsid w:val="78266D06"/>
    <w:rsid w:val="783573D1"/>
    <w:rsid w:val="78414C61"/>
    <w:rsid w:val="7847279C"/>
    <w:rsid w:val="784A620C"/>
    <w:rsid w:val="784D70CE"/>
    <w:rsid w:val="784E652E"/>
    <w:rsid w:val="7860158C"/>
    <w:rsid w:val="786B1CDE"/>
    <w:rsid w:val="786D3CA8"/>
    <w:rsid w:val="786E6789"/>
    <w:rsid w:val="7874511B"/>
    <w:rsid w:val="78A376CA"/>
    <w:rsid w:val="78B50EF6"/>
    <w:rsid w:val="78C03D6C"/>
    <w:rsid w:val="78DA65F0"/>
    <w:rsid w:val="78E052AD"/>
    <w:rsid w:val="78E545A1"/>
    <w:rsid w:val="78EF290F"/>
    <w:rsid w:val="78F15ADF"/>
    <w:rsid w:val="78F62C1D"/>
    <w:rsid w:val="78FE2B52"/>
    <w:rsid w:val="78FF3D6A"/>
    <w:rsid w:val="79010BC2"/>
    <w:rsid w:val="790422F6"/>
    <w:rsid w:val="79091372"/>
    <w:rsid w:val="790B086C"/>
    <w:rsid w:val="79145074"/>
    <w:rsid w:val="79385214"/>
    <w:rsid w:val="7939668C"/>
    <w:rsid w:val="793F3B19"/>
    <w:rsid w:val="7942271A"/>
    <w:rsid w:val="7947125C"/>
    <w:rsid w:val="794D4A3B"/>
    <w:rsid w:val="79640982"/>
    <w:rsid w:val="79870F22"/>
    <w:rsid w:val="79943AB9"/>
    <w:rsid w:val="799A18E4"/>
    <w:rsid w:val="79A80F1E"/>
    <w:rsid w:val="79AE0823"/>
    <w:rsid w:val="79B24069"/>
    <w:rsid w:val="79DA03A9"/>
    <w:rsid w:val="79DA492D"/>
    <w:rsid w:val="79DD7AD0"/>
    <w:rsid w:val="79F90AE4"/>
    <w:rsid w:val="79FE5DA4"/>
    <w:rsid w:val="7A00596C"/>
    <w:rsid w:val="7A0612E7"/>
    <w:rsid w:val="7A1E6313"/>
    <w:rsid w:val="7A205333"/>
    <w:rsid w:val="7A2F7467"/>
    <w:rsid w:val="7A374813"/>
    <w:rsid w:val="7A3934D2"/>
    <w:rsid w:val="7A4120A5"/>
    <w:rsid w:val="7A5E2D3A"/>
    <w:rsid w:val="7A686C9B"/>
    <w:rsid w:val="7A6D1D3E"/>
    <w:rsid w:val="7A6D7F90"/>
    <w:rsid w:val="7A7C1269"/>
    <w:rsid w:val="7A85177D"/>
    <w:rsid w:val="7A856247"/>
    <w:rsid w:val="7A895396"/>
    <w:rsid w:val="7AA3045C"/>
    <w:rsid w:val="7AA63430"/>
    <w:rsid w:val="7AAD0B5A"/>
    <w:rsid w:val="7AB61604"/>
    <w:rsid w:val="7AB63D32"/>
    <w:rsid w:val="7AB67994"/>
    <w:rsid w:val="7ABD4CCC"/>
    <w:rsid w:val="7ACD3D39"/>
    <w:rsid w:val="7AE00762"/>
    <w:rsid w:val="7AE30252"/>
    <w:rsid w:val="7AEF43FB"/>
    <w:rsid w:val="7AF34939"/>
    <w:rsid w:val="7AF661D7"/>
    <w:rsid w:val="7AF74FE2"/>
    <w:rsid w:val="7AFE153B"/>
    <w:rsid w:val="7AFF2AD2"/>
    <w:rsid w:val="7B082C85"/>
    <w:rsid w:val="7B0E1942"/>
    <w:rsid w:val="7B0E1E5D"/>
    <w:rsid w:val="7B132E51"/>
    <w:rsid w:val="7B147694"/>
    <w:rsid w:val="7B2B31E3"/>
    <w:rsid w:val="7B301BB4"/>
    <w:rsid w:val="7B3053A9"/>
    <w:rsid w:val="7B322EAB"/>
    <w:rsid w:val="7B44332D"/>
    <w:rsid w:val="7B447139"/>
    <w:rsid w:val="7B50295A"/>
    <w:rsid w:val="7B535FB9"/>
    <w:rsid w:val="7B574089"/>
    <w:rsid w:val="7B5D7529"/>
    <w:rsid w:val="7B62406E"/>
    <w:rsid w:val="7B6C569A"/>
    <w:rsid w:val="7B6C5D42"/>
    <w:rsid w:val="7B75534E"/>
    <w:rsid w:val="7B7B54BF"/>
    <w:rsid w:val="7B822FF7"/>
    <w:rsid w:val="7B823DA1"/>
    <w:rsid w:val="7B917F86"/>
    <w:rsid w:val="7B933A26"/>
    <w:rsid w:val="7BA44AA8"/>
    <w:rsid w:val="7BA84867"/>
    <w:rsid w:val="7BAD072B"/>
    <w:rsid w:val="7BB33E17"/>
    <w:rsid w:val="7BB77B08"/>
    <w:rsid w:val="7BB87930"/>
    <w:rsid w:val="7BB94E29"/>
    <w:rsid w:val="7BCE489C"/>
    <w:rsid w:val="7BD45598"/>
    <w:rsid w:val="7BD858DD"/>
    <w:rsid w:val="7BDC2403"/>
    <w:rsid w:val="7BE350C5"/>
    <w:rsid w:val="7BE94053"/>
    <w:rsid w:val="7BF251B3"/>
    <w:rsid w:val="7C0B707D"/>
    <w:rsid w:val="7C1C39F6"/>
    <w:rsid w:val="7C396C9D"/>
    <w:rsid w:val="7C4E1217"/>
    <w:rsid w:val="7C5130D9"/>
    <w:rsid w:val="7C6A7EFD"/>
    <w:rsid w:val="7C840BDD"/>
    <w:rsid w:val="7C876038"/>
    <w:rsid w:val="7CA74EA0"/>
    <w:rsid w:val="7CAA1027"/>
    <w:rsid w:val="7CB00413"/>
    <w:rsid w:val="7CB237B4"/>
    <w:rsid w:val="7CB77BE8"/>
    <w:rsid w:val="7CDB6368"/>
    <w:rsid w:val="7CEF6E29"/>
    <w:rsid w:val="7CF7204C"/>
    <w:rsid w:val="7D0050EB"/>
    <w:rsid w:val="7D055DBB"/>
    <w:rsid w:val="7D0C0075"/>
    <w:rsid w:val="7D0C5AE8"/>
    <w:rsid w:val="7D0F6E7E"/>
    <w:rsid w:val="7D1943FF"/>
    <w:rsid w:val="7D197F5B"/>
    <w:rsid w:val="7D1A3401"/>
    <w:rsid w:val="7D2320B5"/>
    <w:rsid w:val="7D28346F"/>
    <w:rsid w:val="7D2E171B"/>
    <w:rsid w:val="7D381FDF"/>
    <w:rsid w:val="7D4222E0"/>
    <w:rsid w:val="7D595A5D"/>
    <w:rsid w:val="7D620EB6"/>
    <w:rsid w:val="7D761672"/>
    <w:rsid w:val="7D861188"/>
    <w:rsid w:val="7D8A4A33"/>
    <w:rsid w:val="7D8F3BD6"/>
    <w:rsid w:val="7DB56F13"/>
    <w:rsid w:val="7DBC70B6"/>
    <w:rsid w:val="7DC430C3"/>
    <w:rsid w:val="7DC561F5"/>
    <w:rsid w:val="7DC75C09"/>
    <w:rsid w:val="7DCE0725"/>
    <w:rsid w:val="7DD25769"/>
    <w:rsid w:val="7DDC0A05"/>
    <w:rsid w:val="7DDD05F7"/>
    <w:rsid w:val="7DE806D4"/>
    <w:rsid w:val="7DF34C50"/>
    <w:rsid w:val="7E0230E5"/>
    <w:rsid w:val="7E07491E"/>
    <w:rsid w:val="7E186A2E"/>
    <w:rsid w:val="7E1B3D9C"/>
    <w:rsid w:val="7E220833"/>
    <w:rsid w:val="7E2716E9"/>
    <w:rsid w:val="7E283CBC"/>
    <w:rsid w:val="7E2E0A50"/>
    <w:rsid w:val="7E30213D"/>
    <w:rsid w:val="7E3A27D9"/>
    <w:rsid w:val="7E3B0491"/>
    <w:rsid w:val="7E3E6FF7"/>
    <w:rsid w:val="7E4145E0"/>
    <w:rsid w:val="7E4E46D3"/>
    <w:rsid w:val="7E505BFE"/>
    <w:rsid w:val="7E5D1DFB"/>
    <w:rsid w:val="7E615519"/>
    <w:rsid w:val="7E747ED7"/>
    <w:rsid w:val="7E8548DA"/>
    <w:rsid w:val="7E906EED"/>
    <w:rsid w:val="7E9147B9"/>
    <w:rsid w:val="7E963F11"/>
    <w:rsid w:val="7E9F61CC"/>
    <w:rsid w:val="7EA52844"/>
    <w:rsid w:val="7EA87894"/>
    <w:rsid w:val="7EAA7A04"/>
    <w:rsid w:val="7EB60168"/>
    <w:rsid w:val="7EBC4CAC"/>
    <w:rsid w:val="7EBC784D"/>
    <w:rsid w:val="7EC87E8B"/>
    <w:rsid w:val="7ECC5631"/>
    <w:rsid w:val="7ED30377"/>
    <w:rsid w:val="7ED94BBB"/>
    <w:rsid w:val="7EDC1547"/>
    <w:rsid w:val="7EDC280E"/>
    <w:rsid w:val="7EE50351"/>
    <w:rsid w:val="7EEA6A0F"/>
    <w:rsid w:val="7EF02F3D"/>
    <w:rsid w:val="7EF90044"/>
    <w:rsid w:val="7EFA0D76"/>
    <w:rsid w:val="7EFD2CD8"/>
    <w:rsid w:val="7EFF0079"/>
    <w:rsid w:val="7F10538E"/>
    <w:rsid w:val="7F345520"/>
    <w:rsid w:val="7F3823E3"/>
    <w:rsid w:val="7F4C1DFC"/>
    <w:rsid w:val="7F6A4AA9"/>
    <w:rsid w:val="7F6C2A94"/>
    <w:rsid w:val="7F7D2A23"/>
    <w:rsid w:val="7F8406B3"/>
    <w:rsid w:val="7F993AE5"/>
    <w:rsid w:val="7F9D09AB"/>
    <w:rsid w:val="7F9D12F9"/>
    <w:rsid w:val="7FAE7080"/>
    <w:rsid w:val="7FB84C03"/>
    <w:rsid w:val="7FBB0F27"/>
    <w:rsid w:val="7FE224FE"/>
    <w:rsid w:val="7FEA5BDF"/>
    <w:rsid w:val="7FF8654D"/>
    <w:rsid w:val="7FFA00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qFormat="1" w:unhideWhenUsed="0" w:uiPriority="0" w:semiHidden="0"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nhideWhenUsed="0" w:uiPriority="99"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6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70"/>
    <w:qFormat/>
    <w:uiPriority w:val="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71"/>
    <w:qFormat/>
    <w:uiPriority w:val="9"/>
    <w:pPr>
      <w:keepNext/>
      <w:keepLines/>
      <w:spacing w:before="260" w:after="260" w:line="416" w:lineRule="auto"/>
      <w:outlineLvl w:val="2"/>
    </w:pPr>
    <w:rPr>
      <w:b/>
      <w:bCs/>
      <w:sz w:val="32"/>
      <w:szCs w:val="32"/>
    </w:rPr>
  </w:style>
  <w:style w:type="paragraph" w:styleId="5">
    <w:name w:val="heading 4"/>
    <w:basedOn w:val="1"/>
    <w:next w:val="1"/>
    <w:link w:val="72"/>
    <w:qFormat/>
    <w:uiPriority w:val="9"/>
    <w:pPr>
      <w:keepNext/>
      <w:keepLines/>
      <w:spacing w:before="280" w:after="290" w:line="376" w:lineRule="auto"/>
      <w:outlineLvl w:val="3"/>
    </w:pPr>
    <w:rPr>
      <w:rFonts w:ascii="Arial" w:hAnsi="Arial" w:eastAsia="黑体" w:cs="Arial"/>
      <w:b/>
      <w:bCs/>
      <w:sz w:val="28"/>
      <w:szCs w:val="28"/>
    </w:rPr>
  </w:style>
  <w:style w:type="paragraph" w:styleId="6">
    <w:name w:val="heading 5"/>
    <w:basedOn w:val="1"/>
    <w:next w:val="1"/>
    <w:link w:val="73"/>
    <w:qFormat/>
    <w:uiPriority w:val="9"/>
    <w:pPr>
      <w:keepNext/>
      <w:keepLines/>
      <w:spacing w:before="280" w:after="290" w:line="376" w:lineRule="auto"/>
      <w:outlineLvl w:val="4"/>
    </w:pPr>
    <w:rPr>
      <w:b/>
      <w:bCs/>
      <w:sz w:val="28"/>
      <w:szCs w:val="28"/>
    </w:rPr>
  </w:style>
  <w:style w:type="paragraph" w:styleId="7">
    <w:name w:val="heading 6"/>
    <w:basedOn w:val="1"/>
    <w:next w:val="1"/>
    <w:link w:val="74"/>
    <w:qFormat/>
    <w:uiPriority w:val="9"/>
    <w:pPr>
      <w:keepNext/>
      <w:keepLines/>
      <w:widowControl/>
      <w:tabs>
        <w:tab w:val="left" w:pos="1440"/>
      </w:tabs>
      <w:spacing w:before="240" w:after="64" w:line="320" w:lineRule="auto"/>
      <w:ind w:left="1152" w:hanging="1152"/>
      <w:jc w:val="left"/>
      <w:outlineLvl w:val="5"/>
    </w:pPr>
    <w:rPr>
      <w:rFonts w:ascii="Arial" w:hAnsi="Arial" w:eastAsia="黑体" w:cs="Arial"/>
      <w:b/>
      <w:bCs/>
      <w:kern w:val="0"/>
      <w:sz w:val="24"/>
      <w:szCs w:val="24"/>
    </w:rPr>
  </w:style>
  <w:style w:type="paragraph" w:styleId="8">
    <w:name w:val="heading 7"/>
    <w:basedOn w:val="1"/>
    <w:next w:val="1"/>
    <w:link w:val="75"/>
    <w:qFormat/>
    <w:uiPriority w:val="9"/>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9">
    <w:name w:val="heading 8"/>
    <w:basedOn w:val="1"/>
    <w:next w:val="1"/>
    <w:link w:val="76"/>
    <w:qFormat/>
    <w:uiPriority w:val="9"/>
    <w:pPr>
      <w:keepNext/>
      <w:keepLines/>
      <w:widowControl/>
      <w:tabs>
        <w:tab w:val="left" w:pos="1440"/>
      </w:tabs>
      <w:spacing w:before="240" w:after="64" w:line="320" w:lineRule="auto"/>
      <w:ind w:left="1440" w:hanging="1440"/>
      <w:jc w:val="left"/>
      <w:outlineLvl w:val="7"/>
    </w:pPr>
    <w:rPr>
      <w:rFonts w:ascii="Arial" w:hAnsi="Arial" w:eastAsia="黑体" w:cs="Arial"/>
      <w:kern w:val="0"/>
      <w:sz w:val="24"/>
      <w:szCs w:val="24"/>
    </w:rPr>
  </w:style>
  <w:style w:type="paragraph" w:styleId="10">
    <w:name w:val="heading 9"/>
    <w:basedOn w:val="1"/>
    <w:next w:val="1"/>
    <w:link w:val="77"/>
    <w:qFormat/>
    <w:uiPriority w:val="9"/>
    <w:pPr>
      <w:keepNext/>
      <w:keepLines/>
      <w:widowControl/>
      <w:tabs>
        <w:tab w:val="left" w:pos="1584"/>
      </w:tabs>
      <w:spacing w:before="240" w:after="64" w:line="320" w:lineRule="auto"/>
      <w:ind w:left="1584" w:hanging="1584"/>
      <w:jc w:val="left"/>
      <w:outlineLvl w:val="8"/>
    </w:pPr>
    <w:rPr>
      <w:rFonts w:ascii="Arial" w:hAnsi="Arial" w:eastAsia="黑体" w:cs="Arial"/>
      <w:kern w:val="0"/>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ind w:left="2520" w:leftChars="1200"/>
    </w:pPr>
  </w:style>
  <w:style w:type="paragraph" w:styleId="12">
    <w:name w:val="List Bullet 4"/>
    <w:basedOn w:val="1"/>
    <w:qFormat/>
    <w:uiPriority w:val="99"/>
    <w:pPr>
      <w:tabs>
        <w:tab w:val="left" w:pos="1620"/>
      </w:tabs>
      <w:ind w:left="1620" w:leftChars="600" w:hanging="360" w:hangingChars="200"/>
    </w:pPr>
  </w:style>
  <w:style w:type="paragraph" w:styleId="13">
    <w:name w:val="Normal Indent"/>
    <w:basedOn w:val="1"/>
    <w:link w:val="97"/>
    <w:qFormat/>
    <w:uiPriority w:val="99"/>
    <w:pPr>
      <w:ind w:firstLine="420" w:firstLineChars="200"/>
    </w:pPr>
  </w:style>
  <w:style w:type="paragraph" w:styleId="14">
    <w:name w:val="caption"/>
    <w:basedOn w:val="1"/>
    <w:next w:val="1"/>
    <w:qFormat/>
    <w:uiPriority w:val="35"/>
    <w:pPr>
      <w:keepNext/>
      <w:adjustRightInd w:val="0"/>
      <w:snapToGrid w:val="0"/>
      <w:spacing w:after="120"/>
      <w:jc w:val="center"/>
    </w:pPr>
    <w:rPr>
      <w:rFonts w:ascii="Arial" w:hAnsi="Arial" w:eastAsia="黑体" w:cs="Arial"/>
      <w:sz w:val="20"/>
      <w:szCs w:val="20"/>
    </w:rPr>
  </w:style>
  <w:style w:type="paragraph" w:styleId="15">
    <w:name w:val="List Bullet"/>
    <w:basedOn w:val="1"/>
    <w:qFormat/>
    <w:uiPriority w:val="99"/>
    <w:pPr>
      <w:tabs>
        <w:tab w:val="left" w:pos="360"/>
      </w:tabs>
      <w:ind w:left="360" w:hanging="360" w:hangingChars="200"/>
    </w:pPr>
  </w:style>
  <w:style w:type="paragraph" w:styleId="16">
    <w:name w:val="Document Map"/>
    <w:basedOn w:val="1"/>
    <w:link w:val="81"/>
    <w:semiHidden/>
    <w:qFormat/>
    <w:uiPriority w:val="99"/>
    <w:pPr>
      <w:shd w:val="clear" w:color="auto" w:fill="000080"/>
    </w:pPr>
  </w:style>
  <w:style w:type="paragraph" w:styleId="17">
    <w:name w:val="annotation text"/>
    <w:basedOn w:val="1"/>
    <w:link w:val="78"/>
    <w:semiHidden/>
    <w:qFormat/>
    <w:uiPriority w:val="99"/>
    <w:pPr>
      <w:jc w:val="left"/>
    </w:pPr>
  </w:style>
  <w:style w:type="paragraph" w:styleId="18">
    <w:name w:val="Body Text 3"/>
    <w:basedOn w:val="1"/>
    <w:link w:val="82"/>
    <w:qFormat/>
    <w:uiPriority w:val="99"/>
    <w:rPr>
      <w:rFonts w:ascii="宋体" w:cs="宋体"/>
      <w:sz w:val="24"/>
      <w:szCs w:val="24"/>
    </w:rPr>
  </w:style>
  <w:style w:type="paragraph" w:styleId="19">
    <w:name w:val="List Bullet 3"/>
    <w:basedOn w:val="1"/>
    <w:qFormat/>
    <w:uiPriority w:val="99"/>
    <w:pPr>
      <w:tabs>
        <w:tab w:val="left" w:pos="1200"/>
      </w:tabs>
      <w:ind w:left="1200" w:leftChars="400" w:hanging="360" w:hangingChars="200"/>
    </w:pPr>
  </w:style>
  <w:style w:type="paragraph" w:styleId="20">
    <w:name w:val="Body Text"/>
    <w:basedOn w:val="1"/>
    <w:next w:val="1"/>
    <w:link w:val="83"/>
    <w:qFormat/>
    <w:uiPriority w:val="0"/>
    <w:pPr>
      <w:spacing w:after="120"/>
    </w:pPr>
  </w:style>
  <w:style w:type="paragraph" w:styleId="21">
    <w:name w:val="Body Text Indent"/>
    <w:basedOn w:val="1"/>
    <w:next w:val="22"/>
    <w:link w:val="84"/>
    <w:qFormat/>
    <w:uiPriority w:val="99"/>
    <w:pPr>
      <w:spacing w:after="120"/>
      <w:ind w:left="420" w:leftChars="200"/>
    </w:pPr>
  </w:style>
  <w:style w:type="paragraph" w:styleId="22">
    <w:name w:val="envelope return"/>
    <w:basedOn w:val="1"/>
    <w:qFormat/>
    <w:uiPriority w:val="0"/>
    <w:pPr>
      <w:snapToGrid w:val="0"/>
    </w:pPr>
    <w:rPr>
      <w:rFonts w:ascii="Arial" w:hAnsi="Arial"/>
    </w:rPr>
  </w:style>
  <w:style w:type="paragraph" w:styleId="23">
    <w:name w:val="Block Text"/>
    <w:basedOn w:val="1"/>
    <w:qFormat/>
    <w:uiPriority w:val="99"/>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4">
    <w:name w:val="List Bullet 2"/>
    <w:basedOn w:val="1"/>
    <w:qFormat/>
    <w:uiPriority w:val="99"/>
    <w:pPr>
      <w:tabs>
        <w:tab w:val="left" w:pos="780"/>
      </w:tabs>
      <w:ind w:left="780" w:leftChars="200" w:hanging="360" w:hangingChars="200"/>
    </w:pPr>
  </w:style>
  <w:style w:type="paragraph" w:styleId="25">
    <w:name w:val="toc 5"/>
    <w:basedOn w:val="1"/>
    <w:next w:val="1"/>
    <w:semiHidden/>
    <w:qFormat/>
    <w:uiPriority w:val="99"/>
    <w:pPr>
      <w:ind w:left="1680" w:leftChars="800"/>
    </w:pPr>
  </w:style>
  <w:style w:type="paragraph" w:styleId="26">
    <w:name w:val="toc 3"/>
    <w:basedOn w:val="1"/>
    <w:next w:val="1"/>
    <w:semiHidden/>
    <w:qFormat/>
    <w:uiPriority w:val="99"/>
    <w:pPr>
      <w:ind w:left="840" w:leftChars="400"/>
    </w:pPr>
  </w:style>
  <w:style w:type="paragraph" w:styleId="27">
    <w:name w:val="Plain Text"/>
    <w:basedOn w:val="1"/>
    <w:link w:val="85"/>
    <w:qFormat/>
    <w:uiPriority w:val="0"/>
    <w:pPr>
      <w:spacing w:line="360" w:lineRule="auto"/>
    </w:pPr>
    <w:rPr>
      <w:rFonts w:ascii="宋体" w:hAnsi="Courier New" w:cs="宋体"/>
      <w:sz w:val="24"/>
      <w:szCs w:val="24"/>
    </w:rPr>
  </w:style>
  <w:style w:type="paragraph" w:styleId="28">
    <w:name w:val="List Bullet 5"/>
    <w:basedOn w:val="1"/>
    <w:qFormat/>
    <w:uiPriority w:val="99"/>
    <w:pPr>
      <w:tabs>
        <w:tab w:val="left" w:pos="2040"/>
      </w:tabs>
      <w:ind w:left="2040" w:leftChars="800" w:hanging="360" w:hangingChars="200"/>
    </w:pPr>
  </w:style>
  <w:style w:type="paragraph" w:styleId="29">
    <w:name w:val="toc 8"/>
    <w:basedOn w:val="1"/>
    <w:next w:val="1"/>
    <w:semiHidden/>
    <w:qFormat/>
    <w:uiPriority w:val="99"/>
    <w:pPr>
      <w:spacing w:beforeLines="50" w:afterLines="50"/>
      <w:jc w:val="center"/>
    </w:pPr>
    <w:rPr>
      <w:rFonts w:eastAsia="黑体"/>
      <w:sz w:val="36"/>
      <w:szCs w:val="36"/>
    </w:rPr>
  </w:style>
  <w:style w:type="paragraph" w:styleId="30">
    <w:name w:val="Date"/>
    <w:basedOn w:val="1"/>
    <w:next w:val="1"/>
    <w:link w:val="86"/>
    <w:qFormat/>
    <w:uiPriority w:val="99"/>
    <w:rPr>
      <w:sz w:val="24"/>
      <w:szCs w:val="24"/>
    </w:rPr>
  </w:style>
  <w:style w:type="paragraph" w:styleId="31">
    <w:name w:val="Body Text Indent 2"/>
    <w:basedOn w:val="1"/>
    <w:link w:val="87"/>
    <w:qFormat/>
    <w:uiPriority w:val="99"/>
    <w:pPr>
      <w:spacing w:after="120" w:line="480" w:lineRule="auto"/>
      <w:ind w:left="420" w:leftChars="200"/>
    </w:pPr>
  </w:style>
  <w:style w:type="paragraph" w:styleId="32">
    <w:name w:val="endnote text"/>
    <w:basedOn w:val="1"/>
    <w:link w:val="286"/>
    <w:semiHidden/>
    <w:unhideWhenUsed/>
    <w:qFormat/>
    <w:uiPriority w:val="99"/>
    <w:pPr>
      <w:snapToGrid w:val="0"/>
      <w:jc w:val="left"/>
    </w:pPr>
  </w:style>
  <w:style w:type="paragraph" w:styleId="33">
    <w:name w:val="Balloon Text"/>
    <w:basedOn w:val="1"/>
    <w:link w:val="88"/>
    <w:semiHidden/>
    <w:qFormat/>
    <w:uiPriority w:val="99"/>
    <w:rPr>
      <w:sz w:val="18"/>
      <w:szCs w:val="18"/>
    </w:rPr>
  </w:style>
  <w:style w:type="paragraph" w:styleId="34">
    <w:name w:val="footer"/>
    <w:basedOn w:val="1"/>
    <w:link w:val="89"/>
    <w:qFormat/>
    <w:uiPriority w:val="0"/>
    <w:pPr>
      <w:tabs>
        <w:tab w:val="center" w:pos="4153"/>
        <w:tab w:val="right" w:pos="8306"/>
      </w:tabs>
      <w:snapToGrid w:val="0"/>
      <w:jc w:val="left"/>
    </w:pPr>
    <w:rPr>
      <w:sz w:val="18"/>
      <w:szCs w:val="18"/>
    </w:rPr>
  </w:style>
  <w:style w:type="paragraph" w:styleId="35">
    <w:name w:val="header"/>
    <w:basedOn w:val="1"/>
    <w:link w:val="90"/>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semiHidden/>
    <w:qFormat/>
    <w:uiPriority w:val="99"/>
    <w:pPr>
      <w:spacing w:line="440" w:lineRule="exact"/>
      <w:jc w:val="center"/>
    </w:pPr>
  </w:style>
  <w:style w:type="paragraph" w:styleId="37">
    <w:name w:val="toc 4"/>
    <w:basedOn w:val="1"/>
    <w:next w:val="1"/>
    <w:semiHidden/>
    <w:qFormat/>
    <w:uiPriority w:val="99"/>
    <w:pPr>
      <w:ind w:left="1260" w:leftChars="600"/>
    </w:pPr>
  </w:style>
  <w:style w:type="paragraph" w:styleId="38">
    <w:name w:val="Subtitle"/>
    <w:basedOn w:val="1"/>
    <w:next w:val="1"/>
    <w:link w:val="271"/>
    <w:qFormat/>
    <w:uiPriority w:val="11"/>
    <w:pPr>
      <w:spacing w:before="240" w:after="60" w:line="312" w:lineRule="auto"/>
      <w:jc w:val="center"/>
      <w:outlineLvl w:val="1"/>
    </w:pPr>
    <w:rPr>
      <w:rFonts w:ascii="Tw Cen MT" w:hAnsi="Tw Cen MT" w:eastAsia="华文仿宋"/>
      <w:i/>
      <w:iCs/>
      <w:spacing w:val="13"/>
      <w:kern w:val="0"/>
      <w:sz w:val="24"/>
      <w:szCs w:val="24"/>
    </w:rPr>
  </w:style>
  <w:style w:type="paragraph" w:styleId="39">
    <w:name w:val="List"/>
    <w:basedOn w:val="1"/>
    <w:qFormat/>
    <w:uiPriority w:val="99"/>
    <w:pPr>
      <w:ind w:left="200" w:hanging="200" w:hangingChars="200"/>
    </w:pPr>
  </w:style>
  <w:style w:type="paragraph" w:styleId="40">
    <w:name w:val="footnote text"/>
    <w:basedOn w:val="1"/>
    <w:link w:val="80"/>
    <w:semiHidden/>
    <w:qFormat/>
    <w:uiPriority w:val="99"/>
    <w:pPr>
      <w:snapToGrid w:val="0"/>
      <w:jc w:val="left"/>
    </w:pPr>
    <w:rPr>
      <w:sz w:val="18"/>
      <w:szCs w:val="18"/>
    </w:rPr>
  </w:style>
  <w:style w:type="paragraph" w:styleId="41">
    <w:name w:val="toc 6"/>
    <w:basedOn w:val="1"/>
    <w:next w:val="1"/>
    <w:semiHidden/>
    <w:qFormat/>
    <w:uiPriority w:val="99"/>
    <w:pPr>
      <w:ind w:left="2100" w:leftChars="1000"/>
    </w:pPr>
  </w:style>
  <w:style w:type="paragraph" w:styleId="42">
    <w:name w:val="Body Text Indent 3"/>
    <w:basedOn w:val="1"/>
    <w:link w:val="91"/>
    <w:qFormat/>
    <w:uiPriority w:val="99"/>
    <w:pPr>
      <w:spacing w:after="120"/>
      <w:ind w:left="420" w:leftChars="200"/>
    </w:pPr>
    <w:rPr>
      <w:sz w:val="16"/>
      <w:szCs w:val="16"/>
    </w:rPr>
  </w:style>
  <w:style w:type="paragraph" w:styleId="43">
    <w:name w:val="toc 2"/>
    <w:basedOn w:val="1"/>
    <w:next w:val="1"/>
    <w:semiHidden/>
    <w:qFormat/>
    <w:uiPriority w:val="99"/>
    <w:pPr>
      <w:ind w:left="420" w:leftChars="200"/>
    </w:pPr>
  </w:style>
  <w:style w:type="paragraph" w:styleId="44">
    <w:name w:val="toc 9"/>
    <w:basedOn w:val="1"/>
    <w:next w:val="1"/>
    <w:semiHidden/>
    <w:qFormat/>
    <w:uiPriority w:val="99"/>
    <w:pPr>
      <w:ind w:left="3360" w:leftChars="1600"/>
    </w:pPr>
  </w:style>
  <w:style w:type="paragraph" w:styleId="45">
    <w:name w:val="Body Text 2"/>
    <w:basedOn w:val="1"/>
    <w:link w:val="92"/>
    <w:qFormat/>
    <w:uiPriority w:val="99"/>
    <w:pPr>
      <w:spacing w:after="120" w:line="480" w:lineRule="auto"/>
    </w:pPr>
  </w:style>
  <w:style w:type="paragraph" w:styleId="46">
    <w:name w:val="HTML Preformatted"/>
    <w:basedOn w:val="1"/>
    <w:link w:val="9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黑体"/>
      <w:kern w:val="0"/>
      <w:sz w:val="20"/>
      <w:szCs w:val="20"/>
    </w:rPr>
  </w:style>
  <w:style w:type="paragraph" w:styleId="47">
    <w:name w:val="Normal (Web)"/>
    <w:basedOn w:val="1"/>
    <w:next w:val="1"/>
    <w:qFormat/>
    <w:uiPriority w:val="99"/>
    <w:pPr>
      <w:widowControl/>
      <w:spacing w:before="100" w:beforeAutospacing="1" w:after="100" w:afterAutospacing="1"/>
      <w:jc w:val="left"/>
    </w:pPr>
    <w:rPr>
      <w:rFonts w:ascii="宋体" w:hAnsi="宋体" w:cs="宋体"/>
      <w:kern w:val="0"/>
      <w:sz w:val="24"/>
      <w:szCs w:val="24"/>
    </w:rPr>
  </w:style>
  <w:style w:type="paragraph" w:styleId="48">
    <w:name w:val="index 1"/>
    <w:basedOn w:val="1"/>
    <w:next w:val="1"/>
    <w:semiHidden/>
    <w:qFormat/>
    <w:uiPriority w:val="99"/>
    <w:pPr>
      <w:spacing w:line="220" w:lineRule="exact"/>
      <w:jc w:val="center"/>
    </w:pPr>
    <w:rPr>
      <w:rFonts w:ascii="仿宋_GB2312" w:eastAsia="仿宋_GB2312" w:cs="仿宋_GB2312"/>
    </w:rPr>
  </w:style>
  <w:style w:type="paragraph" w:styleId="49">
    <w:name w:val="Title"/>
    <w:basedOn w:val="1"/>
    <w:next w:val="1"/>
    <w:link w:val="94"/>
    <w:qFormat/>
    <w:uiPriority w:val="10"/>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50">
    <w:name w:val="annotation subject"/>
    <w:basedOn w:val="17"/>
    <w:next w:val="17"/>
    <w:link w:val="79"/>
    <w:semiHidden/>
    <w:qFormat/>
    <w:uiPriority w:val="99"/>
    <w:rPr>
      <w:b/>
      <w:bCs/>
    </w:rPr>
  </w:style>
  <w:style w:type="paragraph" w:styleId="51">
    <w:name w:val="Body Text First Indent 2"/>
    <w:basedOn w:val="21"/>
    <w:unhideWhenUsed/>
    <w:qFormat/>
    <w:uiPriority w:val="99"/>
    <w:pPr>
      <w:ind w:firstLine="420" w:firstLineChars="200"/>
    </w:pPr>
  </w:style>
  <w:style w:type="table" w:styleId="53">
    <w:name w:val="Table Grid"/>
    <w:basedOn w:val="5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22"/>
    <w:rPr>
      <w:b/>
      <w:bCs/>
    </w:rPr>
  </w:style>
  <w:style w:type="character" w:styleId="56">
    <w:name w:val="endnote reference"/>
    <w:basedOn w:val="54"/>
    <w:semiHidden/>
    <w:unhideWhenUsed/>
    <w:qFormat/>
    <w:uiPriority w:val="99"/>
    <w:rPr>
      <w:vertAlign w:val="superscript"/>
    </w:rPr>
  </w:style>
  <w:style w:type="character" w:styleId="57">
    <w:name w:val="page number"/>
    <w:basedOn w:val="54"/>
    <w:qFormat/>
    <w:uiPriority w:val="99"/>
  </w:style>
  <w:style w:type="character" w:styleId="58">
    <w:name w:val="FollowedHyperlink"/>
    <w:basedOn w:val="54"/>
    <w:qFormat/>
    <w:uiPriority w:val="99"/>
    <w:rPr>
      <w:color w:val="999999"/>
      <w:u w:val="none"/>
    </w:rPr>
  </w:style>
  <w:style w:type="character" w:styleId="59">
    <w:name w:val="Emphasis"/>
    <w:qFormat/>
    <w:uiPriority w:val="20"/>
    <w:rPr>
      <w:color w:val="auto"/>
    </w:rPr>
  </w:style>
  <w:style w:type="character" w:styleId="60">
    <w:name w:val="HTML Definition"/>
    <w:basedOn w:val="54"/>
    <w:qFormat/>
    <w:uiPriority w:val="99"/>
  </w:style>
  <w:style w:type="character" w:styleId="61">
    <w:name w:val="HTML Acronym"/>
    <w:basedOn w:val="54"/>
    <w:semiHidden/>
    <w:unhideWhenUsed/>
    <w:qFormat/>
    <w:uiPriority w:val="99"/>
  </w:style>
  <w:style w:type="character" w:styleId="62">
    <w:name w:val="HTML Variable"/>
    <w:basedOn w:val="54"/>
    <w:semiHidden/>
    <w:unhideWhenUsed/>
    <w:qFormat/>
    <w:uiPriority w:val="99"/>
  </w:style>
  <w:style w:type="character" w:styleId="63">
    <w:name w:val="Hyperlink"/>
    <w:basedOn w:val="54"/>
    <w:qFormat/>
    <w:uiPriority w:val="99"/>
    <w:rPr>
      <w:color w:val="999999"/>
      <w:u w:val="none"/>
    </w:rPr>
  </w:style>
  <w:style w:type="character" w:styleId="64">
    <w:name w:val="HTML Code"/>
    <w:basedOn w:val="54"/>
    <w:semiHidden/>
    <w:unhideWhenUsed/>
    <w:qFormat/>
    <w:uiPriority w:val="99"/>
    <w:rPr>
      <w:rFonts w:ascii="Courier New" w:hAnsi="Courier New"/>
      <w:sz w:val="20"/>
    </w:rPr>
  </w:style>
  <w:style w:type="character" w:styleId="65">
    <w:name w:val="annotation reference"/>
    <w:semiHidden/>
    <w:qFormat/>
    <w:uiPriority w:val="99"/>
    <w:rPr>
      <w:sz w:val="21"/>
      <w:szCs w:val="21"/>
    </w:rPr>
  </w:style>
  <w:style w:type="character" w:styleId="66">
    <w:name w:val="HTML Cite"/>
    <w:basedOn w:val="54"/>
    <w:semiHidden/>
    <w:unhideWhenUsed/>
    <w:qFormat/>
    <w:uiPriority w:val="99"/>
    <w:rPr>
      <w:color w:val="008000"/>
    </w:rPr>
  </w:style>
  <w:style w:type="character" w:styleId="67">
    <w:name w:val="footnote reference"/>
    <w:semiHidden/>
    <w:qFormat/>
    <w:uiPriority w:val="99"/>
    <w:rPr>
      <w:vertAlign w:val="superscript"/>
    </w:rPr>
  </w:style>
  <w:style w:type="paragraph" w:customStyle="1" w:styleId="68">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9">
    <w:name w:val="标题 1 字符"/>
    <w:link w:val="2"/>
    <w:qFormat/>
    <w:uiPriority w:val="9"/>
    <w:rPr>
      <w:rFonts w:eastAsia="宋体"/>
      <w:b/>
      <w:bCs/>
      <w:kern w:val="44"/>
      <w:sz w:val="44"/>
      <w:szCs w:val="44"/>
      <w:lang w:val="en-US" w:eastAsia="zh-CN"/>
    </w:rPr>
  </w:style>
  <w:style w:type="character" w:customStyle="1" w:styleId="70">
    <w:name w:val="标题 2 字符"/>
    <w:link w:val="3"/>
    <w:qFormat/>
    <w:uiPriority w:val="9"/>
    <w:rPr>
      <w:rFonts w:ascii="Arial" w:hAnsi="Arial" w:eastAsia="黑体" w:cs="Arial"/>
      <w:b/>
      <w:bCs/>
      <w:kern w:val="2"/>
      <w:sz w:val="32"/>
      <w:szCs w:val="32"/>
      <w:lang w:val="en-US" w:eastAsia="zh-CN"/>
    </w:rPr>
  </w:style>
  <w:style w:type="character" w:customStyle="1" w:styleId="71">
    <w:name w:val="标题 3 字符"/>
    <w:link w:val="4"/>
    <w:qFormat/>
    <w:uiPriority w:val="9"/>
    <w:rPr>
      <w:rFonts w:eastAsia="宋体"/>
      <w:b/>
      <w:bCs/>
      <w:kern w:val="2"/>
      <w:sz w:val="32"/>
      <w:szCs w:val="32"/>
      <w:lang w:val="en-US" w:eastAsia="zh-CN"/>
    </w:rPr>
  </w:style>
  <w:style w:type="character" w:customStyle="1" w:styleId="72">
    <w:name w:val="标题 4 字符"/>
    <w:link w:val="5"/>
    <w:qFormat/>
    <w:uiPriority w:val="9"/>
    <w:rPr>
      <w:rFonts w:ascii="Arial" w:hAnsi="Arial" w:eastAsia="黑体" w:cs="Arial"/>
      <w:b/>
      <w:bCs/>
      <w:kern w:val="2"/>
      <w:sz w:val="28"/>
      <w:szCs w:val="28"/>
      <w:lang w:val="en-US" w:eastAsia="zh-CN"/>
    </w:rPr>
  </w:style>
  <w:style w:type="character" w:customStyle="1" w:styleId="73">
    <w:name w:val="标题 5 字符"/>
    <w:link w:val="6"/>
    <w:qFormat/>
    <w:uiPriority w:val="9"/>
    <w:rPr>
      <w:rFonts w:eastAsia="宋体"/>
      <w:b/>
      <w:bCs/>
      <w:kern w:val="2"/>
      <w:sz w:val="28"/>
      <w:szCs w:val="28"/>
      <w:lang w:val="en-US" w:eastAsia="zh-CN"/>
    </w:rPr>
  </w:style>
  <w:style w:type="character" w:customStyle="1" w:styleId="74">
    <w:name w:val="标题 6 字符"/>
    <w:link w:val="7"/>
    <w:qFormat/>
    <w:uiPriority w:val="9"/>
    <w:rPr>
      <w:rFonts w:ascii="Arial" w:hAnsi="Arial" w:eastAsia="黑体" w:cs="Arial"/>
      <w:b/>
      <w:bCs/>
      <w:sz w:val="24"/>
      <w:szCs w:val="24"/>
      <w:lang w:val="en-US" w:eastAsia="zh-CN"/>
    </w:rPr>
  </w:style>
  <w:style w:type="character" w:customStyle="1" w:styleId="75">
    <w:name w:val="标题 7 字符"/>
    <w:link w:val="8"/>
    <w:qFormat/>
    <w:uiPriority w:val="9"/>
    <w:rPr>
      <w:rFonts w:eastAsia="宋体"/>
      <w:b/>
      <w:bCs/>
      <w:sz w:val="24"/>
      <w:szCs w:val="24"/>
      <w:lang w:val="en-US" w:eastAsia="zh-CN"/>
    </w:rPr>
  </w:style>
  <w:style w:type="character" w:customStyle="1" w:styleId="76">
    <w:name w:val="标题 8 字符"/>
    <w:link w:val="9"/>
    <w:qFormat/>
    <w:uiPriority w:val="9"/>
    <w:rPr>
      <w:rFonts w:ascii="Arial" w:hAnsi="Arial" w:eastAsia="黑体" w:cs="Arial"/>
      <w:sz w:val="24"/>
      <w:szCs w:val="24"/>
      <w:lang w:val="en-US" w:eastAsia="zh-CN"/>
    </w:rPr>
  </w:style>
  <w:style w:type="character" w:customStyle="1" w:styleId="77">
    <w:name w:val="标题 9 字符"/>
    <w:link w:val="10"/>
    <w:semiHidden/>
    <w:qFormat/>
    <w:uiPriority w:val="9"/>
    <w:rPr>
      <w:rFonts w:ascii="Cambria" w:hAnsi="Cambria" w:eastAsia="宋体" w:cs="Cambria"/>
      <w:sz w:val="21"/>
      <w:szCs w:val="21"/>
    </w:rPr>
  </w:style>
  <w:style w:type="character" w:customStyle="1" w:styleId="78">
    <w:name w:val="批注文字 字符"/>
    <w:link w:val="17"/>
    <w:semiHidden/>
    <w:qFormat/>
    <w:uiPriority w:val="99"/>
    <w:rPr>
      <w:sz w:val="24"/>
      <w:szCs w:val="24"/>
    </w:rPr>
  </w:style>
  <w:style w:type="character" w:customStyle="1" w:styleId="79">
    <w:name w:val="批注主题 字符"/>
    <w:link w:val="50"/>
    <w:qFormat/>
    <w:uiPriority w:val="0"/>
    <w:rPr>
      <w:rFonts w:eastAsia="宋体"/>
      <w:b/>
      <w:bCs/>
      <w:kern w:val="2"/>
      <w:sz w:val="24"/>
      <w:szCs w:val="24"/>
      <w:lang w:val="en-US" w:eastAsia="zh-CN"/>
    </w:rPr>
  </w:style>
  <w:style w:type="character" w:customStyle="1" w:styleId="80">
    <w:name w:val="脚注文本 字符"/>
    <w:link w:val="40"/>
    <w:semiHidden/>
    <w:qFormat/>
    <w:uiPriority w:val="99"/>
    <w:rPr>
      <w:rFonts w:eastAsia="宋体"/>
      <w:kern w:val="2"/>
      <w:sz w:val="18"/>
      <w:szCs w:val="18"/>
      <w:lang w:val="en-US" w:eastAsia="zh-CN"/>
    </w:rPr>
  </w:style>
  <w:style w:type="character" w:customStyle="1" w:styleId="81">
    <w:name w:val="文档结构图 字符"/>
    <w:link w:val="16"/>
    <w:semiHidden/>
    <w:qFormat/>
    <w:uiPriority w:val="99"/>
    <w:rPr>
      <w:rFonts w:eastAsia="宋体"/>
      <w:kern w:val="2"/>
      <w:sz w:val="24"/>
      <w:szCs w:val="24"/>
      <w:lang w:val="en-US" w:eastAsia="zh-CN"/>
    </w:rPr>
  </w:style>
  <w:style w:type="character" w:customStyle="1" w:styleId="82">
    <w:name w:val="正文文本 3 字符"/>
    <w:link w:val="18"/>
    <w:qFormat/>
    <w:uiPriority w:val="99"/>
    <w:rPr>
      <w:rFonts w:ascii="宋体" w:eastAsia="宋体" w:cs="宋体"/>
      <w:kern w:val="2"/>
      <w:sz w:val="24"/>
      <w:szCs w:val="24"/>
      <w:lang w:val="en-US" w:eastAsia="zh-CN"/>
    </w:rPr>
  </w:style>
  <w:style w:type="character" w:customStyle="1" w:styleId="83">
    <w:name w:val="正文文本 字符"/>
    <w:link w:val="20"/>
    <w:qFormat/>
    <w:uiPriority w:val="0"/>
    <w:rPr>
      <w:sz w:val="24"/>
      <w:szCs w:val="24"/>
    </w:rPr>
  </w:style>
  <w:style w:type="character" w:customStyle="1" w:styleId="84">
    <w:name w:val="正文文本缩进 字符"/>
    <w:link w:val="21"/>
    <w:qFormat/>
    <w:uiPriority w:val="99"/>
    <w:rPr>
      <w:rFonts w:eastAsia="宋体"/>
      <w:kern w:val="2"/>
      <w:sz w:val="24"/>
      <w:szCs w:val="24"/>
      <w:lang w:val="en-US" w:eastAsia="zh-CN"/>
    </w:rPr>
  </w:style>
  <w:style w:type="character" w:customStyle="1" w:styleId="85">
    <w:name w:val="纯文本 字符"/>
    <w:link w:val="27"/>
    <w:qFormat/>
    <w:uiPriority w:val="99"/>
    <w:rPr>
      <w:rFonts w:ascii="宋体" w:hAnsi="Courier New" w:eastAsia="宋体" w:cs="宋体"/>
      <w:kern w:val="2"/>
      <w:sz w:val="21"/>
      <w:szCs w:val="21"/>
      <w:lang w:val="en-US" w:eastAsia="zh-CN"/>
    </w:rPr>
  </w:style>
  <w:style w:type="character" w:customStyle="1" w:styleId="86">
    <w:name w:val="日期 字符"/>
    <w:link w:val="30"/>
    <w:qFormat/>
    <w:uiPriority w:val="99"/>
    <w:rPr>
      <w:rFonts w:eastAsia="宋体"/>
      <w:kern w:val="2"/>
      <w:sz w:val="24"/>
      <w:szCs w:val="24"/>
      <w:lang w:val="en-US" w:eastAsia="zh-CN"/>
    </w:rPr>
  </w:style>
  <w:style w:type="character" w:customStyle="1" w:styleId="87">
    <w:name w:val="正文文本缩进 2 字符"/>
    <w:link w:val="31"/>
    <w:semiHidden/>
    <w:qFormat/>
    <w:uiPriority w:val="99"/>
    <w:rPr>
      <w:sz w:val="24"/>
      <w:szCs w:val="24"/>
    </w:rPr>
  </w:style>
  <w:style w:type="character" w:customStyle="1" w:styleId="88">
    <w:name w:val="批注框文本 字符"/>
    <w:link w:val="33"/>
    <w:qFormat/>
    <w:uiPriority w:val="99"/>
    <w:rPr>
      <w:rFonts w:eastAsia="宋体"/>
      <w:kern w:val="2"/>
      <w:sz w:val="18"/>
      <w:szCs w:val="18"/>
      <w:lang w:val="en-US" w:eastAsia="zh-CN"/>
    </w:rPr>
  </w:style>
  <w:style w:type="character" w:customStyle="1" w:styleId="89">
    <w:name w:val="页脚 字符"/>
    <w:link w:val="34"/>
    <w:qFormat/>
    <w:uiPriority w:val="0"/>
    <w:rPr>
      <w:rFonts w:eastAsia="宋体"/>
      <w:kern w:val="2"/>
      <w:sz w:val="18"/>
      <w:szCs w:val="18"/>
      <w:lang w:val="en-US" w:eastAsia="zh-CN"/>
    </w:rPr>
  </w:style>
  <w:style w:type="character" w:customStyle="1" w:styleId="90">
    <w:name w:val="页眉 字符"/>
    <w:link w:val="35"/>
    <w:qFormat/>
    <w:uiPriority w:val="99"/>
    <w:rPr>
      <w:rFonts w:eastAsia="宋体"/>
      <w:kern w:val="2"/>
      <w:sz w:val="18"/>
      <w:szCs w:val="18"/>
      <w:lang w:val="en-US" w:eastAsia="zh-CN"/>
    </w:rPr>
  </w:style>
  <w:style w:type="character" w:customStyle="1" w:styleId="91">
    <w:name w:val="正文文本缩进 3 字符"/>
    <w:link w:val="42"/>
    <w:semiHidden/>
    <w:qFormat/>
    <w:uiPriority w:val="99"/>
    <w:rPr>
      <w:sz w:val="16"/>
      <w:szCs w:val="16"/>
    </w:rPr>
  </w:style>
  <w:style w:type="character" w:customStyle="1" w:styleId="92">
    <w:name w:val="正文文本 2 字符"/>
    <w:link w:val="45"/>
    <w:semiHidden/>
    <w:qFormat/>
    <w:uiPriority w:val="99"/>
    <w:rPr>
      <w:sz w:val="24"/>
      <w:szCs w:val="24"/>
    </w:rPr>
  </w:style>
  <w:style w:type="character" w:customStyle="1" w:styleId="93">
    <w:name w:val="HTML 预设格式 字符"/>
    <w:link w:val="46"/>
    <w:semiHidden/>
    <w:qFormat/>
    <w:uiPriority w:val="99"/>
    <w:rPr>
      <w:rFonts w:ascii="Courier New" w:hAnsi="Courier New" w:cs="Courier New"/>
      <w:sz w:val="20"/>
      <w:szCs w:val="20"/>
    </w:rPr>
  </w:style>
  <w:style w:type="character" w:customStyle="1" w:styleId="94">
    <w:name w:val="标题 字符"/>
    <w:link w:val="49"/>
    <w:qFormat/>
    <w:uiPriority w:val="10"/>
    <w:rPr>
      <w:rFonts w:ascii="Cambria" w:hAnsi="Cambria" w:cs="Cambria"/>
      <w:b/>
      <w:bCs/>
      <w:sz w:val="32"/>
      <w:szCs w:val="32"/>
    </w:rPr>
  </w:style>
  <w:style w:type="character" w:customStyle="1" w:styleId="95">
    <w:name w:val="Char Char23"/>
    <w:qFormat/>
    <w:uiPriority w:val="99"/>
    <w:rPr>
      <w:rFonts w:eastAsia="宋体"/>
      <w:b/>
      <w:bCs/>
      <w:kern w:val="44"/>
      <w:sz w:val="44"/>
      <w:szCs w:val="44"/>
      <w:lang w:val="en-US" w:eastAsia="zh-CN"/>
    </w:rPr>
  </w:style>
  <w:style w:type="character" w:customStyle="1" w:styleId="96">
    <w:name w:val="Char Char15"/>
    <w:qFormat/>
    <w:uiPriority w:val="99"/>
    <w:rPr>
      <w:rFonts w:ascii="黑体" w:hAnsi="Arial" w:eastAsia="黑体" w:cs="黑体"/>
      <w:kern w:val="0"/>
      <w:sz w:val="20"/>
      <w:szCs w:val="20"/>
    </w:rPr>
  </w:style>
  <w:style w:type="character" w:customStyle="1" w:styleId="97">
    <w:name w:val="正文缩进 字符"/>
    <w:link w:val="13"/>
    <w:qFormat/>
    <w:uiPriority w:val="99"/>
    <w:rPr>
      <w:rFonts w:eastAsia="宋体"/>
      <w:kern w:val="2"/>
      <w:sz w:val="24"/>
      <w:szCs w:val="24"/>
      <w:lang w:val="en-US" w:eastAsia="zh-CN"/>
    </w:rPr>
  </w:style>
  <w:style w:type="character" w:customStyle="1" w:styleId="98">
    <w:name w:val="zw123 Char"/>
    <w:link w:val="99"/>
    <w:qFormat/>
    <w:uiPriority w:val="99"/>
    <w:rPr>
      <w:rFonts w:ascii="宋体" w:hAnsi="宋体" w:eastAsia="宋体" w:cs="宋体"/>
      <w:kern w:val="2"/>
      <w:sz w:val="22"/>
      <w:szCs w:val="22"/>
    </w:rPr>
  </w:style>
  <w:style w:type="paragraph" w:customStyle="1" w:styleId="99">
    <w:name w:val="zw123"/>
    <w:basedOn w:val="1"/>
    <w:link w:val="98"/>
    <w:qFormat/>
    <w:uiPriority w:val="99"/>
    <w:pPr>
      <w:autoSpaceDE w:val="0"/>
      <w:autoSpaceDN w:val="0"/>
      <w:adjustRightInd w:val="0"/>
      <w:spacing w:line="360" w:lineRule="auto"/>
      <w:ind w:firstLine="480" w:firstLineChars="200"/>
    </w:pPr>
    <w:rPr>
      <w:rFonts w:ascii="宋体" w:hAnsi="宋体"/>
      <w:sz w:val="22"/>
      <w:szCs w:val="22"/>
    </w:rPr>
  </w:style>
  <w:style w:type="character" w:customStyle="1" w:styleId="100">
    <w:name w:val="rvts17"/>
    <w:qFormat/>
    <w:uiPriority w:val="99"/>
    <w:rPr>
      <w:rFonts w:ascii="KNLe" w:hAnsi="KNLe" w:cs="KNLe"/>
      <w:color w:val="000000"/>
      <w:u w:val="single"/>
    </w:rPr>
  </w:style>
  <w:style w:type="character" w:customStyle="1" w:styleId="101">
    <w:name w:val="样式 宋体 小四 加粗"/>
    <w:qFormat/>
    <w:uiPriority w:val="99"/>
    <w:rPr>
      <w:rFonts w:ascii="宋体" w:eastAsia="宋体" w:cs="宋体"/>
      <w:b/>
      <w:bCs/>
      <w:sz w:val="28"/>
      <w:szCs w:val="28"/>
    </w:rPr>
  </w:style>
  <w:style w:type="character" w:customStyle="1" w:styleId="102">
    <w:name w:val="纯文本 Char1"/>
    <w:semiHidden/>
    <w:qFormat/>
    <w:uiPriority w:val="99"/>
    <w:rPr>
      <w:rFonts w:ascii="宋体" w:hAnsi="Courier New" w:eastAsia="宋体" w:cs="宋体"/>
      <w:sz w:val="21"/>
      <w:szCs w:val="21"/>
    </w:rPr>
  </w:style>
  <w:style w:type="character" w:customStyle="1" w:styleId="103">
    <w:name w:val="Char Char17"/>
    <w:qFormat/>
    <w:uiPriority w:val="99"/>
    <w:rPr>
      <w:rFonts w:ascii="黑体" w:hAnsi="Arial" w:eastAsia="黑体" w:cs="黑体"/>
      <w:b/>
      <w:bCs/>
      <w:kern w:val="0"/>
      <w:sz w:val="20"/>
      <w:szCs w:val="20"/>
    </w:rPr>
  </w:style>
  <w:style w:type="character" w:customStyle="1" w:styleId="104">
    <w:name w:val="Para head"/>
    <w:qFormat/>
    <w:uiPriority w:val="99"/>
    <w:rPr>
      <w:sz w:val="20"/>
      <w:szCs w:val="20"/>
    </w:rPr>
  </w:style>
  <w:style w:type="character" w:customStyle="1" w:styleId="105">
    <w:name w:val="Char Char1"/>
    <w:semiHidden/>
    <w:qFormat/>
    <w:uiPriority w:val="99"/>
    <w:rPr>
      <w:rFonts w:eastAsia="宋体"/>
      <w:kern w:val="2"/>
      <w:sz w:val="18"/>
      <w:szCs w:val="18"/>
      <w:lang w:val="en-US" w:eastAsia="zh-CN"/>
    </w:rPr>
  </w:style>
  <w:style w:type="character" w:customStyle="1" w:styleId="106">
    <w:name w:val="标题 2 Char"/>
    <w:qFormat/>
    <w:uiPriority w:val="99"/>
    <w:rPr>
      <w:rFonts w:ascii="黑体" w:eastAsia="黑体" w:cs="黑体"/>
      <w:b/>
      <w:bCs/>
      <w:sz w:val="24"/>
      <w:szCs w:val="24"/>
      <w:lang w:val="en-US" w:eastAsia="zh-CN"/>
    </w:rPr>
  </w:style>
  <w:style w:type="character" w:customStyle="1" w:styleId="107">
    <w:name w:val="TEXT-NEW Char"/>
    <w:link w:val="108"/>
    <w:qFormat/>
    <w:uiPriority w:val="99"/>
    <w:rPr>
      <w:rFonts w:ascii="宋体" w:cs="宋体"/>
      <w:kern w:val="2"/>
      <w:sz w:val="24"/>
      <w:szCs w:val="24"/>
      <w:lang w:val="en-US" w:eastAsia="zh-CN" w:bidi="ar-SA"/>
    </w:rPr>
  </w:style>
  <w:style w:type="paragraph" w:customStyle="1" w:styleId="108">
    <w:name w:val="TEXT-NEW"/>
    <w:link w:val="107"/>
    <w:qFormat/>
    <w:uiPriority w:val="99"/>
    <w:pPr>
      <w:spacing w:line="360" w:lineRule="auto"/>
      <w:ind w:firstLine="480" w:firstLineChars="200"/>
      <w:jc w:val="both"/>
    </w:pPr>
    <w:rPr>
      <w:rFonts w:ascii="宋体" w:hAnsi="Times New Roman" w:eastAsia="宋体" w:cs="宋体"/>
      <w:kern w:val="2"/>
      <w:sz w:val="24"/>
      <w:szCs w:val="24"/>
      <w:lang w:val="en-US" w:eastAsia="zh-CN" w:bidi="ar-SA"/>
    </w:rPr>
  </w:style>
  <w:style w:type="character" w:customStyle="1" w:styleId="109">
    <w:name w:val="Char Char4"/>
    <w:qFormat/>
    <w:uiPriority w:val="99"/>
    <w:rPr>
      <w:rFonts w:ascii="宋体" w:hAnsi="Times New Roman" w:eastAsia="宋体" w:cs="宋体"/>
      <w:kern w:val="0"/>
      <w:sz w:val="20"/>
      <w:szCs w:val="20"/>
    </w:rPr>
  </w:style>
  <w:style w:type="character" w:customStyle="1" w:styleId="110">
    <w:name w:val="Char Char22"/>
    <w:qFormat/>
    <w:uiPriority w:val="99"/>
    <w:rPr>
      <w:rFonts w:eastAsia="宋体"/>
      <w:b/>
      <w:bCs/>
      <w:kern w:val="2"/>
      <w:sz w:val="32"/>
      <w:szCs w:val="32"/>
      <w:lang w:val="en-US" w:eastAsia="zh-CN"/>
    </w:rPr>
  </w:style>
  <w:style w:type="character" w:customStyle="1" w:styleId="111">
    <w:name w:val="grame"/>
    <w:basedOn w:val="54"/>
    <w:qFormat/>
    <w:uiPriority w:val="99"/>
  </w:style>
  <w:style w:type="character" w:customStyle="1" w:styleId="112">
    <w:name w:val="正文（首行缩进两字） Char"/>
    <w:qFormat/>
    <w:uiPriority w:val="99"/>
    <w:rPr>
      <w:rFonts w:eastAsia="宋体"/>
      <w:kern w:val="2"/>
      <w:sz w:val="24"/>
      <w:szCs w:val="24"/>
      <w:lang w:val="en-US" w:eastAsia="zh-CN"/>
    </w:rPr>
  </w:style>
  <w:style w:type="character" w:customStyle="1" w:styleId="113">
    <w:name w:val="Char Char9"/>
    <w:qFormat/>
    <w:uiPriority w:val="99"/>
    <w:rPr>
      <w:rFonts w:ascii="Times New Roman" w:hAnsi="Times New Roman" w:eastAsia="宋体" w:cs="Times New Roman"/>
      <w:kern w:val="0"/>
      <w:sz w:val="20"/>
      <w:szCs w:val="20"/>
    </w:rPr>
  </w:style>
  <w:style w:type="character" w:customStyle="1" w:styleId="114">
    <w:name w:val="图表编号  宋体 五号 加粗"/>
    <w:qFormat/>
    <w:uiPriority w:val="99"/>
    <w:rPr>
      <w:rFonts w:ascii="宋体" w:eastAsia="宋体" w:cs="宋体"/>
      <w:b/>
      <w:bCs/>
      <w:sz w:val="21"/>
      <w:szCs w:val="21"/>
    </w:rPr>
  </w:style>
  <w:style w:type="character" w:customStyle="1" w:styleId="115">
    <w:name w:val="普通文字 Char Char"/>
    <w:qFormat/>
    <w:uiPriority w:val="99"/>
    <w:rPr>
      <w:rFonts w:ascii="宋体" w:hAnsi="Courier New" w:eastAsia="宋体" w:cs="宋体"/>
      <w:kern w:val="2"/>
      <w:sz w:val="21"/>
      <w:szCs w:val="21"/>
      <w:lang w:val="en-US" w:eastAsia="zh-CN"/>
    </w:rPr>
  </w:style>
  <w:style w:type="character" w:customStyle="1" w:styleId="116">
    <w:name w:val="Char Char11"/>
    <w:qFormat/>
    <w:uiPriority w:val="99"/>
    <w:rPr>
      <w:sz w:val="18"/>
      <w:szCs w:val="18"/>
    </w:rPr>
  </w:style>
  <w:style w:type="character" w:customStyle="1" w:styleId="117">
    <w:name w:val="正文（首行缩进两字） + Arial Char Char Char Char Char Char Char Char Char Char Char Char Char Char Char Char Char Char Char Char Char Char Char Char Char Char Char"/>
    <w:qFormat/>
    <w:uiPriority w:val="99"/>
    <w:rPr>
      <w:rFonts w:ascii="Arial" w:hAnsi="Arial" w:eastAsia="宋体" w:cs="Arial"/>
      <w:sz w:val="24"/>
      <w:szCs w:val="24"/>
      <w:lang w:val="en-US" w:eastAsia="zh-CN"/>
    </w:rPr>
  </w:style>
  <w:style w:type="character" w:customStyle="1" w:styleId="118">
    <w:name w:val="样式 宋体 小四2"/>
    <w:qFormat/>
    <w:uiPriority w:val="99"/>
    <w:rPr>
      <w:rFonts w:ascii="宋体" w:eastAsia="宋体" w:cs="宋体"/>
      <w:kern w:val="0"/>
      <w:sz w:val="28"/>
      <w:szCs w:val="28"/>
    </w:rPr>
  </w:style>
  <w:style w:type="character" w:customStyle="1" w:styleId="119">
    <w:name w:val="Char Char19"/>
    <w:qFormat/>
    <w:uiPriority w:val="99"/>
    <w:rPr>
      <w:rFonts w:ascii="黑体" w:hAnsi="Arial" w:eastAsia="黑体" w:cs="黑体"/>
      <w:b/>
      <w:bCs/>
      <w:kern w:val="0"/>
      <w:sz w:val="20"/>
      <w:szCs w:val="20"/>
    </w:rPr>
  </w:style>
  <w:style w:type="character" w:customStyle="1" w:styleId="120">
    <w:name w:val="样式 (西文) 仿宋_GB2312 小四"/>
    <w:qFormat/>
    <w:uiPriority w:val="99"/>
    <w:rPr>
      <w:rFonts w:ascii="Times New Roman" w:hAnsi="Times New Roman" w:eastAsia="宋体" w:cs="Times New Roman"/>
      <w:sz w:val="24"/>
      <w:szCs w:val="24"/>
    </w:rPr>
  </w:style>
  <w:style w:type="character" w:customStyle="1" w:styleId="121">
    <w:name w:val="Char Char21"/>
    <w:qFormat/>
    <w:uiPriority w:val="99"/>
    <w:rPr>
      <w:rFonts w:ascii="Arial" w:hAnsi="Arial" w:eastAsia="黑体" w:cs="Arial"/>
      <w:b/>
      <w:bCs/>
      <w:kern w:val="2"/>
      <w:sz w:val="28"/>
      <w:szCs w:val="28"/>
      <w:lang w:val="en-US" w:eastAsia="zh-CN"/>
    </w:rPr>
  </w:style>
  <w:style w:type="character" w:customStyle="1" w:styleId="122">
    <w:name w:val="样式 黑体 小二"/>
    <w:qFormat/>
    <w:uiPriority w:val="99"/>
    <w:rPr>
      <w:rFonts w:ascii="黑体" w:hAnsi="黑体" w:eastAsia="黑体" w:cs="黑体"/>
      <w:sz w:val="36"/>
      <w:szCs w:val="36"/>
    </w:rPr>
  </w:style>
  <w:style w:type="character" w:customStyle="1" w:styleId="123">
    <w:name w:val="样式 宋体 小四"/>
    <w:qFormat/>
    <w:uiPriority w:val="99"/>
    <w:rPr>
      <w:rFonts w:ascii="宋体" w:eastAsia="宋体" w:cs="宋体"/>
      <w:sz w:val="28"/>
      <w:szCs w:val="28"/>
    </w:rPr>
  </w:style>
  <w:style w:type="character" w:customStyle="1" w:styleId="124">
    <w:name w:val="标题 1.1 Char Char"/>
    <w:qFormat/>
    <w:uiPriority w:val="99"/>
    <w:rPr>
      <w:rFonts w:ascii="Arial" w:hAnsi="Arial" w:eastAsia="黑体" w:cs="Arial"/>
      <w:b/>
      <w:bCs/>
      <w:kern w:val="2"/>
      <w:sz w:val="32"/>
      <w:szCs w:val="32"/>
      <w:lang w:val="en-US" w:eastAsia="zh-CN"/>
    </w:rPr>
  </w:style>
  <w:style w:type="character" w:customStyle="1" w:styleId="125">
    <w:name w:val="标题1　样式 宋体 小三 加粗"/>
    <w:qFormat/>
    <w:uiPriority w:val="99"/>
    <w:rPr>
      <w:rFonts w:ascii="宋体" w:hAnsi="宋体" w:eastAsia="黑体" w:cs="宋体"/>
      <w:b/>
      <w:bCs/>
      <w:kern w:val="44"/>
      <w:sz w:val="44"/>
      <w:szCs w:val="44"/>
      <w:lang w:val="en-US" w:eastAsia="zh-CN"/>
    </w:rPr>
  </w:style>
  <w:style w:type="character" w:customStyle="1" w:styleId="126">
    <w:name w:val="样式 样式 (西文) 仿宋_GB2312 小四 + 加粗"/>
    <w:qFormat/>
    <w:uiPriority w:val="99"/>
    <w:rPr>
      <w:rFonts w:ascii="Times New Roman" w:hAnsi="Times New Roman" w:eastAsia="宋体" w:cs="Times New Roman"/>
      <w:b/>
      <w:bCs/>
      <w:sz w:val="24"/>
      <w:szCs w:val="24"/>
    </w:rPr>
  </w:style>
  <w:style w:type="character" w:customStyle="1" w:styleId="127">
    <w:name w:val="样式 宋体 小四 加粗1"/>
    <w:qFormat/>
    <w:uiPriority w:val="99"/>
    <w:rPr>
      <w:rFonts w:ascii="宋体" w:eastAsia="宋体" w:cs="宋体"/>
      <w:b/>
      <w:bCs/>
      <w:sz w:val="28"/>
      <w:szCs w:val="28"/>
    </w:rPr>
  </w:style>
  <w:style w:type="character" w:customStyle="1" w:styleId="128">
    <w:name w:val="样式 宋体 小四1"/>
    <w:qFormat/>
    <w:uiPriority w:val="99"/>
    <w:rPr>
      <w:rFonts w:ascii="宋体" w:eastAsia="宋体" w:cs="宋体"/>
      <w:sz w:val="28"/>
      <w:szCs w:val="28"/>
    </w:rPr>
  </w:style>
  <w:style w:type="character" w:customStyle="1" w:styleId="129">
    <w:name w:val="font161"/>
    <w:qFormat/>
    <w:uiPriority w:val="99"/>
    <w:rPr>
      <w:b/>
      <w:bCs/>
      <w:sz w:val="32"/>
      <w:szCs w:val="32"/>
    </w:rPr>
  </w:style>
  <w:style w:type="paragraph" w:customStyle="1" w:styleId="130">
    <w:name w:val="正文文本 21"/>
    <w:basedOn w:val="1"/>
    <w:qFormat/>
    <w:uiPriority w:val="99"/>
    <w:pPr>
      <w:adjustRightInd w:val="0"/>
      <w:ind w:firstLine="510"/>
      <w:jc w:val="left"/>
      <w:textAlignment w:val="baseline"/>
    </w:pPr>
    <w:rPr>
      <w:rFonts w:eastAsia="@幼圆"/>
      <w:sz w:val="32"/>
      <w:szCs w:val="32"/>
    </w:rPr>
  </w:style>
  <w:style w:type="paragraph" w:customStyle="1" w:styleId="131">
    <w:name w:val="表、图签"/>
    <w:basedOn w:val="1"/>
    <w:qFormat/>
    <w:uiPriority w:val="99"/>
    <w:pPr>
      <w:spacing w:line="360" w:lineRule="auto"/>
      <w:jc w:val="center"/>
    </w:pPr>
    <w:rPr>
      <w:rFonts w:ascii="黑体" w:hAnsi="Arial" w:eastAsia="黑体" w:cs="黑体"/>
      <w:sz w:val="24"/>
      <w:szCs w:val="24"/>
    </w:rPr>
  </w:style>
  <w:style w:type="paragraph" w:customStyle="1" w:styleId="132">
    <w:name w:val="标题一"/>
    <w:basedOn w:val="2"/>
    <w:qFormat/>
    <w:uiPriority w:val="99"/>
    <w:pPr>
      <w:keepNext w:val="0"/>
      <w:adjustRightInd w:val="0"/>
      <w:snapToGrid w:val="0"/>
      <w:spacing w:beforeLines="1600" w:after="0" w:line="240" w:lineRule="auto"/>
      <w:ind w:left="454"/>
      <w:jc w:val="center"/>
    </w:pPr>
  </w:style>
  <w:style w:type="paragraph" w:customStyle="1" w:styleId="133">
    <w:name w:val="节标题"/>
    <w:basedOn w:val="1"/>
    <w:qFormat/>
    <w:uiPriority w:val="99"/>
    <w:pPr>
      <w:spacing w:before="240" w:after="240"/>
      <w:jc w:val="center"/>
    </w:pPr>
    <w:rPr>
      <w:rFonts w:eastAsia="文鼎CS长美黑"/>
      <w:w w:val="95"/>
      <w:sz w:val="32"/>
      <w:szCs w:val="32"/>
    </w:rPr>
  </w:style>
  <w:style w:type="paragraph" w:customStyle="1" w:styleId="134">
    <w:name w:val="样式5"/>
    <w:qFormat/>
    <w:uiPriority w:val="99"/>
    <w:pPr>
      <w:adjustRightInd w:val="0"/>
      <w:snapToGrid w:val="0"/>
      <w:spacing w:beforeLines="15" w:afterLines="15" w:line="360" w:lineRule="auto"/>
      <w:ind w:left="200" w:leftChars="200"/>
    </w:pPr>
    <w:rPr>
      <w:rFonts w:ascii="宋体" w:hAnsi="Times New Roman" w:eastAsia="宋体" w:cs="宋体"/>
      <w:kern w:val="2"/>
      <w:sz w:val="21"/>
      <w:szCs w:val="21"/>
      <w:lang w:val="en-US" w:eastAsia="zh-CN" w:bidi="ar-SA"/>
    </w:rPr>
  </w:style>
  <w:style w:type="paragraph" w:customStyle="1" w:styleId="135">
    <w:name w:val="表头文字"/>
    <w:basedOn w:val="1"/>
    <w:qFormat/>
    <w:uiPriority w:val="99"/>
    <w:pPr>
      <w:spacing w:beforeLines="50" w:afterLines="50" w:line="360" w:lineRule="auto"/>
      <w:jc w:val="right"/>
    </w:pPr>
    <w:rPr>
      <w:color w:val="FF0000"/>
    </w:rPr>
  </w:style>
  <w:style w:type="paragraph" w:customStyle="1" w:styleId="136">
    <w:name w:val="表头"/>
    <w:basedOn w:val="1"/>
    <w:qFormat/>
    <w:uiPriority w:val="99"/>
    <w:pPr>
      <w:adjustRightInd w:val="0"/>
      <w:spacing w:before="120" w:after="60" w:line="420" w:lineRule="atLeast"/>
      <w:textAlignment w:val="baseline"/>
    </w:pPr>
    <w:rPr>
      <w:rFonts w:ascii="黑体" w:eastAsia="黑体" w:cs="黑体"/>
      <w:b/>
      <w:bCs/>
      <w:kern w:val="0"/>
    </w:rPr>
  </w:style>
  <w:style w:type="paragraph" w:customStyle="1" w:styleId="137">
    <w:name w:val="xl36"/>
    <w:basedOn w:val="1"/>
    <w:qFormat/>
    <w:uiPriority w:val="99"/>
    <w:pPr>
      <w:widowControl/>
      <w:spacing w:before="100" w:beforeAutospacing="1" w:after="100" w:afterAutospacing="1"/>
      <w:jc w:val="left"/>
    </w:pPr>
    <w:rPr>
      <w:rFonts w:ascii="黑体" w:hAnsi="宋体" w:eastAsia="黑体" w:cs="黑体"/>
      <w:color w:val="000000"/>
      <w:kern w:val="0"/>
      <w:sz w:val="24"/>
      <w:szCs w:val="24"/>
    </w:rPr>
  </w:style>
  <w:style w:type="paragraph" w:customStyle="1" w:styleId="138">
    <w:name w:val="样式1"/>
    <w:basedOn w:val="1"/>
    <w:qFormat/>
    <w:uiPriority w:val="99"/>
    <w:rPr>
      <w:sz w:val="18"/>
      <w:szCs w:val="18"/>
    </w:rPr>
  </w:style>
  <w:style w:type="paragraph" w:customStyle="1" w:styleId="139">
    <w:name w:val="Char"/>
    <w:basedOn w:val="1"/>
    <w:qFormat/>
    <w:uiPriority w:val="99"/>
  </w:style>
  <w:style w:type="paragraph" w:customStyle="1" w:styleId="140">
    <w:name w:val="样式 宋体 小四 首行缩进:  0.99 厘米 行距: 固定值 30 磅"/>
    <w:basedOn w:val="1"/>
    <w:qFormat/>
    <w:uiPriority w:val="99"/>
    <w:pPr>
      <w:spacing w:line="600" w:lineRule="exact"/>
      <w:ind w:firstLine="560"/>
    </w:pPr>
    <w:rPr>
      <w:rFonts w:ascii="宋体" w:hAnsi="宋体" w:cs="宋体"/>
      <w:sz w:val="28"/>
      <w:szCs w:val="28"/>
    </w:rPr>
  </w:style>
  <w:style w:type="paragraph" w:customStyle="1" w:styleId="141">
    <w:name w:val="Char Char Char Char Char Char"/>
    <w:basedOn w:val="1"/>
    <w:qFormat/>
    <w:uiPriority w:val="99"/>
  </w:style>
  <w:style w:type="paragraph" w:customStyle="1" w:styleId="142">
    <w:name w:val="font6"/>
    <w:basedOn w:val="1"/>
    <w:qFormat/>
    <w:uiPriority w:val="99"/>
    <w:pPr>
      <w:widowControl/>
      <w:spacing w:before="100" w:beforeAutospacing="1" w:after="100" w:afterAutospacing="1"/>
      <w:jc w:val="left"/>
    </w:pPr>
    <w:rPr>
      <w:rFonts w:ascii="宋体" w:hAnsi="宋体" w:cs="宋体"/>
      <w:color w:val="000000"/>
      <w:kern w:val="0"/>
    </w:rPr>
  </w:style>
  <w:style w:type="paragraph" w:customStyle="1" w:styleId="143">
    <w:name w:val="样式"/>
    <w:basedOn w:val="1"/>
    <w:next w:val="42"/>
    <w:qFormat/>
    <w:uiPriority w:val="99"/>
    <w:pPr>
      <w:adjustRightInd w:val="0"/>
      <w:ind w:firstLine="564"/>
      <w:textAlignment w:val="baseline"/>
    </w:pPr>
    <w:rPr>
      <w:rFonts w:ascii="宋体" w:cs="宋体"/>
      <w:kern w:val="0"/>
      <w:sz w:val="28"/>
      <w:szCs w:val="28"/>
    </w:rPr>
  </w:style>
  <w:style w:type="paragraph" w:customStyle="1" w:styleId="144">
    <w:name w:val="_Style 20"/>
    <w:basedOn w:val="1"/>
    <w:qFormat/>
    <w:uiPriority w:val="99"/>
  </w:style>
  <w:style w:type="paragraph" w:customStyle="1" w:styleId="145">
    <w:name w:val="格式4"/>
    <w:basedOn w:val="1"/>
    <w:qFormat/>
    <w:uiPriority w:val="99"/>
    <w:pPr>
      <w:spacing w:line="420" w:lineRule="exact"/>
      <w:ind w:left="990" w:leftChars="300" w:hanging="360" w:hangingChars="150"/>
    </w:pPr>
    <w:rPr>
      <w:rFonts w:ascii="宋体" w:hAnsi="宋体" w:cs="宋体"/>
      <w:color w:val="000000"/>
      <w:sz w:val="24"/>
      <w:szCs w:val="24"/>
    </w:rPr>
  </w:style>
  <w:style w:type="paragraph" w:customStyle="1" w:styleId="146">
    <w:name w:val="正正文"/>
    <w:basedOn w:val="1"/>
    <w:qFormat/>
    <w:uiPriority w:val="99"/>
    <w:pPr>
      <w:spacing w:line="360" w:lineRule="auto"/>
      <w:ind w:firstLine="480" w:firstLineChars="200"/>
    </w:pPr>
    <w:rPr>
      <w:rFonts w:ascii="宋体" w:hAnsi="宋体" w:cs="宋体"/>
      <w:kern w:val="0"/>
      <w:sz w:val="24"/>
      <w:szCs w:val="24"/>
    </w:rPr>
  </w:style>
  <w:style w:type="paragraph" w:customStyle="1" w:styleId="147">
    <w:name w:val="标题222"/>
    <w:basedOn w:val="1"/>
    <w:qFormat/>
    <w:uiPriority w:val="99"/>
    <w:pPr>
      <w:ind w:firstLine="200" w:firstLineChars="200"/>
      <w:jc w:val="left"/>
      <w:outlineLvl w:val="1"/>
    </w:pPr>
    <w:rPr>
      <w:rFonts w:ascii="宋体" w:hAnsi="宋体" w:cs="宋体"/>
      <w:b/>
      <w:bCs/>
      <w:sz w:val="28"/>
      <w:szCs w:val="28"/>
    </w:rPr>
  </w:style>
  <w:style w:type="paragraph" w:customStyle="1" w:styleId="14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49">
    <w:name w:val="格式10"/>
    <w:basedOn w:val="1"/>
    <w:qFormat/>
    <w:uiPriority w:val="99"/>
    <w:pPr>
      <w:spacing w:line="360" w:lineRule="exact"/>
      <w:ind w:left="480"/>
    </w:pPr>
    <w:rPr>
      <w:sz w:val="24"/>
      <w:szCs w:val="24"/>
    </w:rPr>
  </w:style>
  <w:style w:type="paragraph" w:customStyle="1" w:styleId="150">
    <w:name w:val="Char1 Char Char Char"/>
    <w:basedOn w:val="1"/>
    <w:qFormat/>
    <w:uiPriority w:val="99"/>
    <w:rPr>
      <w:rFonts w:ascii="Tahoma" w:hAnsi="Tahoma" w:cs="Tahoma"/>
      <w:sz w:val="24"/>
      <w:szCs w:val="24"/>
    </w:rPr>
  </w:style>
  <w:style w:type="paragraph" w:customStyle="1" w:styleId="151">
    <w:name w:val="正文文本 211"/>
    <w:basedOn w:val="1"/>
    <w:qFormat/>
    <w:uiPriority w:val="99"/>
    <w:pPr>
      <w:adjustRightInd w:val="0"/>
      <w:spacing w:line="360" w:lineRule="atLeast"/>
      <w:ind w:left="480"/>
      <w:textAlignment w:val="baseline"/>
    </w:pPr>
    <w:rPr>
      <w:rFonts w:ascii="宋体" w:cs="宋体"/>
      <w:kern w:val="0"/>
      <w:sz w:val="24"/>
      <w:szCs w:val="24"/>
    </w:rPr>
  </w:style>
  <w:style w:type="paragraph" w:customStyle="1" w:styleId="152">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153">
    <w:name w:val="表格3"/>
    <w:basedOn w:val="1"/>
    <w:qFormat/>
    <w:uiPriority w:val="99"/>
    <w:pPr>
      <w:adjustRightInd w:val="0"/>
      <w:spacing w:line="420" w:lineRule="atLeast"/>
      <w:textAlignment w:val="baseline"/>
    </w:pPr>
    <w:rPr>
      <w:rFonts w:eastAsia="楷体"/>
      <w:kern w:val="0"/>
    </w:rPr>
  </w:style>
  <w:style w:type="paragraph" w:customStyle="1" w:styleId="154">
    <w:name w:val="样式 标题 2 + Times New Roman 四号 非加粗 段前: 5 磅 段后: 0 磅 行距: 固定值 20..."/>
    <w:basedOn w:val="3"/>
    <w:qFormat/>
    <w:uiPriority w:val="0"/>
    <w:pPr>
      <w:spacing w:before="100" w:after="0" w:line="400" w:lineRule="exact"/>
    </w:pPr>
    <w:rPr>
      <w:rFonts w:ascii="Times New Roman" w:hAnsi="Times New Roman" w:cs="Times New Roman"/>
      <w:b w:val="0"/>
      <w:bCs w:val="0"/>
      <w:sz w:val="28"/>
      <w:szCs w:val="28"/>
    </w:rPr>
  </w:style>
  <w:style w:type="paragraph" w:customStyle="1" w:styleId="155">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56">
    <w:name w:val="格式2"/>
    <w:qFormat/>
    <w:uiPriority w:val="99"/>
    <w:pPr>
      <w:widowControl w:val="0"/>
      <w:adjustRightInd w:val="0"/>
      <w:snapToGrid w:val="0"/>
      <w:spacing w:before="50" w:line="440" w:lineRule="exact"/>
      <w:jc w:val="both"/>
    </w:pPr>
    <w:rPr>
      <w:rFonts w:ascii="Times New Roman" w:hAnsi="Times New Roman" w:eastAsia="宋体" w:cs="Times New Roman"/>
      <w:sz w:val="24"/>
      <w:szCs w:val="24"/>
      <w:lang w:val="en-US" w:eastAsia="zh-CN" w:bidi="ar-SA"/>
    </w:rPr>
  </w:style>
  <w:style w:type="paragraph" w:customStyle="1" w:styleId="157">
    <w:name w:val="格式1"/>
    <w:basedOn w:val="1"/>
    <w:qFormat/>
    <w:uiPriority w:val="99"/>
    <w:pPr>
      <w:spacing w:beforeLines="50"/>
      <w:jc w:val="center"/>
    </w:pPr>
    <w:rPr>
      <w:rFonts w:ascii="黑体" w:hAnsi="宋体" w:eastAsia="黑体" w:cs="黑体"/>
      <w:b/>
      <w:bCs/>
      <w:color w:val="000000"/>
      <w:sz w:val="32"/>
      <w:szCs w:val="32"/>
    </w:rPr>
  </w:style>
  <w:style w:type="paragraph" w:customStyle="1" w:styleId="158">
    <w:name w:val="正文 + 宋体"/>
    <w:basedOn w:val="1"/>
    <w:qFormat/>
    <w:uiPriority w:val="99"/>
    <w:pPr>
      <w:adjustRightInd w:val="0"/>
      <w:snapToGrid w:val="0"/>
      <w:spacing w:line="360" w:lineRule="auto"/>
      <w:ind w:left="567"/>
    </w:pPr>
    <w:rPr>
      <w:rFonts w:ascii="宋体" w:hAnsi="宋体" w:cs="宋体"/>
      <w:kern w:val="0"/>
      <w:sz w:val="24"/>
      <w:szCs w:val="24"/>
    </w:rPr>
  </w:style>
  <w:style w:type="paragraph" w:customStyle="1" w:styleId="159">
    <w:name w:val="font8"/>
    <w:basedOn w:val="1"/>
    <w:qFormat/>
    <w:uiPriority w:val="99"/>
    <w:pPr>
      <w:widowControl/>
      <w:spacing w:before="100" w:beforeAutospacing="1" w:after="100" w:afterAutospacing="1"/>
      <w:jc w:val="left"/>
    </w:pPr>
    <w:rPr>
      <w:color w:val="000000"/>
      <w:kern w:val="0"/>
    </w:rPr>
  </w:style>
  <w:style w:type="paragraph" w:customStyle="1" w:styleId="160">
    <w:name w:val="标题111"/>
    <w:basedOn w:val="1"/>
    <w:qFormat/>
    <w:uiPriority w:val="99"/>
    <w:pPr>
      <w:jc w:val="left"/>
      <w:outlineLvl w:val="0"/>
    </w:pPr>
    <w:rPr>
      <w:rFonts w:ascii="宋体" w:hAnsi="宋体" w:cs="宋体"/>
      <w:b/>
      <w:bCs/>
      <w:sz w:val="28"/>
      <w:szCs w:val="28"/>
    </w:rPr>
  </w:style>
  <w:style w:type="paragraph" w:customStyle="1" w:styleId="161">
    <w:name w:val="Char Char Char1 Char Char Char Char Char Char Char Char Char Char Char Char Char Char Char Char Char Char Char"/>
    <w:basedOn w:val="1"/>
    <w:qFormat/>
    <w:uiPriority w:val="99"/>
  </w:style>
  <w:style w:type="paragraph" w:customStyle="1" w:styleId="162">
    <w:name w:val="表名A"/>
    <w:basedOn w:val="1"/>
    <w:qFormat/>
    <w:uiPriority w:val="99"/>
    <w:pPr>
      <w:widowControl/>
      <w:tabs>
        <w:tab w:val="center" w:pos="4860"/>
        <w:tab w:val="right" w:pos="8820"/>
      </w:tabs>
      <w:adjustRightInd w:val="0"/>
      <w:snapToGrid w:val="0"/>
      <w:spacing w:beforeLines="80" w:afterLines="20"/>
    </w:pPr>
    <w:rPr>
      <w:rFonts w:ascii="华文细黑" w:hAnsi="华文细黑" w:eastAsia="华文细黑" w:cs="华文细黑"/>
      <w:kern w:val="0"/>
    </w:rPr>
  </w:style>
  <w:style w:type="paragraph" w:customStyle="1" w:styleId="163">
    <w:name w:val="xl30"/>
    <w:basedOn w:val="1"/>
    <w:qFormat/>
    <w:uiPriority w:val="99"/>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cs="宋体"/>
      <w:kern w:val="0"/>
    </w:rPr>
  </w:style>
  <w:style w:type="paragraph" w:customStyle="1" w:styleId="164">
    <w:name w:val="二级条标题"/>
    <w:basedOn w:val="165"/>
    <w:next w:val="166"/>
    <w:qFormat/>
    <w:uiPriority w:val="99"/>
    <w:pPr>
      <w:ind w:left="540"/>
      <w:outlineLvl w:val="3"/>
    </w:pPr>
  </w:style>
  <w:style w:type="paragraph" w:customStyle="1" w:styleId="165">
    <w:name w:val="一级条标题"/>
    <w:next w:val="166"/>
    <w:qFormat/>
    <w:uiPriority w:val="99"/>
    <w:pPr>
      <w:outlineLvl w:val="2"/>
    </w:pPr>
    <w:rPr>
      <w:rFonts w:ascii="Times New Roman" w:hAnsi="Times New Roman" w:eastAsia="黑体" w:cs="Times New Roman"/>
      <w:sz w:val="21"/>
      <w:szCs w:val="21"/>
      <w:lang w:val="en-US" w:eastAsia="zh-CN" w:bidi="ar-SA"/>
    </w:rPr>
  </w:style>
  <w:style w:type="paragraph" w:customStyle="1" w:styleId="166">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67">
    <w:name w:val="表1"/>
    <w:basedOn w:val="1"/>
    <w:qFormat/>
    <w:uiPriority w:val="99"/>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168">
    <w:name w:val="Char Char Char Char Char Char1"/>
    <w:basedOn w:val="1"/>
    <w:qFormat/>
    <w:uiPriority w:val="99"/>
  </w:style>
  <w:style w:type="paragraph" w:customStyle="1" w:styleId="169">
    <w:name w:val="表中"/>
    <w:basedOn w:val="1"/>
    <w:qFormat/>
    <w:uiPriority w:val="99"/>
    <w:pPr>
      <w:adjustRightInd w:val="0"/>
      <w:spacing w:line="360" w:lineRule="atLeast"/>
      <w:jc w:val="center"/>
      <w:textAlignment w:val="baseline"/>
    </w:pPr>
    <w:rPr>
      <w:kern w:val="0"/>
    </w:rPr>
  </w:style>
  <w:style w:type="paragraph" w:customStyle="1" w:styleId="170">
    <w:name w:val="正文2"/>
    <w:basedOn w:val="1"/>
    <w:qFormat/>
    <w:uiPriority w:val="99"/>
    <w:pPr>
      <w:adjustRightInd w:val="0"/>
      <w:spacing w:line="420" w:lineRule="atLeast"/>
      <w:textAlignment w:val="baseline"/>
    </w:pPr>
    <w:rPr>
      <w:kern w:val="0"/>
    </w:rPr>
  </w:style>
  <w:style w:type="paragraph" w:customStyle="1" w:styleId="171">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72">
    <w:name w:val="Char Char Char Char Char Char Char Char Char Char Char Char Char Char Char Char Char Char Char Char Char Char Char Char Char"/>
    <w:basedOn w:val="1"/>
    <w:qFormat/>
    <w:uiPriority w:val="99"/>
  </w:style>
  <w:style w:type="paragraph" w:customStyle="1" w:styleId="173">
    <w:name w:val="af15hichaf0dbchf15cgrid"/>
    <w:qFormat/>
    <w:uiPriority w:val="99"/>
    <w:pPr>
      <w:widowControl w:val="0"/>
      <w:tabs>
        <w:tab w:val="center" w:pos="4320"/>
        <w:tab w:val="right" w:pos="8640"/>
      </w:tabs>
      <w:adjustRightInd w:val="0"/>
      <w:spacing w:line="315" w:lineRule="atLeast"/>
      <w:jc w:val="both"/>
      <w:textAlignment w:val="baseline"/>
    </w:pPr>
    <w:rPr>
      <w:rFonts w:ascii="宋体" w:hAnsi="Times New Roman" w:eastAsia="宋体" w:cs="宋体"/>
      <w:sz w:val="21"/>
      <w:szCs w:val="21"/>
      <w:lang w:val="en-US" w:eastAsia="zh-CN" w:bidi="ar-SA"/>
    </w:rPr>
  </w:style>
  <w:style w:type="paragraph" w:customStyle="1" w:styleId="174">
    <w:name w:val="三级条标题1"/>
    <w:basedOn w:val="1"/>
    <w:next w:val="1"/>
    <w:qFormat/>
    <w:uiPriority w:val="99"/>
    <w:pPr>
      <w:widowControl/>
      <w:ind w:left="900"/>
      <w:jc w:val="left"/>
      <w:outlineLvl w:val="4"/>
    </w:pPr>
    <w:rPr>
      <w:rFonts w:eastAsia="黑体"/>
      <w:kern w:val="0"/>
    </w:rPr>
  </w:style>
  <w:style w:type="paragraph" w:customStyle="1" w:styleId="175">
    <w:name w:val="Char4"/>
    <w:basedOn w:val="1"/>
    <w:qFormat/>
    <w:uiPriority w:val="99"/>
    <w:rPr>
      <w:rFonts w:ascii="Tahoma" w:hAnsi="Tahoma" w:cs="Tahoma"/>
      <w:sz w:val="24"/>
      <w:szCs w:val="24"/>
    </w:rPr>
  </w:style>
  <w:style w:type="paragraph" w:customStyle="1" w:styleId="176">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177">
    <w:name w:val="表格2"/>
    <w:basedOn w:val="1"/>
    <w:qFormat/>
    <w:uiPriority w:val="99"/>
    <w:pPr>
      <w:adjustRightInd w:val="0"/>
      <w:spacing w:line="420" w:lineRule="atLeast"/>
      <w:ind w:left="284" w:firstLine="454"/>
      <w:textAlignment w:val="baseline"/>
    </w:pPr>
    <w:rPr>
      <w:kern w:val="0"/>
    </w:rPr>
  </w:style>
  <w:style w:type="paragraph" w:customStyle="1" w:styleId="178">
    <w:name w:val="格式３"/>
    <w:basedOn w:val="1"/>
    <w:qFormat/>
    <w:uiPriority w:val="99"/>
    <w:pPr>
      <w:spacing w:line="420" w:lineRule="exact"/>
      <w:ind w:left="600" w:hanging="600" w:hangingChars="250"/>
    </w:pPr>
    <w:rPr>
      <w:rFonts w:ascii="宋体" w:hAnsi="宋体" w:cs="宋体"/>
      <w:color w:val="000000"/>
      <w:sz w:val="24"/>
      <w:szCs w:val="24"/>
    </w:rPr>
  </w:style>
  <w:style w:type="paragraph" w:customStyle="1" w:styleId="179">
    <w:name w:val="正文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80">
    <w:name w:val="xl35"/>
    <w:basedOn w:val="1"/>
    <w:qFormat/>
    <w:uiPriority w:val="99"/>
    <w:pPr>
      <w:widowControl/>
      <w:pBdr>
        <w:bottom w:val="single" w:color="auto" w:sz="4" w:space="0"/>
      </w:pBdr>
      <w:spacing w:before="100" w:beforeAutospacing="1" w:after="100" w:afterAutospacing="1"/>
      <w:jc w:val="left"/>
    </w:pPr>
    <w:rPr>
      <w:color w:val="000000"/>
      <w:kern w:val="0"/>
    </w:rPr>
  </w:style>
  <w:style w:type="paragraph" w:customStyle="1" w:styleId="181">
    <w:name w:val="正文文本缩进 21"/>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182">
    <w:name w:val="Char Char Char"/>
    <w:basedOn w:val="1"/>
    <w:qFormat/>
    <w:uiPriority w:val="99"/>
    <w:pPr>
      <w:spacing w:line="360" w:lineRule="auto"/>
      <w:ind w:firstLine="200" w:firstLineChars="200"/>
    </w:pPr>
    <w:rPr>
      <w:rFonts w:ascii="宋体" w:hAnsi="宋体" w:cs="宋体"/>
      <w:sz w:val="24"/>
      <w:szCs w:val="24"/>
    </w:rPr>
  </w:style>
  <w:style w:type="paragraph" w:customStyle="1" w:styleId="183">
    <w:name w:val="xl33"/>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4">
    <w:name w:val="列出段落1"/>
    <w:basedOn w:val="1"/>
    <w:qFormat/>
    <w:uiPriority w:val="99"/>
    <w:pPr>
      <w:adjustRightInd w:val="0"/>
      <w:spacing w:line="420" w:lineRule="atLeast"/>
      <w:ind w:firstLine="420" w:firstLineChars="200"/>
      <w:textAlignment w:val="baseline"/>
    </w:pPr>
    <w:rPr>
      <w:kern w:val="0"/>
    </w:rPr>
  </w:style>
  <w:style w:type="paragraph" w:customStyle="1" w:styleId="185">
    <w:name w:val="目录1"/>
    <w:basedOn w:val="1"/>
    <w:qFormat/>
    <w:uiPriority w:val="99"/>
    <w:pPr>
      <w:adjustRightInd w:val="0"/>
      <w:spacing w:line="420" w:lineRule="atLeast"/>
      <w:textAlignment w:val="baseline"/>
    </w:pPr>
    <w:rPr>
      <w:rFonts w:eastAsia="黑体"/>
      <w:b/>
      <w:bCs/>
      <w:kern w:val="0"/>
    </w:rPr>
  </w:style>
  <w:style w:type="paragraph" w:customStyle="1" w:styleId="186">
    <w:name w:val="Char Char Char Char"/>
    <w:basedOn w:val="1"/>
    <w:qFormat/>
    <w:uiPriority w:val="99"/>
  </w:style>
  <w:style w:type="paragraph" w:customStyle="1" w:styleId="187">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88">
    <w:name w:val="xl40"/>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89">
    <w:name w:val="表格下注"/>
    <w:basedOn w:val="1"/>
    <w:qFormat/>
    <w:uiPriority w:val="99"/>
    <w:pPr>
      <w:spacing w:before="163" w:after="120" w:line="400" w:lineRule="exact"/>
    </w:pPr>
    <w:rPr>
      <w:rFonts w:ascii="宋体" w:hAnsi="宋体" w:cs="宋体"/>
      <w:sz w:val="18"/>
      <w:szCs w:val="18"/>
    </w:rPr>
  </w:style>
  <w:style w:type="paragraph" w:customStyle="1" w:styleId="190">
    <w:name w:val="正文11"/>
    <w:qFormat/>
    <w:uiPriority w:val="99"/>
    <w:pPr>
      <w:widowControl w:val="0"/>
      <w:adjustRightInd w:val="0"/>
      <w:spacing w:line="312" w:lineRule="atLeast"/>
      <w:jc w:val="both"/>
      <w:textAlignment w:val="baseline"/>
    </w:pPr>
    <w:rPr>
      <w:rFonts w:ascii="宋体" w:hAnsi="Times New Roman" w:eastAsia="宋体" w:cs="宋体"/>
      <w:sz w:val="34"/>
      <w:szCs w:val="34"/>
      <w:lang w:val="en-US" w:eastAsia="zh-CN" w:bidi="ar-SA"/>
    </w:rPr>
  </w:style>
  <w:style w:type="paragraph" w:customStyle="1" w:styleId="191">
    <w:name w:val="样式 标题 1 + 黑体 三号 非加粗 居中 段前: 6 磅 段后: 6 磅 行距: 固定值 20 磅"/>
    <w:basedOn w:val="2"/>
    <w:qFormat/>
    <w:uiPriority w:val="99"/>
    <w:pPr>
      <w:spacing w:before="120" w:after="120" w:line="400" w:lineRule="exact"/>
      <w:jc w:val="center"/>
    </w:pPr>
    <w:rPr>
      <w:rFonts w:ascii="黑体" w:hAnsi="黑体" w:eastAsia="黑体" w:cs="黑体"/>
      <w:b w:val="0"/>
      <w:bCs w:val="0"/>
      <w:sz w:val="32"/>
      <w:szCs w:val="32"/>
    </w:rPr>
  </w:style>
  <w:style w:type="paragraph" w:customStyle="1" w:styleId="192">
    <w:name w:val="xl34"/>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rPr>
  </w:style>
  <w:style w:type="paragraph" w:customStyle="1" w:styleId="193">
    <w:name w:val="目录3"/>
    <w:basedOn w:val="1"/>
    <w:qFormat/>
    <w:uiPriority w:val="99"/>
    <w:pPr>
      <w:adjustRightInd w:val="0"/>
      <w:spacing w:line="420" w:lineRule="atLeast"/>
      <w:ind w:left="454"/>
      <w:textAlignment w:val="baseline"/>
    </w:pPr>
    <w:rPr>
      <w:kern w:val="0"/>
    </w:rPr>
  </w:style>
  <w:style w:type="paragraph" w:customStyle="1" w:styleId="194">
    <w:name w:val="样式3"/>
    <w:basedOn w:val="1"/>
    <w:qFormat/>
    <w:uiPriority w:val="99"/>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195">
    <w:name w:val="xl4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rPr>
  </w:style>
  <w:style w:type="paragraph" w:customStyle="1" w:styleId="196">
    <w:name w:val="表格文字"/>
    <w:basedOn w:val="1"/>
    <w:qFormat/>
    <w:uiPriority w:val="99"/>
    <w:pPr>
      <w:adjustRightInd w:val="0"/>
      <w:spacing w:line="420" w:lineRule="atLeast"/>
      <w:jc w:val="left"/>
      <w:textAlignment w:val="baseline"/>
    </w:pPr>
    <w:rPr>
      <w:kern w:val="0"/>
    </w:rPr>
  </w:style>
  <w:style w:type="paragraph" w:customStyle="1" w:styleId="197">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color w:val="000000"/>
      <w:kern w:val="0"/>
    </w:rPr>
  </w:style>
  <w:style w:type="paragraph" w:customStyle="1" w:styleId="198">
    <w:name w:val="zhw"/>
    <w:basedOn w:val="1"/>
    <w:qFormat/>
    <w:uiPriority w:val="99"/>
    <w:pPr>
      <w:adjustRightInd w:val="0"/>
      <w:spacing w:line="140" w:lineRule="atLeast"/>
      <w:jc w:val="left"/>
      <w:textAlignment w:val="baseline"/>
    </w:pPr>
    <w:rPr>
      <w:rFonts w:ascii="Arial" w:hAnsi="Arial" w:cs="Arial"/>
      <w:sz w:val="24"/>
      <w:szCs w:val="24"/>
    </w:rPr>
  </w:style>
  <w:style w:type="paragraph" w:customStyle="1" w:styleId="199">
    <w:name w:val="op_exactqa_s_prop"/>
    <w:basedOn w:val="1"/>
    <w:qFormat/>
    <w:uiPriority w:val="99"/>
    <w:pPr>
      <w:widowControl/>
      <w:jc w:val="left"/>
    </w:pPr>
    <w:rPr>
      <w:rFonts w:ascii="宋体" w:hAnsi="宋体" w:cs="宋体"/>
      <w:kern w:val="0"/>
      <w:sz w:val="24"/>
      <w:szCs w:val="24"/>
    </w:rPr>
  </w:style>
  <w:style w:type="paragraph" w:customStyle="1" w:styleId="200">
    <w:name w:val="正文111"/>
    <w:basedOn w:val="1"/>
    <w:qFormat/>
    <w:uiPriority w:val="99"/>
    <w:pPr>
      <w:spacing w:line="360" w:lineRule="auto"/>
      <w:ind w:firstLine="200" w:firstLineChars="200"/>
    </w:pPr>
    <w:rPr>
      <w:rFonts w:ascii="宋体" w:hAnsi="宋体" w:cs="宋体"/>
      <w:sz w:val="28"/>
      <w:szCs w:val="28"/>
    </w:rPr>
  </w:style>
  <w:style w:type="paragraph" w:customStyle="1" w:styleId="201">
    <w:name w:val="正文文本缩进 22"/>
    <w:basedOn w:val="1"/>
    <w:qFormat/>
    <w:uiPriority w:val="99"/>
    <w:pPr>
      <w:adjustRightInd w:val="0"/>
      <w:spacing w:line="400" w:lineRule="atLeast"/>
      <w:ind w:firstLine="540"/>
      <w:textAlignment w:val="baseline"/>
    </w:pPr>
    <w:rPr>
      <w:rFonts w:ascii="宋体" w:cs="宋体"/>
      <w:kern w:val="0"/>
      <w:sz w:val="24"/>
      <w:szCs w:val="24"/>
    </w:rPr>
  </w:style>
  <w:style w:type="paragraph" w:customStyle="1" w:styleId="202">
    <w:name w:val="xl42"/>
    <w:basedOn w:val="1"/>
    <w:qFormat/>
    <w:uiPriority w:val="99"/>
    <w:pPr>
      <w:widowControl/>
      <w:pBdr>
        <w:top w:val="single" w:color="auto" w:sz="4" w:space="0"/>
        <w:bottom w:val="single" w:color="auto" w:sz="4" w:space="0"/>
      </w:pBdr>
      <w:spacing w:before="100" w:beforeAutospacing="1" w:after="100" w:afterAutospacing="1"/>
      <w:jc w:val="center"/>
    </w:pPr>
    <w:rPr>
      <w:color w:val="000000"/>
      <w:kern w:val="0"/>
    </w:rPr>
  </w:style>
  <w:style w:type="paragraph" w:styleId="203">
    <w:name w:val="List Paragraph"/>
    <w:basedOn w:val="1"/>
    <w:qFormat/>
    <w:uiPriority w:val="34"/>
    <w:pPr>
      <w:ind w:firstLine="420" w:firstLineChars="200"/>
    </w:pPr>
  </w:style>
  <w:style w:type="paragraph" w:customStyle="1" w:styleId="2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205">
    <w:name w:val="表格方字"/>
    <w:basedOn w:val="1"/>
    <w:qFormat/>
    <w:uiPriority w:val="99"/>
    <w:pPr>
      <w:adjustRightInd w:val="0"/>
      <w:spacing w:line="420" w:lineRule="atLeast"/>
      <w:jc w:val="left"/>
      <w:textAlignment w:val="baseline"/>
    </w:pPr>
    <w:rPr>
      <w:kern w:val="0"/>
    </w:rPr>
  </w:style>
  <w:style w:type="paragraph" w:customStyle="1" w:styleId="206">
    <w:name w:val="Char Char Char Char Char Char Char Char Char Char Char Char Char Char Char Char"/>
    <w:basedOn w:val="1"/>
    <w:qFormat/>
    <w:uiPriority w:val="99"/>
    <w:pPr>
      <w:spacing w:line="520" w:lineRule="exact"/>
    </w:pPr>
    <w:rPr>
      <w:rFonts w:ascii="宋体" w:hAnsi="宋体" w:cs="宋体"/>
      <w:sz w:val="24"/>
      <w:szCs w:val="24"/>
    </w:rPr>
  </w:style>
  <w:style w:type="paragraph" w:customStyle="1" w:styleId="207">
    <w:name w:val="表文C"/>
    <w:basedOn w:val="1"/>
    <w:qFormat/>
    <w:uiPriority w:val="99"/>
    <w:pPr>
      <w:widowControl/>
      <w:tabs>
        <w:tab w:val="left" w:pos="0"/>
      </w:tabs>
      <w:adjustRightInd w:val="0"/>
      <w:snapToGrid w:val="0"/>
      <w:jc w:val="center"/>
    </w:pPr>
    <w:rPr>
      <w:kern w:val="0"/>
    </w:rPr>
  </w:style>
  <w:style w:type="paragraph" w:customStyle="1" w:styleId="208">
    <w:name w:val="表格6"/>
    <w:basedOn w:val="1"/>
    <w:qFormat/>
    <w:uiPriority w:val="99"/>
    <w:pPr>
      <w:adjustRightInd w:val="0"/>
      <w:spacing w:line="420" w:lineRule="atLeast"/>
      <w:ind w:left="737"/>
      <w:textAlignment w:val="baseline"/>
    </w:pPr>
    <w:rPr>
      <w:rFonts w:ascii="宋体" w:cs="宋体"/>
      <w:kern w:val="0"/>
    </w:rPr>
  </w:style>
  <w:style w:type="paragraph" w:customStyle="1" w:styleId="209">
    <w:name w:val="一级标题"/>
    <w:basedOn w:val="1"/>
    <w:qFormat/>
    <w:uiPriority w:val="99"/>
    <w:pPr>
      <w:spacing w:beforeLines="50" w:afterLines="50" w:line="360" w:lineRule="auto"/>
      <w:jc w:val="left"/>
    </w:pPr>
    <w:rPr>
      <w:rFonts w:ascii="黑体" w:hAnsi="Arial" w:eastAsia="黑体" w:cs="黑体"/>
      <w:sz w:val="24"/>
      <w:szCs w:val="24"/>
      <w:lang w:val="en-GB"/>
    </w:rPr>
  </w:style>
  <w:style w:type="paragraph" w:customStyle="1" w:styleId="210">
    <w:name w:val="Char Char Char Char1"/>
    <w:basedOn w:val="1"/>
    <w:qFormat/>
    <w:uiPriority w:val="99"/>
  </w:style>
  <w:style w:type="paragraph" w:customStyle="1" w:styleId="211">
    <w:name w:val="样式 标题 3 + (中文) 黑体 小四 非加粗 段前: 7.8 磅 段后: 0 磅 行距: 固定值 20 磅"/>
    <w:basedOn w:val="4"/>
    <w:next w:val="1"/>
    <w:qFormat/>
    <w:uiPriority w:val="99"/>
    <w:pPr>
      <w:spacing w:before="0" w:after="0" w:line="400" w:lineRule="exact"/>
    </w:pPr>
    <w:rPr>
      <w:rFonts w:eastAsia="黑体"/>
      <w:b w:val="0"/>
      <w:bCs w:val="0"/>
      <w:sz w:val="24"/>
      <w:szCs w:val="24"/>
    </w:rPr>
  </w:style>
  <w:style w:type="paragraph" w:customStyle="1" w:styleId="212">
    <w:name w:val="Char Char Char1"/>
    <w:basedOn w:val="1"/>
    <w:qFormat/>
    <w:uiPriority w:val="99"/>
    <w:pPr>
      <w:spacing w:line="360" w:lineRule="auto"/>
      <w:ind w:firstLine="200" w:firstLineChars="200"/>
    </w:pPr>
    <w:rPr>
      <w:rFonts w:ascii="宋体" w:hAnsi="宋体" w:cs="宋体"/>
      <w:sz w:val="24"/>
      <w:szCs w:val="24"/>
    </w:rPr>
  </w:style>
  <w:style w:type="paragraph" w:customStyle="1" w:styleId="213">
    <w:name w:val="xl43"/>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color w:val="000000"/>
      <w:kern w:val="0"/>
    </w:rPr>
  </w:style>
  <w:style w:type="paragraph" w:customStyle="1" w:styleId="214">
    <w:name w:val="样式2"/>
    <w:basedOn w:val="49"/>
    <w:qFormat/>
    <w:uiPriority w:val="99"/>
    <w:pPr>
      <w:spacing w:line="315" w:lineRule="atLeast"/>
    </w:pPr>
    <w:rPr>
      <w:rFonts w:ascii="Cambria" w:hAnsi="Cambria" w:cs="Cambria"/>
    </w:rPr>
  </w:style>
  <w:style w:type="paragraph" w:customStyle="1" w:styleId="215">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216">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color w:val="000000"/>
      <w:kern w:val="0"/>
    </w:rPr>
  </w:style>
  <w:style w:type="paragraph" w:customStyle="1" w:styleId="217">
    <w:name w:val="1"/>
    <w:basedOn w:val="1"/>
    <w:next w:val="1"/>
    <w:qFormat/>
    <w:uiPriority w:val="99"/>
  </w:style>
  <w:style w:type="paragraph" w:customStyle="1" w:styleId="218">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9">
    <w:name w:val="p0"/>
    <w:basedOn w:val="1"/>
    <w:qFormat/>
    <w:uiPriority w:val="99"/>
    <w:pPr>
      <w:widowControl/>
    </w:pPr>
    <w:rPr>
      <w:rFonts w:ascii="宋体" w:cs="宋体"/>
      <w:kern w:val="0"/>
      <w:position w:val="-6"/>
    </w:rPr>
  </w:style>
  <w:style w:type="paragraph" w:customStyle="1" w:styleId="220">
    <w:name w:val="样式 加粗 居中"/>
    <w:basedOn w:val="1"/>
    <w:qFormat/>
    <w:uiPriority w:val="99"/>
    <w:pPr>
      <w:jc w:val="center"/>
    </w:pPr>
    <w:rPr>
      <w:b/>
      <w:bCs/>
    </w:rPr>
  </w:style>
  <w:style w:type="paragraph" w:customStyle="1" w:styleId="221">
    <w:name w:val="Char1"/>
    <w:basedOn w:val="1"/>
    <w:qFormat/>
    <w:uiPriority w:val="99"/>
    <w:rPr>
      <w:rFonts w:ascii="宋体" w:cs="宋体"/>
      <w:kern w:val="0"/>
    </w:rPr>
  </w:style>
  <w:style w:type="paragraph" w:customStyle="1" w:styleId="222">
    <w:name w:val="Char Char Char1 Char Char Char Char Char Char Char Char Char Char Char Char Char Char Char Char Char Char Char2"/>
    <w:basedOn w:val="1"/>
    <w:qFormat/>
    <w:uiPriority w:val="99"/>
  </w:style>
  <w:style w:type="paragraph" w:customStyle="1" w:styleId="223">
    <w:name w:val="格式3"/>
    <w:basedOn w:val="1"/>
    <w:qFormat/>
    <w:uiPriority w:val="99"/>
    <w:pPr>
      <w:tabs>
        <w:tab w:val="left" w:pos="1304"/>
      </w:tabs>
      <w:adjustRightInd w:val="0"/>
      <w:snapToGrid w:val="0"/>
      <w:spacing w:beforeLines="15" w:afterLines="15" w:line="440" w:lineRule="exact"/>
      <w:ind w:left="1304" w:hanging="453"/>
    </w:pPr>
    <w:rPr>
      <w:color w:val="0000FF"/>
      <w:sz w:val="24"/>
      <w:szCs w:val="24"/>
    </w:rPr>
  </w:style>
  <w:style w:type="paragraph" w:customStyle="1" w:styleId="224">
    <w:name w:val="二级标题"/>
    <w:basedOn w:val="1"/>
    <w:qFormat/>
    <w:uiPriority w:val="99"/>
    <w:pPr>
      <w:adjustRightInd w:val="0"/>
      <w:snapToGrid w:val="0"/>
      <w:spacing w:line="360" w:lineRule="exact"/>
      <w:jc w:val="left"/>
      <w:outlineLvl w:val="0"/>
    </w:pPr>
    <w:rPr>
      <w:rFonts w:ascii="宋体" w:hAnsi="宋体" w:cs="宋体"/>
      <w:b/>
      <w:bCs/>
      <w:color w:val="FF0000"/>
      <w:lang w:val="en-GB"/>
    </w:rPr>
  </w:style>
  <w:style w:type="paragraph" w:customStyle="1" w:styleId="225">
    <w:name w:val="表格1"/>
    <w:basedOn w:val="1"/>
    <w:qFormat/>
    <w:uiPriority w:val="99"/>
    <w:pPr>
      <w:adjustRightInd w:val="0"/>
      <w:spacing w:line="420" w:lineRule="atLeast"/>
      <w:ind w:left="284"/>
      <w:textAlignment w:val="baseline"/>
    </w:pPr>
    <w:rPr>
      <w:kern w:val="0"/>
    </w:rPr>
  </w:style>
  <w:style w:type="paragraph" w:customStyle="1" w:styleId="226">
    <w:name w:val="正文A"/>
    <w:link w:val="239"/>
    <w:qFormat/>
    <w:uiPriority w:val="99"/>
    <w:pPr>
      <w:tabs>
        <w:tab w:val="left" w:pos="0"/>
      </w:tabs>
      <w:adjustRightInd w:val="0"/>
      <w:spacing w:line="360" w:lineRule="auto"/>
      <w:ind w:firstLine="200" w:firstLineChars="200"/>
      <w:jc w:val="both"/>
    </w:pPr>
    <w:rPr>
      <w:rFonts w:ascii="Times New Roman" w:hAnsi="Times New Roman" w:eastAsia="宋体" w:cs="Times New Roman"/>
      <w:snapToGrid w:val="0"/>
      <w:sz w:val="22"/>
      <w:szCs w:val="22"/>
      <w:lang w:val="en-US" w:eastAsia="zh-CN" w:bidi="ar-SA"/>
    </w:rPr>
  </w:style>
  <w:style w:type="paragraph" w:customStyle="1" w:styleId="227">
    <w:name w:val="Char11"/>
    <w:basedOn w:val="1"/>
    <w:qFormat/>
    <w:uiPriority w:val="99"/>
  </w:style>
  <w:style w:type="paragraph" w:customStyle="1" w:styleId="228">
    <w:name w:val="目录2"/>
    <w:basedOn w:val="1"/>
    <w:qFormat/>
    <w:uiPriority w:val="99"/>
    <w:pPr>
      <w:adjustRightInd w:val="0"/>
      <w:spacing w:line="420" w:lineRule="atLeast"/>
      <w:ind w:left="227"/>
      <w:textAlignment w:val="baseline"/>
    </w:pPr>
    <w:rPr>
      <w:kern w:val="0"/>
    </w:rPr>
  </w:style>
  <w:style w:type="paragraph" w:customStyle="1" w:styleId="229">
    <w:name w:val="章标题"/>
    <w:next w:val="166"/>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30">
    <w:name w:val="三级条标题"/>
    <w:basedOn w:val="164"/>
    <w:next w:val="166"/>
    <w:qFormat/>
    <w:uiPriority w:val="99"/>
    <w:pPr>
      <w:outlineLvl w:val="4"/>
    </w:pPr>
  </w:style>
  <w:style w:type="paragraph" w:customStyle="1" w:styleId="231">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rPr>
  </w:style>
  <w:style w:type="paragraph" w:customStyle="1" w:styleId="232">
    <w:name w:val="Char Char Char1 Char"/>
    <w:basedOn w:val="3"/>
    <w:next w:val="1"/>
    <w:qFormat/>
    <w:uiPriority w:val="99"/>
    <w:pPr>
      <w:snapToGrid w:val="0"/>
      <w:spacing w:before="120" w:after="120" w:line="240" w:lineRule="auto"/>
      <w:jc w:val="left"/>
    </w:pPr>
  </w:style>
  <w:style w:type="paragraph" w:customStyle="1" w:styleId="233">
    <w:name w:val="表格"/>
    <w:basedOn w:val="1"/>
    <w:qFormat/>
    <w:uiPriority w:val="99"/>
    <w:pPr>
      <w:jc w:val="center"/>
      <w:textAlignment w:val="center"/>
    </w:pPr>
    <w:rPr>
      <w:rFonts w:ascii="华文细黑" w:hAnsi="华文细黑" w:cs="华文细黑"/>
      <w:kern w:val="0"/>
    </w:rPr>
  </w:style>
  <w:style w:type="paragraph" w:customStyle="1" w:styleId="234">
    <w:name w:val="font7"/>
    <w:basedOn w:val="1"/>
    <w:qFormat/>
    <w:uiPriority w:val="99"/>
    <w:pPr>
      <w:widowControl/>
      <w:spacing w:before="100" w:beforeAutospacing="1" w:after="100" w:afterAutospacing="1"/>
      <w:jc w:val="left"/>
    </w:pPr>
    <w:rPr>
      <w:color w:val="000000"/>
      <w:kern w:val="0"/>
    </w:rPr>
  </w:style>
  <w:style w:type="paragraph" w:customStyle="1" w:styleId="235">
    <w:name w:val="默认段落字体 Para Char Char Char Char"/>
    <w:basedOn w:val="1"/>
    <w:qFormat/>
    <w:uiPriority w:val="99"/>
  </w:style>
  <w:style w:type="paragraph" w:customStyle="1" w:styleId="236">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黑体"/>
      <w:color w:val="000000"/>
      <w:kern w:val="0"/>
    </w:rPr>
  </w:style>
  <w:style w:type="paragraph" w:customStyle="1" w:styleId="237">
    <w:name w:val="2"/>
    <w:basedOn w:val="1"/>
    <w:next w:val="1"/>
    <w:qFormat/>
    <w:uiPriority w:val="99"/>
    <w:rPr>
      <w:rFonts w:ascii="宋体" w:cs="宋体"/>
      <w:b/>
      <w:bCs/>
      <w:sz w:val="24"/>
      <w:szCs w:val="24"/>
    </w:rPr>
  </w:style>
  <w:style w:type="paragraph" w:customStyle="1" w:styleId="238">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0000"/>
      <w:kern w:val="0"/>
    </w:rPr>
  </w:style>
  <w:style w:type="character" w:customStyle="1" w:styleId="239">
    <w:name w:val="正文A Char"/>
    <w:link w:val="226"/>
    <w:qFormat/>
    <w:uiPriority w:val="99"/>
    <w:rPr>
      <w:snapToGrid w:val="0"/>
      <w:sz w:val="22"/>
      <w:szCs w:val="22"/>
      <w:lang w:bidi="ar-SA"/>
    </w:rPr>
  </w:style>
  <w:style w:type="paragraph" w:customStyle="1" w:styleId="240">
    <w:name w:val="Char3"/>
    <w:basedOn w:val="1"/>
    <w:qFormat/>
    <w:uiPriority w:val="99"/>
    <w:rPr>
      <w:rFonts w:ascii="Tahoma" w:hAnsi="Tahoma" w:cs="Tahoma"/>
      <w:sz w:val="24"/>
      <w:szCs w:val="24"/>
    </w:rPr>
  </w:style>
  <w:style w:type="paragraph" w:customStyle="1" w:styleId="241">
    <w:name w:val="Char Char Char1 Char Char Char Char Char Char Char Char Char Char Char Char Char Char Char Char Char Char Char1"/>
    <w:basedOn w:val="1"/>
    <w:qFormat/>
    <w:uiPriority w:val="99"/>
  </w:style>
  <w:style w:type="paragraph" w:customStyle="1" w:styleId="242">
    <w:name w:val="Char2"/>
    <w:basedOn w:val="1"/>
    <w:qFormat/>
    <w:uiPriority w:val="99"/>
    <w:rPr>
      <w:rFonts w:ascii="Tahoma" w:hAnsi="Tahoma" w:cs="Tahoma"/>
      <w:sz w:val="24"/>
      <w:szCs w:val="24"/>
    </w:rPr>
  </w:style>
  <w:style w:type="paragraph" w:customStyle="1" w:styleId="243">
    <w:name w:val="样式 样式 样式 样式 样式 样式 正文 + 首行缩进:  2.25 字符 + 首行缩进:  2.25 字符 + 首行缩进:  ...1"/>
    <w:basedOn w:val="1"/>
    <w:qFormat/>
    <w:uiPriority w:val="99"/>
    <w:pPr>
      <w:spacing w:line="360" w:lineRule="auto"/>
      <w:ind w:firstLine="200" w:firstLineChars="200"/>
    </w:pPr>
    <w:rPr>
      <w:rFonts w:eastAsia="幼圆"/>
      <w:spacing w:val="4"/>
      <w:sz w:val="24"/>
      <w:szCs w:val="24"/>
    </w:rPr>
  </w:style>
  <w:style w:type="paragraph" w:customStyle="1" w:styleId="244">
    <w:name w:val="样式 样式 样式 样式 样式 样式 样式 正文 + 首行缩进:  2.25 字符 + 首行缩进:  2.25 字符 + 首行缩进..."/>
    <w:basedOn w:val="243"/>
    <w:qFormat/>
    <w:uiPriority w:val="99"/>
  </w:style>
  <w:style w:type="paragraph" w:customStyle="1" w:styleId="245">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46">
    <w:name w:val="Revision1"/>
    <w:hidden/>
    <w:semiHidden/>
    <w:qFormat/>
    <w:uiPriority w:val="99"/>
    <w:rPr>
      <w:rFonts w:ascii="Times New Roman" w:hAnsi="Times New Roman" w:eastAsia="宋体" w:cs="Times New Roman"/>
      <w:kern w:val="2"/>
      <w:sz w:val="21"/>
      <w:szCs w:val="21"/>
      <w:lang w:val="en-US" w:eastAsia="zh-CN" w:bidi="ar-SA"/>
    </w:rPr>
  </w:style>
  <w:style w:type="paragraph" w:customStyle="1" w:styleId="247">
    <w:name w:val="简单回函地址"/>
    <w:basedOn w:val="1"/>
    <w:qFormat/>
    <w:uiPriority w:val="99"/>
  </w:style>
  <w:style w:type="character" w:customStyle="1" w:styleId="248">
    <w:name w:val="正文文本 3 Char"/>
    <w:qFormat/>
    <w:uiPriority w:val="99"/>
    <w:rPr>
      <w:rFonts w:ascii="宋体" w:eastAsia="宋体" w:cs="宋体"/>
      <w:kern w:val="2"/>
      <w:sz w:val="24"/>
      <w:szCs w:val="24"/>
      <w:lang w:val="en-US" w:eastAsia="zh-CN"/>
    </w:rPr>
  </w:style>
  <w:style w:type="character" w:customStyle="1" w:styleId="249">
    <w:name w:val="标题 6 Char"/>
    <w:qFormat/>
    <w:uiPriority w:val="99"/>
    <w:rPr>
      <w:rFonts w:ascii="Arial" w:hAnsi="Arial" w:eastAsia="黑体" w:cs="Arial"/>
      <w:b/>
      <w:bCs/>
      <w:sz w:val="24"/>
      <w:szCs w:val="24"/>
      <w:lang w:val="en-US" w:eastAsia="zh-CN"/>
    </w:rPr>
  </w:style>
  <w:style w:type="character" w:customStyle="1" w:styleId="250">
    <w:name w:val="标题 3 Char"/>
    <w:qFormat/>
    <w:uiPriority w:val="99"/>
    <w:rPr>
      <w:rFonts w:eastAsia="宋体"/>
      <w:b/>
      <w:bCs/>
      <w:kern w:val="2"/>
      <w:sz w:val="32"/>
      <w:szCs w:val="32"/>
      <w:lang w:val="en-US" w:eastAsia="zh-CN"/>
    </w:rPr>
  </w:style>
  <w:style w:type="character" w:customStyle="1" w:styleId="251">
    <w:name w:val="标题 4 Char"/>
    <w:qFormat/>
    <w:uiPriority w:val="99"/>
    <w:rPr>
      <w:rFonts w:ascii="Arial" w:hAnsi="Arial" w:eastAsia="黑体" w:cs="Arial"/>
      <w:b/>
      <w:bCs/>
      <w:kern w:val="2"/>
      <w:sz w:val="28"/>
      <w:szCs w:val="28"/>
      <w:lang w:val="en-US" w:eastAsia="zh-CN"/>
    </w:rPr>
  </w:style>
  <w:style w:type="character" w:customStyle="1" w:styleId="252">
    <w:name w:val="正文缩进 Char"/>
    <w:qFormat/>
    <w:uiPriority w:val="99"/>
    <w:rPr>
      <w:rFonts w:eastAsia="宋体"/>
      <w:kern w:val="2"/>
      <w:sz w:val="24"/>
      <w:szCs w:val="24"/>
      <w:lang w:val="en-US" w:eastAsia="zh-CN"/>
    </w:rPr>
  </w:style>
  <w:style w:type="paragraph" w:customStyle="1" w:styleId="253">
    <w:name w:val="文头"/>
    <w:basedOn w:val="1"/>
    <w:qFormat/>
    <w:uiPriority w:val="99"/>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254">
    <w:name w:val="标题1"/>
    <w:basedOn w:val="1"/>
    <w:next w:val="1"/>
    <w:qFormat/>
    <w:uiPriority w:val="99"/>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255">
    <w:name w:val="样式 主题词 + 段后: 8.85 磅 行距: 固定值 26 磅"/>
    <w:basedOn w:val="1"/>
    <w:qFormat/>
    <w:uiPriority w:val="99"/>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256">
    <w:name w:val="附件栏"/>
    <w:basedOn w:val="1"/>
    <w:qFormat/>
    <w:uiPriority w:val="99"/>
    <w:pPr>
      <w:autoSpaceDE w:val="0"/>
      <w:autoSpaceDN w:val="0"/>
      <w:snapToGrid w:val="0"/>
      <w:spacing w:line="590" w:lineRule="atLeast"/>
      <w:ind w:firstLine="624"/>
    </w:pPr>
    <w:rPr>
      <w:rFonts w:eastAsia="仿宋"/>
      <w:kern w:val="0"/>
      <w:sz w:val="32"/>
      <w:szCs w:val="32"/>
    </w:rPr>
  </w:style>
  <w:style w:type="paragraph" w:customStyle="1" w:styleId="257">
    <w:name w:val="红线"/>
    <w:basedOn w:val="2"/>
    <w:qFormat/>
    <w:uiPriority w:val="99"/>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258">
    <w:name w:val="font21"/>
    <w:qFormat/>
    <w:uiPriority w:val="99"/>
    <w:rPr>
      <w:rFonts w:ascii="宋体" w:hAnsi="宋体" w:eastAsia="宋体" w:cs="宋体"/>
      <w:color w:val="000000"/>
      <w:sz w:val="22"/>
      <w:szCs w:val="22"/>
      <w:u w:val="none"/>
    </w:rPr>
  </w:style>
  <w:style w:type="character" w:customStyle="1" w:styleId="259">
    <w:name w:val="font01"/>
    <w:qFormat/>
    <w:uiPriority w:val="99"/>
    <w:rPr>
      <w:rFonts w:ascii="宋体" w:hAnsi="宋体" w:eastAsia="宋体" w:cs="宋体"/>
      <w:b/>
      <w:bCs/>
      <w:color w:val="000000"/>
      <w:sz w:val="22"/>
      <w:szCs w:val="22"/>
      <w:u w:val="none"/>
    </w:rPr>
  </w:style>
  <w:style w:type="paragraph" w:customStyle="1" w:styleId="260">
    <w:name w:val="标题 51"/>
    <w:basedOn w:val="1"/>
    <w:qFormat/>
    <w:uiPriority w:val="1"/>
    <w:pPr>
      <w:autoSpaceDE w:val="0"/>
      <w:autoSpaceDN w:val="0"/>
      <w:ind w:left="488"/>
      <w:jc w:val="left"/>
      <w:outlineLvl w:val="5"/>
    </w:pPr>
    <w:rPr>
      <w:rFonts w:ascii="Noto Sans CJK JP Regular" w:hAnsi="Noto Sans CJK JP Regular" w:eastAsia="Noto Sans CJK JP Regular" w:cs="Noto Sans CJK JP Regular"/>
      <w:kern w:val="0"/>
      <w:sz w:val="24"/>
      <w:szCs w:val="24"/>
      <w:lang w:eastAsia="en-US"/>
    </w:rPr>
  </w:style>
  <w:style w:type="paragraph" w:customStyle="1" w:styleId="261">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paragraph" w:customStyle="1" w:styleId="262">
    <w:name w:val="标题 5 + (西文) Arial Narrow"/>
    <w:basedOn w:val="5"/>
    <w:qFormat/>
    <w:uiPriority w:val="0"/>
    <w:pPr>
      <w:adjustRightInd w:val="0"/>
      <w:snapToGrid w:val="0"/>
      <w:spacing w:beforeLines="100" w:afterLines="100" w:line="360" w:lineRule="auto"/>
      <w:jc w:val="center"/>
    </w:pPr>
    <w:rPr>
      <w:rFonts w:ascii="Arial Narrow" w:hAnsi="Arial Narrow" w:eastAsia="宋体"/>
      <w:kern w:val="0"/>
    </w:rPr>
  </w:style>
  <w:style w:type="paragraph" w:customStyle="1" w:styleId="263">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264">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65">
    <w:name w:val="副标题1"/>
    <w:basedOn w:val="1"/>
    <w:next w:val="1"/>
    <w:qFormat/>
    <w:uiPriority w:val="11"/>
    <w:pPr>
      <w:widowControl/>
      <w:spacing w:after="600" w:line="276" w:lineRule="auto"/>
      <w:jc w:val="left"/>
    </w:pPr>
    <w:rPr>
      <w:rFonts w:ascii="Tw Cen MT" w:hAnsi="Tw Cen MT" w:eastAsia="华文仿宋"/>
      <w:i/>
      <w:iCs/>
      <w:spacing w:val="13"/>
      <w:kern w:val="0"/>
      <w:sz w:val="24"/>
      <w:szCs w:val="24"/>
      <w:lang w:eastAsia="en-US" w:bidi="en-US"/>
    </w:rPr>
  </w:style>
  <w:style w:type="table" w:customStyle="1" w:styleId="266">
    <w:name w:val="网格型1"/>
    <w:basedOn w:val="52"/>
    <w:qFormat/>
    <w:uiPriority w:val="59"/>
    <w:rPr>
      <w:rFonts w:ascii="Tw Cen MT" w:hAnsi="Tw Cen MT" w:eastAsia="华文仿宋"/>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Normal"/>
    <w:semiHidden/>
    <w:unhideWhenUsed/>
    <w:qFormat/>
    <w:uiPriority w:val="2"/>
    <w:rPr>
      <w:rFonts w:ascii="Tw Cen MT" w:hAnsi="Tw Cen MT" w:eastAsia="华文仿宋"/>
    </w:rPr>
    <w:tblPr>
      <w:tblCellMar>
        <w:top w:w="0" w:type="dxa"/>
        <w:left w:w="0" w:type="dxa"/>
        <w:bottom w:w="0" w:type="dxa"/>
        <w:right w:w="0" w:type="dxa"/>
      </w:tblCellMar>
    </w:tblPr>
  </w:style>
  <w:style w:type="paragraph" w:customStyle="1" w:styleId="268">
    <w:name w:val="标题 11"/>
    <w:basedOn w:val="1"/>
    <w:qFormat/>
    <w:uiPriority w:val="1"/>
    <w:pPr>
      <w:widowControl/>
      <w:spacing w:after="200" w:line="276" w:lineRule="auto"/>
      <w:jc w:val="left"/>
      <w:outlineLvl w:val="1"/>
    </w:pPr>
    <w:rPr>
      <w:rFonts w:ascii="Arial Unicode MS" w:hAnsi="Arial Unicode MS" w:eastAsia="Arial Unicode MS" w:cs="Arial Unicode MS"/>
      <w:kern w:val="0"/>
      <w:sz w:val="44"/>
      <w:szCs w:val="44"/>
      <w:lang w:val="zh-CN" w:bidi="zh-CN"/>
    </w:rPr>
  </w:style>
  <w:style w:type="paragraph" w:customStyle="1" w:styleId="269">
    <w:name w:val="标题 21"/>
    <w:basedOn w:val="1"/>
    <w:qFormat/>
    <w:uiPriority w:val="1"/>
    <w:pPr>
      <w:widowControl/>
      <w:spacing w:before="60" w:after="200" w:line="276" w:lineRule="auto"/>
      <w:ind w:left="834" w:right="853"/>
      <w:jc w:val="center"/>
      <w:outlineLvl w:val="2"/>
    </w:pPr>
    <w:rPr>
      <w:rFonts w:ascii="Arial Unicode MS" w:hAnsi="Arial Unicode MS" w:eastAsia="Arial Unicode MS" w:cs="Arial Unicode MS"/>
      <w:kern w:val="0"/>
      <w:sz w:val="36"/>
      <w:szCs w:val="36"/>
      <w:lang w:val="zh-CN" w:bidi="zh-CN"/>
    </w:rPr>
  </w:style>
  <w:style w:type="paragraph" w:customStyle="1" w:styleId="270">
    <w:name w:val="标题 31"/>
    <w:basedOn w:val="1"/>
    <w:qFormat/>
    <w:uiPriority w:val="1"/>
    <w:pPr>
      <w:widowControl/>
      <w:spacing w:before="43" w:after="200" w:line="276" w:lineRule="auto"/>
      <w:ind w:left="1773" w:hanging="483"/>
      <w:jc w:val="left"/>
      <w:outlineLvl w:val="3"/>
    </w:pPr>
    <w:rPr>
      <w:rFonts w:ascii="等线" w:hAnsi="等线" w:eastAsia="等线" w:cs="等线"/>
      <w:b/>
      <w:bCs/>
      <w:kern w:val="0"/>
      <w:sz w:val="32"/>
      <w:szCs w:val="32"/>
      <w:lang w:val="zh-CN" w:bidi="zh-CN"/>
    </w:rPr>
  </w:style>
  <w:style w:type="character" w:customStyle="1" w:styleId="271">
    <w:name w:val="副标题 字符"/>
    <w:basedOn w:val="54"/>
    <w:link w:val="38"/>
    <w:qFormat/>
    <w:uiPriority w:val="11"/>
    <w:rPr>
      <w:rFonts w:ascii="Tw Cen MT" w:hAnsi="Tw Cen MT" w:eastAsia="华文仿宋" w:cs="Times New Roman"/>
      <w:i/>
      <w:iCs/>
      <w:spacing w:val="13"/>
      <w:sz w:val="24"/>
      <w:szCs w:val="24"/>
    </w:rPr>
  </w:style>
  <w:style w:type="paragraph" w:styleId="272">
    <w:name w:val="No Spacing"/>
    <w:basedOn w:val="1"/>
    <w:link w:val="273"/>
    <w:qFormat/>
    <w:uiPriority w:val="1"/>
    <w:pPr>
      <w:widowControl/>
      <w:jc w:val="left"/>
    </w:pPr>
    <w:rPr>
      <w:rFonts w:ascii="Tw Cen MT" w:hAnsi="Tw Cen MT" w:eastAsia="华文仿宋"/>
      <w:kern w:val="0"/>
      <w:sz w:val="22"/>
      <w:szCs w:val="22"/>
      <w:lang w:eastAsia="en-US" w:bidi="en-US"/>
    </w:rPr>
  </w:style>
  <w:style w:type="character" w:customStyle="1" w:styleId="273">
    <w:name w:val="无间隔 字符"/>
    <w:basedOn w:val="54"/>
    <w:link w:val="272"/>
    <w:qFormat/>
    <w:uiPriority w:val="1"/>
    <w:rPr>
      <w:rFonts w:ascii="Tw Cen MT" w:hAnsi="Tw Cen MT" w:eastAsia="华文仿宋"/>
      <w:sz w:val="22"/>
      <w:szCs w:val="22"/>
      <w:lang w:eastAsia="en-US" w:bidi="en-US"/>
    </w:rPr>
  </w:style>
  <w:style w:type="paragraph" w:styleId="274">
    <w:name w:val="Quote"/>
    <w:basedOn w:val="1"/>
    <w:next w:val="1"/>
    <w:link w:val="275"/>
    <w:qFormat/>
    <w:uiPriority w:val="29"/>
    <w:pPr>
      <w:widowControl/>
      <w:spacing w:before="200" w:line="276" w:lineRule="auto"/>
      <w:ind w:left="360" w:right="360"/>
      <w:jc w:val="left"/>
    </w:pPr>
    <w:rPr>
      <w:rFonts w:ascii="Tw Cen MT" w:hAnsi="Tw Cen MT" w:eastAsia="华文仿宋"/>
      <w:i/>
      <w:iCs/>
      <w:kern w:val="0"/>
      <w:sz w:val="22"/>
      <w:szCs w:val="22"/>
      <w:lang w:eastAsia="en-US" w:bidi="en-US"/>
    </w:rPr>
  </w:style>
  <w:style w:type="character" w:customStyle="1" w:styleId="275">
    <w:name w:val="引用 字符"/>
    <w:basedOn w:val="54"/>
    <w:link w:val="274"/>
    <w:qFormat/>
    <w:uiPriority w:val="29"/>
    <w:rPr>
      <w:rFonts w:ascii="Tw Cen MT" w:hAnsi="Tw Cen MT" w:eastAsia="华文仿宋"/>
      <w:i/>
      <w:iCs/>
      <w:sz w:val="22"/>
      <w:szCs w:val="22"/>
      <w:lang w:eastAsia="en-US" w:bidi="en-US"/>
    </w:rPr>
  </w:style>
  <w:style w:type="paragraph" w:styleId="276">
    <w:name w:val="Intense Quote"/>
    <w:basedOn w:val="1"/>
    <w:next w:val="1"/>
    <w:link w:val="277"/>
    <w:qFormat/>
    <w:uiPriority w:val="30"/>
    <w:pPr>
      <w:widowControl/>
      <w:pBdr>
        <w:bottom w:val="single" w:color="auto" w:sz="4" w:space="1"/>
      </w:pBdr>
      <w:spacing w:before="200" w:after="280" w:line="276" w:lineRule="auto"/>
      <w:ind w:left="1008" w:right="1152"/>
    </w:pPr>
    <w:rPr>
      <w:rFonts w:ascii="Tw Cen MT" w:hAnsi="Tw Cen MT" w:eastAsia="华文仿宋"/>
      <w:b/>
      <w:bCs/>
      <w:i/>
      <w:iCs/>
      <w:kern w:val="0"/>
      <w:sz w:val="22"/>
      <w:szCs w:val="22"/>
      <w:lang w:eastAsia="en-US" w:bidi="en-US"/>
    </w:rPr>
  </w:style>
  <w:style w:type="character" w:customStyle="1" w:styleId="277">
    <w:name w:val="明显引用 字符"/>
    <w:basedOn w:val="54"/>
    <w:link w:val="276"/>
    <w:qFormat/>
    <w:uiPriority w:val="30"/>
    <w:rPr>
      <w:rFonts w:ascii="Tw Cen MT" w:hAnsi="Tw Cen MT" w:eastAsia="华文仿宋"/>
      <w:b/>
      <w:bCs/>
      <w:i/>
      <w:iCs/>
      <w:sz w:val="22"/>
      <w:szCs w:val="22"/>
      <w:lang w:eastAsia="en-US" w:bidi="en-US"/>
    </w:rPr>
  </w:style>
  <w:style w:type="character" w:customStyle="1" w:styleId="278">
    <w:name w:val="不明显强调1"/>
    <w:qFormat/>
    <w:uiPriority w:val="19"/>
    <w:rPr>
      <w:i/>
      <w:iCs/>
    </w:rPr>
  </w:style>
  <w:style w:type="character" w:customStyle="1" w:styleId="279">
    <w:name w:val="明显强调1"/>
    <w:qFormat/>
    <w:uiPriority w:val="21"/>
    <w:rPr>
      <w:b/>
      <w:bCs/>
    </w:rPr>
  </w:style>
  <w:style w:type="character" w:customStyle="1" w:styleId="280">
    <w:name w:val="不明显参考1"/>
    <w:qFormat/>
    <w:uiPriority w:val="31"/>
    <w:rPr>
      <w:smallCaps/>
    </w:rPr>
  </w:style>
  <w:style w:type="character" w:customStyle="1" w:styleId="281">
    <w:name w:val="明显参考1"/>
    <w:qFormat/>
    <w:uiPriority w:val="32"/>
    <w:rPr>
      <w:smallCaps/>
      <w:spacing w:val="5"/>
      <w:u w:val="single"/>
    </w:rPr>
  </w:style>
  <w:style w:type="character" w:customStyle="1" w:styleId="282">
    <w:name w:val="书籍标题1"/>
    <w:qFormat/>
    <w:uiPriority w:val="33"/>
    <w:rPr>
      <w:i/>
      <w:iCs/>
      <w:smallCaps/>
      <w:spacing w:val="5"/>
    </w:rPr>
  </w:style>
  <w:style w:type="paragraph" w:customStyle="1" w:styleId="283">
    <w:name w:val="TOC 标题1"/>
    <w:basedOn w:val="2"/>
    <w:next w:val="1"/>
    <w:semiHidden/>
    <w:unhideWhenUsed/>
    <w:qFormat/>
    <w:uiPriority w:val="39"/>
    <w:pPr>
      <w:keepNext w:val="0"/>
      <w:keepLines w:val="0"/>
      <w:widowControl/>
      <w:spacing w:before="480" w:after="0" w:line="276" w:lineRule="auto"/>
      <w:contextualSpacing/>
      <w:jc w:val="left"/>
      <w:outlineLvl w:val="9"/>
    </w:pPr>
    <w:rPr>
      <w:rFonts w:ascii="Tw Cen MT" w:hAnsi="Tw Cen MT" w:eastAsia="华文仿宋"/>
      <w:kern w:val="0"/>
      <w:sz w:val="28"/>
      <w:szCs w:val="28"/>
      <w:lang w:eastAsia="en-US" w:bidi="en-US"/>
    </w:rPr>
  </w:style>
  <w:style w:type="paragraph" w:customStyle="1" w:styleId="284">
    <w:name w:val="标题 22"/>
    <w:basedOn w:val="1"/>
    <w:qFormat/>
    <w:uiPriority w:val="1"/>
    <w:pPr>
      <w:autoSpaceDE w:val="0"/>
      <w:autoSpaceDN w:val="0"/>
      <w:jc w:val="center"/>
      <w:outlineLvl w:val="2"/>
    </w:pPr>
    <w:rPr>
      <w:rFonts w:ascii="宋体" w:hAnsi="宋体" w:cs="宋体"/>
      <w:b/>
      <w:bCs/>
      <w:kern w:val="0"/>
      <w:sz w:val="24"/>
      <w:szCs w:val="24"/>
      <w:lang w:val="zh-CN" w:bidi="zh-CN"/>
    </w:rPr>
  </w:style>
  <w:style w:type="character" w:customStyle="1" w:styleId="285">
    <w:name w:val="副标题 字符1"/>
    <w:basedOn w:val="54"/>
    <w:qFormat/>
    <w:uiPriority w:val="11"/>
    <w:rPr>
      <w:rFonts w:asciiTheme="minorHAnsi" w:hAnsiTheme="minorHAnsi" w:eastAsiaTheme="minorEastAsia" w:cstheme="minorBidi"/>
      <w:b/>
      <w:bCs/>
      <w:kern w:val="28"/>
      <w:sz w:val="32"/>
      <w:szCs w:val="32"/>
    </w:rPr>
  </w:style>
  <w:style w:type="character" w:customStyle="1" w:styleId="286">
    <w:name w:val="尾注文本 字符"/>
    <w:basedOn w:val="54"/>
    <w:link w:val="32"/>
    <w:semiHidden/>
    <w:qFormat/>
    <w:uiPriority w:val="99"/>
    <w:rPr>
      <w:kern w:val="2"/>
      <w:sz w:val="21"/>
      <w:szCs w:val="21"/>
    </w:rPr>
  </w:style>
  <w:style w:type="character" w:customStyle="1" w:styleId="287">
    <w:name w:val="c-icon28"/>
    <w:basedOn w:val="54"/>
    <w:qFormat/>
    <w:uiPriority w:val="0"/>
  </w:style>
  <w:style w:type="character" w:customStyle="1" w:styleId="288">
    <w:name w:val="hover24"/>
    <w:basedOn w:val="54"/>
    <w:qFormat/>
    <w:uiPriority w:val="0"/>
  </w:style>
  <w:style w:type="character" w:customStyle="1" w:styleId="289">
    <w:name w:val="hover25"/>
    <w:basedOn w:val="54"/>
    <w:qFormat/>
    <w:uiPriority w:val="0"/>
    <w:rPr>
      <w:color w:val="315EFB"/>
    </w:rPr>
  </w:style>
  <w:style w:type="character" w:customStyle="1" w:styleId="290">
    <w:name w:val="hover26"/>
    <w:basedOn w:val="54"/>
    <w:qFormat/>
    <w:uiPriority w:val="0"/>
    <w:rPr>
      <w:color w:val="315EFB"/>
    </w:rPr>
  </w:style>
  <w:style w:type="character" w:customStyle="1" w:styleId="291">
    <w:name w:val="black"/>
    <w:basedOn w:val="54"/>
    <w:qFormat/>
    <w:uiPriority w:val="0"/>
    <w:rPr>
      <w:color w:val="666666"/>
    </w:rPr>
  </w:style>
  <w:style w:type="character" w:customStyle="1" w:styleId="292">
    <w:name w:val="ruweitli_l"/>
    <w:basedOn w:val="54"/>
    <w:qFormat/>
    <w:uiPriority w:val="0"/>
  </w:style>
  <w:style w:type="character" w:customStyle="1" w:styleId="293">
    <w:name w:val="fieldsets"/>
    <w:basedOn w:val="54"/>
    <w:qFormat/>
    <w:uiPriority w:val="0"/>
  </w:style>
  <w:style w:type="character" w:customStyle="1" w:styleId="294">
    <w:name w:val="fieldsetf"/>
    <w:basedOn w:val="54"/>
    <w:qFormat/>
    <w:uiPriority w:val="0"/>
  </w:style>
  <w:style w:type="character" w:customStyle="1" w:styleId="295">
    <w:name w:val="edui-unclickable"/>
    <w:basedOn w:val="54"/>
    <w:qFormat/>
    <w:uiPriority w:val="0"/>
    <w:rPr>
      <w:color w:val="808080"/>
    </w:rPr>
  </w:style>
  <w:style w:type="character" w:customStyle="1" w:styleId="296">
    <w:name w:val="l-open"/>
    <w:basedOn w:val="54"/>
    <w:qFormat/>
    <w:uiPriority w:val="0"/>
  </w:style>
  <w:style w:type="character" w:customStyle="1" w:styleId="297">
    <w:name w:val="l-over"/>
    <w:basedOn w:val="54"/>
    <w:qFormat/>
    <w:uiPriority w:val="0"/>
    <w:rPr>
      <w:bdr w:val="single" w:color="DAB364" w:sz="4" w:space="0"/>
    </w:rPr>
  </w:style>
  <w:style w:type="character" w:customStyle="1" w:styleId="298">
    <w:name w:val="l-selected"/>
    <w:basedOn w:val="54"/>
    <w:qFormat/>
    <w:uiPriority w:val="0"/>
    <w:rPr>
      <w:color w:val="355686"/>
      <w:bdr w:val="single" w:color="DAB364" w:sz="4" w:space="0"/>
      <w:shd w:val="clear" w:color="auto" w:fill="FFFFFF"/>
    </w:rPr>
  </w:style>
  <w:style w:type="character" w:customStyle="1" w:styleId="299">
    <w:name w:val="searchs"/>
    <w:basedOn w:val="54"/>
    <w:qFormat/>
    <w:uiPriority w:val="0"/>
  </w:style>
  <w:style w:type="character" w:customStyle="1" w:styleId="300">
    <w:name w:val="searchf"/>
    <w:basedOn w:val="54"/>
    <w:qFormat/>
    <w:uiPriority w:val="0"/>
  </w:style>
  <w:style w:type="character" w:customStyle="1" w:styleId="301">
    <w:name w:val="dbrwr_aclil"/>
    <w:basedOn w:val="54"/>
    <w:qFormat/>
    <w:uiPriority w:val="0"/>
  </w:style>
  <w:style w:type="character" w:customStyle="1" w:styleId="302">
    <w:name w:val="dbrwr_aclir"/>
    <w:basedOn w:val="54"/>
    <w:qFormat/>
    <w:uiPriority w:val="0"/>
    <w:rPr>
      <w:color w:val="999999"/>
    </w:rPr>
  </w:style>
  <w:style w:type="character" w:customStyle="1" w:styleId="303">
    <w:name w:val="ruweitli_r"/>
    <w:basedOn w:val="54"/>
    <w:qFormat/>
    <w:uiPriority w:val="0"/>
  </w:style>
  <w:style w:type="character" w:customStyle="1" w:styleId="304">
    <w:name w:val="edui-clickable2"/>
    <w:basedOn w:val="54"/>
    <w:qFormat/>
    <w:uiPriority w:val="0"/>
    <w:rPr>
      <w:color w:val="0000FF"/>
      <w:u w:val="single"/>
    </w:rPr>
  </w:style>
  <w:style w:type="paragraph" w:customStyle="1" w:styleId="305">
    <w:name w:val="_Style 304"/>
    <w:basedOn w:val="1"/>
    <w:next w:val="1"/>
    <w:qFormat/>
    <w:uiPriority w:val="0"/>
    <w:pPr>
      <w:pBdr>
        <w:bottom w:val="single" w:color="auto" w:sz="6" w:space="1"/>
      </w:pBdr>
      <w:jc w:val="center"/>
    </w:pPr>
    <w:rPr>
      <w:rFonts w:ascii="Arial"/>
      <w:vanish/>
      <w:sz w:val="16"/>
    </w:rPr>
  </w:style>
  <w:style w:type="paragraph" w:customStyle="1" w:styleId="306">
    <w:name w:val="_Style 305"/>
    <w:basedOn w:val="1"/>
    <w:next w:val="1"/>
    <w:qFormat/>
    <w:uiPriority w:val="0"/>
    <w:pPr>
      <w:pBdr>
        <w:top w:val="single" w:color="auto" w:sz="6" w:space="1"/>
      </w:pBdr>
      <w:jc w:val="center"/>
    </w:pPr>
    <w:rPr>
      <w:rFonts w:ascii="Arial"/>
      <w:vanish/>
      <w:sz w:val="16"/>
    </w:rPr>
  </w:style>
  <w:style w:type="character" w:customStyle="1" w:styleId="307">
    <w:name w:val="l-selected2"/>
    <w:basedOn w:val="54"/>
    <w:qFormat/>
    <w:uiPriority w:val="0"/>
    <w:rPr>
      <w:color w:val="355686"/>
      <w:bdr w:val="single" w:color="DAB364" w:sz="4" w:space="0"/>
      <w:shd w:val="clear" w:color="auto" w:fill="FFFFFF"/>
    </w:rPr>
  </w:style>
  <w:style w:type="paragraph" w:customStyle="1" w:styleId="308">
    <w:name w:val="Other|1"/>
    <w:basedOn w:val="1"/>
    <w:qFormat/>
    <w:uiPriority w:val="0"/>
    <w:rPr>
      <w:rFonts w:ascii="宋体" w:hAnsi="宋体" w:cs="宋体"/>
      <w:lang w:val="zh-TW" w:eastAsia="zh-TW" w:bidi="zh-TW"/>
    </w:rPr>
  </w:style>
  <w:style w:type="paragraph" w:customStyle="1" w:styleId="309">
    <w:name w:val="_Style 308"/>
    <w:basedOn w:val="1"/>
    <w:next w:val="1"/>
    <w:qFormat/>
    <w:uiPriority w:val="0"/>
    <w:pPr>
      <w:pBdr>
        <w:bottom w:val="single" w:color="auto" w:sz="6" w:space="1"/>
      </w:pBdr>
      <w:jc w:val="center"/>
    </w:pPr>
    <w:rPr>
      <w:rFonts w:ascii="Arial"/>
      <w:vanish/>
      <w:sz w:val="16"/>
    </w:rPr>
  </w:style>
  <w:style w:type="paragraph" w:customStyle="1" w:styleId="310">
    <w:name w:val="_Style 309"/>
    <w:basedOn w:val="1"/>
    <w:next w:val="1"/>
    <w:qFormat/>
    <w:uiPriority w:val="0"/>
    <w:pPr>
      <w:pBdr>
        <w:top w:val="single" w:color="auto" w:sz="6" w:space="1"/>
      </w:pBdr>
      <w:jc w:val="center"/>
    </w:pPr>
    <w:rPr>
      <w:rFonts w:ascii="Arial"/>
      <w:vanish/>
      <w:sz w:val="16"/>
    </w:rPr>
  </w:style>
  <w:style w:type="paragraph" w:customStyle="1" w:styleId="311">
    <w:name w:val="修订2"/>
    <w:hidden/>
    <w:unhideWhenUsed/>
    <w:qFormat/>
    <w:uiPriority w:val="99"/>
    <w:rPr>
      <w:rFonts w:ascii="Times New Roman" w:hAnsi="Times New Roman" w:eastAsia="宋体" w:cs="Times New Roman"/>
      <w:kern w:val="2"/>
      <w:sz w:val="21"/>
      <w:szCs w:val="21"/>
      <w:lang w:val="en-US" w:eastAsia="zh-CN" w:bidi="ar-SA"/>
    </w:rPr>
  </w:style>
  <w:style w:type="character" w:customStyle="1" w:styleId="312">
    <w:name w:val="未处理的提及1"/>
    <w:basedOn w:val="54"/>
    <w:semiHidden/>
    <w:unhideWhenUsed/>
    <w:qFormat/>
    <w:uiPriority w:val="99"/>
    <w:rPr>
      <w:color w:val="605E5C"/>
      <w:shd w:val="clear" w:color="auto" w:fill="E1DFDD"/>
    </w:rPr>
  </w:style>
  <w:style w:type="paragraph" w:customStyle="1" w:styleId="313">
    <w:name w:val="Revision"/>
    <w:hidden/>
    <w:unhideWhenUsed/>
    <w:qFormat/>
    <w:uiPriority w:val="99"/>
    <w:rPr>
      <w:rFonts w:ascii="Times New Roman" w:hAnsi="Times New Roman" w:eastAsia="宋体" w:cs="Times New Roman"/>
      <w:kern w:val="2"/>
      <w:sz w:val="21"/>
      <w:szCs w:val="21"/>
      <w:lang w:val="en-US" w:eastAsia="zh-CN" w:bidi="ar-SA"/>
    </w:rPr>
  </w:style>
  <w:style w:type="character" w:customStyle="1" w:styleId="314">
    <w:name w:val="纯文本 Char"/>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36BA8-3960-4B9A-B776-3645FE9E7DE2}">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100</Pages>
  <Words>14491</Words>
  <Characters>15401</Characters>
  <Lines>572</Lines>
  <Paragraphs>161</Paragraphs>
  <TotalTime>2</TotalTime>
  <ScaleCrop>false</ScaleCrop>
  <LinksUpToDate>false</LinksUpToDate>
  <CharactersWithSpaces>15562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2024-07-23T13:13:00Z</dcterms:created>
  <dc:creator>1</dc:creator>
  <cp:lastModifiedBy>zc</cp:lastModifiedBy>
  <cp:lastPrinted>2024-07-17T04:44:00Z</cp:lastPrinted>
  <dcterms:modified xsi:type="dcterms:W3CDTF">2024-10-25T10:10:35Z</dcterms:modified>
  <dc:title>中华人民共和国</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DE7F06AA08E14DE7BC7E20AB5FBF417F_13</vt:lpwstr>
  </property>
</Properties>
</file>