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529CA">
      <w:pPr>
        <w:rPr>
          <w:rFonts w:ascii="宋体" w:hAnsi="宋体" w:cs="宋体"/>
          <w:b/>
          <w:color w:val="auto"/>
          <w:sz w:val="36"/>
          <w:szCs w:val="36"/>
          <w:highlight w:val="none"/>
        </w:rPr>
      </w:pPr>
    </w:p>
    <w:p w14:paraId="1CABD1ED">
      <w:pPr>
        <w:autoSpaceDE w:val="0"/>
        <w:autoSpaceDN w:val="0"/>
        <w:adjustRightInd w:val="0"/>
        <w:spacing w:line="1000" w:lineRule="exact"/>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2026-2028年南通市公路事业发展中心法律服务项目</w:t>
      </w:r>
    </w:p>
    <w:p w14:paraId="42FAF2FB">
      <w:pPr>
        <w:pStyle w:val="2"/>
        <w:rPr>
          <w:rFonts w:ascii="宋体" w:hAnsi="宋体" w:cs="宋体"/>
          <w:color w:val="auto"/>
          <w:highlight w:val="none"/>
        </w:rPr>
      </w:pPr>
    </w:p>
    <w:p w14:paraId="05AC2C92">
      <w:pPr>
        <w:pStyle w:val="2"/>
        <w:rPr>
          <w:rFonts w:ascii="宋体" w:hAnsi="宋体" w:cs="宋体"/>
          <w:color w:val="auto"/>
          <w:highlight w:val="none"/>
        </w:rPr>
      </w:pPr>
    </w:p>
    <w:p w14:paraId="6C5B0957">
      <w:pPr>
        <w:tabs>
          <w:tab w:val="left" w:pos="6300"/>
        </w:tabs>
        <w:snapToGrid w:val="0"/>
        <w:spacing w:line="300" w:lineRule="auto"/>
        <w:jc w:val="center"/>
        <w:rPr>
          <w:rFonts w:ascii="宋体" w:hAnsi="宋体" w:cs="宋体"/>
          <w:b/>
          <w:color w:val="auto"/>
          <w:w w:val="80"/>
          <w:sz w:val="96"/>
          <w:szCs w:val="96"/>
          <w:highlight w:val="none"/>
        </w:rPr>
      </w:pPr>
      <w:r>
        <w:rPr>
          <w:rFonts w:hint="eastAsia" w:ascii="宋体" w:hAnsi="宋体" w:cs="宋体"/>
          <w:b/>
          <w:color w:val="auto"/>
          <w:w w:val="80"/>
          <w:sz w:val="96"/>
          <w:szCs w:val="96"/>
          <w:highlight w:val="none"/>
        </w:rPr>
        <w:t>竞争性磋商文件</w:t>
      </w:r>
    </w:p>
    <w:p w14:paraId="4D87F24F">
      <w:pPr>
        <w:tabs>
          <w:tab w:val="left" w:pos="6300"/>
        </w:tabs>
        <w:snapToGrid w:val="0"/>
        <w:spacing w:line="300" w:lineRule="auto"/>
        <w:ind w:firstLine="3087" w:firstLineChars="1200"/>
        <w:jc w:val="both"/>
        <w:rPr>
          <w:rFonts w:hint="default"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lang w:val="en-US" w:eastAsia="zh-CN"/>
        </w:rPr>
        <w:t>项目编号：2026-2028Flfw</w:t>
      </w:r>
    </w:p>
    <w:p w14:paraId="36959DCD">
      <w:pPr>
        <w:tabs>
          <w:tab w:val="left" w:pos="6300"/>
        </w:tabs>
        <w:snapToGrid w:val="0"/>
        <w:spacing w:line="300" w:lineRule="auto"/>
        <w:ind w:firstLine="3087" w:firstLineChars="1200"/>
        <w:jc w:val="both"/>
        <w:rPr>
          <w:rFonts w:hint="default" w:ascii="宋体" w:hAnsi="宋体" w:eastAsia="宋体" w:cs="宋体"/>
          <w:b/>
          <w:color w:val="auto"/>
          <w:w w:val="80"/>
          <w:sz w:val="32"/>
          <w:szCs w:val="32"/>
          <w:highlight w:val="none"/>
          <w:lang w:val="en-US" w:eastAsia="zh-CN"/>
        </w:rPr>
      </w:pPr>
      <w:r>
        <w:rPr>
          <w:rFonts w:hint="eastAsia" w:ascii="宋体" w:hAnsi="宋体" w:cs="宋体"/>
          <w:b/>
          <w:color w:val="auto"/>
          <w:w w:val="80"/>
          <w:sz w:val="32"/>
          <w:szCs w:val="32"/>
          <w:highlight w:val="none"/>
        </w:rPr>
        <w:t>档案编号：</w:t>
      </w:r>
      <w:r>
        <w:rPr>
          <w:rFonts w:hint="eastAsia" w:ascii="宋体" w:hAnsi="宋体" w:cs="宋体"/>
          <w:b/>
          <w:color w:val="auto"/>
          <w:w w:val="80"/>
          <w:sz w:val="32"/>
          <w:szCs w:val="32"/>
          <w:highlight w:val="none"/>
          <w:lang w:val="en-US" w:eastAsia="zh-CN"/>
        </w:rPr>
        <w:t>20251123</w:t>
      </w:r>
    </w:p>
    <w:p w14:paraId="4784C0F7">
      <w:pPr>
        <w:tabs>
          <w:tab w:val="left" w:pos="6300"/>
        </w:tabs>
        <w:snapToGrid w:val="0"/>
        <w:spacing w:line="300" w:lineRule="auto"/>
        <w:ind w:firstLine="2830" w:firstLineChars="1100"/>
        <w:rPr>
          <w:rFonts w:ascii="宋体" w:hAnsi="宋体" w:cs="宋体"/>
          <w:b/>
          <w:snapToGrid w:val="0"/>
          <w:color w:val="auto"/>
          <w:w w:val="80"/>
          <w:kern w:val="0"/>
          <w:sz w:val="32"/>
          <w:szCs w:val="32"/>
          <w:highlight w:val="none"/>
        </w:rPr>
      </w:pPr>
    </w:p>
    <w:p w14:paraId="1C272296">
      <w:pPr>
        <w:autoSpaceDE w:val="0"/>
        <w:autoSpaceDN w:val="0"/>
        <w:adjustRightInd w:val="0"/>
        <w:spacing w:line="360" w:lineRule="auto"/>
        <w:ind w:firstLine="420"/>
        <w:jc w:val="center"/>
        <w:rPr>
          <w:rFonts w:ascii="宋体" w:hAnsi="宋体" w:cs="宋体"/>
          <w:color w:val="auto"/>
          <w:szCs w:val="21"/>
          <w:highlight w:val="none"/>
        </w:rPr>
      </w:pPr>
    </w:p>
    <w:p w14:paraId="075DEF2F">
      <w:pPr>
        <w:autoSpaceDE w:val="0"/>
        <w:autoSpaceDN w:val="0"/>
        <w:adjustRightInd w:val="0"/>
        <w:spacing w:line="360" w:lineRule="auto"/>
        <w:ind w:firstLine="420"/>
        <w:jc w:val="center"/>
        <w:rPr>
          <w:rFonts w:ascii="宋体" w:hAnsi="宋体" w:cs="宋体"/>
          <w:color w:val="auto"/>
          <w:szCs w:val="21"/>
          <w:highlight w:val="none"/>
        </w:rPr>
      </w:pPr>
    </w:p>
    <w:p w14:paraId="046A3A87">
      <w:pPr>
        <w:autoSpaceDE w:val="0"/>
        <w:autoSpaceDN w:val="0"/>
        <w:adjustRightInd w:val="0"/>
        <w:spacing w:line="360" w:lineRule="auto"/>
        <w:ind w:firstLine="420"/>
        <w:jc w:val="center"/>
        <w:rPr>
          <w:rFonts w:ascii="宋体" w:hAnsi="宋体" w:cs="宋体"/>
          <w:color w:val="auto"/>
          <w:szCs w:val="21"/>
          <w:highlight w:val="none"/>
        </w:rPr>
      </w:pPr>
    </w:p>
    <w:p w14:paraId="7A2C676B">
      <w:pPr>
        <w:autoSpaceDE w:val="0"/>
        <w:autoSpaceDN w:val="0"/>
        <w:adjustRightInd w:val="0"/>
        <w:spacing w:line="360" w:lineRule="auto"/>
        <w:ind w:firstLine="420"/>
        <w:jc w:val="center"/>
        <w:rPr>
          <w:rFonts w:ascii="宋体" w:hAnsi="宋体" w:cs="宋体"/>
          <w:color w:val="auto"/>
          <w:szCs w:val="21"/>
          <w:highlight w:val="none"/>
        </w:rPr>
      </w:pPr>
    </w:p>
    <w:p w14:paraId="3346916F">
      <w:pPr>
        <w:autoSpaceDE w:val="0"/>
        <w:autoSpaceDN w:val="0"/>
        <w:adjustRightInd w:val="0"/>
        <w:spacing w:line="360" w:lineRule="auto"/>
        <w:ind w:firstLine="420"/>
        <w:jc w:val="center"/>
        <w:rPr>
          <w:rFonts w:ascii="宋体" w:hAnsi="宋体" w:cs="宋体"/>
          <w:color w:val="auto"/>
          <w:szCs w:val="21"/>
          <w:highlight w:val="none"/>
        </w:rPr>
      </w:pPr>
    </w:p>
    <w:p w14:paraId="67C81B8C">
      <w:pPr>
        <w:autoSpaceDE w:val="0"/>
        <w:autoSpaceDN w:val="0"/>
        <w:adjustRightInd w:val="0"/>
        <w:spacing w:line="360" w:lineRule="auto"/>
        <w:ind w:firstLine="420"/>
        <w:jc w:val="center"/>
        <w:rPr>
          <w:rFonts w:ascii="宋体" w:hAnsi="宋体" w:cs="宋体"/>
          <w:color w:val="auto"/>
          <w:szCs w:val="21"/>
          <w:highlight w:val="none"/>
        </w:rPr>
      </w:pPr>
    </w:p>
    <w:p w14:paraId="18802255">
      <w:pPr>
        <w:autoSpaceDE w:val="0"/>
        <w:autoSpaceDN w:val="0"/>
        <w:adjustRightInd w:val="0"/>
        <w:spacing w:line="360" w:lineRule="auto"/>
        <w:ind w:firstLine="420"/>
        <w:jc w:val="center"/>
        <w:rPr>
          <w:rFonts w:ascii="宋体" w:hAnsi="宋体" w:cs="宋体"/>
          <w:color w:val="auto"/>
          <w:szCs w:val="21"/>
          <w:highlight w:val="none"/>
        </w:rPr>
      </w:pPr>
    </w:p>
    <w:p w14:paraId="47AF95AA">
      <w:pPr>
        <w:autoSpaceDE w:val="0"/>
        <w:autoSpaceDN w:val="0"/>
        <w:adjustRightInd w:val="0"/>
        <w:jc w:val="center"/>
        <w:rPr>
          <w:rFonts w:ascii="宋体" w:hAnsi="宋体" w:cs="宋体"/>
          <w:color w:val="auto"/>
          <w:szCs w:val="21"/>
          <w:highlight w:val="none"/>
        </w:rPr>
      </w:pPr>
    </w:p>
    <w:p w14:paraId="7ABA66A7">
      <w:pPr>
        <w:autoSpaceDE w:val="0"/>
        <w:autoSpaceDN w:val="0"/>
        <w:adjustRightInd w:val="0"/>
        <w:spacing w:line="360" w:lineRule="auto"/>
        <w:ind w:firstLine="420"/>
        <w:jc w:val="center"/>
        <w:rPr>
          <w:rFonts w:ascii="宋体" w:hAnsi="宋体" w:cs="宋体"/>
          <w:color w:val="auto"/>
          <w:szCs w:val="21"/>
          <w:highlight w:val="none"/>
        </w:rPr>
      </w:pPr>
    </w:p>
    <w:p w14:paraId="220D0DF3">
      <w:pPr>
        <w:autoSpaceDE w:val="0"/>
        <w:autoSpaceDN w:val="0"/>
        <w:adjustRightInd w:val="0"/>
        <w:spacing w:line="360" w:lineRule="auto"/>
        <w:ind w:firstLine="420"/>
        <w:jc w:val="center"/>
        <w:rPr>
          <w:rFonts w:ascii="宋体" w:hAnsi="宋体" w:cs="宋体"/>
          <w:color w:val="auto"/>
          <w:szCs w:val="21"/>
          <w:highlight w:val="none"/>
        </w:rPr>
      </w:pPr>
    </w:p>
    <w:p w14:paraId="2C27A476">
      <w:pPr>
        <w:autoSpaceDE w:val="0"/>
        <w:autoSpaceDN w:val="0"/>
        <w:adjustRightInd w:val="0"/>
        <w:spacing w:line="360" w:lineRule="auto"/>
        <w:rPr>
          <w:rFonts w:ascii="宋体" w:hAnsi="宋体" w:cs="宋体"/>
          <w:color w:val="auto"/>
          <w:szCs w:val="21"/>
          <w:highlight w:val="none"/>
        </w:rPr>
      </w:pPr>
    </w:p>
    <w:p w14:paraId="57A0D841">
      <w:pPr>
        <w:adjustRightInd w:val="0"/>
        <w:snapToGrid w:val="0"/>
        <w:spacing w:line="360" w:lineRule="auto"/>
        <w:ind w:firstLine="602" w:firstLineChars="200"/>
        <w:jc w:val="left"/>
        <w:rPr>
          <w:rFonts w:ascii="宋体" w:hAnsi="宋体" w:cs="宋体"/>
          <w:b/>
          <w:color w:val="auto"/>
          <w:sz w:val="30"/>
          <w:szCs w:val="30"/>
          <w:highlight w:val="none"/>
        </w:rPr>
      </w:pPr>
      <w:r>
        <w:rPr>
          <w:rFonts w:hint="eastAsia" w:ascii="宋体" w:hAnsi="宋体" w:cs="宋体"/>
          <w:b/>
          <w:color w:val="auto"/>
          <w:sz w:val="30"/>
          <w:szCs w:val="30"/>
          <w:highlight w:val="none"/>
        </w:rPr>
        <w:t>采   购   人：南通市公路事业发展中心</w:t>
      </w:r>
    </w:p>
    <w:p w14:paraId="571CC6FD">
      <w:pPr>
        <w:adjustRightInd w:val="0"/>
        <w:snapToGrid w:val="0"/>
        <w:spacing w:line="360" w:lineRule="auto"/>
        <w:ind w:firstLine="602" w:firstLineChars="200"/>
        <w:jc w:val="left"/>
        <w:rPr>
          <w:rFonts w:ascii="宋体" w:hAnsi="宋体" w:cs="宋体"/>
          <w:b/>
          <w:color w:val="auto"/>
          <w:sz w:val="30"/>
          <w:szCs w:val="30"/>
          <w:highlight w:val="none"/>
        </w:rPr>
      </w:pPr>
      <w:r>
        <w:rPr>
          <w:rFonts w:hint="eastAsia" w:ascii="宋体" w:hAnsi="宋体" w:cs="宋体"/>
          <w:b/>
          <w:color w:val="auto"/>
          <w:sz w:val="30"/>
          <w:szCs w:val="30"/>
          <w:highlight w:val="none"/>
        </w:rPr>
        <w:t>采购代理机构：江苏睿致诚工程咨询有限公司</w:t>
      </w:r>
    </w:p>
    <w:p w14:paraId="023EADAB">
      <w:pPr>
        <w:adjustRightInd w:val="0"/>
        <w:snapToGrid w:val="0"/>
        <w:spacing w:line="360" w:lineRule="auto"/>
        <w:ind w:firstLine="602" w:firstLineChars="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2025年</w:t>
      </w:r>
      <w:r>
        <w:rPr>
          <w:rFonts w:hint="eastAsia" w:ascii="宋体" w:hAnsi="宋体" w:cs="宋体"/>
          <w:b/>
          <w:color w:val="auto"/>
          <w:sz w:val="30"/>
          <w:szCs w:val="30"/>
          <w:highlight w:val="none"/>
          <w:lang w:val="en-US" w:eastAsia="zh-CN"/>
        </w:rPr>
        <w:t>12</w:t>
      </w:r>
      <w:r>
        <w:rPr>
          <w:rFonts w:hint="eastAsia" w:ascii="宋体" w:hAnsi="宋体" w:cs="宋体"/>
          <w:b/>
          <w:color w:val="auto"/>
          <w:sz w:val="30"/>
          <w:szCs w:val="30"/>
          <w:highlight w:val="none"/>
        </w:rPr>
        <w:t>月</w:t>
      </w:r>
    </w:p>
    <w:p w14:paraId="743EA168">
      <w:pPr>
        <w:autoSpaceDE w:val="0"/>
        <w:autoSpaceDN w:val="0"/>
        <w:adjustRightInd w:val="0"/>
        <w:spacing w:line="360" w:lineRule="auto"/>
        <w:jc w:val="center"/>
        <w:outlineLvl w:val="0"/>
        <w:rPr>
          <w:rFonts w:ascii="宋体" w:hAnsi="宋体" w:cs="宋体"/>
          <w:b/>
          <w:bCs/>
          <w:color w:val="auto"/>
          <w:sz w:val="44"/>
          <w:szCs w:val="44"/>
          <w:highlight w:val="none"/>
          <w:lang w:val="zh-CN"/>
        </w:rPr>
      </w:pPr>
      <w:r>
        <w:rPr>
          <w:rFonts w:hint="eastAsia" w:ascii="宋体" w:hAnsi="宋体" w:cs="宋体"/>
          <w:b/>
          <w:bCs/>
          <w:color w:val="auto"/>
          <w:sz w:val="44"/>
          <w:szCs w:val="44"/>
          <w:highlight w:val="none"/>
          <w:lang w:val="zh-CN"/>
        </w:rPr>
        <w:br w:type="page"/>
      </w:r>
      <w:r>
        <w:rPr>
          <w:rFonts w:hint="eastAsia" w:ascii="宋体" w:hAnsi="宋体" w:cs="宋体"/>
          <w:b/>
          <w:bCs/>
          <w:color w:val="auto"/>
          <w:sz w:val="44"/>
          <w:szCs w:val="44"/>
          <w:highlight w:val="none"/>
          <w:lang w:val="zh-CN"/>
        </w:rPr>
        <w:t>目   录</w:t>
      </w:r>
    </w:p>
    <w:p w14:paraId="45D8E3E1">
      <w:pPr>
        <w:autoSpaceDE w:val="0"/>
        <w:autoSpaceDN w:val="0"/>
        <w:adjustRightInd w:val="0"/>
        <w:spacing w:line="480" w:lineRule="auto"/>
        <w:ind w:firstLine="556"/>
        <w:rPr>
          <w:rFonts w:ascii="宋体" w:hAnsi="宋体" w:cs="宋体"/>
          <w:b/>
          <w:bCs/>
          <w:color w:val="auto"/>
          <w:sz w:val="32"/>
          <w:szCs w:val="32"/>
          <w:highlight w:val="none"/>
        </w:rPr>
      </w:pPr>
    </w:p>
    <w:p w14:paraId="5CF6BA9E">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第一部分  竞争性磋商公告</w:t>
      </w:r>
    </w:p>
    <w:p w14:paraId="5120B71D">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第二部分  磋商须知</w:t>
      </w:r>
    </w:p>
    <w:p w14:paraId="61CFB728">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第三部分  项目需求</w:t>
      </w:r>
    </w:p>
    <w:p w14:paraId="7D7C8609">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第四部分  磋商程序和内容</w:t>
      </w:r>
    </w:p>
    <w:p w14:paraId="01884277">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第五部分  合同签订与验收付款</w:t>
      </w:r>
    </w:p>
    <w:p w14:paraId="330CC46A">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第六部分  质疑提出和处理</w:t>
      </w:r>
    </w:p>
    <w:p w14:paraId="48E188C5">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第七部分  响应文件组成</w:t>
      </w:r>
    </w:p>
    <w:p w14:paraId="7A603905">
      <w:pPr>
        <w:tabs>
          <w:tab w:val="left" w:pos="7740"/>
        </w:tabs>
        <w:spacing w:line="500" w:lineRule="exact"/>
        <w:rPr>
          <w:rFonts w:ascii="宋体" w:hAnsi="宋体" w:cs="宋体"/>
          <w:b/>
          <w:color w:val="auto"/>
          <w:spacing w:val="2"/>
          <w:sz w:val="32"/>
          <w:szCs w:val="32"/>
          <w:highlight w:val="none"/>
        </w:rPr>
      </w:pPr>
    </w:p>
    <w:p w14:paraId="0CE77F72">
      <w:pPr>
        <w:autoSpaceDE w:val="0"/>
        <w:autoSpaceDN w:val="0"/>
        <w:adjustRightInd w:val="0"/>
        <w:spacing w:line="540" w:lineRule="exact"/>
        <w:jc w:val="center"/>
        <w:rPr>
          <w:rFonts w:ascii="宋体" w:hAnsi="宋体" w:cs="宋体"/>
          <w:b/>
          <w:bCs/>
          <w:color w:val="auto"/>
          <w:sz w:val="36"/>
          <w:szCs w:val="36"/>
          <w:highlight w:val="none"/>
          <w:lang w:val="zh-CN"/>
        </w:rPr>
      </w:pPr>
    </w:p>
    <w:p w14:paraId="7EB15FC8">
      <w:pPr>
        <w:autoSpaceDE w:val="0"/>
        <w:autoSpaceDN w:val="0"/>
        <w:adjustRightInd w:val="0"/>
        <w:spacing w:line="540" w:lineRule="exact"/>
        <w:rPr>
          <w:rFonts w:ascii="宋体" w:hAnsi="宋体" w:cs="宋体"/>
          <w:b/>
          <w:bCs/>
          <w:color w:val="auto"/>
          <w:sz w:val="36"/>
          <w:szCs w:val="36"/>
          <w:highlight w:val="none"/>
          <w:lang w:val="zh-CN"/>
        </w:rPr>
      </w:pPr>
    </w:p>
    <w:p w14:paraId="76BFA547">
      <w:pPr>
        <w:autoSpaceDE w:val="0"/>
        <w:autoSpaceDN w:val="0"/>
        <w:adjustRightInd w:val="0"/>
        <w:spacing w:line="540" w:lineRule="exact"/>
        <w:jc w:val="center"/>
        <w:rPr>
          <w:rFonts w:ascii="宋体" w:hAnsi="宋体" w:cs="宋体"/>
          <w:b/>
          <w:bCs/>
          <w:color w:val="auto"/>
          <w:sz w:val="36"/>
          <w:szCs w:val="36"/>
          <w:highlight w:val="none"/>
          <w:lang w:val="zh-CN"/>
        </w:rPr>
      </w:pPr>
    </w:p>
    <w:p w14:paraId="7F345DE2">
      <w:pPr>
        <w:autoSpaceDE w:val="0"/>
        <w:autoSpaceDN w:val="0"/>
        <w:adjustRightInd w:val="0"/>
        <w:spacing w:line="540" w:lineRule="exact"/>
        <w:jc w:val="center"/>
        <w:rPr>
          <w:rFonts w:ascii="宋体" w:hAnsi="宋体" w:cs="宋体"/>
          <w:b/>
          <w:bCs/>
          <w:color w:val="auto"/>
          <w:sz w:val="36"/>
          <w:szCs w:val="36"/>
          <w:highlight w:val="none"/>
          <w:lang w:val="zh-CN"/>
        </w:rPr>
      </w:pPr>
    </w:p>
    <w:p w14:paraId="0B7B5570">
      <w:pPr>
        <w:autoSpaceDE w:val="0"/>
        <w:autoSpaceDN w:val="0"/>
        <w:adjustRightInd w:val="0"/>
        <w:spacing w:line="540" w:lineRule="exact"/>
        <w:jc w:val="center"/>
        <w:rPr>
          <w:rFonts w:ascii="宋体" w:hAnsi="宋体" w:cs="宋体"/>
          <w:b/>
          <w:bCs/>
          <w:color w:val="auto"/>
          <w:sz w:val="36"/>
          <w:szCs w:val="36"/>
          <w:highlight w:val="none"/>
          <w:lang w:val="zh-CN"/>
        </w:rPr>
      </w:pPr>
    </w:p>
    <w:p w14:paraId="266007DB">
      <w:pPr>
        <w:autoSpaceDE w:val="0"/>
        <w:autoSpaceDN w:val="0"/>
        <w:adjustRightInd w:val="0"/>
        <w:spacing w:line="540" w:lineRule="exact"/>
        <w:jc w:val="center"/>
        <w:rPr>
          <w:rFonts w:ascii="宋体" w:hAnsi="宋体" w:cs="宋体"/>
          <w:b/>
          <w:bCs/>
          <w:color w:val="auto"/>
          <w:sz w:val="36"/>
          <w:szCs w:val="36"/>
          <w:highlight w:val="none"/>
          <w:lang w:val="zh-CN"/>
        </w:rPr>
      </w:pPr>
    </w:p>
    <w:p w14:paraId="5F5D402A">
      <w:pPr>
        <w:autoSpaceDE w:val="0"/>
        <w:autoSpaceDN w:val="0"/>
        <w:adjustRightInd w:val="0"/>
        <w:spacing w:line="540" w:lineRule="exact"/>
        <w:rPr>
          <w:rFonts w:ascii="宋体" w:hAnsi="宋体" w:cs="宋体"/>
          <w:b/>
          <w:bCs/>
          <w:color w:val="auto"/>
          <w:sz w:val="36"/>
          <w:szCs w:val="36"/>
          <w:highlight w:val="none"/>
          <w:lang w:val="zh-CN"/>
        </w:rPr>
      </w:pPr>
    </w:p>
    <w:p w14:paraId="0EE00D08">
      <w:pPr>
        <w:autoSpaceDE w:val="0"/>
        <w:autoSpaceDN w:val="0"/>
        <w:adjustRightInd w:val="0"/>
        <w:snapToGrid w:val="0"/>
        <w:spacing w:line="30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r>
        <w:rPr>
          <w:rFonts w:hint="eastAsia" w:ascii="宋体" w:hAnsi="宋体" w:cs="宋体"/>
          <w:b/>
          <w:bCs/>
          <w:color w:val="auto"/>
          <w:sz w:val="36"/>
          <w:szCs w:val="36"/>
          <w:highlight w:val="none"/>
          <w:lang w:val="zh-CN"/>
        </w:rPr>
        <w:t xml:space="preserve">第一部分  </w:t>
      </w:r>
      <w:bookmarkStart w:id="0" w:name="_Hlk156306618"/>
      <w:r>
        <w:rPr>
          <w:rFonts w:hint="eastAsia" w:ascii="宋体" w:hAnsi="宋体" w:cs="宋体"/>
          <w:b/>
          <w:bCs/>
          <w:color w:val="auto"/>
          <w:sz w:val="36"/>
          <w:szCs w:val="36"/>
          <w:highlight w:val="none"/>
          <w:lang w:val="zh-CN"/>
        </w:rPr>
        <w:t>竞争性磋商公告</w:t>
      </w:r>
    </w:p>
    <w:p w14:paraId="356A4314">
      <w:pPr>
        <w:keepNext w:val="0"/>
        <w:keepLines w:val="0"/>
        <w:pageBreakBefore w:val="0"/>
        <w:topLinePunct w:val="0"/>
        <w:bidi w:val="0"/>
        <w:adjustRightInd w:val="0"/>
        <w:snapToGrid w:val="0"/>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一、项目基本情况</w:t>
      </w:r>
    </w:p>
    <w:p w14:paraId="60F89A2D">
      <w:pPr>
        <w:keepNext w:val="0"/>
        <w:keepLines w:val="0"/>
        <w:pageBreakBefore w:val="0"/>
        <w:topLinePunct w:val="0"/>
        <w:bidi w:val="0"/>
        <w:adjustRightInd w:val="0"/>
        <w:snapToGrid w:val="0"/>
        <w:spacing w:line="360" w:lineRule="auto"/>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rPr>
        <w:t>1.项目</w:t>
      </w:r>
      <w:r>
        <w:rPr>
          <w:rFonts w:hint="eastAsia" w:ascii="宋体" w:hAnsi="宋体" w:cs="宋体"/>
          <w:color w:val="auto"/>
          <w:sz w:val="24"/>
          <w:highlight w:val="none"/>
          <w:lang w:eastAsia="zh-CN"/>
        </w:rPr>
        <w:t>编号：</w:t>
      </w:r>
      <w:r>
        <w:rPr>
          <w:rFonts w:hint="eastAsia" w:ascii="宋体" w:hAnsi="宋体" w:cs="宋体"/>
          <w:color w:val="auto"/>
          <w:sz w:val="24"/>
          <w:highlight w:val="none"/>
          <w:lang w:val="en-US" w:eastAsia="zh-CN"/>
        </w:rPr>
        <w:t>2026-2028Flfw</w:t>
      </w:r>
    </w:p>
    <w:p w14:paraId="427437DB">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2026-2028年南通市公路事业发展中心法律服务项目</w:t>
      </w:r>
    </w:p>
    <w:p w14:paraId="1FE19460">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3.项目类型：服务</w:t>
      </w:r>
    </w:p>
    <w:p w14:paraId="0118130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4.所属行业：其他未列明行业</w:t>
      </w:r>
    </w:p>
    <w:p w14:paraId="18B9B0D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5.预算金额：</w:t>
      </w:r>
      <w:r>
        <w:rPr>
          <w:rFonts w:hint="eastAsia" w:ascii="宋体" w:hAnsi="宋体" w:cs="宋体"/>
          <w:color w:val="auto"/>
          <w:sz w:val="24"/>
          <w:highlight w:val="none"/>
          <w:lang w:val="en-US" w:eastAsia="zh-CN"/>
        </w:rPr>
        <w:t>人民币壹拾陆万元/年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160000元/年</w:t>
      </w:r>
      <w:r>
        <w:rPr>
          <w:rFonts w:hint="eastAsia" w:ascii="宋体" w:hAnsi="宋体" w:cs="宋体"/>
          <w:color w:val="auto"/>
          <w:sz w:val="24"/>
          <w:highlight w:val="none"/>
        </w:rPr>
        <w:t>）</w:t>
      </w:r>
    </w:p>
    <w:p w14:paraId="26F39804">
      <w:pPr>
        <w:keepNext w:val="0"/>
        <w:keepLines w:val="0"/>
        <w:pageBreakBefore w:val="0"/>
        <w:topLinePunct w:val="0"/>
        <w:bidi w:val="0"/>
        <w:adjustRightInd w:val="0"/>
        <w:snapToGrid w:val="0"/>
        <w:spacing w:line="360" w:lineRule="auto"/>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rPr>
        <w:t>最高投标限价</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val="en-US" w:eastAsia="zh-CN"/>
        </w:rPr>
        <w:t>本项目为固定价格报价</w:t>
      </w:r>
      <w:r>
        <w:rPr>
          <w:rFonts w:hint="eastAsia" w:ascii="宋体" w:hAnsi="宋体" w:cs="宋体"/>
          <w:color w:val="auto"/>
          <w:sz w:val="24"/>
          <w:szCs w:val="24"/>
          <w:highlight w:val="none"/>
          <w:lang w:val="en-US" w:eastAsia="zh-CN"/>
        </w:rPr>
        <w:t>，报价为</w:t>
      </w:r>
      <w:r>
        <w:rPr>
          <w:rFonts w:hint="eastAsia" w:ascii="宋体" w:hAnsi="宋体" w:cs="宋体"/>
          <w:color w:val="auto"/>
          <w:sz w:val="24"/>
          <w:highlight w:val="none"/>
        </w:rPr>
        <w:t>人民币</w:t>
      </w:r>
      <w:r>
        <w:rPr>
          <w:rFonts w:hint="eastAsia" w:ascii="宋体" w:hAnsi="宋体" w:cs="宋体"/>
          <w:color w:val="auto"/>
          <w:sz w:val="24"/>
          <w:highlight w:val="none"/>
          <w:lang w:val="en-US" w:eastAsia="zh-CN"/>
        </w:rPr>
        <w:t>壹拾伍万元/年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150000元/年）。</w:t>
      </w:r>
    </w:p>
    <w:p w14:paraId="2BBDDC3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6.采购需求：对2026-2028年南通市公路事业发展中心（含各分中心）涉及的法律事务提供相关服务，</w:t>
      </w:r>
      <w:r>
        <w:rPr>
          <w:rFonts w:hint="eastAsia" w:ascii="宋体" w:hAnsi="宋体" w:cs="宋体"/>
          <w:color w:val="auto"/>
          <w:sz w:val="24"/>
          <w:highlight w:val="none"/>
          <w:lang w:eastAsia="zh-CN"/>
        </w:rPr>
        <w:t>本项目</w:t>
      </w:r>
      <w:r>
        <w:rPr>
          <w:rFonts w:hint="eastAsia" w:ascii="宋体" w:hAnsi="宋体" w:cs="宋体"/>
          <w:color w:val="auto"/>
          <w:sz w:val="24"/>
          <w:highlight w:val="none"/>
        </w:rPr>
        <w:t>不包含经采购人党委会集体讨论研究认定为需要另行项目化实施的服务项目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具体</w:t>
      </w:r>
      <w:r>
        <w:rPr>
          <w:rFonts w:hint="eastAsia" w:ascii="宋体" w:hAnsi="宋体" w:cs="宋体"/>
          <w:color w:val="auto"/>
          <w:sz w:val="24"/>
          <w:highlight w:val="none"/>
        </w:rPr>
        <w:t>详见《第三部分项目需求》，请仔细研究。</w:t>
      </w:r>
    </w:p>
    <w:p w14:paraId="00B8389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合同履行期限：</w:t>
      </w:r>
      <w:r>
        <w:rPr>
          <w:rFonts w:hint="eastAsia" w:ascii="宋体" w:hAnsi="宋体" w:cs="宋体"/>
          <w:color w:val="auto"/>
          <w:sz w:val="24"/>
          <w:highlight w:val="none"/>
          <w:lang w:val="zh-CN"/>
        </w:rPr>
        <w:t>首年服务期为</w:t>
      </w:r>
      <w:r>
        <w:rPr>
          <w:rFonts w:hint="eastAsia" w:ascii="宋体" w:hAnsi="宋体" w:cs="宋体"/>
          <w:color w:val="auto"/>
          <w:sz w:val="24"/>
          <w:highlight w:val="none"/>
        </w:rPr>
        <w:t>2026年1月1日-2026年12月31日</w:t>
      </w:r>
      <w:r>
        <w:rPr>
          <w:rFonts w:hint="eastAsia" w:ascii="宋体" w:hAnsi="宋体" w:cs="宋体"/>
          <w:color w:val="auto"/>
          <w:sz w:val="24"/>
          <w:highlight w:val="none"/>
          <w:lang w:val="zh-CN"/>
        </w:rPr>
        <w:t>。采购人有权对成交供应商履职期间的情况综合考核并决定是否续签合同，</w:t>
      </w:r>
      <w:r>
        <w:rPr>
          <w:rFonts w:hint="eastAsia" w:ascii="宋体" w:hAnsi="宋体" w:cs="宋体"/>
          <w:color w:val="auto"/>
          <w:sz w:val="24"/>
          <w:highlight w:val="none"/>
        </w:rPr>
        <w:t>评价为优、良的为考核合格，可续签下一年度合同；评价为中、差的为考核不合格，不再续签下一年度合同；</w:t>
      </w:r>
      <w:r>
        <w:rPr>
          <w:rFonts w:hint="eastAsia" w:ascii="宋体" w:hAnsi="宋体" w:cs="宋体"/>
          <w:color w:val="auto"/>
          <w:sz w:val="24"/>
          <w:highlight w:val="none"/>
          <w:lang w:val="zh-CN"/>
        </w:rPr>
        <w:t>续签合同服务期为</w:t>
      </w:r>
      <w:r>
        <w:rPr>
          <w:rFonts w:hint="eastAsia" w:ascii="宋体" w:hAnsi="宋体" w:cs="宋体"/>
          <w:color w:val="auto"/>
          <w:sz w:val="24"/>
          <w:highlight w:val="none"/>
        </w:rPr>
        <w:t>12个月,最多可续签两次。</w:t>
      </w:r>
    </w:p>
    <w:p w14:paraId="4F62FF1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8.本项目不接受联合体磋商。</w:t>
      </w:r>
    </w:p>
    <w:p w14:paraId="49B76DCA">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9.</w:t>
      </w:r>
      <w:r>
        <w:rPr>
          <w:rFonts w:hint="eastAsia" w:cs="宋体" w:asciiTheme="minorEastAsia" w:hAnsiTheme="minorEastAsia" w:eastAsiaTheme="minorEastAsia"/>
          <w:color w:val="auto"/>
          <w:sz w:val="24"/>
          <w:highlight w:val="none"/>
        </w:rPr>
        <w:t>本项目</w:t>
      </w:r>
      <w:r>
        <w:rPr>
          <w:rFonts w:hint="eastAsia" w:cs="宋体" w:asciiTheme="minorEastAsia" w:hAnsiTheme="minorEastAsia" w:eastAsiaTheme="minorEastAsia"/>
          <w:color w:val="auto"/>
          <w:sz w:val="24"/>
          <w:highlight w:val="none"/>
          <w:lang w:val="en-US" w:eastAsia="zh-CN"/>
        </w:rPr>
        <w:t>不允许</w:t>
      </w:r>
      <w:r>
        <w:rPr>
          <w:rFonts w:hint="eastAsia" w:cs="宋体" w:asciiTheme="minorEastAsia" w:hAnsiTheme="minorEastAsia" w:eastAsiaTheme="minorEastAsia"/>
          <w:color w:val="auto"/>
          <w:sz w:val="24"/>
          <w:highlight w:val="none"/>
        </w:rPr>
        <w:t>分包。</w:t>
      </w:r>
    </w:p>
    <w:p w14:paraId="2523C3BB">
      <w:pPr>
        <w:keepNext w:val="0"/>
        <w:keepLines w:val="0"/>
        <w:pageBreakBefore w:val="0"/>
        <w:topLinePunct w:val="0"/>
        <w:bidi w:val="0"/>
        <w:adjustRightInd w:val="0"/>
        <w:snapToGrid w:val="0"/>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二、供应商资格要求</w:t>
      </w:r>
    </w:p>
    <w:p w14:paraId="739C8A67">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1.符合《中华人民共和国政府采购法》第二十二条规定。</w:t>
      </w:r>
    </w:p>
    <w:p w14:paraId="5124F58C">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2.落实政府采购政策需满足的资格要求：本项目</w:t>
      </w: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专门面向中小微企业采购。</w:t>
      </w:r>
    </w:p>
    <w:p w14:paraId="0221ED0E">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3.本项目的特定资格要求：</w:t>
      </w:r>
    </w:p>
    <w:p w14:paraId="066934BB">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供应商具有《律师事务所执业许可证》或《律师事务所分所执业许可证》。</w:t>
      </w:r>
    </w:p>
    <w:p w14:paraId="7DF1A11D">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项目负责人(即主办律师)及拟投入项目的其他成员均应具有有效的律师执业资格证书。且为供应商自有人员，提供投标供应商为其缴纳的近3个月（</w:t>
      </w:r>
      <w:r>
        <w:rPr>
          <w:rFonts w:hint="eastAsia" w:ascii="宋体" w:hAnsi="宋体" w:cs="宋体"/>
          <w:color w:val="auto"/>
          <w:sz w:val="24"/>
          <w:highlight w:val="none"/>
          <w:lang w:val="en-US" w:eastAsia="zh-CN"/>
        </w:rPr>
        <w:t>2025年10月2025年12月）</w:t>
      </w:r>
      <w:r>
        <w:rPr>
          <w:rFonts w:hint="eastAsia" w:ascii="宋体" w:hAnsi="宋体" w:cs="宋体"/>
          <w:color w:val="auto"/>
          <w:sz w:val="24"/>
          <w:highlight w:val="none"/>
        </w:rPr>
        <w:t>内任意一个月社保缴费证明，社保缴纳证明材料需含缴费起止时间、缴费单位、缴费人员姓名并由社保机构加盖缴费证明专用章，社保机构官网上打印件与线下的盖章件具有同等效力，缴费单位须与投标供应商名称一致（投标供应商下属不具备独立法人资格的分支机构缴纳的社保视为本单位）。</w:t>
      </w:r>
    </w:p>
    <w:p w14:paraId="202DBD9E">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在“信用中国”网站（www.creditchina.gov.cn）查询，无被列入失信被执行人、重大税收违法</w:t>
      </w:r>
      <w:r>
        <w:rPr>
          <w:rFonts w:hint="eastAsia" w:ascii="宋体" w:hAnsi="宋体" w:eastAsia="宋体" w:cs="宋体"/>
          <w:color w:val="auto"/>
          <w:sz w:val="24"/>
          <w:szCs w:val="24"/>
          <w:highlight w:val="none"/>
          <w:lang w:val="en-US" w:eastAsia="zh-CN"/>
        </w:rPr>
        <w:t>失信主体</w:t>
      </w:r>
      <w:r>
        <w:rPr>
          <w:rFonts w:hint="eastAsia" w:ascii="宋体" w:hAnsi="宋体" w:eastAsia="宋体" w:cs="宋体"/>
          <w:color w:val="auto"/>
          <w:sz w:val="24"/>
          <w:szCs w:val="24"/>
          <w:highlight w:val="none"/>
        </w:rPr>
        <w:t>名单、严重失信</w:t>
      </w:r>
      <w:r>
        <w:rPr>
          <w:rFonts w:hint="eastAsia" w:ascii="宋体" w:hAnsi="宋体" w:eastAsia="宋体" w:cs="宋体"/>
          <w:color w:val="auto"/>
          <w:sz w:val="24"/>
          <w:szCs w:val="24"/>
          <w:highlight w:val="none"/>
          <w:lang w:val="en-US" w:eastAsia="zh-CN"/>
        </w:rPr>
        <w:t>主体</w:t>
      </w:r>
      <w:r>
        <w:rPr>
          <w:rFonts w:hint="eastAsia" w:ascii="宋体" w:hAnsi="宋体" w:eastAsia="宋体" w:cs="宋体"/>
          <w:color w:val="auto"/>
          <w:sz w:val="24"/>
          <w:szCs w:val="24"/>
          <w:highlight w:val="none"/>
        </w:rPr>
        <w:t>名单及其他不符合《中华人民共和国政府采购法》第二十二条规定条件的信用记录。（响应文件中无需提供证明材料）</w:t>
      </w:r>
      <w:r>
        <w:rPr>
          <w:rFonts w:hint="eastAsia" w:ascii="宋体" w:hAnsi="宋体" w:cs="宋体"/>
          <w:color w:val="auto"/>
          <w:sz w:val="24"/>
          <w:highlight w:val="none"/>
        </w:rPr>
        <w:t>。</w:t>
      </w:r>
    </w:p>
    <w:p w14:paraId="45C2331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4.与采购人存在利害关系可能影响公正性的单位，单位负责人为同一人或者存在直接控股、管理关系的不同供应商</w:t>
      </w:r>
      <w:r>
        <w:rPr>
          <w:rFonts w:hint="eastAsia" w:ascii="宋体" w:hAnsi="宋体" w:cs="宋体"/>
          <w:color w:val="auto"/>
          <w:sz w:val="24"/>
          <w:highlight w:val="none"/>
          <w:lang w:eastAsia="zh-CN"/>
        </w:rPr>
        <w:t>，</w:t>
      </w:r>
      <w:r>
        <w:rPr>
          <w:rFonts w:hint="eastAsia" w:ascii="宋体" w:hAnsi="宋体" w:cs="宋体"/>
          <w:color w:val="auto"/>
          <w:sz w:val="24"/>
          <w:highlight w:val="none"/>
        </w:rPr>
        <w:t>不得参加同一合同项下的政府采购活动。若同时参加同一合同项下的政府采购活动，则相关供应商的投标均做无效投标处理。</w:t>
      </w:r>
    </w:p>
    <w:p w14:paraId="0573EDA1">
      <w:pPr>
        <w:pStyle w:val="33"/>
        <w:keepNext w:val="0"/>
        <w:keepLines w:val="0"/>
        <w:pageBreakBefore w:val="0"/>
        <w:topLinePunct w:val="0"/>
        <w:bidi w:val="0"/>
        <w:adjustRightInd w:val="0"/>
        <w:snapToGrid w:val="0"/>
        <w:spacing w:line="360" w:lineRule="auto"/>
        <w:ind w:firstLine="482" w:firstLineChars="200"/>
        <w:textAlignment w:val="auto"/>
        <w:rPr>
          <w:rFonts w:eastAsia="宋体" w:cs="宋体"/>
          <w:b/>
          <w:bCs/>
          <w:color w:val="auto"/>
          <w:highlight w:val="none"/>
        </w:rPr>
      </w:pPr>
      <w:r>
        <w:rPr>
          <w:rFonts w:hint="eastAsia" w:eastAsia="宋体" w:cs="宋体"/>
          <w:b/>
          <w:color w:val="auto"/>
          <w:kern w:val="0"/>
          <w:highlight w:val="none"/>
        </w:rPr>
        <w:t>注：请供应商认真对照资格要求，如不符合要求，无意或故意参与投标的，所产生的一切后果由供应商承担。对提供虚假材料的供应商作无效标处理，将报相关主管部门后将其列入黑名单，视情形在相关网站上公示。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3CD1244F">
      <w:pPr>
        <w:keepNext w:val="0"/>
        <w:keepLines w:val="0"/>
        <w:pageBreakBefore w:val="0"/>
        <w:topLinePunct w:val="0"/>
        <w:bidi w:val="0"/>
        <w:adjustRightInd w:val="0"/>
        <w:snapToGrid w:val="0"/>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三、获取磋商文件</w:t>
      </w:r>
    </w:p>
    <w:p w14:paraId="78616546">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1.申请</w:t>
      </w:r>
    </w:p>
    <w:p w14:paraId="2AA113E6">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申请时间：自公告上网发布之日起至</w:t>
      </w:r>
      <w:r>
        <w:rPr>
          <w:rFonts w:hint="eastAsia" w:ascii="宋体" w:hAnsi="宋体" w:cs="宋体"/>
          <w:color w:val="auto"/>
          <w:spacing w:val="7"/>
          <w:kern w:val="0"/>
          <w:sz w:val="24"/>
          <w:highlight w:val="none"/>
          <w:u w:val="single"/>
        </w:rPr>
        <w:t>2025</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12</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25</w:t>
      </w:r>
      <w:r>
        <w:rPr>
          <w:rFonts w:hint="eastAsia" w:ascii="宋体" w:hAnsi="宋体" w:cs="宋体"/>
          <w:color w:val="auto"/>
          <w:spacing w:val="7"/>
          <w:kern w:val="0"/>
          <w:sz w:val="24"/>
          <w:highlight w:val="none"/>
        </w:rPr>
        <w:t>日，每日工作时间：上午9:00—11:30整，</w:t>
      </w:r>
      <w:r>
        <w:rPr>
          <w:rFonts w:hint="eastAsia" w:ascii="宋体" w:hAnsi="宋体" w:cs="宋体"/>
          <w:color w:val="auto"/>
          <w:spacing w:val="7"/>
          <w:kern w:val="0"/>
          <w:sz w:val="24"/>
          <w:highlight w:val="none"/>
          <w:lang w:eastAsia="zh-CN"/>
        </w:rPr>
        <w:t>13:30</w:t>
      </w:r>
      <w:r>
        <w:rPr>
          <w:rFonts w:hint="eastAsia" w:ascii="宋体" w:hAnsi="宋体" w:cs="宋体"/>
          <w:color w:val="auto"/>
          <w:spacing w:val="7"/>
          <w:kern w:val="0"/>
          <w:sz w:val="24"/>
          <w:highlight w:val="none"/>
        </w:rPr>
        <w:t>—17:30整（节假日除外）。</w:t>
      </w:r>
    </w:p>
    <w:p w14:paraId="4D250A0F">
      <w:pPr>
        <w:keepNext w:val="0"/>
        <w:keepLines w:val="0"/>
        <w:pageBreakBefore w:val="0"/>
        <w:topLinePunct w:val="0"/>
        <w:bidi w:val="0"/>
        <w:adjustRightInd w:val="0"/>
        <w:snapToGrid w:val="0"/>
        <w:spacing w:line="360" w:lineRule="auto"/>
        <w:ind w:firstLine="480" w:firstLineChars="200"/>
        <w:contextualSpacing/>
        <w:textAlignment w:val="auto"/>
        <w:rPr>
          <w:rFonts w:ascii="宋体" w:hAnsi="宋体" w:cs="宋体"/>
          <w:color w:val="auto"/>
          <w:spacing w:val="7"/>
          <w:kern w:val="0"/>
          <w:sz w:val="24"/>
          <w:highlight w:val="none"/>
        </w:rPr>
      </w:pPr>
      <w:r>
        <w:rPr>
          <w:rFonts w:hint="eastAsia" w:ascii="宋体" w:hAnsi="宋体" w:cs="宋体"/>
          <w:color w:val="auto"/>
          <w:kern w:val="0"/>
          <w:sz w:val="24"/>
          <w:highlight w:val="none"/>
        </w:rPr>
        <w:t>按照磋商公告下附件《申请函》的形式，回函（加盖单位章）发彩色扫描件至邮箱中（联系人：陆工，联系电话：18260596237），并致电代理机构确认邮件送达，确认是否参与本次投标的相关事宜。</w:t>
      </w:r>
    </w:p>
    <w:p w14:paraId="02C1359E">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申请提供资料：按附件提供《申请函》</w:t>
      </w:r>
    </w:p>
    <w:p w14:paraId="26D52649">
      <w:pPr>
        <w:keepNext w:val="0"/>
        <w:keepLines w:val="0"/>
        <w:pageBreakBefore w:val="0"/>
        <w:topLinePunct w:val="0"/>
        <w:bidi w:val="0"/>
        <w:adjustRightInd w:val="0"/>
        <w:snapToGrid w:val="0"/>
        <w:spacing w:line="360" w:lineRule="auto"/>
        <w:ind w:firstLine="482" w:firstLineChars="200"/>
        <w:contextualSpacing/>
        <w:textAlignment w:val="auto"/>
        <w:rPr>
          <w:rFonts w:ascii="宋体" w:hAnsi="宋体" w:cs="宋体"/>
          <w:color w:val="auto"/>
          <w:spacing w:val="7"/>
          <w:kern w:val="0"/>
          <w:sz w:val="24"/>
          <w:highlight w:val="none"/>
        </w:rPr>
      </w:pPr>
      <w:r>
        <w:rPr>
          <w:rFonts w:hint="eastAsia" w:ascii="宋体" w:hAnsi="宋体" w:cs="宋体"/>
          <w:b/>
          <w:bCs/>
          <w:color w:val="auto"/>
          <w:kern w:val="0"/>
          <w:sz w:val="24"/>
          <w:highlight w:val="none"/>
        </w:rPr>
        <w:t>未按要求进行申请的不具备磋商资格。</w:t>
      </w:r>
    </w:p>
    <w:p w14:paraId="4599E885">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2.获取磋商文件</w:t>
      </w:r>
    </w:p>
    <w:p w14:paraId="4305950B">
      <w:pPr>
        <w:keepNext w:val="0"/>
        <w:keepLines w:val="0"/>
        <w:pageBreakBefore w:val="0"/>
        <w:topLinePunct w:val="0"/>
        <w:bidi w:val="0"/>
        <w:adjustRightInd w:val="0"/>
        <w:snapToGrid w:val="0"/>
        <w:spacing w:line="360" w:lineRule="auto"/>
        <w:ind w:firstLine="508" w:firstLineChars="200"/>
        <w:contextualSpacing/>
        <w:jc w:val="left"/>
        <w:textAlignment w:val="auto"/>
        <w:rPr>
          <w:rFonts w:ascii="宋体" w:hAnsi="宋体" w:cs="宋体"/>
          <w:color w:val="auto"/>
          <w:spacing w:val="7"/>
          <w:kern w:val="0"/>
          <w:sz w:val="24"/>
          <w:highlight w:val="none"/>
        </w:rPr>
      </w:pPr>
      <w:r>
        <w:rPr>
          <w:rFonts w:ascii="宋体" w:hAnsi="宋体" w:cs="宋体"/>
          <w:color w:val="auto"/>
          <w:spacing w:val="7"/>
          <w:kern w:val="0"/>
          <w:sz w:val="24"/>
          <w:highlight w:val="none"/>
        </w:rPr>
        <w:t>各申请人</w:t>
      </w:r>
      <w:r>
        <w:rPr>
          <w:rFonts w:hint="eastAsia" w:ascii="宋体" w:cs="宋体"/>
          <w:color w:val="auto"/>
          <w:sz w:val="24"/>
          <w:highlight w:val="none"/>
        </w:rPr>
        <w:t>在南通市交通运输局网站（网址：</w:t>
      </w:r>
      <w:r>
        <w:rPr>
          <w:rFonts w:hint="eastAsia" w:ascii="宋体" w:hAnsi="Times New Roman" w:eastAsia="宋体" w:cs="宋体"/>
          <w:color w:val="auto"/>
          <w:sz w:val="24"/>
          <w:highlight w:val="none"/>
        </w:rPr>
        <w:fldChar w:fldCharType="begin"/>
      </w:r>
      <w:r>
        <w:rPr>
          <w:rFonts w:hint="eastAsia" w:ascii="宋体" w:hAnsi="Times New Roman" w:eastAsia="宋体" w:cs="宋体"/>
          <w:color w:val="auto"/>
          <w:sz w:val="24"/>
          <w:highlight w:val="none"/>
        </w:rPr>
        <w:instrText xml:space="preserve"> HYPERLINK "http://jtysj.nantong.gov.cn/）上。南通市交通运输局网站是本项目竞争性谈判公告、补遗书、谈判文件澄清、成交结果公告等采购信息约定的唯一公开发布媒介。" </w:instrText>
      </w:r>
      <w:r>
        <w:rPr>
          <w:rFonts w:hint="eastAsia" w:ascii="宋体" w:hAnsi="Times New Roman" w:eastAsia="宋体" w:cs="宋体"/>
          <w:color w:val="auto"/>
          <w:sz w:val="24"/>
          <w:highlight w:val="none"/>
        </w:rPr>
        <w:fldChar w:fldCharType="separate"/>
      </w:r>
      <w:r>
        <w:rPr>
          <w:rFonts w:hint="eastAsia" w:ascii="宋体" w:hAnsi="Times New Roman" w:eastAsia="宋体" w:cs="宋体"/>
          <w:color w:val="auto"/>
          <w:sz w:val="24"/>
          <w:highlight w:val="none"/>
        </w:rPr>
        <w:t>http://jtysj.nantong.gov.cn/）</w:t>
      </w:r>
      <w:r>
        <w:rPr>
          <w:rFonts w:hint="eastAsia" w:ascii="宋体" w:hAnsi="Times New Roman" w:eastAsia="宋体" w:cs="宋体"/>
          <w:color w:val="auto"/>
          <w:sz w:val="24"/>
          <w:highlight w:val="none"/>
          <w:lang w:val="en-US" w:eastAsia="zh-CN"/>
        </w:rPr>
        <w:t>本项目</w:t>
      </w:r>
      <w:r>
        <w:rPr>
          <w:rFonts w:hint="eastAsia" w:ascii="宋体" w:hAnsi="Times New Roman" w:eastAsia="宋体" w:cs="宋体"/>
          <w:color w:val="auto"/>
          <w:sz w:val="24"/>
          <w:highlight w:val="none"/>
        </w:rPr>
        <w:fldChar w:fldCharType="end"/>
      </w:r>
      <w:r>
        <w:rPr>
          <w:rFonts w:hint="eastAsia" w:ascii="宋体" w:cs="宋体"/>
          <w:color w:val="auto"/>
          <w:sz w:val="24"/>
          <w:highlight w:val="none"/>
          <w:lang w:val="en-US" w:eastAsia="zh-CN"/>
        </w:rPr>
        <w:t>磋商公告下附件自行下载</w:t>
      </w:r>
      <w:r>
        <w:rPr>
          <w:rFonts w:ascii="宋体" w:hAnsi="宋体" w:cs="宋体"/>
          <w:color w:val="auto"/>
          <w:spacing w:val="7"/>
          <w:kern w:val="0"/>
          <w:sz w:val="24"/>
          <w:highlight w:val="none"/>
        </w:rPr>
        <w:t>。</w:t>
      </w:r>
    </w:p>
    <w:p w14:paraId="1DF93979">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磋商文件售价</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元/供应商。</w:t>
      </w:r>
    </w:p>
    <w:p w14:paraId="750BC059">
      <w:pPr>
        <w:keepNext w:val="0"/>
        <w:keepLines w:val="0"/>
        <w:pageBreakBefore w:val="0"/>
        <w:topLinePunct w:val="0"/>
        <w:bidi w:val="0"/>
        <w:adjustRightInd w:val="0"/>
        <w:snapToGrid w:val="0"/>
        <w:spacing w:line="360" w:lineRule="auto"/>
        <w:ind w:firstLine="480" w:firstLineChars="200"/>
        <w:contextualSpacing/>
        <w:textAlignment w:val="auto"/>
        <w:rPr>
          <w:rFonts w:ascii="宋体" w:hAnsi="宋体" w:cs="宋体"/>
          <w:color w:val="auto"/>
          <w:spacing w:val="7"/>
          <w:kern w:val="0"/>
          <w:sz w:val="24"/>
          <w:highlight w:val="none"/>
        </w:rPr>
      </w:pPr>
      <w:r>
        <w:rPr>
          <w:rFonts w:hint="eastAsia" w:ascii="宋体" w:hAnsi="宋体" w:cs="宋体"/>
          <w:color w:val="auto"/>
          <w:kern w:val="0"/>
          <w:sz w:val="24"/>
          <w:highlight w:val="none"/>
        </w:rPr>
        <w:t>3.已获取磋商文件的供应商，不得擅自放弃，若因故确需放弃，则须在递交磋商响应文件截止之日3天前书面告知采购人或采购代理机构，如无故不参加磋商而造成参加磋商的供应商不足3家而重新采购的，若重新采购的采购范围、规模和资格要求等未发生改变，采购人可以拒绝其参加重新采购的投标。</w:t>
      </w:r>
    </w:p>
    <w:p w14:paraId="16390A38">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四、磋商响应文件递交</w:t>
      </w:r>
    </w:p>
    <w:p w14:paraId="1807663D">
      <w:pPr>
        <w:keepNext w:val="0"/>
        <w:keepLines w:val="0"/>
        <w:pageBreakBefore w:val="0"/>
        <w:widowControl/>
        <w:shd w:val="clear" w:color="auto" w:fill="FFFFFF"/>
        <w:topLinePunct w:val="0"/>
        <w:bidi w:val="0"/>
        <w:adjustRightInd w:val="0"/>
        <w:snapToGrid w:val="0"/>
        <w:spacing w:line="360" w:lineRule="auto"/>
        <w:ind w:firstLine="508" w:firstLineChars="200"/>
        <w:textAlignment w:val="auto"/>
        <w:rPr>
          <w:rFonts w:ascii="宋体" w:hAnsi="宋体" w:cs="宋体"/>
          <w:i/>
          <w:color w:val="auto"/>
          <w:spacing w:val="7"/>
          <w:kern w:val="0"/>
          <w:sz w:val="24"/>
          <w:highlight w:val="none"/>
          <w:u w:val="single"/>
        </w:rPr>
      </w:pPr>
      <w:r>
        <w:rPr>
          <w:rFonts w:hint="eastAsia" w:ascii="宋体" w:hAnsi="宋体" w:cs="宋体"/>
          <w:color w:val="auto"/>
          <w:spacing w:val="7"/>
          <w:kern w:val="0"/>
          <w:sz w:val="24"/>
          <w:highlight w:val="none"/>
        </w:rPr>
        <w:t>截止时间：</w:t>
      </w:r>
      <w:r>
        <w:rPr>
          <w:rFonts w:hint="eastAsia" w:ascii="宋体" w:hAnsi="宋体" w:cs="宋体"/>
          <w:color w:val="auto"/>
          <w:spacing w:val="7"/>
          <w:kern w:val="0"/>
          <w:sz w:val="24"/>
          <w:highlight w:val="none"/>
          <w:u w:val="single"/>
        </w:rPr>
        <w:t>2025</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12</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26</w:t>
      </w:r>
      <w:r>
        <w:rPr>
          <w:rFonts w:hint="eastAsia" w:ascii="宋体" w:hAnsi="宋体" w:cs="宋体"/>
          <w:color w:val="auto"/>
          <w:spacing w:val="7"/>
          <w:kern w:val="0"/>
          <w:sz w:val="24"/>
          <w:highlight w:val="none"/>
        </w:rPr>
        <w:t>日</w:t>
      </w:r>
      <w:r>
        <w:rPr>
          <w:rFonts w:hint="eastAsia" w:ascii="宋体" w:hAnsi="宋体" w:cs="宋体"/>
          <w:color w:val="auto"/>
          <w:sz w:val="24"/>
          <w:highlight w:val="none"/>
          <w:u w:val="single"/>
        </w:rPr>
        <w:t>9</w:t>
      </w:r>
      <w:r>
        <w:rPr>
          <w:rFonts w:hint="eastAsia" w:ascii="宋体" w:hAnsi="宋体" w:cs="宋体"/>
          <w:color w:val="auto"/>
          <w:spacing w:val="7"/>
          <w:kern w:val="0"/>
          <w:sz w:val="24"/>
          <w:highlight w:val="none"/>
        </w:rPr>
        <w:t>时</w:t>
      </w:r>
      <w:r>
        <w:rPr>
          <w:rFonts w:hint="eastAsia" w:ascii="宋体" w:hAnsi="宋体" w:cs="宋体"/>
          <w:color w:val="auto"/>
          <w:sz w:val="24"/>
          <w:highlight w:val="none"/>
          <w:u w:val="single"/>
        </w:rPr>
        <w:t>00</w:t>
      </w:r>
      <w:r>
        <w:rPr>
          <w:rFonts w:hint="eastAsia" w:ascii="宋体" w:hAnsi="宋体" w:cs="宋体"/>
          <w:color w:val="auto"/>
          <w:spacing w:val="7"/>
          <w:kern w:val="0"/>
          <w:sz w:val="24"/>
          <w:highlight w:val="none"/>
        </w:rPr>
        <w:t>分（北京时间）</w:t>
      </w:r>
    </w:p>
    <w:p w14:paraId="0F827D5B">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逾时，将不予接收。</w:t>
      </w:r>
    </w:p>
    <w:p w14:paraId="363F2697">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地点：南通市公路事业发展中心1楼信访接待室（地址：南通市跃龙路4号），如有变动另行通知。</w:t>
      </w:r>
    </w:p>
    <w:p w14:paraId="58404184">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五、磋商响应文件开启</w:t>
      </w:r>
    </w:p>
    <w:p w14:paraId="769CE567">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时间：</w:t>
      </w:r>
      <w:r>
        <w:rPr>
          <w:rFonts w:hint="eastAsia" w:ascii="宋体" w:hAnsi="宋体" w:cs="宋体"/>
          <w:color w:val="auto"/>
          <w:kern w:val="0"/>
          <w:sz w:val="24"/>
          <w:highlight w:val="none"/>
        </w:rPr>
        <w:t>同磋商响应文件递交截止时间</w:t>
      </w:r>
    </w:p>
    <w:p w14:paraId="0A5DE407">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地点：南通市公路事业发展中心1楼信访接待室（地址：南通市跃龙路4号），如有变动另行通知。</w:t>
      </w:r>
    </w:p>
    <w:p w14:paraId="03601D4D">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六、公告期限</w:t>
      </w:r>
    </w:p>
    <w:p w14:paraId="6CF2374B">
      <w:pPr>
        <w:keepNext w:val="0"/>
        <w:keepLines w:val="0"/>
        <w:pageBreakBefore w:val="0"/>
        <w:topLinePunct w:val="0"/>
        <w:bidi w:val="0"/>
        <w:adjustRightInd w:val="0"/>
        <w:snapToGrid w:val="0"/>
        <w:spacing w:line="360" w:lineRule="auto"/>
        <w:ind w:firstLine="508"/>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自本公告发布之日起10日。</w:t>
      </w:r>
    </w:p>
    <w:p w14:paraId="4ED8F5A9">
      <w:pPr>
        <w:keepNext w:val="0"/>
        <w:keepLines w:val="0"/>
        <w:pageBreakBefore w:val="0"/>
        <w:topLinePunct w:val="0"/>
        <w:bidi w:val="0"/>
        <w:adjustRightInd w:val="0"/>
        <w:snapToGrid w:val="0"/>
        <w:spacing w:line="360" w:lineRule="auto"/>
        <w:ind w:firstLine="510" w:firstLineChars="200"/>
        <w:textAlignment w:val="auto"/>
        <w:rPr>
          <w:rFonts w:ascii="宋体" w:hAnsi="宋体" w:cs="宋体"/>
          <w:color w:val="auto"/>
          <w:kern w:val="0"/>
          <w:sz w:val="24"/>
          <w:highlight w:val="none"/>
        </w:rPr>
      </w:pPr>
      <w:r>
        <w:rPr>
          <w:rFonts w:hint="eastAsia" w:ascii="宋体" w:hAnsi="宋体" w:cs="宋体"/>
          <w:b/>
          <w:color w:val="auto"/>
          <w:spacing w:val="7"/>
          <w:kern w:val="0"/>
          <w:sz w:val="24"/>
          <w:highlight w:val="none"/>
        </w:rPr>
        <w:t>七、</w:t>
      </w:r>
      <w:r>
        <w:rPr>
          <w:rFonts w:hint="eastAsia" w:ascii="宋体" w:hAnsi="宋体" w:cs="宋体"/>
          <w:b/>
          <w:bCs/>
          <w:color w:val="auto"/>
          <w:sz w:val="24"/>
          <w:highlight w:val="none"/>
          <w:lang w:val="zh-CN"/>
        </w:rPr>
        <w:t>支付方式</w:t>
      </w:r>
      <w:r>
        <w:rPr>
          <w:rFonts w:hint="eastAsia" w:ascii="宋体" w:hAnsi="宋体" w:cs="宋体"/>
          <w:b/>
          <w:bCs/>
          <w:color w:val="auto"/>
          <w:sz w:val="24"/>
          <w:highlight w:val="none"/>
        </w:rPr>
        <w:t>：</w:t>
      </w:r>
    </w:p>
    <w:p w14:paraId="7C09AA65">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val="zh-CN"/>
        </w:rPr>
        <w:t>本项目为总价合同，合同签订之日起15个工作日内支付签约合同价的</w:t>
      </w:r>
      <w:r>
        <w:rPr>
          <w:rFonts w:hint="eastAsia" w:ascii="宋体" w:hAnsi="宋体" w:cs="宋体"/>
          <w:color w:val="auto"/>
          <w:spacing w:val="7"/>
          <w:kern w:val="0"/>
          <w:sz w:val="24"/>
          <w:highlight w:val="none"/>
        </w:rPr>
        <w:t>30</w:t>
      </w:r>
      <w:r>
        <w:rPr>
          <w:rFonts w:hint="eastAsia" w:ascii="宋体" w:hAnsi="宋体" w:cs="宋体"/>
          <w:color w:val="auto"/>
          <w:spacing w:val="7"/>
          <w:kern w:val="0"/>
          <w:sz w:val="24"/>
          <w:highlight w:val="none"/>
          <w:lang w:val="zh-CN"/>
        </w:rPr>
        <w:t>%，年度</w:t>
      </w:r>
      <w:r>
        <w:rPr>
          <w:rFonts w:hint="eastAsia" w:ascii="宋体" w:hAnsi="宋体" w:cs="宋体"/>
          <w:color w:val="auto"/>
          <w:spacing w:val="7"/>
          <w:kern w:val="0"/>
          <w:sz w:val="24"/>
          <w:highlight w:val="none"/>
        </w:rPr>
        <w:t>服务期满后一次性付清余款。</w:t>
      </w:r>
    </w:p>
    <w:p w14:paraId="659BDFD6">
      <w:pPr>
        <w:keepNext w:val="0"/>
        <w:keepLines w:val="0"/>
        <w:pageBreakBefore w:val="0"/>
        <w:topLinePunct w:val="0"/>
        <w:bidi w:val="0"/>
        <w:adjustRightInd w:val="0"/>
        <w:snapToGrid w:val="0"/>
        <w:spacing w:line="360" w:lineRule="auto"/>
        <w:ind w:firstLine="508" w:firstLineChars="200"/>
        <w:contextualSpacing/>
        <w:textAlignment w:val="auto"/>
        <w:rPr>
          <w:rFonts w:hint="default" w:ascii="宋体" w:hAnsi="宋体" w:cs="宋体"/>
          <w:color w:val="auto"/>
          <w:spacing w:val="7"/>
          <w:kern w:val="0"/>
          <w:sz w:val="24"/>
          <w:highlight w:val="none"/>
          <w:lang w:val="en-US" w:eastAsia="zh-CN"/>
        </w:rPr>
      </w:pPr>
      <w:r>
        <w:rPr>
          <w:rFonts w:hint="eastAsia" w:ascii="宋体" w:hAnsi="宋体" w:cs="宋体"/>
          <w:color w:val="auto"/>
          <w:spacing w:val="7"/>
          <w:kern w:val="0"/>
          <w:sz w:val="24"/>
          <w:highlight w:val="none"/>
        </w:rPr>
        <w:t>注：</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1</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本项目签约合同价为法律服务费，法律服务为固定价格，差旅费按实际发生量结算。</w:t>
      </w:r>
    </w:p>
    <w:p w14:paraId="29ED6E14">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2</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rPr>
        <w:t>每次付款须按合同扣减违约金和赔偿款；</w:t>
      </w:r>
    </w:p>
    <w:p w14:paraId="4DF9D14F">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3</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rPr>
        <w:t>付款前供应商须提供等额合规发票及相关申请资料，否则采购人可以拒付；</w:t>
      </w:r>
    </w:p>
    <w:p w14:paraId="37A17CED">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4</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rPr>
        <w:t>所有付款均不计利息。</w:t>
      </w:r>
    </w:p>
    <w:p w14:paraId="6D8BA8A2">
      <w:pPr>
        <w:keepNext w:val="0"/>
        <w:keepLines w:val="0"/>
        <w:pageBreakBefore w:val="0"/>
        <w:topLinePunct w:val="0"/>
        <w:bidi w:val="0"/>
        <w:adjustRightInd w:val="0"/>
        <w:snapToGrid w:val="0"/>
        <w:spacing w:line="360" w:lineRule="auto"/>
        <w:ind w:firstLine="482" w:firstLineChars="200"/>
        <w:jc w:val="left"/>
        <w:textAlignment w:val="auto"/>
        <w:rPr>
          <w:rFonts w:ascii="宋体" w:hAnsi="宋体" w:cs="宋体"/>
          <w:b/>
          <w:color w:val="auto"/>
          <w:sz w:val="24"/>
          <w:highlight w:val="none"/>
        </w:rPr>
      </w:pPr>
      <w:r>
        <w:rPr>
          <w:rFonts w:hint="eastAsia" w:ascii="宋体" w:hAnsi="宋体" w:cs="宋体"/>
          <w:b/>
          <w:bCs/>
          <w:color w:val="auto"/>
          <w:sz w:val="24"/>
          <w:highlight w:val="none"/>
          <w:lang w:val="zh-CN"/>
        </w:rPr>
        <w:t>八、</w:t>
      </w:r>
      <w:r>
        <w:rPr>
          <w:rFonts w:hint="eastAsia" w:ascii="宋体" w:hAnsi="宋体" w:cs="宋体"/>
          <w:b/>
          <w:color w:val="auto"/>
          <w:sz w:val="24"/>
          <w:highlight w:val="none"/>
        </w:rPr>
        <w:t>公告媒介</w:t>
      </w:r>
    </w:p>
    <w:p w14:paraId="41CBE7F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本次竞争性磋商公告发布在南通市交通运输局网站（网址：http://jtysj.nantong.gov.cn/）上。南通市交通运输局网站是本项目竞争性磋商公告、补遗书、磋商文件澄清、成交结果公告等采购信息约定的唯一公开发布媒介。</w:t>
      </w:r>
    </w:p>
    <w:p w14:paraId="01B56013">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九、凡对本次采购提出询问，请按以下方式联系。</w:t>
      </w:r>
    </w:p>
    <w:p w14:paraId="32DBE446">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1.采购人信息</w:t>
      </w:r>
    </w:p>
    <w:p w14:paraId="0AFC13B1">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名  称：南通市公路事业发展中心 </w:t>
      </w:r>
    </w:p>
    <w:p w14:paraId="5682FBD2">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地  址：江苏省南通市跃龙路4号 </w:t>
      </w:r>
    </w:p>
    <w:p w14:paraId="7242BAD0">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联 系 人：周先生 </w:t>
      </w:r>
    </w:p>
    <w:p w14:paraId="769BD185">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联系方式：0513-85524439</w:t>
      </w:r>
    </w:p>
    <w:p w14:paraId="7C8398F1">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2.采购代理机构信息</w:t>
      </w:r>
    </w:p>
    <w:p w14:paraId="6806BDB6">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名 称：江苏睿致诚工程咨询有限公司</w:t>
      </w:r>
    </w:p>
    <w:p w14:paraId="1D996013">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地  址：南京市江宁区江南路697号金轮星际中心A1栋7楼</w:t>
      </w:r>
    </w:p>
    <w:p w14:paraId="6535713A">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联系人：尹建、陈小龙</w:t>
      </w:r>
    </w:p>
    <w:p w14:paraId="7058A137">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联系电话：18906275357（尹建），18932207883（陈小龙）</w:t>
      </w:r>
    </w:p>
    <w:p w14:paraId="75B61B57">
      <w:pPr>
        <w:keepNext w:val="0"/>
        <w:keepLines w:val="0"/>
        <w:pageBreakBefore w:val="0"/>
        <w:topLinePunct w:val="0"/>
        <w:bidi w:val="0"/>
        <w:adjustRightInd w:val="0"/>
        <w:snapToGrid w:val="0"/>
        <w:spacing w:line="360" w:lineRule="auto"/>
        <w:ind w:firstLine="560" w:firstLineChars="200"/>
        <w:contextualSpacing/>
        <w:textAlignment w:val="auto"/>
        <w:rPr>
          <w:rFonts w:ascii="宋体" w:hAnsi="宋体" w:cs="宋体"/>
          <w:color w:val="auto"/>
          <w:sz w:val="28"/>
          <w:szCs w:val="28"/>
          <w:highlight w:val="none"/>
        </w:rPr>
      </w:pPr>
    </w:p>
    <w:p w14:paraId="1535F652">
      <w:pPr>
        <w:keepNext w:val="0"/>
        <w:keepLines w:val="0"/>
        <w:pageBreakBefore w:val="0"/>
        <w:wordWrap w:val="0"/>
        <w:topLinePunct w:val="0"/>
        <w:bidi w:val="0"/>
        <w:adjustRightInd w:val="0"/>
        <w:snapToGrid w:val="0"/>
        <w:spacing w:line="360" w:lineRule="auto"/>
        <w:ind w:firstLine="508" w:firstLineChars="200"/>
        <w:contextualSpacing/>
        <w:jc w:val="right"/>
        <w:textAlignment w:val="auto"/>
        <w:rPr>
          <w:rFonts w:ascii="宋体" w:hAnsi="宋体" w:cs="宋体"/>
          <w:color w:val="auto"/>
          <w:sz w:val="28"/>
          <w:szCs w:val="28"/>
          <w:highlight w:val="none"/>
        </w:rPr>
      </w:pPr>
      <w:r>
        <w:rPr>
          <w:rFonts w:hint="eastAsia" w:ascii="宋体" w:hAnsi="宋体" w:cs="宋体"/>
          <w:color w:val="auto"/>
          <w:spacing w:val="7"/>
          <w:kern w:val="0"/>
          <w:sz w:val="24"/>
          <w:highlight w:val="none"/>
        </w:rPr>
        <w:t xml:space="preserve">   </w:t>
      </w:r>
      <w:r>
        <w:rPr>
          <w:rFonts w:hint="eastAsia" w:ascii="宋体" w:hAnsi="宋体" w:cs="宋体"/>
          <w:color w:val="auto"/>
          <w:spacing w:val="7"/>
          <w:kern w:val="0"/>
          <w:sz w:val="24"/>
          <w:highlight w:val="none"/>
          <w:u w:val="single"/>
        </w:rPr>
        <w:t>2025</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12</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15</w:t>
      </w:r>
      <w:r>
        <w:rPr>
          <w:rFonts w:hint="eastAsia" w:ascii="宋体" w:hAnsi="宋体" w:cs="宋体"/>
          <w:color w:val="auto"/>
          <w:spacing w:val="7"/>
          <w:kern w:val="0"/>
          <w:sz w:val="24"/>
          <w:highlight w:val="none"/>
        </w:rPr>
        <w:t>日</w:t>
      </w:r>
      <w:bookmarkEnd w:id="0"/>
    </w:p>
    <w:p w14:paraId="644D31AD">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br w:type="page"/>
      </w:r>
    </w:p>
    <w:p w14:paraId="4190C032">
      <w:pPr>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附件1</w:t>
      </w:r>
    </w:p>
    <w:p w14:paraId="27B347C5">
      <w:pPr>
        <w:spacing w:line="420" w:lineRule="exact"/>
        <w:jc w:val="center"/>
        <w:rPr>
          <w:rFonts w:ascii="宋体" w:hAnsi="宋体" w:cs="宋体"/>
          <w:b/>
          <w:color w:val="auto"/>
          <w:kern w:val="0"/>
          <w:sz w:val="32"/>
          <w:szCs w:val="20"/>
          <w:highlight w:val="none"/>
        </w:rPr>
      </w:pPr>
      <w:r>
        <w:rPr>
          <w:rFonts w:hint="eastAsia" w:ascii="宋体" w:hAnsi="宋体" w:cs="宋体"/>
          <w:b/>
          <w:color w:val="auto"/>
          <w:kern w:val="0"/>
          <w:sz w:val="32"/>
          <w:szCs w:val="20"/>
          <w:highlight w:val="none"/>
        </w:rPr>
        <w:t>申请函</w:t>
      </w:r>
    </w:p>
    <w:p w14:paraId="6FC83043">
      <w:pPr>
        <w:spacing w:line="420" w:lineRule="exact"/>
        <w:jc w:val="left"/>
        <w:rPr>
          <w:rFonts w:ascii="宋体" w:hAnsi="宋体" w:cs="宋体"/>
          <w:b/>
          <w:color w:val="auto"/>
          <w:kern w:val="0"/>
          <w:sz w:val="32"/>
          <w:szCs w:val="20"/>
          <w:highlight w:val="none"/>
        </w:rPr>
      </w:pPr>
    </w:p>
    <w:p w14:paraId="2EFD2A6F">
      <w:pPr>
        <w:spacing w:line="360" w:lineRule="auto"/>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致：</w:t>
      </w:r>
      <w:r>
        <w:rPr>
          <w:rFonts w:hint="eastAsia" w:ascii="宋体" w:hAnsi="宋体" w:cs="宋体"/>
          <w:b/>
          <w:color w:val="auto"/>
          <w:kern w:val="0"/>
          <w:sz w:val="24"/>
          <w:highlight w:val="none"/>
          <w:u w:val="single"/>
        </w:rPr>
        <w:t>南通市公路事业发展中心</w:t>
      </w:r>
    </w:p>
    <w:p w14:paraId="6B0D611B">
      <w:pPr>
        <w:widowControl/>
        <w:shd w:val="clear" w:color="auto" w:fill="FFFFFF"/>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我公司已获悉贵单位发出的</w:t>
      </w:r>
      <w:r>
        <w:rPr>
          <w:rFonts w:hint="eastAsia" w:ascii="宋体" w:hAnsi="宋体" w:cs="宋体"/>
          <w:color w:val="auto"/>
          <w:spacing w:val="7"/>
          <w:kern w:val="0"/>
          <w:sz w:val="24"/>
          <w:highlight w:val="none"/>
          <w:u w:val="single"/>
          <w:lang w:eastAsia="zh-CN"/>
        </w:rPr>
        <w:t>2026-2028年南通市公路事业发展中心法律服务项目</w:t>
      </w:r>
      <w:r>
        <w:rPr>
          <w:rFonts w:hint="eastAsia" w:ascii="宋体" w:hAnsi="宋体" w:cs="宋体"/>
          <w:color w:val="auto"/>
          <w:spacing w:val="7"/>
          <w:kern w:val="0"/>
          <w:sz w:val="24"/>
          <w:highlight w:val="none"/>
        </w:rPr>
        <w:t>竞争性磋商公告</w:t>
      </w:r>
      <w:r>
        <w:rPr>
          <w:rFonts w:hint="eastAsia" w:ascii="宋体" w:hAnsi="宋体" w:cs="宋体"/>
          <w:color w:val="auto"/>
          <w:kern w:val="0"/>
          <w:sz w:val="24"/>
          <w:highlight w:val="none"/>
        </w:rPr>
        <w:t>，经研究，我单位拟参加本项目磋商，现申请获取磋商文件。</w:t>
      </w:r>
    </w:p>
    <w:p w14:paraId="514BBC01">
      <w:pPr>
        <w:spacing w:line="360" w:lineRule="auto"/>
        <w:ind w:firstLine="480" w:firstLineChars="200"/>
        <w:jc w:val="left"/>
        <w:rPr>
          <w:rFonts w:ascii="宋体" w:hAnsi="宋体" w:cs="宋体"/>
          <w:color w:val="auto"/>
          <w:kern w:val="0"/>
          <w:sz w:val="24"/>
          <w:highlight w:val="none"/>
        </w:rPr>
      </w:pPr>
    </w:p>
    <w:p w14:paraId="1146575E">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spacing w:val="7"/>
          <w:kern w:val="0"/>
          <w:sz w:val="24"/>
          <w:highlight w:val="none"/>
          <w:u w:val="single"/>
        </w:rPr>
        <w:t xml:space="preserve">   </w:t>
      </w:r>
    </w:p>
    <w:p w14:paraId="472E9D1E">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spacing w:val="7"/>
          <w:kern w:val="0"/>
          <w:sz w:val="24"/>
          <w:highlight w:val="none"/>
          <w:u w:val="single"/>
        </w:rPr>
        <w:t xml:space="preserve">   </w:t>
      </w:r>
    </w:p>
    <w:p w14:paraId="611B9FA1">
      <w:pPr>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E-MAIL地址：</w:t>
      </w:r>
      <w:r>
        <w:rPr>
          <w:rFonts w:hint="eastAsia" w:ascii="宋体" w:hAnsi="宋体" w:cs="宋体"/>
          <w:color w:val="auto"/>
          <w:spacing w:val="7"/>
          <w:kern w:val="0"/>
          <w:sz w:val="24"/>
          <w:highlight w:val="none"/>
          <w:u w:val="single"/>
        </w:rPr>
        <w:t xml:space="preserve">   </w:t>
      </w:r>
    </w:p>
    <w:p w14:paraId="3E0DF138">
      <w:pPr>
        <w:spacing w:line="360" w:lineRule="auto"/>
        <w:jc w:val="left"/>
        <w:rPr>
          <w:rFonts w:ascii="宋体" w:hAnsi="宋体" w:cs="宋体"/>
          <w:color w:val="auto"/>
          <w:kern w:val="0"/>
          <w:sz w:val="24"/>
          <w:highlight w:val="none"/>
          <w:lang w:val="zh-CN"/>
        </w:rPr>
      </w:pPr>
    </w:p>
    <w:p w14:paraId="71109941">
      <w:pPr>
        <w:spacing w:line="360" w:lineRule="auto"/>
        <w:jc w:val="left"/>
        <w:rPr>
          <w:rFonts w:ascii="宋体" w:hAnsi="宋体" w:cs="宋体"/>
          <w:b/>
          <w:color w:val="auto"/>
          <w:kern w:val="0"/>
          <w:sz w:val="24"/>
          <w:highlight w:val="none"/>
          <w:lang w:val="zh-CN"/>
        </w:rPr>
      </w:pPr>
    </w:p>
    <w:p w14:paraId="435D64D7">
      <w:pPr>
        <w:spacing w:line="360" w:lineRule="auto"/>
        <w:jc w:val="left"/>
        <w:rPr>
          <w:rFonts w:ascii="宋体" w:hAnsi="宋体" w:cs="宋体"/>
          <w:b/>
          <w:color w:val="auto"/>
          <w:kern w:val="0"/>
          <w:sz w:val="24"/>
          <w:highlight w:val="none"/>
          <w:lang w:val="zh-CN"/>
        </w:rPr>
      </w:pPr>
    </w:p>
    <w:p w14:paraId="2D2C363E">
      <w:pPr>
        <w:spacing w:line="360" w:lineRule="auto"/>
        <w:jc w:val="left"/>
        <w:rPr>
          <w:rFonts w:ascii="宋体" w:hAnsi="宋体" w:cs="宋体"/>
          <w:b/>
          <w:color w:val="auto"/>
          <w:kern w:val="0"/>
          <w:sz w:val="24"/>
          <w:highlight w:val="none"/>
          <w:lang w:val="zh-CN"/>
        </w:rPr>
      </w:pPr>
    </w:p>
    <w:p w14:paraId="2FE9CEB1">
      <w:pPr>
        <w:spacing w:line="360" w:lineRule="auto"/>
        <w:ind w:firstLine="5280" w:firstLineChars="2200"/>
        <w:jc w:val="left"/>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单位：</w:t>
      </w:r>
      <w:r>
        <w:rPr>
          <w:rFonts w:hint="eastAsia" w:ascii="宋体" w:hAnsi="宋体" w:cs="宋体"/>
          <w:color w:val="auto"/>
          <w:kern w:val="0"/>
          <w:sz w:val="24"/>
          <w:highlight w:val="none"/>
          <w:u w:val="single"/>
          <w:lang w:val="zh-CN"/>
        </w:rPr>
        <w:t xml:space="preserve"> （盖章）                 </w:t>
      </w:r>
    </w:p>
    <w:p w14:paraId="390CCEBB">
      <w:pPr>
        <w:spacing w:line="360" w:lineRule="auto"/>
        <w:jc w:val="right"/>
        <w:rPr>
          <w:rFonts w:ascii="宋体" w:hAnsi="宋体" w:cs="宋体"/>
          <w:color w:val="auto"/>
          <w:kern w:val="0"/>
          <w:sz w:val="24"/>
          <w:highlight w:val="none"/>
        </w:rPr>
      </w:pPr>
      <w:r>
        <w:rPr>
          <w:rFonts w:hint="eastAsia" w:ascii="宋体" w:hAnsi="宋体" w:cs="宋体"/>
          <w:color w:val="auto"/>
          <w:spacing w:val="7"/>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spacing w:val="7"/>
          <w:kern w:val="0"/>
          <w:sz w:val="24"/>
          <w:highlight w:val="none"/>
          <w:u w:val="single"/>
        </w:rPr>
        <w:t xml:space="preserve">   </w:t>
      </w:r>
      <w:r>
        <w:rPr>
          <w:rFonts w:hint="eastAsia" w:ascii="宋体" w:hAnsi="宋体" w:cs="宋体"/>
          <w:color w:val="auto"/>
          <w:kern w:val="0"/>
          <w:sz w:val="24"/>
          <w:highlight w:val="none"/>
          <w:lang w:val="zh-CN"/>
        </w:rPr>
        <w:t>月</w:t>
      </w:r>
      <w:r>
        <w:rPr>
          <w:rFonts w:hint="eastAsia" w:ascii="宋体" w:hAnsi="宋体" w:cs="宋体"/>
          <w:color w:val="auto"/>
          <w:spacing w:val="7"/>
          <w:kern w:val="0"/>
          <w:sz w:val="24"/>
          <w:highlight w:val="none"/>
          <w:u w:val="single"/>
        </w:rPr>
        <w:t xml:space="preserve">   </w:t>
      </w:r>
      <w:r>
        <w:rPr>
          <w:rFonts w:hint="eastAsia" w:ascii="宋体" w:hAnsi="宋体" w:cs="宋体"/>
          <w:color w:val="auto"/>
          <w:kern w:val="0"/>
          <w:sz w:val="24"/>
          <w:highlight w:val="none"/>
          <w:lang w:val="zh-CN"/>
        </w:rPr>
        <w:t>日</w:t>
      </w:r>
    </w:p>
    <w:p w14:paraId="28A5AC4A">
      <w:pPr>
        <w:snapToGrid w:val="0"/>
        <w:spacing w:line="300" w:lineRule="auto"/>
        <w:ind w:firstLine="560" w:firstLineChars="200"/>
        <w:contextualSpacing/>
        <w:rPr>
          <w:rFonts w:ascii="宋体" w:hAnsi="宋体" w:cs="宋体"/>
          <w:color w:val="auto"/>
          <w:sz w:val="28"/>
          <w:szCs w:val="28"/>
          <w:highlight w:val="none"/>
        </w:rPr>
      </w:pPr>
    </w:p>
    <w:p w14:paraId="1D7E7084">
      <w:pPr>
        <w:snapToGrid w:val="0"/>
        <w:spacing w:line="300" w:lineRule="auto"/>
        <w:contextualSpacing/>
        <w:jc w:val="center"/>
        <w:rPr>
          <w:rFonts w:ascii="宋体" w:hAnsi="宋体" w:cs="宋体"/>
          <w:b/>
          <w:bCs/>
          <w:color w:val="auto"/>
          <w:sz w:val="36"/>
          <w:szCs w:val="36"/>
          <w:highlight w:val="none"/>
          <w:lang w:val="zh-CN"/>
        </w:rPr>
      </w:pPr>
      <w:r>
        <w:rPr>
          <w:rFonts w:hint="eastAsia" w:ascii="宋体" w:hAnsi="宋体" w:cs="宋体"/>
          <w:b/>
          <w:color w:val="auto"/>
          <w:sz w:val="28"/>
          <w:szCs w:val="28"/>
          <w:highlight w:val="none"/>
        </w:rPr>
        <w:br w:type="page"/>
      </w:r>
      <w:r>
        <w:rPr>
          <w:rFonts w:hint="eastAsia" w:ascii="宋体" w:hAnsi="宋体" w:cs="宋体"/>
          <w:b/>
          <w:bCs/>
          <w:color w:val="auto"/>
          <w:sz w:val="36"/>
          <w:szCs w:val="36"/>
          <w:highlight w:val="none"/>
          <w:lang w:val="zh-CN"/>
        </w:rPr>
        <w:t>第二部分 磋商须知</w:t>
      </w:r>
    </w:p>
    <w:p w14:paraId="3F74BE90">
      <w:pPr>
        <w:autoSpaceDE w:val="0"/>
        <w:autoSpaceDN w:val="0"/>
        <w:adjustRightInd w:val="0"/>
        <w:spacing w:line="360" w:lineRule="auto"/>
        <w:ind w:firstLine="482" w:firstLineChars="200"/>
        <w:outlineLvl w:val="1"/>
        <w:rPr>
          <w:rFonts w:ascii="宋体" w:hAnsi="宋体" w:cs="宋体"/>
          <w:b/>
          <w:color w:val="auto"/>
          <w:sz w:val="24"/>
          <w:highlight w:val="none"/>
          <w:lang w:val="zh-CN"/>
        </w:rPr>
      </w:pPr>
      <w:r>
        <w:rPr>
          <w:rFonts w:hint="eastAsia" w:ascii="宋体" w:hAnsi="宋体" w:cs="宋体"/>
          <w:b/>
          <w:color w:val="auto"/>
          <w:sz w:val="24"/>
          <w:highlight w:val="none"/>
          <w:lang w:val="zh-CN"/>
        </w:rPr>
        <w:t>一、说明</w:t>
      </w:r>
    </w:p>
    <w:p w14:paraId="16E09B9E">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本竞争性磋商文件仅适用于采购人组织的竞争性磋商采购活动。</w:t>
      </w:r>
    </w:p>
    <w:p w14:paraId="7069155E">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竞争性磋商活动及因本次磋商产生的合同受中国法律制约和保护。</w:t>
      </w:r>
    </w:p>
    <w:p w14:paraId="1DBAA131">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color w:val="auto"/>
          <w:sz w:val="24"/>
          <w:highlight w:val="none"/>
          <w:lang w:val="zh-CN"/>
        </w:rPr>
        <w:t>.</w:t>
      </w:r>
      <w:r>
        <w:rPr>
          <w:rFonts w:hint="eastAsia" w:ascii="宋体" w:hAnsi="宋体" w:cs="宋体"/>
          <w:bCs/>
          <w:color w:val="auto"/>
          <w:sz w:val="24"/>
          <w:highlight w:val="none"/>
        </w:rPr>
        <w:t>竞争性磋商文件的解释权属于采购人。</w:t>
      </w:r>
    </w:p>
    <w:p w14:paraId="6174F7BC">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供应商下载磋商文件后，应仔细检查磋商文件的所有内容。如内容中有页码短缺、资格要求以及任何设置有不合理的条件对供应商实行差别待遇或者歧视待遇的，</w:t>
      </w:r>
      <w:r>
        <w:rPr>
          <w:rFonts w:hint="eastAsia" w:ascii="宋体" w:hAnsi="宋体" w:cs="宋体"/>
          <w:color w:val="auto"/>
          <w:sz w:val="24"/>
          <w:highlight w:val="none"/>
          <w:lang w:val="zh-CN"/>
        </w:rPr>
        <w:t>供应商下载磋商</w:t>
      </w:r>
      <w:r>
        <w:rPr>
          <w:rFonts w:hint="eastAsia" w:ascii="宋体" w:hAnsi="宋体" w:cs="宋体"/>
          <w:color w:val="auto"/>
          <w:sz w:val="24"/>
          <w:highlight w:val="none"/>
        </w:rPr>
        <w:t>文件后，应在磋商文件发布后的</w:t>
      </w:r>
      <w:r>
        <w:rPr>
          <w:rFonts w:hint="eastAsia" w:ascii="宋体" w:hAnsi="宋体" w:cs="宋体"/>
          <w:b/>
          <w:color w:val="auto"/>
          <w:sz w:val="24"/>
          <w:highlight w:val="none"/>
          <w:lang w:val="zh-CN"/>
        </w:rPr>
        <w:t>3日内以书面形式向采购人或代理单位提出询问或疑问</w:t>
      </w:r>
      <w:r>
        <w:rPr>
          <w:rFonts w:hint="eastAsia" w:ascii="宋体" w:hAnsi="宋体" w:cs="宋体"/>
          <w:color w:val="auto"/>
          <w:sz w:val="24"/>
          <w:highlight w:val="none"/>
          <w:lang w:val="zh-CN"/>
        </w:rPr>
        <w:t>，未在规定的3日内提出询问或疑问的，视同供应商理解并接受本磋商文件所有内容，并由此引起的损失自负。</w:t>
      </w:r>
      <w:r>
        <w:rPr>
          <w:rFonts w:hint="eastAsia" w:ascii="宋体" w:hAnsi="宋体" w:cs="宋体"/>
          <w:b/>
          <w:color w:val="auto"/>
          <w:sz w:val="24"/>
          <w:highlight w:val="none"/>
        </w:rPr>
        <w:t>非书面形式的不作为日后质疑提出的依据。</w:t>
      </w:r>
    </w:p>
    <w:p w14:paraId="5D3F4A84">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5.供应商应认真审阅磋商文件中所有的事项、格式、条款和规范要求等，如果供应商没有按照磋商文件要求提交响应文件，或者响应文件没有对磋商文件做出实质性响应，其投标将被拒绝，供应商自行承担责任。</w:t>
      </w:r>
    </w:p>
    <w:p w14:paraId="50875C6C">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6.</w:t>
      </w:r>
      <w:r>
        <w:rPr>
          <w:rFonts w:hint="eastAsia" w:ascii="宋体" w:hAnsi="宋体" w:cs="宋体"/>
          <w:color w:val="auto"/>
          <w:sz w:val="24"/>
          <w:highlight w:val="none"/>
        </w:rPr>
        <w:t>供应商在磋商开始前自行踏勘现场，供应商务必自行认真踏勘现场条件，进一步获取所需信息，一旦成交不得对现场条件提出额外要求，不得要求增加费用，采购人可视情组织答疑会。</w:t>
      </w:r>
    </w:p>
    <w:p w14:paraId="4335C29F">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二、磋商文件的澄清、修改、答疑</w:t>
      </w:r>
    </w:p>
    <w:p w14:paraId="4E59600F">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采购人有权对发出的磋商文件进行必要的澄清、修改或补充。</w:t>
      </w:r>
    </w:p>
    <w:p w14:paraId="79D94935">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磋商文件的澄清、修改、补充等内容均以书面明确的形式发布，并以</w:t>
      </w:r>
      <w:r>
        <w:rPr>
          <w:rFonts w:hint="eastAsia" w:ascii="宋体" w:hAnsi="宋体" w:cs="宋体"/>
          <w:color w:val="auto"/>
          <w:spacing w:val="7"/>
          <w:kern w:val="0"/>
          <w:sz w:val="24"/>
          <w:highlight w:val="none"/>
        </w:rPr>
        <w:t>南通市交通运输局—公共资源交易栏目</w:t>
      </w:r>
      <w:r>
        <w:rPr>
          <w:rFonts w:hint="eastAsia" w:ascii="宋体" w:hAnsi="宋体" w:cs="宋体"/>
          <w:color w:val="auto"/>
          <w:sz w:val="24"/>
          <w:highlight w:val="none"/>
        </w:rPr>
        <w:t>发布的信息为准。</w:t>
      </w:r>
    </w:p>
    <w:p w14:paraId="099222C9">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w:t>
      </w:r>
      <w:r>
        <w:rPr>
          <w:rFonts w:hint="eastAsia" w:ascii="宋体" w:hAnsi="宋体" w:cs="宋体"/>
          <w:color w:val="auto"/>
          <w:sz w:val="24"/>
          <w:highlight w:val="none"/>
        </w:rPr>
        <w:t>采购人对磋商文件的澄清、修改将构成磋商文件的一部分，对响应磋商的供应商具有约束力。</w:t>
      </w:r>
    </w:p>
    <w:p w14:paraId="33B0CEFF">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澄清或者修改的内容可能影响到响应文件编制的，采购人将在提交响应文件接收截止之日5日前，发布澄清或者修改公告，不足5日的，当顺延提交响应文件接收截止时间。</w:t>
      </w:r>
    </w:p>
    <w:p w14:paraId="6299F7C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zh-CN"/>
        </w:rPr>
        <w:t>.</w:t>
      </w:r>
      <w:r>
        <w:rPr>
          <w:rFonts w:hint="eastAsia" w:ascii="宋体" w:hAnsi="宋体" w:cs="宋体"/>
          <w:color w:val="auto"/>
          <w:sz w:val="24"/>
          <w:highlight w:val="none"/>
        </w:rPr>
        <w:t>除非采购人以书面的形式对磋商文件作出澄清、修改及补充，供应商由于对磋商文件的任何推论和误解以及采购人对有关问题的口头解释所造成的后果，均由供应商自负。</w:t>
      </w:r>
    </w:p>
    <w:p w14:paraId="2F01F0F8">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zh-CN"/>
        </w:rPr>
        <w:t>.</w:t>
      </w:r>
      <w:r>
        <w:rPr>
          <w:rFonts w:hint="eastAsia" w:ascii="宋体" w:hAnsi="宋体" w:cs="宋体"/>
          <w:color w:val="auto"/>
          <w:sz w:val="24"/>
          <w:highlight w:val="none"/>
        </w:rPr>
        <w:t>采购人视情况组织答疑会。如有产生答疑且对磋商文件内容有修改，采购人将按照本须知有关规定，以书面方式发出。</w:t>
      </w:r>
    </w:p>
    <w:p w14:paraId="74603044">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三、磋商项目涉及到的现场勘察</w:t>
      </w:r>
    </w:p>
    <w:p w14:paraId="08D5D859">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5E78E2A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采购人向供应商提供的有关现场的资料和数据，是采购人现有的并认为能使供应商可利用的资料。采购人对供应商由此而做出的推论、理解和结论概不负责。</w:t>
      </w:r>
    </w:p>
    <w:p w14:paraId="565EF636">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w:t>
      </w:r>
      <w:r>
        <w:rPr>
          <w:rFonts w:hint="eastAsia" w:ascii="宋体" w:hAnsi="宋体" w:cs="宋体"/>
          <w:color w:val="auto"/>
          <w:sz w:val="24"/>
          <w:highlight w:val="none"/>
        </w:rPr>
        <w:t>经采购人允许，供应商可为勘察目的进入采购人的项目现场，但供应商不得因此使采购人承担有关的责任和蒙受损失。供应商应承担勘察现场的责任和风险。</w:t>
      </w:r>
    </w:p>
    <w:p w14:paraId="6B9399C0">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供应商应认真踏勘现场。在现场勘察时，熟悉现场、现场周围交通道路等情况，以获得一切可能影响其投标的直接资料。供应商成交后，不得以不完全了解现场情况为理由而向采购人提出任何索赔的要求，对此采购人不承担任何责任并将不作任何答复与考虑。</w:t>
      </w:r>
    </w:p>
    <w:p w14:paraId="2E083565">
      <w:pPr>
        <w:autoSpaceDE w:val="0"/>
        <w:autoSpaceDN w:val="0"/>
        <w:adjustRightInd w:val="0"/>
        <w:snapToGrid w:val="0"/>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lang w:val="zh-CN"/>
        </w:rPr>
        <w:t>四、响应文件的编写、密封及标记</w:t>
      </w:r>
    </w:p>
    <w:p w14:paraId="126ADC15">
      <w:pPr>
        <w:autoSpaceDE w:val="0"/>
        <w:autoSpaceDN w:val="0"/>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（一）响应文件的编写</w:t>
      </w:r>
    </w:p>
    <w:p w14:paraId="0164EE9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1.供应商按“第七部分 响应文件组成”要求编写响应文件。但表格可以按同样格式扩展。除另有规定者外，磋商响应人不得修改。</w:t>
      </w:r>
    </w:p>
    <w:p w14:paraId="0B22A3A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2.响应文件规格幅面A4纸（图纸等除外）。</w:t>
      </w:r>
    </w:p>
    <w:p w14:paraId="7069ABD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3.按照磋商文件所规定的内容顺序，统一编制目录，逐页编码，由于编排混乱导致投标</w:t>
      </w:r>
      <w:r>
        <w:rPr>
          <w:rFonts w:hint="eastAsia" w:ascii="宋体" w:hAnsi="宋体" w:cs="宋体"/>
          <w:color w:val="auto"/>
          <w:sz w:val="24"/>
          <w:highlight w:val="none"/>
        </w:rPr>
        <w:t>响应</w:t>
      </w:r>
      <w:r>
        <w:rPr>
          <w:rFonts w:hint="eastAsia" w:ascii="宋体" w:hAnsi="宋体" w:cs="宋体"/>
          <w:color w:val="auto"/>
          <w:sz w:val="24"/>
          <w:highlight w:val="none"/>
          <w:lang w:val="zh-CN"/>
        </w:rPr>
        <w:t>文件被误读或查找不到，其责任应当由供应商承担；牢固装订成册，不允许使用活页夹、拉杆夹、文件夹、塑料方便式书脊（插入式或穿孔式）装订。</w:t>
      </w:r>
    </w:p>
    <w:p w14:paraId="22CF894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4.响应文件不得行间插字、涂改、增删，如修改错漏处，须经响应文件签署人签字并加盖公章。</w:t>
      </w:r>
    </w:p>
    <w:p w14:paraId="458221CE">
      <w:pPr>
        <w:autoSpaceDE w:val="0"/>
        <w:autoSpaceDN w:val="0"/>
        <w:adjustRightInd w:val="0"/>
        <w:snapToGrid w:val="0"/>
        <w:spacing w:line="360" w:lineRule="auto"/>
        <w:ind w:firstLine="482" w:firstLineChars="200"/>
        <w:contextualSpacing/>
        <w:rPr>
          <w:rFonts w:ascii="宋体" w:hAnsi="宋体" w:cs="宋体"/>
          <w:b/>
          <w:bCs/>
          <w:color w:val="auto"/>
          <w:sz w:val="24"/>
          <w:highlight w:val="none"/>
          <w:lang w:val="zh-CN"/>
        </w:rPr>
      </w:pPr>
      <w:r>
        <w:rPr>
          <w:rFonts w:hint="eastAsia" w:ascii="宋体" w:hAnsi="宋体" w:cs="宋体"/>
          <w:b/>
          <w:bCs/>
          <w:color w:val="auto"/>
          <w:sz w:val="24"/>
          <w:highlight w:val="none"/>
          <w:lang w:val="zh-CN"/>
        </w:rPr>
        <w:t>（二）响应文件的份数和签署</w:t>
      </w:r>
    </w:p>
    <w:p w14:paraId="1BC92B6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1.响应文件由：</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商务技术响应文件、③价格响应文件、④电子</w:t>
      </w:r>
      <w:r>
        <w:rPr>
          <w:rFonts w:hint="eastAsia" w:ascii="宋体" w:hAnsi="宋体" w:cs="宋体"/>
          <w:color w:val="auto"/>
          <w:sz w:val="24"/>
          <w:highlight w:val="none"/>
        </w:rPr>
        <w:t>版响应</w:t>
      </w:r>
      <w:r>
        <w:rPr>
          <w:rFonts w:hint="eastAsia" w:ascii="宋体" w:hAnsi="宋体" w:cs="宋体"/>
          <w:color w:val="auto"/>
          <w:sz w:val="24"/>
          <w:highlight w:val="none"/>
          <w:lang w:val="zh-CN"/>
        </w:rPr>
        <w:t>文件共4部分组成（以下由文件序号代称）。</w:t>
      </w:r>
    </w:p>
    <w:p w14:paraId="1480D37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2.纸质响应文件（</w:t>
      </w:r>
      <w:r>
        <w:rPr>
          <w:rFonts w:hint="eastAsia" w:ascii="宋体" w:hAnsi="宋体" w:cs="宋体"/>
          <w:color w:val="auto"/>
          <w:sz w:val="24"/>
          <w:highlight w:val="none"/>
        </w:rPr>
        <w:t>即</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商务技术文件、③价格响应文件，</w:t>
      </w:r>
      <w:r>
        <w:rPr>
          <w:rFonts w:hint="eastAsia" w:ascii="宋体" w:hAnsi="宋体" w:cs="宋体"/>
          <w:color w:val="auto"/>
          <w:sz w:val="24"/>
          <w:highlight w:val="none"/>
        </w:rPr>
        <w:t>下同</w:t>
      </w:r>
      <w:r>
        <w:rPr>
          <w:rFonts w:hint="eastAsia" w:ascii="宋体" w:hAnsi="宋体" w:cs="宋体"/>
          <w:color w:val="auto"/>
          <w:sz w:val="24"/>
          <w:highlight w:val="none"/>
          <w:lang w:val="zh-CN"/>
        </w:rPr>
        <w:t>）均为一式叁份，其中“正本”壹份和“副本”贰份。电子</w:t>
      </w:r>
      <w:r>
        <w:rPr>
          <w:rFonts w:hint="eastAsia" w:ascii="宋体" w:hAnsi="宋体" w:cs="宋体"/>
          <w:color w:val="auto"/>
          <w:sz w:val="24"/>
          <w:highlight w:val="none"/>
        </w:rPr>
        <w:t>版响应</w:t>
      </w:r>
      <w:r>
        <w:rPr>
          <w:rFonts w:hint="eastAsia" w:ascii="宋体" w:hAnsi="宋体" w:cs="宋体"/>
          <w:color w:val="auto"/>
          <w:sz w:val="24"/>
          <w:highlight w:val="none"/>
          <w:lang w:val="zh-CN"/>
        </w:rPr>
        <w:t>文件1份（具体要求详见第七部分响应文件组成）。</w:t>
      </w:r>
    </w:p>
    <w:p w14:paraId="0CA20AB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3.在每份纸质响应文件上要明确标注项目名称、对应的响应文件名称、供应商的全称、日期、“正本”、“副本”字样。“正本”和“副本”若有差异，概以“正本”为准。</w:t>
      </w:r>
    </w:p>
    <w:p w14:paraId="425CEA5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4.响应文件中的所有“正本”，其正文内容须按磋商文件要求由供应商法定代表人或被授权人签字（或盖章）并加盖单位公章。“副本”可复印，但须加盖单位公章。</w:t>
      </w:r>
    </w:p>
    <w:p w14:paraId="4C8C9A41">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5.电子版响应文件</w:t>
      </w:r>
    </w:p>
    <w:p w14:paraId="23B3A1E8">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电子版响应文件即为上述</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商务技术文件、③价格响应文件签字盖章后纸质版响应文件的扫描件，全部内容均存入一份U盘即可。</w:t>
      </w:r>
    </w:p>
    <w:p w14:paraId="056459C0">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（三）响应文件的密封及标记</w:t>
      </w:r>
    </w:p>
    <w:p w14:paraId="2D13FDB7">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1.供应商须将本项目响应文件：</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1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①</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2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②</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、③单独密封；④密封至③的封袋内。</w:t>
      </w:r>
    </w:p>
    <w:p w14:paraId="0F3498F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2.供应商可将响应文件正副本统一密封或分别密封，如正本和副本分别密封的，应在封袋或封箱上标明正、副本字样。</w:t>
      </w:r>
    </w:p>
    <w:p w14:paraId="037605D9">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3.密封后，应在封袋或封箱上明确标注</w:t>
      </w:r>
      <w:r>
        <w:rPr>
          <w:rFonts w:hint="eastAsia" w:ascii="宋体" w:hAnsi="宋体" w:cs="宋体"/>
          <w:b/>
          <w:bCs/>
          <w:color w:val="auto"/>
          <w:sz w:val="24"/>
          <w:highlight w:val="none"/>
          <w:u w:val="double"/>
          <w:lang w:val="zh-CN"/>
        </w:rPr>
        <w:t>磋商项目名称、响应文件各自对应的名称、供应商的全称及日期。</w:t>
      </w:r>
    </w:p>
    <w:p w14:paraId="09CF111D">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4.</w:t>
      </w:r>
      <w:r>
        <w:rPr>
          <w:rFonts w:hint="eastAsia" w:ascii="宋体" w:hAnsi="宋体" w:cs="宋体"/>
          <w:b/>
          <w:bCs/>
          <w:color w:val="auto"/>
          <w:sz w:val="24"/>
          <w:highlight w:val="none"/>
          <w:u w:val="double"/>
          <w:lang w:val="zh-CN"/>
        </w:rPr>
        <w:t>在边缝处加盖供应商公章或骑缝签字。</w:t>
      </w:r>
    </w:p>
    <w:p w14:paraId="200CD555">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5.采购人将拒绝接收未按照磋商文件要求密封的响应文件。</w:t>
      </w:r>
    </w:p>
    <w:p w14:paraId="283C723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【特别提醒】响应文件中</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的“正本”或“副本”中，</w:t>
      </w:r>
      <w:r>
        <w:rPr>
          <w:rFonts w:hint="eastAsia" w:ascii="宋体" w:hAnsi="宋体" w:cs="宋体"/>
          <w:b/>
          <w:bCs/>
          <w:color w:val="auto"/>
          <w:sz w:val="24"/>
          <w:highlight w:val="none"/>
          <w:u w:val="double"/>
          <w:lang w:val="zh-CN"/>
        </w:rPr>
        <w:t>均不得含有价格响应文件中报价表（报价单）内的任何项目价格，否则作无效响应处理</w:t>
      </w:r>
      <w:r>
        <w:rPr>
          <w:rFonts w:hint="eastAsia" w:ascii="宋体" w:hAnsi="宋体" w:cs="宋体"/>
          <w:color w:val="auto"/>
          <w:sz w:val="24"/>
          <w:highlight w:val="none"/>
          <w:lang w:val="zh-CN"/>
        </w:rPr>
        <w:t>。</w:t>
      </w:r>
    </w:p>
    <w:p w14:paraId="626418C4">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rPr>
        <w:t>四</w:t>
      </w:r>
      <w:r>
        <w:rPr>
          <w:rFonts w:hint="eastAsia" w:ascii="宋体" w:hAnsi="宋体" w:cs="宋体"/>
          <w:b/>
          <w:bCs/>
          <w:color w:val="auto"/>
          <w:sz w:val="24"/>
          <w:highlight w:val="none"/>
          <w:lang w:val="zh-CN"/>
        </w:rPr>
        <w:t>）磋商响应有效期</w:t>
      </w:r>
    </w:p>
    <w:p w14:paraId="7F46868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磋商响应有效期为采购代理机构规定的响应文件提交截止时间后</w:t>
      </w:r>
      <w:r>
        <w:rPr>
          <w:rFonts w:hint="eastAsia" w:ascii="宋体" w:hAnsi="宋体" w:cs="宋体"/>
          <w:b/>
          <w:color w:val="auto"/>
          <w:sz w:val="24"/>
          <w:highlight w:val="none"/>
          <w:u w:val="single"/>
          <w:lang w:val="zh-CN"/>
        </w:rPr>
        <w:t>四十五（45）天</w:t>
      </w:r>
      <w:r>
        <w:rPr>
          <w:rFonts w:hint="eastAsia" w:ascii="宋体" w:hAnsi="宋体" w:cs="宋体"/>
          <w:color w:val="auto"/>
          <w:sz w:val="24"/>
          <w:highlight w:val="none"/>
          <w:lang w:val="zh-CN"/>
        </w:rPr>
        <w:t>。磋商响应有效期比规定短的将被视为非实质性响应而予以拒绝。</w:t>
      </w:r>
    </w:p>
    <w:p w14:paraId="708947B2">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五、磋商报价</w:t>
      </w:r>
    </w:p>
    <w:p w14:paraId="3D64F22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1.本项目不接受任何有选择的报价。</w:t>
      </w:r>
    </w:p>
    <w:p w14:paraId="66FA41D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2.磋商报价均以人民币为报价的币种。</w:t>
      </w:r>
    </w:p>
    <w:p w14:paraId="3AB720C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3.磋商报价出现前后不一致的，按照下列规定修正：</w:t>
      </w:r>
    </w:p>
    <w:p w14:paraId="590FF69D">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（1）响应文件中开标一览表（报价表）内容与响应文件中相应内容不一致的，以开标一览表（报价表）为准；</w:t>
      </w:r>
    </w:p>
    <w:p w14:paraId="34BCA723">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（2）大写金额和小写金额不一致的，以大写金额为准；</w:t>
      </w:r>
    </w:p>
    <w:p w14:paraId="1C822C58">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（3）单价金额小数点或者百分比有明显错位的，以开标一览表（报价表）的总价为准，并修改单价；</w:t>
      </w:r>
    </w:p>
    <w:p w14:paraId="42C30A6F">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（4）总价金额与按单价汇总金额不一致的，以单价金额计算结果为准。</w:t>
      </w:r>
    </w:p>
    <w:p w14:paraId="208F795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同时出现两种以上不一致的，按照前款规定的顺序修正。修正后的报价经供应商确认后产生约束力，供应商不确认的，其投标无效。</w:t>
      </w:r>
    </w:p>
    <w:p w14:paraId="13C0D36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4.报价方式及要求：</w:t>
      </w:r>
    </w:p>
    <w:p w14:paraId="2B05B111">
      <w:pPr>
        <w:autoSpaceDE w:val="0"/>
        <w:autoSpaceDN w:val="0"/>
        <w:adjustRightInd w:val="0"/>
        <w:snapToGrid w:val="0"/>
        <w:spacing w:line="360" w:lineRule="auto"/>
        <w:ind w:firstLine="480" w:firstLineChars="200"/>
        <w:contextualSpacing/>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1）本项目采用总价报价，最终报价包括完成本项目服务工作所需要的人员费用、交通工具及使用费、设备、通讯及相关费用、诉讼（或仲裁、执行等）代理等事务的一切服务收费、南通市（含所辖县区）以内办案产生的交通、住宿、餐饮等费用以及公司取费、法定税金、利润等与履行合同有关的一切费用。供应商提供法律服务过程中应当由采购人支付的诉讼费、仲裁费、执行费、保全费、公证费、鉴定费、查档费、翻译费、专家论证费以及异地办案差旅费等办案费用，由采购人承担。</w:t>
      </w:r>
    </w:p>
    <w:p w14:paraId="364991B7">
      <w:pPr>
        <w:autoSpaceDE w:val="0"/>
        <w:autoSpaceDN w:val="0"/>
        <w:adjustRightInd w:val="0"/>
        <w:snapToGrid w:val="0"/>
        <w:spacing w:line="360" w:lineRule="auto"/>
        <w:ind w:firstLine="480" w:firstLineChars="200"/>
        <w:contextualSpacing/>
        <w:jc w:val="left"/>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差旅费：</w:t>
      </w:r>
      <w:r>
        <w:rPr>
          <w:rFonts w:hint="eastAsia" w:ascii="宋体" w:hAnsi="宋体" w:cs="宋体"/>
          <w:color w:val="auto"/>
          <w:sz w:val="24"/>
          <w:highlight w:val="none"/>
          <w:lang w:val="zh-CN"/>
        </w:rPr>
        <w:t>因服务需要并经采购人同意确需离开南通市范围的，异地办案差旅费按采购人工作人员因公出差规定执行。</w:t>
      </w:r>
    </w:p>
    <w:p w14:paraId="1B6A8A1F">
      <w:pPr>
        <w:autoSpaceDE w:val="0"/>
        <w:autoSpaceDN w:val="0"/>
        <w:adjustRightInd w:val="0"/>
        <w:snapToGrid w:val="0"/>
        <w:spacing w:line="360" w:lineRule="auto"/>
        <w:ind w:firstLine="480" w:firstLineChars="200"/>
        <w:jc w:val="left"/>
        <w:rPr>
          <w:rFonts w:cs="宋体" w:asciiTheme="minorEastAsia" w:hAnsiTheme="minorEastAsia" w:eastAsiaTheme="minorEastAsia"/>
          <w:color w:val="auto"/>
          <w:sz w:val="24"/>
          <w:highlight w:val="none"/>
          <w:lang w:val="zh-CN"/>
        </w:rPr>
      </w:pPr>
      <w:r>
        <w:rPr>
          <w:rFonts w:hint="eastAsia" w:cs="仿宋_GB2312" w:asciiTheme="minorEastAsia" w:hAnsiTheme="minorEastAsia" w:eastAsiaTheme="minorEastAsia"/>
          <w:color w:val="auto"/>
          <w:sz w:val="24"/>
          <w:highlight w:val="none"/>
          <w:lang w:val="zh-CN"/>
        </w:rPr>
        <w:t>（</w:t>
      </w:r>
      <w:r>
        <w:rPr>
          <w:rFonts w:hint="eastAsia" w:cs="仿宋_GB2312" w:asciiTheme="minorEastAsia" w:hAnsiTheme="minorEastAsia" w:eastAsiaTheme="minorEastAsia"/>
          <w:color w:val="auto"/>
          <w:sz w:val="24"/>
          <w:highlight w:val="none"/>
          <w:lang w:val="en-US" w:eastAsia="zh-CN"/>
        </w:rPr>
        <w:t>2</w:t>
      </w:r>
      <w:r>
        <w:rPr>
          <w:rFonts w:hint="eastAsia" w:cs="仿宋_GB2312" w:asciiTheme="minorEastAsia" w:hAnsiTheme="minorEastAsia" w:eastAsiaTheme="minorEastAsia"/>
          <w:color w:val="auto"/>
          <w:sz w:val="24"/>
          <w:highlight w:val="none"/>
          <w:lang w:val="zh-CN"/>
        </w:rPr>
        <w:t>）供应商在投标时应主动查阅本项目的有关文件、技术经济等资料。作为一个有经验的供应商，应充分考虑到采购人提供的相关资料和数据与合同实施过程中存有偏差。供应商应综合考虑到报价中，采购对供应商的投标报价不因此而进行调整。</w:t>
      </w:r>
    </w:p>
    <w:p w14:paraId="59754E4A">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六、响应文件及磋商费用</w:t>
      </w:r>
    </w:p>
    <w:p w14:paraId="73001393">
      <w:pPr>
        <w:pStyle w:val="30"/>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highlight w:val="none"/>
          <w:lang w:val="zh-CN"/>
        </w:rPr>
        <w:t>.</w:t>
      </w:r>
      <w:r>
        <w:rPr>
          <w:rFonts w:hint="eastAsia" w:ascii="宋体" w:eastAsia="宋体" w:cs="宋体"/>
          <w:color w:val="auto"/>
          <w:sz w:val="24"/>
          <w:szCs w:val="24"/>
          <w:highlight w:val="none"/>
        </w:rPr>
        <w:t>磋商程序顺利进行后，除供应商的原件可退回外，其余所有的响应文件都将作为档案保存，不论成交与否，均不退回（未拆封的除外）。</w:t>
      </w:r>
    </w:p>
    <w:p w14:paraId="02E08FD5">
      <w:pPr>
        <w:pStyle w:val="30"/>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2</w:t>
      </w:r>
      <w:r>
        <w:rPr>
          <w:rFonts w:hint="eastAsia" w:ascii="宋体" w:eastAsia="宋体" w:cs="宋体"/>
          <w:color w:val="auto"/>
          <w:sz w:val="24"/>
          <w:highlight w:val="none"/>
          <w:lang w:val="zh-CN"/>
        </w:rPr>
        <w:t>.</w:t>
      </w:r>
      <w:r>
        <w:rPr>
          <w:rFonts w:hint="eastAsia" w:ascii="宋体" w:eastAsia="宋体" w:cs="宋体"/>
          <w:color w:val="auto"/>
          <w:sz w:val="24"/>
          <w:szCs w:val="24"/>
          <w:highlight w:val="none"/>
        </w:rPr>
        <w:t>供应商承担参与磋商可能发生的全部费用，参加项目磋商的供应商自行承担与本次项目磋商有关的全部费用，采购人在任何情况下均无义务和责任承担这些费用。</w:t>
      </w:r>
    </w:p>
    <w:p w14:paraId="680D7BF4">
      <w:pPr>
        <w:snapToGrid w:val="0"/>
        <w:spacing w:line="360" w:lineRule="auto"/>
        <w:ind w:firstLine="463" w:firstLineChars="192"/>
        <w:rPr>
          <w:rFonts w:ascii="宋体" w:hAnsi="宋体" w:cs="宋体"/>
          <w:b/>
          <w:color w:val="auto"/>
          <w:sz w:val="24"/>
          <w:highlight w:val="none"/>
        </w:rPr>
      </w:pPr>
      <w:r>
        <w:rPr>
          <w:rFonts w:hint="eastAsia" w:ascii="宋体" w:hAnsi="宋体" w:cs="宋体"/>
          <w:b/>
          <w:bCs/>
          <w:color w:val="auto"/>
          <w:sz w:val="24"/>
          <w:highlight w:val="none"/>
        </w:rPr>
        <w:t>七、</w:t>
      </w:r>
      <w:r>
        <w:rPr>
          <w:rFonts w:hint="eastAsia" w:ascii="宋体" w:hAnsi="宋体" w:cs="宋体"/>
          <w:b/>
          <w:color w:val="auto"/>
          <w:sz w:val="24"/>
          <w:highlight w:val="none"/>
        </w:rPr>
        <w:t>保证金</w:t>
      </w:r>
    </w:p>
    <w:p w14:paraId="509BB367">
      <w:pPr>
        <w:snapToGrid w:val="0"/>
        <w:spacing w:line="360" w:lineRule="auto"/>
        <w:ind w:firstLine="463" w:firstLineChars="192"/>
        <w:rPr>
          <w:rFonts w:ascii="宋体" w:hAnsi="宋体" w:cs="宋体"/>
          <w:b/>
          <w:bCs/>
          <w:color w:val="auto"/>
          <w:sz w:val="24"/>
          <w:highlight w:val="none"/>
        </w:rPr>
      </w:pPr>
      <w:r>
        <w:rPr>
          <w:rFonts w:hint="eastAsia" w:ascii="宋体" w:hAnsi="宋体" w:cs="宋体"/>
          <w:b/>
          <w:bCs/>
          <w:color w:val="auto"/>
          <w:sz w:val="24"/>
          <w:highlight w:val="none"/>
        </w:rPr>
        <w:t>1.本项目不设磋商保证金。</w:t>
      </w:r>
    </w:p>
    <w:p w14:paraId="53F334E1">
      <w:pPr>
        <w:snapToGrid w:val="0"/>
        <w:spacing w:line="360" w:lineRule="auto"/>
        <w:ind w:firstLine="463" w:firstLineChars="192"/>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color w:val="auto"/>
          <w:sz w:val="24"/>
          <w:highlight w:val="none"/>
        </w:rPr>
        <w:t>本项目不设履约保证金。</w:t>
      </w:r>
    </w:p>
    <w:p w14:paraId="5165A777">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八、分包</w:t>
      </w:r>
    </w:p>
    <w:p w14:paraId="3E49D980">
      <w:pPr>
        <w:snapToGrid w:val="0"/>
        <w:spacing w:line="360" w:lineRule="auto"/>
        <w:ind w:firstLine="460" w:firstLineChars="19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本项目</w:t>
      </w:r>
      <w:r>
        <w:rPr>
          <w:rFonts w:hint="eastAsia" w:cs="宋体" w:asciiTheme="minorEastAsia" w:hAnsiTheme="minorEastAsia" w:eastAsiaTheme="minorEastAsia"/>
          <w:color w:val="auto"/>
          <w:sz w:val="24"/>
          <w:highlight w:val="none"/>
          <w:lang w:val="en-US" w:eastAsia="zh-CN"/>
        </w:rPr>
        <w:t>不</w:t>
      </w:r>
      <w:r>
        <w:rPr>
          <w:rFonts w:hint="eastAsia" w:cs="宋体" w:asciiTheme="minorEastAsia" w:hAnsiTheme="minorEastAsia" w:eastAsiaTheme="minorEastAsia"/>
          <w:color w:val="auto"/>
          <w:spacing w:val="7"/>
          <w:kern w:val="0"/>
          <w:sz w:val="24"/>
          <w:highlight w:val="none"/>
        </w:rPr>
        <w:t>允许分包。</w:t>
      </w:r>
    </w:p>
    <w:p w14:paraId="5E219C25">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九、未尽事宜</w:t>
      </w:r>
    </w:p>
    <w:p w14:paraId="6902AE4E">
      <w:pPr>
        <w:snapToGrid w:val="0"/>
        <w:spacing w:line="360" w:lineRule="auto"/>
        <w:ind w:firstLine="460" w:firstLineChars="192"/>
        <w:rPr>
          <w:rFonts w:ascii="宋体" w:hAnsi="宋体" w:cs="宋体"/>
          <w:color w:val="auto"/>
          <w:sz w:val="24"/>
          <w:highlight w:val="none"/>
        </w:rPr>
      </w:pPr>
      <w:r>
        <w:rPr>
          <w:rFonts w:hint="eastAsia" w:ascii="宋体" w:hAnsi="宋体" w:cs="宋体"/>
          <w:color w:val="auto"/>
          <w:sz w:val="24"/>
          <w:highlight w:val="none"/>
        </w:rPr>
        <w:t>参照《中华人民共和国政府采购法》、《政府采购竞争性磋商采购方式管理暂行办法》及其他有关法律法规和规范性文件的规定执行。</w:t>
      </w:r>
    </w:p>
    <w:p w14:paraId="69184942">
      <w:pPr>
        <w:autoSpaceDE w:val="0"/>
        <w:autoSpaceDN w:val="0"/>
        <w:adjustRightInd w:val="0"/>
        <w:snapToGrid w:val="0"/>
        <w:spacing w:line="30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r>
        <w:rPr>
          <w:rFonts w:hint="eastAsia" w:ascii="宋体" w:hAnsi="宋体" w:cs="宋体"/>
          <w:b/>
          <w:bCs/>
          <w:color w:val="auto"/>
          <w:sz w:val="36"/>
          <w:szCs w:val="36"/>
          <w:highlight w:val="none"/>
          <w:lang w:val="zh-CN"/>
        </w:rPr>
        <w:t>第三部分 项目需求</w:t>
      </w:r>
    </w:p>
    <w:p w14:paraId="372EAFFE">
      <w:pPr>
        <w:pStyle w:val="30"/>
        <w:adjustRightInd w:val="0"/>
        <w:snapToGrid w:val="0"/>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请供应商在申请获取磋商文件前和制作响应文件时仔细研究项目需求说明。供应商不能简单照搬照抄采购人项目需求说明中的技术、商务要求，必须作实事求是的响应。如照搬照抄项目需求说明中的技术、商务要求的，成交后供应商在同采购人签订合同和履约环节中不得提出异议，一切后果和损失由成交供应商承担。</w:t>
      </w:r>
    </w:p>
    <w:p w14:paraId="24567925">
      <w:pPr>
        <w:adjustRightInd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sz w:val="24"/>
          <w:highlight w:val="none"/>
        </w:rPr>
        <w:t>一、</w:t>
      </w:r>
      <w:r>
        <w:rPr>
          <w:rFonts w:hint="eastAsia" w:ascii="宋体" w:hAnsi="宋体" w:cs="宋体"/>
          <w:b/>
          <w:bCs/>
          <w:color w:val="auto"/>
          <w:kern w:val="0"/>
          <w:sz w:val="24"/>
          <w:highlight w:val="none"/>
        </w:rPr>
        <w:t>采购项目概况</w:t>
      </w:r>
    </w:p>
    <w:p w14:paraId="0480FE8B">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对2026-2028年南通市公路事业发展中心（含各分中心）涉及的法律事务提供相关服务，</w:t>
      </w:r>
      <w:r>
        <w:rPr>
          <w:rFonts w:hint="eastAsia" w:ascii="宋体" w:eastAsia="宋体" w:cs="宋体"/>
          <w:color w:val="auto"/>
          <w:sz w:val="24"/>
          <w:szCs w:val="24"/>
          <w:highlight w:val="none"/>
          <w:lang w:eastAsia="zh-CN"/>
        </w:rPr>
        <w:t>本项目</w:t>
      </w:r>
      <w:r>
        <w:rPr>
          <w:rFonts w:hint="eastAsia" w:ascii="宋体" w:eastAsia="宋体" w:cs="宋体"/>
          <w:color w:val="auto"/>
          <w:sz w:val="24"/>
          <w:szCs w:val="24"/>
          <w:highlight w:val="none"/>
        </w:rPr>
        <w:t>不包含经采购人党委会集体讨论研究认定为需要另行项目化实施的服务项目</w:t>
      </w:r>
      <w:r>
        <w:rPr>
          <w:rFonts w:hint="eastAsia" w:ascii="宋体" w:eastAsia="宋体" w:cs="宋体"/>
          <w:color w:val="auto"/>
          <w:sz w:val="24"/>
          <w:szCs w:val="24"/>
          <w:highlight w:val="none"/>
          <w:lang w:eastAsia="zh-CN"/>
        </w:rPr>
        <w:t>。</w:t>
      </w:r>
    </w:p>
    <w:p w14:paraId="78FDCC42">
      <w:pPr>
        <w:widowControl/>
        <w:numPr>
          <w:ilvl w:val="0"/>
          <w:numId w:val="0"/>
        </w:numPr>
        <w:adjustRightInd w:val="0"/>
        <w:snapToGrid w:val="0"/>
        <w:spacing w:line="360" w:lineRule="auto"/>
        <w:ind w:firstLine="482" w:firstLineChars="200"/>
        <w:textAlignment w:val="baseline"/>
        <w:rPr>
          <w:rFonts w:hint="eastAsia" w:ascii="宋体" w:hAnsi="宋体" w:eastAsia="宋体" w:cs="宋体"/>
          <w:b/>
          <w:bCs/>
          <w:color w:val="auto"/>
          <w:kern w:val="0"/>
          <w:sz w:val="24"/>
          <w:highlight w:val="none"/>
        </w:rPr>
      </w:pPr>
      <w:r>
        <w:rPr>
          <w:rFonts w:hint="eastAsia" w:ascii="宋体" w:hAnsi="宋体" w:cs="宋体"/>
          <w:b/>
          <w:bCs/>
          <w:color w:val="auto"/>
          <w:kern w:val="0"/>
          <w:sz w:val="24"/>
          <w:szCs w:val="24"/>
          <w:highlight w:val="none"/>
          <w:lang w:val="en-US" w:eastAsia="zh-CN" w:bidi="ar-SA"/>
        </w:rPr>
        <w:t>二</w:t>
      </w:r>
      <w:r>
        <w:rPr>
          <w:rFonts w:hint="eastAsia" w:ascii="宋体" w:hAnsi="宋体" w:eastAsia="宋体" w:cs="宋体"/>
          <w:b/>
          <w:bCs/>
          <w:color w:val="auto"/>
          <w:kern w:val="0"/>
          <w:sz w:val="24"/>
          <w:highlight w:val="none"/>
          <w:lang w:val="en-US" w:eastAsia="zh-CN"/>
        </w:rPr>
        <w:t>、</w:t>
      </w:r>
      <w:r>
        <w:rPr>
          <w:rFonts w:hint="eastAsia" w:ascii="宋体" w:hAnsi="宋体" w:eastAsia="宋体" w:cs="宋体"/>
          <w:b/>
          <w:bCs/>
          <w:color w:val="auto"/>
          <w:kern w:val="0"/>
          <w:sz w:val="24"/>
          <w:highlight w:val="none"/>
        </w:rPr>
        <w:t>采购标的数量、采购项目交付或者实施的时间和地点</w:t>
      </w:r>
    </w:p>
    <w:p w14:paraId="2C52C5FE">
      <w:pPr>
        <w:pStyle w:val="30"/>
        <w:adjustRightInd w:val="0"/>
        <w:snapToGrid w:val="0"/>
        <w:spacing w:line="360" w:lineRule="auto"/>
        <w:ind w:firstLine="480" w:firstLineChars="200"/>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一</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rPr>
        <w:t>具体</w:t>
      </w:r>
      <w:r>
        <w:rPr>
          <w:rFonts w:hint="eastAsia" w:ascii="宋体" w:eastAsia="宋体" w:cs="宋体"/>
          <w:color w:val="auto"/>
          <w:sz w:val="24"/>
          <w:szCs w:val="24"/>
          <w:highlight w:val="none"/>
          <w:lang w:val="en-US" w:eastAsia="zh-CN"/>
        </w:rPr>
        <w:t>服务内容</w:t>
      </w:r>
    </w:p>
    <w:p w14:paraId="786FEDA4">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1.</w:t>
      </w:r>
      <w:r>
        <w:rPr>
          <w:rFonts w:hint="eastAsia" w:ascii="宋体" w:eastAsia="宋体" w:cs="宋体"/>
          <w:color w:val="auto"/>
          <w:sz w:val="24"/>
          <w:szCs w:val="24"/>
          <w:highlight w:val="none"/>
        </w:rPr>
        <w:t>法律咨询服务。为采购人实现正当权益、提高管理效率、排除不法侵害、防范法律风险、维护合法权益提供服务，咨询内容主要涉及公路养护管理有关法律问题、经济合同、劳动合同、知识产权、国有资产管理、信息公开等领域。</w:t>
      </w:r>
    </w:p>
    <w:p w14:paraId="670BAE56">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2.</w:t>
      </w:r>
      <w:r>
        <w:rPr>
          <w:rFonts w:hint="eastAsia" w:ascii="宋体" w:eastAsia="宋体" w:cs="宋体"/>
          <w:color w:val="auto"/>
          <w:sz w:val="24"/>
          <w:szCs w:val="24"/>
          <w:highlight w:val="none"/>
        </w:rPr>
        <w:t>法律服务。主要包括：</w:t>
      </w:r>
    </w:p>
    <w:p w14:paraId="4100994F">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1</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rPr>
        <w:t>法律诉讼服务。预计每年发生10-20件民事诉讼案件，主要涉及机动车交通事故责任纠纷、公共道路妨碍通行损害责任纠纷、违反安全保障义务责任纠纷、建设工程合同纠纷、租赁合同纠纷等诉讼案件，该数量及诉讼类型仅作为参考，实际诉讼数量低于或高于该数量的，诉讼类型超出该范围的不调整法律服务费用。</w:t>
      </w:r>
    </w:p>
    <w:p w14:paraId="43C33164">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2</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rPr>
        <w:t>法律文件代理服务。</w:t>
      </w:r>
    </w:p>
    <w:p w14:paraId="2E4679E3">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3</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rPr>
        <w:t>仲裁服务。</w:t>
      </w:r>
    </w:p>
    <w:p w14:paraId="1442F4CE">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4</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rPr>
        <w:t>调解服务。</w:t>
      </w:r>
    </w:p>
    <w:p w14:paraId="1B7B1725">
      <w:pPr>
        <w:pStyle w:val="30"/>
        <w:adjustRightInd w:val="0"/>
        <w:snapToGrid w:val="0"/>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5</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rPr>
        <w:t>其他法律服务。除与法律有关的调查、取证外，主要包含</w:t>
      </w:r>
      <w:r>
        <w:rPr>
          <w:rFonts w:hint="eastAsia" w:ascii="宋体" w:eastAsia="宋体" w:cs="宋体"/>
          <w:color w:val="auto"/>
          <w:sz w:val="24"/>
          <w:szCs w:val="24"/>
          <w:highlight w:val="none"/>
          <w:lang w:eastAsia="zh-CN"/>
        </w:rPr>
        <w:t>：</w:t>
      </w:r>
    </w:p>
    <w:p w14:paraId="684CD1FE">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1）出具法律意见书或律师函。根据采购人的要求，对决策、招标采购、合同、信访、舆情等事务的处理，进行法律论证，出具法律意见书或律师函。一般性事务，供应商应在3个工作日内出具法律意见书或律师函；情况复杂的，经采购人同意可适当延长。</w:t>
      </w:r>
    </w:p>
    <w:p w14:paraId="15CDE71A">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2）出具合法性审查意见书。对招标文件、政府采购文件、合同、制度、标准等，从法律方面提供修改和补充意见，并出具合法性审查意见。一般性文件，供应商应在3个工作日内出具合法性审查意见；情况复杂的，经采购人同意可适当延长。预计每年出具合法性审查意见书50-100件，以招标、采购文件及合同为主，该数据及审查范围仅作为参考，实际服务数量低于或高于该数量的，实际审查范围超出该范围的，不调整法律服务费用。</w:t>
      </w:r>
    </w:p>
    <w:p w14:paraId="57D948EF">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3）参与谈判。参加采购人关于行业管理、合同履行、信访等事务的谈判。</w:t>
      </w:r>
    </w:p>
    <w:p w14:paraId="398043DD">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4）举办法律讲座。结合采购人工作需求，为采购人的工作人员或行业从业人员举办不少于2次法律讲座，主要涉及民法典及公路养护管理法律领域。具体讲座内容由采购人另行确定。</w:t>
      </w:r>
    </w:p>
    <w:p w14:paraId="6E34A176">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5）及时提示履职法律风险。供应商及时将在提供法律服务过程中发现的采购人履职法律风险作出风险提示，并提出防范建议及措施。</w:t>
      </w:r>
    </w:p>
    <w:p w14:paraId="1E3BC3B3">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6）协助采购人办理其他法律事务。</w:t>
      </w:r>
    </w:p>
    <w:p w14:paraId="18A37F97">
      <w:pPr>
        <w:pStyle w:val="30"/>
        <w:adjustRightInd w:val="0"/>
        <w:snapToGrid w:val="0"/>
        <w:spacing w:line="360" w:lineRule="auto"/>
        <w:ind w:firstLine="480" w:firstLineChars="200"/>
        <w:rPr>
          <w:rFonts w:cs="宋体" w:asciiTheme="minorEastAsia" w:hAnsiTheme="minorEastAsia" w:eastAsiaTheme="minorEastAsia"/>
          <w:b/>
          <w:bCs/>
          <w:color w:val="auto"/>
          <w:kern w:val="0"/>
          <w:sz w:val="24"/>
          <w:highlight w:val="none"/>
        </w:rPr>
      </w:pPr>
      <w:r>
        <w:rPr>
          <w:rFonts w:hint="eastAsia" w:ascii="宋体" w:eastAsia="宋体" w:cs="宋体"/>
          <w:color w:val="auto"/>
          <w:sz w:val="24"/>
          <w:szCs w:val="24"/>
          <w:highlight w:val="none"/>
        </w:rPr>
        <w:t>三</w:t>
      </w:r>
      <w:r>
        <w:rPr>
          <w:rFonts w:hint="eastAsia" w:cs="宋体" w:asciiTheme="minorEastAsia" w:hAnsiTheme="minorEastAsia" w:eastAsiaTheme="minorEastAsia"/>
          <w:b/>
          <w:bCs/>
          <w:color w:val="auto"/>
          <w:kern w:val="0"/>
          <w:sz w:val="24"/>
          <w:highlight w:val="none"/>
        </w:rPr>
        <w:t>、采购标的需满足的服务标准、期限、效率等要求</w:t>
      </w:r>
    </w:p>
    <w:p w14:paraId="427F6FD3">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合同履行期限：</w:t>
      </w:r>
      <w:r>
        <w:rPr>
          <w:rFonts w:hint="eastAsia" w:ascii="宋体" w:eastAsia="宋体" w:cs="宋体"/>
          <w:color w:val="auto"/>
          <w:sz w:val="24"/>
          <w:szCs w:val="24"/>
          <w:highlight w:val="none"/>
          <w:lang w:val="zh-CN"/>
        </w:rPr>
        <w:t>首年服务期为</w:t>
      </w:r>
      <w:r>
        <w:rPr>
          <w:rFonts w:hint="eastAsia" w:ascii="宋体" w:eastAsia="宋体" w:cs="宋体"/>
          <w:color w:val="auto"/>
          <w:sz w:val="24"/>
          <w:szCs w:val="24"/>
          <w:highlight w:val="none"/>
        </w:rPr>
        <w:t>2026年1月1日-2026年12月31日</w:t>
      </w:r>
      <w:r>
        <w:rPr>
          <w:rFonts w:hint="eastAsia" w:ascii="宋体" w:eastAsia="宋体" w:cs="宋体"/>
          <w:color w:val="auto"/>
          <w:sz w:val="24"/>
          <w:szCs w:val="24"/>
          <w:highlight w:val="none"/>
          <w:lang w:val="zh-CN"/>
        </w:rPr>
        <w:t>。采购人有权对成交供应商履职期间的情况综合考核并决定是否续签合同，</w:t>
      </w:r>
      <w:r>
        <w:rPr>
          <w:rFonts w:hint="eastAsia" w:ascii="宋体" w:eastAsia="宋体" w:cs="宋体"/>
          <w:color w:val="auto"/>
          <w:sz w:val="24"/>
          <w:szCs w:val="24"/>
          <w:highlight w:val="none"/>
        </w:rPr>
        <w:t>评价为优、良的为考核合格，可续签下一年度合同；评价为中、差的为考核不合格，不再续签下一年度合同；</w:t>
      </w:r>
      <w:r>
        <w:rPr>
          <w:rFonts w:hint="eastAsia" w:ascii="宋体" w:eastAsia="宋体" w:cs="宋体"/>
          <w:color w:val="auto"/>
          <w:sz w:val="24"/>
          <w:szCs w:val="24"/>
          <w:highlight w:val="none"/>
          <w:lang w:val="zh-CN"/>
        </w:rPr>
        <w:t>续签合同服务期为</w:t>
      </w:r>
      <w:r>
        <w:rPr>
          <w:rFonts w:hint="eastAsia" w:ascii="宋体" w:eastAsia="宋体" w:cs="宋体"/>
          <w:color w:val="auto"/>
          <w:sz w:val="24"/>
          <w:szCs w:val="24"/>
          <w:highlight w:val="none"/>
        </w:rPr>
        <w:t>12个月,最多可续签两次。</w:t>
      </w:r>
    </w:p>
    <w:p w14:paraId="2476D8DE">
      <w:pPr>
        <w:keepNext w:val="0"/>
        <w:keepLines w:val="0"/>
        <w:pageBreakBefore w:val="0"/>
        <w:kinsoku/>
        <w:wordWrap/>
        <w:overflowPunct/>
        <w:topLinePunct w:val="0"/>
        <w:autoSpaceDE/>
        <w:autoSpaceDN/>
        <w:bidi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四</w:t>
      </w:r>
      <w:r>
        <w:rPr>
          <w:rFonts w:hint="eastAsia" w:ascii="宋体" w:hAnsi="宋体" w:cs="宋体"/>
          <w:b/>
          <w:bCs/>
          <w:color w:val="auto"/>
          <w:kern w:val="0"/>
          <w:sz w:val="24"/>
          <w:highlight w:val="none"/>
        </w:rPr>
        <w:t>、采购标的验收标准</w:t>
      </w:r>
    </w:p>
    <w:p w14:paraId="3F989384">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验收实施主体：法务科</w:t>
      </w:r>
    </w:p>
    <w:p w14:paraId="7B4E7591">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验收时间：每一合同年度12月底</w:t>
      </w:r>
    </w:p>
    <w:p w14:paraId="230DB5E5">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验收方式：由法务科牵头组织成立验收小组，采用书面或座谈形式对法律服务单位进行评价。</w:t>
      </w:r>
    </w:p>
    <w:p w14:paraId="10D10591">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验收内容：对法律服务单位提供的法律咨询服务及法律咨询服务进行评价。</w:t>
      </w:r>
    </w:p>
    <w:p w14:paraId="488B09FE">
      <w:pPr>
        <w:pStyle w:val="30"/>
        <w:adjustRightInd w:val="0"/>
        <w:snapToGrid w:val="0"/>
        <w:spacing w:line="360" w:lineRule="auto"/>
        <w:ind w:firstLine="480" w:firstLineChars="200"/>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rPr>
        <w:t>验收标准：根据法律服务单位日常法律服务的工作态度、响应速度、业务能力、工作质量进行综合评价。评价为优、良的为验收合格；评价为中、差的为验收不合格。</w:t>
      </w:r>
    </w:p>
    <w:p w14:paraId="1DA81BB8">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五</w:t>
      </w:r>
      <w:r>
        <w:rPr>
          <w:rFonts w:hint="eastAsia" w:ascii="宋体" w:hAnsi="宋体" w:cs="宋体"/>
          <w:b/>
          <w:bCs/>
          <w:color w:val="auto"/>
          <w:kern w:val="0"/>
          <w:sz w:val="24"/>
          <w:highlight w:val="none"/>
        </w:rPr>
        <w:t>、付款方式</w:t>
      </w:r>
    </w:p>
    <w:p w14:paraId="633C295A">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val="zh-CN"/>
        </w:rPr>
        <w:t>本项目为总价合同，合同签订之日起15个工作日内支付签约合同价的</w:t>
      </w:r>
      <w:r>
        <w:rPr>
          <w:rFonts w:hint="eastAsia" w:ascii="宋体" w:hAnsi="宋体" w:cs="宋体"/>
          <w:color w:val="auto"/>
          <w:spacing w:val="7"/>
          <w:kern w:val="0"/>
          <w:sz w:val="24"/>
          <w:highlight w:val="none"/>
        </w:rPr>
        <w:t>30</w:t>
      </w:r>
      <w:r>
        <w:rPr>
          <w:rFonts w:hint="eastAsia" w:ascii="宋体" w:hAnsi="宋体" w:cs="宋体"/>
          <w:color w:val="auto"/>
          <w:spacing w:val="7"/>
          <w:kern w:val="0"/>
          <w:sz w:val="24"/>
          <w:highlight w:val="none"/>
          <w:lang w:val="zh-CN"/>
        </w:rPr>
        <w:t>%，年度</w:t>
      </w:r>
      <w:r>
        <w:rPr>
          <w:rFonts w:hint="eastAsia" w:ascii="宋体" w:hAnsi="宋体" w:cs="宋体"/>
          <w:color w:val="auto"/>
          <w:spacing w:val="7"/>
          <w:kern w:val="0"/>
          <w:sz w:val="24"/>
          <w:highlight w:val="none"/>
        </w:rPr>
        <w:t>服务期满后一次性付清余款。</w:t>
      </w:r>
    </w:p>
    <w:p w14:paraId="3247E843">
      <w:pPr>
        <w:keepNext w:val="0"/>
        <w:keepLines w:val="0"/>
        <w:pageBreakBefore w:val="0"/>
        <w:topLinePunct w:val="0"/>
        <w:bidi w:val="0"/>
        <w:adjustRightInd w:val="0"/>
        <w:snapToGrid w:val="0"/>
        <w:spacing w:line="360" w:lineRule="auto"/>
        <w:ind w:firstLine="508" w:firstLineChars="200"/>
        <w:contextualSpacing/>
        <w:textAlignment w:val="auto"/>
        <w:rPr>
          <w:rFonts w:hint="default" w:ascii="宋体" w:hAnsi="宋体" w:cs="宋体"/>
          <w:color w:val="auto"/>
          <w:spacing w:val="7"/>
          <w:kern w:val="0"/>
          <w:sz w:val="24"/>
          <w:highlight w:val="none"/>
          <w:lang w:val="en-US" w:eastAsia="zh-CN"/>
        </w:rPr>
      </w:pPr>
      <w:r>
        <w:rPr>
          <w:rFonts w:hint="eastAsia" w:ascii="宋体" w:hAnsi="宋体" w:cs="宋体"/>
          <w:color w:val="auto"/>
          <w:spacing w:val="7"/>
          <w:kern w:val="0"/>
          <w:sz w:val="24"/>
          <w:highlight w:val="none"/>
        </w:rPr>
        <w:t>注：</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1</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本项目签约合同价为法律服务费，法律服务为固定价格，差旅费按实际发生量结算。</w:t>
      </w:r>
    </w:p>
    <w:p w14:paraId="02C3C875">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2</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rPr>
        <w:t>每次付款须按合同扣减违约金和赔偿款；</w:t>
      </w:r>
    </w:p>
    <w:p w14:paraId="50F5ECC1">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3</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rPr>
        <w:t>付款前供应商须提供等额合规发票及相关申请资料，否则采购人可以拒付；</w:t>
      </w:r>
    </w:p>
    <w:p w14:paraId="2E459B8D">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4</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rPr>
        <w:t>所有付款均不计利息。</w:t>
      </w:r>
    </w:p>
    <w:p w14:paraId="7432C486">
      <w:pPr>
        <w:widowControl/>
        <w:adjustRightInd w:val="0"/>
        <w:snapToGrid w:val="0"/>
        <w:spacing w:line="360" w:lineRule="auto"/>
        <w:ind w:firstLine="482" w:firstLineChars="200"/>
        <w:textAlignment w:val="baseline"/>
        <w:rPr>
          <w:rFonts w:hint="default"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六、其他要求</w:t>
      </w:r>
    </w:p>
    <w:p w14:paraId="40E82F00">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rPr>
        <w:t>保密条款：未经他方书面许可，任何一方不得将其持有的有关另一方的事务或其事务运行操作方法等保密信息向协议以外的第三方或公众透露，且不得对保密信息进行拷贝和抄写。</w:t>
      </w:r>
    </w:p>
    <w:p w14:paraId="1EC156F1">
      <w:pPr>
        <w:pStyle w:val="30"/>
        <w:snapToGrid w:val="0"/>
        <w:spacing w:line="360" w:lineRule="auto"/>
        <w:ind w:firstLine="0" w:firstLineChars="0"/>
        <w:contextualSpacing/>
        <w:rPr>
          <w:rFonts w:ascii="宋体" w:eastAsia="宋体" w:cs="宋体"/>
          <w:b/>
          <w:bCs/>
          <w:color w:val="auto"/>
          <w:sz w:val="24"/>
          <w:szCs w:val="24"/>
          <w:highlight w:val="none"/>
        </w:rPr>
        <w:sectPr>
          <w:footerReference r:id="rId3" w:type="default"/>
          <w:pgSz w:w="11907" w:h="16839"/>
          <w:pgMar w:top="1429" w:right="1429" w:bottom="1429" w:left="1429" w:header="720" w:footer="720" w:gutter="0"/>
          <w:cols w:space="720" w:num="1"/>
          <w:docGrid w:linePitch="286" w:charSpace="0"/>
        </w:sectPr>
      </w:pPr>
    </w:p>
    <w:p w14:paraId="595F50C4">
      <w:pPr>
        <w:autoSpaceDE w:val="0"/>
        <w:autoSpaceDN w:val="0"/>
        <w:adjustRightInd w:val="0"/>
        <w:snapToGrid w:val="0"/>
        <w:spacing w:line="36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第四部分  评审程序和内容</w:t>
      </w:r>
    </w:p>
    <w:p w14:paraId="46D025F6">
      <w:pPr>
        <w:autoSpaceDE w:val="0"/>
        <w:autoSpaceDN w:val="0"/>
        <w:adjustRightInd w:val="0"/>
        <w:snapToGrid w:val="0"/>
        <w:spacing w:line="360" w:lineRule="auto"/>
        <w:ind w:right="210"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一、采购人组织磋商活动</w:t>
      </w:r>
    </w:p>
    <w:p w14:paraId="1A4E11B4">
      <w:pPr>
        <w:pStyle w:val="30"/>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1.成立竞争性磋商小组。</w:t>
      </w:r>
    </w:p>
    <w:p w14:paraId="69A6C0C9">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rPr>
        <w:t>磋商小组由</w:t>
      </w:r>
      <w:r>
        <w:rPr>
          <w:rFonts w:hint="eastAsia" w:ascii="宋体" w:eastAsia="宋体" w:cs="宋体"/>
          <w:color w:val="auto"/>
          <w:sz w:val="24"/>
          <w:szCs w:val="24"/>
          <w:highlight w:val="none"/>
        </w:rPr>
        <w:t>有关专家</w:t>
      </w:r>
      <w:r>
        <w:rPr>
          <w:rFonts w:hint="eastAsia" w:ascii="宋体" w:eastAsia="宋体" w:cs="宋体"/>
          <w:color w:val="auto"/>
          <w:kern w:val="0"/>
          <w:sz w:val="24"/>
          <w:szCs w:val="24"/>
          <w:highlight w:val="none"/>
        </w:rPr>
        <w:t>共3人或以上单数组成。采购代理机构人员不得参加本机构代理的采购项目的评审。</w:t>
      </w:r>
    </w:p>
    <w:p w14:paraId="5E9AD6CF">
      <w:pPr>
        <w:spacing w:line="360" w:lineRule="auto"/>
        <w:ind w:firstLine="482"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2.竞争性磋商小组的职责：</w:t>
      </w:r>
    </w:p>
    <w:p w14:paraId="2178EBCF">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评审专家应当遵守评审工作纪律，不得泄露评审情况和评审中获悉的商业秘密。</w:t>
      </w:r>
    </w:p>
    <w:p w14:paraId="5E09CC07">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磋商小组在评审过程中发现供应商有行贿、提供虚假材料或者串通等违法行为的，应当及时向主管部门报告。</w:t>
      </w:r>
    </w:p>
    <w:p w14:paraId="698417D5">
      <w:pPr>
        <w:pStyle w:val="30"/>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评审专家在评审过程中受到非法干涉的，应当及时向相关主管部门举报。</w:t>
      </w:r>
    </w:p>
    <w:p w14:paraId="0F200BF6">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E7E957A">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磋商文件内容违反国家有关强制性规定的，磋商小组应当停止评审并向采购人或者采购代理机构说明情况。</w:t>
      </w:r>
    </w:p>
    <w:p w14:paraId="47F568FE">
      <w:pPr>
        <w:pStyle w:val="30"/>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3.竞争性磋商小组成员的义务：</w:t>
      </w:r>
    </w:p>
    <w:p w14:paraId="4B494198">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遵纪守法，客观、公正、廉洁地履行职责；根据采购文件的规定独立进行评审，对个人的评审意见承担法律责任；参与评审报告的起草；配合采购人、采购代理机构答复供应商提出的质疑；配合主管部门的投诉处理和监督检查工作。</w:t>
      </w:r>
    </w:p>
    <w:p w14:paraId="2B75E5A6">
      <w:pPr>
        <w:pStyle w:val="30"/>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二、供应商参加磋商活动</w:t>
      </w:r>
    </w:p>
    <w:p w14:paraId="1EE8B9A8">
      <w:pPr>
        <w:autoSpaceDE w:val="0"/>
        <w:autoSpaceDN w:val="0"/>
        <w:adjustRightInd w:val="0"/>
        <w:snapToGrid w:val="0"/>
        <w:spacing w:line="360" w:lineRule="auto"/>
        <w:ind w:right="210"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供应商的法定代表人或被授权人须持身份证准时参加磋商。</w:t>
      </w:r>
    </w:p>
    <w:p w14:paraId="7956F210">
      <w:pPr>
        <w:autoSpaceDE w:val="0"/>
        <w:autoSpaceDN w:val="0"/>
        <w:adjustRightInd w:val="0"/>
        <w:snapToGrid w:val="0"/>
        <w:spacing w:line="360" w:lineRule="auto"/>
        <w:ind w:right="210" w:firstLine="482" w:firstLineChars="200"/>
        <w:rPr>
          <w:rFonts w:ascii="宋体" w:hAnsi="宋体" w:cs="宋体"/>
          <w:b/>
          <w:color w:val="auto"/>
          <w:sz w:val="24"/>
          <w:highlight w:val="none"/>
        </w:rPr>
      </w:pPr>
      <w:r>
        <w:rPr>
          <w:rFonts w:hint="eastAsia" w:ascii="宋体" w:hAnsi="宋体" w:cs="宋体"/>
          <w:b/>
          <w:color w:val="auto"/>
          <w:sz w:val="24"/>
          <w:highlight w:val="none"/>
        </w:rPr>
        <w:t>三、磋商的原则及方法</w:t>
      </w:r>
    </w:p>
    <w:p w14:paraId="6529F2BE">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w:t>
      </w:r>
      <w:r>
        <w:rPr>
          <w:rFonts w:hint="eastAsia" w:ascii="宋体" w:eastAsia="宋体" w:cs="宋体"/>
          <w:bCs/>
          <w:color w:val="auto"/>
          <w:kern w:val="0"/>
          <w:sz w:val="24"/>
          <w:szCs w:val="24"/>
          <w:highlight w:val="none"/>
          <w:lang w:val="zh-CN"/>
        </w:rPr>
        <w:t>.</w:t>
      </w:r>
      <w:r>
        <w:rPr>
          <w:rFonts w:hint="eastAsia" w:ascii="宋体" w:eastAsia="宋体" w:cs="宋体"/>
          <w:color w:val="auto"/>
          <w:kern w:val="0"/>
          <w:sz w:val="24"/>
          <w:szCs w:val="24"/>
          <w:highlight w:val="none"/>
          <w:lang w:val="zh-CN"/>
        </w:rPr>
        <w:t>磋商小组成员应当按照客观、公正、审慎的原则，根据磋商文件规定的评审程序、评审方法和评审标准进行独立评审。未实质性响应磋</w:t>
      </w:r>
      <w:r>
        <w:rPr>
          <w:rFonts w:hint="eastAsia" w:ascii="宋体" w:eastAsia="宋体" w:cs="宋体"/>
          <w:color w:val="auto"/>
          <w:kern w:val="0"/>
          <w:sz w:val="24"/>
          <w:szCs w:val="24"/>
          <w:highlight w:val="none"/>
        </w:rPr>
        <w:t>商文件的响应文件按无效响应处理，磋商小组应当告知提交响应文件的供应商。</w:t>
      </w:r>
    </w:p>
    <w:p w14:paraId="35AEB083">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30FCC5">
      <w:pPr>
        <w:pStyle w:val="30"/>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3A9F80B">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2.磋商小组将按照竞争性磋商文件的规定，独立对每个进入打分程序的有效供应商的响应文件的商务技术部分以打分的形式进行评估和评价。商务技术分是所有评委打分的算术平均值（计算结果均四舍五入保留两位小数）。</w:t>
      </w:r>
    </w:p>
    <w:p w14:paraId="4D158E07">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en-US" w:eastAsia="zh-CN"/>
        </w:rPr>
        <w:t>3.本项目为固定价格报价，供应商无需二轮报价。</w:t>
      </w:r>
    </w:p>
    <w:p w14:paraId="2CE8BC23">
      <w:pPr>
        <w:autoSpaceDE w:val="0"/>
        <w:autoSpaceDN w:val="0"/>
        <w:adjustRightInd w:val="0"/>
        <w:snapToGrid w:val="0"/>
        <w:spacing w:line="360" w:lineRule="auto"/>
        <w:ind w:right="210" w:firstLine="482" w:firstLineChars="200"/>
        <w:rPr>
          <w:rFonts w:ascii="宋体" w:hAnsi="宋体" w:cs="宋体"/>
          <w:b/>
          <w:color w:val="auto"/>
          <w:sz w:val="24"/>
          <w:highlight w:val="none"/>
        </w:rPr>
      </w:pPr>
      <w:r>
        <w:rPr>
          <w:rFonts w:hint="eastAsia" w:ascii="宋体" w:hAnsi="宋体" w:cs="宋体"/>
          <w:b/>
          <w:color w:val="auto"/>
          <w:sz w:val="24"/>
          <w:highlight w:val="none"/>
        </w:rPr>
        <w:t>四、评审步骤</w:t>
      </w:r>
    </w:p>
    <w:p w14:paraId="0A7E526F">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本次资格审查采用资格后审，各供应商资格审查通过后方能进入商务技术响应文件和报价响应文件评审。</w:t>
      </w:r>
    </w:p>
    <w:p w14:paraId="5D02B9F3">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第一阶段：</w:t>
      </w:r>
      <w:r>
        <w:rPr>
          <w:rFonts w:hint="eastAsia" w:ascii="宋体" w:hAnsi="宋体" w:cs="宋体"/>
          <w:color w:val="auto"/>
          <w:sz w:val="24"/>
          <w:highlight w:val="none"/>
        </w:rPr>
        <w:t>磋商小组一并</w:t>
      </w:r>
      <w:r>
        <w:rPr>
          <w:rFonts w:hint="eastAsia" w:ascii="宋体" w:hAnsi="宋体" w:cs="宋体"/>
          <w:color w:val="auto"/>
          <w:sz w:val="24"/>
          <w:highlight w:val="none"/>
          <w:lang w:val="zh-CN"/>
        </w:rPr>
        <w:t>对每个供应商的资格进行审查。</w:t>
      </w:r>
    </w:p>
    <w:p w14:paraId="63481DED">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第二阶段：磋商小组对每个符合资格要求的供应商的商务技术标进行评审。</w:t>
      </w:r>
    </w:p>
    <w:p w14:paraId="01882F60">
      <w:pPr>
        <w:snapToGrid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lang w:val="zh-CN"/>
        </w:rPr>
        <w:t>第三阶段：</w:t>
      </w:r>
      <w:r>
        <w:rPr>
          <w:rFonts w:hint="eastAsia" w:ascii="宋体" w:hAnsi="宋体" w:cs="宋体"/>
          <w:color w:val="auto"/>
          <w:kern w:val="0"/>
          <w:sz w:val="24"/>
          <w:highlight w:val="none"/>
        </w:rPr>
        <w:t>磋商小组</w:t>
      </w:r>
      <w:r>
        <w:rPr>
          <w:rFonts w:hint="eastAsia" w:ascii="宋体" w:hAnsi="宋体" w:cs="宋体"/>
          <w:color w:val="auto"/>
          <w:kern w:val="0"/>
          <w:sz w:val="24"/>
          <w:highlight w:val="none"/>
          <w:lang w:val="en-US" w:eastAsia="zh-CN"/>
        </w:rPr>
        <w:t>对每个符合资格要求及商务技术标要求的</w:t>
      </w:r>
      <w:r>
        <w:rPr>
          <w:rFonts w:hint="eastAsia" w:ascii="宋体" w:hAnsi="宋体" w:cs="宋体"/>
          <w:color w:val="auto"/>
          <w:sz w:val="24"/>
          <w:highlight w:val="none"/>
          <w:lang w:val="zh-CN"/>
        </w:rPr>
        <w:t>供应商的报价响应文件</w:t>
      </w:r>
      <w:r>
        <w:rPr>
          <w:rFonts w:hint="eastAsia" w:ascii="宋体" w:hAnsi="宋体" w:cs="宋体"/>
          <w:color w:val="auto"/>
          <w:sz w:val="24"/>
          <w:highlight w:val="none"/>
          <w:lang w:val="en-US" w:eastAsia="zh-CN"/>
        </w:rPr>
        <w:t>进行审查</w:t>
      </w:r>
      <w:r>
        <w:rPr>
          <w:rFonts w:hint="eastAsia" w:ascii="宋体" w:hAnsi="宋体" w:cs="宋体"/>
          <w:color w:val="auto"/>
          <w:sz w:val="24"/>
          <w:highlight w:val="none"/>
          <w:lang w:val="zh-CN"/>
        </w:rPr>
        <w:t>。</w:t>
      </w:r>
    </w:p>
    <w:p w14:paraId="55B40499">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五、评审方法-综合评分法</w:t>
      </w:r>
    </w:p>
    <w:p w14:paraId="7B506AAF">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由磋商小组采用综合评分法对供应商的响应文件进行综合评分。</w:t>
      </w:r>
    </w:p>
    <w:p w14:paraId="430EF3F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综合评分法，是指响应文件满足磋商文件全部实质性要求且按评审因素的量化指标评审得分最高的供应商为成交候选供应商的评审方法。</w:t>
      </w:r>
    </w:p>
    <w:p w14:paraId="512B4F7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评审时，磋商小组各成员应当独立对每个有效响应的文件进行评价、打分，然后汇总每个供应商每项评分因素的得分（计算结果均四舍五入保留两位小数）。</w:t>
      </w:r>
    </w:p>
    <w:p w14:paraId="3517531A">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（一）审查响应文件的有效性、完整性、响应程度</w:t>
      </w:r>
    </w:p>
    <w:p w14:paraId="1F363F5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rPr>
        <w:t>要求的保证金是否已提供；</w:t>
      </w:r>
    </w:p>
    <w:p w14:paraId="6B75F4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响应文件是否按磋商文件要求装订、密封、签署、盖章的；</w:t>
      </w:r>
    </w:p>
    <w:p w14:paraId="773C27D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供应商资格是否符合；</w:t>
      </w:r>
    </w:p>
    <w:p w14:paraId="780C4E6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响应文件是否完整；</w:t>
      </w:r>
    </w:p>
    <w:p w14:paraId="73EBE5AE">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是否作出实质性响应（</w:t>
      </w:r>
      <w:r>
        <w:rPr>
          <w:rFonts w:hint="eastAsia" w:ascii="宋体" w:hAnsi="宋体" w:cs="宋体"/>
          <w:b/>
          <w:color w:val="auto"/>
          <w:sz w:val="24"/>
          <w:highlight w:val="none"/>
        </w:rPr>
        <w:t>是否有实质性响应，只根据响应文件本身，而不寻求外部证据）；</w:t>
      </w:r>
    </w:p>
    <w:p w14:paraId="0C4D19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kern w:val="0"/>
          <w:sz w:val="24"/>
          <w:highlight w:val="none"/>
          <w:lang w:val="zh-CN"/>
        </w:rPr>
        <w:t>.</w:t>
      </w:r>
      <w:r>
        <w:rPr>
          <w:rFonts w:hint="eastAsia" w:ascii="宋体" w:hAnsi="宋体" w:cs="宋体"/>
          <w:color w:val="auto"/>
          <w:sz w:val="24"/>
          <w:highlight w:val="none"/>
        </w:rPr>
        <w:t>是否有计算错误。</w:t>
      </w:r>
    </w:p>
    <w:p w14:paraId="1B36D9AB">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rPr>
      </w:pPr>
      <w:r>
        <w:rPr>
          <w:rFonts w:hint="eastAsia" w:ascii="宋体" w:hAnsi="宋体" w:cs="宋体"/>
          <w:b/>
          <w:bCs/>
          <w:color w:val="auto"/>
          <w:sz w:val="24"/>
          <w:highlight w:val="none"/>
        </w:rPr>
        <w:t>（二）误差纠正</w:t>
      </w:r>
    </w:p>
    <w:p w14:paraId="3ACF2C34">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lang w:val="zh-CN"/>
        </w:rPr>
        <w:t>报价表中的大写金额与小写金额、总价金额与按单价汇总金额，若有差异，按照下列规定修正：</w:t>
      </w:r>
    </w:p>
    <w:p w14:paraId="2BF2184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sz w:val="24"/>
          <w:highlight w:val="none"/>
        </w:rPr>
        <w:t>响应</w:t>
      </w:r>
      <w:r>
        <w:rPr>
          <w:rFonts w:hint="eastAsia" w:ascii="宋体" w:hAnsi="宋体" w:cs="宋体"/>
          <w:color w:val="auto"/>
          <w:sz w:val="24"/>
          <w:highlight w:val="none"/>
          <w:lang w:val="zh-CN"/>
        </w:rPr>
        <w:t>文件中开标一览表（报价表）内容与</w:t>
      </w:r>
      <w:r>
        <w:rPr>
          <w:rFonts w:hint="eastAsia" w:ascii="宋体" w:hAnsi="宋体" w:cs="宋体"/>
          <w:color w:val="auto"/>
          <w:sz w:val="24"/>
          <w:highlight w:val="none"/>
        </w:rPr>
        <w:t>响应</w:t>
      </w:r>
      <w:r>
        <w:rPr>
          <w:rFonts w:hint="eastAsia" w:ascii="宋体" w:hAnsi="宋体" w:cs="宋体"/>
          <w:color w:val="auto"/>
          <w:sz w:val="24"/>
          <w:highlight w:val="none"/>
          <w:lang w:val="zh-CN"/>
        </w:rPr>
        <w:t>文件中相应内容不一致的，以开标一览表（报价表）为准；</w:t>
      </w:r>
    </w:p>
    <w:p w14:paraId="6117738E">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（2）大写金额和小写金额不一致的，以大写金额为准；</w:t>
      </w:r>
    </w:p>
    <w:p w14:paraId="5B2D5D1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（3）单价金额小数点或者百分比有明显错位的，以开标一览表（报价表）的总价为准，并修改单价；</w:t>
      </w:r>
    </w:p>
    <w:p w14:paraId="2AF9E2C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（4）总价金额与按单价汇总金额不一致的，以单价金额计算结果为准。</w:t>
      </w:r>
    </w:p>
    <w:p w14:paraId="28EA77E9">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同时出现两种以上不一致的，按照前款规定的顺序修正。修正后的报价经</w:t>
      </w:r>
      <w:r>
        <w:rPr>
          <w:rFonts w:hint="eastAsia" w:ascii="宋体" w:hAnsi="宋体" w:cs="宋体"/>
          <w:color w:val="auto"/>
          <w:sz w:val="24"/>
          <w:highlight w:val="none"/>
        </w:rPr>
        <w:t>供应商</w:t>
      </w:r>
      <w:r>
        <w:rPr>
          <w:rFonts w:hint="eastAsia" w:ascii="宋体" w:hAnsi="宋体" w:cs="宋体"/>
          <w:color w:val="auto"/>
          <w:sz w:val="24"/>
          <w:highlight w:val="none"/>
          <w:lang w:val="zh-CN"/>
        </w:rPr>
        <w:t>确认后产生约束力，</w:t>
      </w:r>
      <w:r>
        <w:rPr>
          <w:rFonts w:hint="eastAsia" w:ascii="宋体" w:hAnsi="宋体" w:cs="宋体"/>
          <w:color w:val="auto"/>
          <w:sz w:val="24"/>
          <w:highlight w:val="none"/>
        </w:rPr>
        <w:t>供应商</w:t>
      </w:r>
      <w:r>
        <w:rPr>
          <w:rFonts w:hint="eastAsia" w:ascii="宋体" w:hAnsi="宋体" w:cs="宋体"/>
          <w:color w:val="auto"/>
          <w:sz w:val="24"/>
          <w:highlight w:val="none"/>
          <w:lang w:val="zh-CN"/>
        </w:rPr>
        <w:t>不确认的，其投标无效。</w:t>
      </w:r>
    </w:p>
    <w:p w14:paraId="5BE81B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正本与副本有矛盾的，以正本为准；</w:t>
      </w:r>
    </w:p>
    <w:p w14:paraId="57DDAA14">
      <w:pPr>
        <w:tabs>
          <w:tab w:val="left" w:pos="6555"/>
          <w:tab w:val="right" w:pos="8306"/>
        </w:tabs>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（三）出现下列情形之一的，作无效响应处理</w:t>
      </w:r>
      <w:r>
        <w:rPr>
          <w:rFonts w:hint="eastAsia" w:ascii="宋体" w:hAnsi="宋体" w:cs="宋体"/>
          <w:b/>
          <w:color w:val="auto"/>
          <w:sz w:val="24"/>
          <w:highlight w:val="none"/>
        </w:rPr>
        <w:tab/>
      </w:r>
      <w:r>
        <w:rPr>
          <w:rFonts w:hint="eastAsia" w:ascii="宋体" w:hAnsi="宋体" w:cs="宋体"/>
          <w:b/>
          <w:color w:val="auto"/>
          <w:sz w:val="24"/>
          <w:highlight w:val="none"/>
        </w:rPr>
        <w:tab/>
      </w:r>
    </w:p>
    <w:p w14:paraId="675B12F1">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响应文件未按照磋商文件规定要求装订、密封、签署、盖章的；</w:t>
      </w:r>
    </w:p>
    <w:p w14:paraId="29D959D1">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响应文件不完整的；</w:t>
      </w:r>
    </w:p>
    <w:p w14:paraId="66B3A8AF">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不具备磋商文件中规定的资格要求的；</w:t>
      </w:r>
    </w:p>
    <w:p w14:paraId="7860FF7C">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响应报价</w:t>
      </w:r>
      <w:r>
        <w:rPr>
          <w:rFonts w:hint="eastAsia" w:ascii="宋体" w:hAnsi="宋体" w:cs="宋体"/>
          <w:color w:val="auto"/>
          <w:sz w:val="24"/>
          <w:highlight w:val="none"/>
          <w:lang w:val="en-US" w:eastAsia="zh-CN"/>
        </w:rPr>
        <w:t>不符最高限价要求</w:t>
      </w:r>
      <w:r>
        <w:rPr>
          <w:rFonts w:hint="eastAsia" w:ascii="宋体" w:hAnsi="宋体" w:cs="宋体"/>
          <w:color w:val="auto"/>
          <w:sz w:val="24"/>
          <w:highlight w:val="none"/>
        </w:rPr>
        <w:t>的；</w:t>
      </w:r>
    </w:p>
    <w:p w14:paraId="11F79B3B">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不符合</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和磋商文件中规定的其他实质性要求的；</w:t>
      </w:r>
    </w:p>
    <w:p w14:paraId="24C31515">
      <w:pPr>
        <w:snapToGrid w:val="0"/>
        <w:spacing w:line="360" w:lineRule="auto"/>
        <w:ind w:firstLine="570"/>
        <w:rPr>
          <w:rFonts w:hint="eastAsia" w:ascii="宋体" w:hAnsi="宋体" w:cs="宋体"/>
          <w:color w:val="auto"/>
          <w:sz w:val="24"/>
          <w:highlight w:val="none"/>
          <w:lang w:eastAsia="zh-CN"/>
        </w:rPr>
      </w:pPr>
      <w:r>
        <w:rPr>
          <w:rFonts w:hint="eastAsia" w:ascii="宋体" w:hAnsi="宋体" w:cs="宋体"/>
          <w:color w:val="auto"/>
          <w:sz w:val="24"/>
          <w:highlight w:val="none"/>
        </w:rPr>
        <w:t>6.投标</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被“信用中国”网站（www.creditchina.gov.cn）列入失信被执行人或</w:t>
      </w:r>
      <w:r>
        <w:rPr>
          <w:rFonts w:hint="eastAsia" w:ascii="宋体" w:hAnsi="宋体" w:eastAsia="宋体" w:cs="宋体"/>
          <w:color w:val="auto"/>
          <w:sz w:val="24"/>
          <w:szCs w:val="24"/>
          <w:highlight w:val="none"/>
        </w:rPr>
        <w:t>重大税收违法</w:t>
      </w:r>
      <w:r>
        <w:rPr>
          <w:rFonts w:hint="eastAsia" w:ascii="宋体" w:hAnsi="宋体" w:eastAsia="宋体" w:cs="宋体"/>
          <w:color w:val="auto"/>
          <w:sz w:val="24"/>
          <w:szCs w:val="24"/>
          <w:highlight w:val="none"/>
          <w:lang w:val="en-US" w:eastAsia="zh-CN"/>
        </w:rPr>
        <w:t>失信主体</w:t>
      </w:r>
      <w:r>
        <w:rPr>
          <w:rFonts w:hint="eastAsia" w:ascii="宋体" w:hAnsi="宋体" w:eastAsia="宋体" w:cs="宋体"/>
          <w:color w:val="auto"/>
          <w:sz w:val="24"/>
          <w:szCs w:val="24"/>
          <w:highlight w:val="none"/>
        </w:rPr>
        <w:t>名单</w:t>
      </w:r>
      <w:r>
        <w:rPr>
          <w:rFonts w:hint="eastAsia" w:ascii="宋体" w:hAnsi="宋体" w:cs="宋体"/>
          <w:color w:val="auto"/>
          <w:sz w:val="24"/>
          <w:highlight w:val="none"/>
        </w:rPr>
        <w:t>或</w:t>
      </w:r>
      <w:r>
        <w:rPr>
          <w:rFonts w:hint="eastAsia" w:ascii="宋体" w:hAnsi="宋体" w:eastAsia="宋体" w:cs="宋体"/>
          <w:color w:val="auto"/>
          <w:sz w:val="24"/>
          <w:szCs w:val="24"/>
          <w:highlight w:val="none"/>
        </w:rPr>
        <w:t>严重失信</w:t>
      </w:r>
      <w:r>
        <w:rPr>
          <w:rFonts w:hint="eastAsia" w:ascii="宋体" w:hAnsi="宋体" w:eastAsia="宋体" w:cs="宋体"/>
          <w:color w:val="auto"/>
          <w:sz w:val="24"/>
          <w:szCs w:val="24"/>
          <w:highlight w:val="none"/>
          <w:lang w:val="en-US" w:eastAsia="zh-CN"/>
        </w:rPr>
        <w:t>主体</w:t>
      </w:r>
      <w:r>
        <w:rPr>
          <w:rFonts w:hint="eastAsia" w:ascii="宋体" w:hAnsi="宋体" w:eastAsia="宋体" w:cs="宋体"/>
          <w:color w:val="auto"/>
          <w:sz w:val="24"/>
          <w:szCs w:val="24"/>
          <w:highlight w:val="none"/>
        </w:rPr>
        <w:t>名单</w:t>
      </w:r>
      <w:r>
        <w:rPr>
          <w:rFonts w:hint="eastAsia" w:ascii="宋体" w:hAnsi="宋体" w:cs="宋体"/>
          <w:color w:val="auto"/>
          <w:sz w:val="24"/>
          <w:highlight w:val="none"/>
        </w:rPr>
        <w:t>。或查询“信用中国”网站后发现投标人存在其他不符合《中华人民共和国政府采购法》第二十二条规定条件的信用记录</w:t>
      </w:r>
      <w:r>
        <w:rPr>
          <w:rFonts w:hint="eastAsia" w:ascii="宋体" w:hAnsi="宋体" w:cs="宋体"/>
          <w:color w:val="auto"/>
          <w:sz w:val="24"/>
          <w:highlight w:val="none"/>
          <w:lang w:eastAsia="zh-CN"/>
        </w:rPr>
        <w:t>；</w:t>
      </w:r>
    </w:p>
    <w:p w14:paraId="40FC2804">
      <w:pPr>
        <w:snapToGrid w:val="0"/>
        <w:spacing w:line="360" w:lineRule="auto"/>
        <w:ind w:firstLine="57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bCs/>
          <w:color w:val="auto"/>
          <w:sz w:val="24"/>
          <w:highlight w:val="none"/>
          <w:lang w:val="en-US" w:eastAsia="zh-CN"/>
        </w:rPr>
        <w:t>磋商小组</w:t>
      </w:r>
      <w:r>
        <w:rPr>
          <w:rFonts w:hint="eastAsia" w:ascii="宋体" w:hAnsi="宋体"/>
          <w:bCs/>
          <w:color w:val="auto"/>
          <w:sz w:val="24"/>
          <w:highlight w:val="none"/>
        </w:rPr>
        <w:t>认为投标</w:t>
      </w:r>
      <w:r>
        <w:rPr>
          <w:rFonts w:hint="eastAsia" w:ascii="宋体" w:hAnsi="宋体"/>
          <w:bCs/>
          <w:color w:val="auto"/>
          <w:sz w:val="24"/>
          <w:highlight w:val="none"/>
          <w:lang w:val="en-US" w:eastAsia="zh-CN"/>
        </w:rPr>
        <w:t>供应商</w:t>
      </w:r>
      <w:r>
        <w:rPr>
          <w:rFonts w:hint="eastAsia" w:ascii="宋体" w:hAnsi="宋体"/>
          <w:bCs/>
          <w:color w:val="auto"/>
          <w:sz w:val="24"/>
          <w:highlight w:val="none"/>
        </w:rPr>
        <w:t>的报价明显低于其他通过符合性审查投标</w:t>
      </w:r>
      <w:r>
        <w:rPr>
          <w:rFonts w:hint="eastAsia" w:ascii="宋体" w:hAnsi="宋体"/>
          <w:bCs/>
          <w:color w:val="auto"/>
          <w:sz w:val="24"/>
          <w:highlight w:val="none"/>
          <w:lang w:val="en-US" w:eastAsia="zh-CN"/>
        </w:rPr>
        <w:t>供应商</w:t>
      </w:r>
      <w:r>
        <w:rPr>
          <w:rFonts w:hint="eastAsia" w:ascii="宋体" w:hAnsi="宋体"/>
          <w:bCs/>
          <w:color w:val="auto"/>
          <w:sz w:val="24"/>
          <w:highlight w:val="none"/>
        </w:rPr>
        <w:t>的报价，</w:t>
      </w:r>
      <w:r>
        <w:rPr>
          <w:rFonts w:hint="eastAsia" w:ascii="宋体" w:hAnsi="宋体"/>
          <w:bCs/>
          <w:color w:val="auto"/>
          <w:sz w:val="24"/>
          <w:highlight w:val="none"/>
          <w:lang w:val="en-US" w:eastAsia="zh-CN"/>
        </w:rPr>
        <w:t>有可能影响产品质量或者不能诚信履约的其他情形。磋商小组将启动异常低价投标（响应）审查程序。磋商小组要求相关供应商在评标现场合理的时间内，提供项目具体成本测算等与报价合理性相关的书面说明及相关证明材料，对投标（响应）价格作出解释，由磋商小组结合同类产品在主要电商平台的价格、该</w:t>
      </w:r>
      <w:r>
        <w:rPr>
          <w:rFonts w:hint="eastAsia" w:ascii="宋体" w:hAnsi="宋体"/>
          <w:bCs/>
          <w:color w:val="auto"/>
          <w:sz w:val="24"/>
          <w:highlight w:val="none"/>
        </w:rPr>
        <w:t>行业当地薪资水平等情况，依据专业经验对供应商报价合理性进行判断。投标（响应）供应商不提供书面说明、证明材料，或者提供的书面说明、证明材料不能证明其报价合理性的，</w:t>
      </w:r>
      <w:r>
        <w:rPr>
          <w:rFonts w:hint="eastAsia" w:ascii="宋体" w:hAnsi="宋体"/>
          <w:bCs/>
          <w:color w:val="auto"/>
          <w:sz w:val="24"/>
          <w:highlight w:val="none"/>
          <w:lang w:val="en-US" w:eastAsia="zh-CN"/>
        </w:rPr>
        <w:t>磋商小组</w:t>
      </w:r>
      <w:r>
        <w:rPr>
          <w:rFonts w:hint="eastAsia" w:ascii="宋体" w:hAnsi="宋体"/>
          <w:bCs/>
          <w:color w:val="auto"/>
          <w:sz w:val="24"/>
          <w:highlight w:val="none"/>
        </w:rPr>
        <w:t>应当将其作为无效投标（响应）处理。</w:t>
      </w:r>
    </w:p>
    <w:p w14:paraId="0C1082D4">
      <w:pPr>
        <w:snapToGrid w:val="0"/>
        <w:spacing w:line="360" w:lineRule="auto"/>
        <w:ind w:firstLine="570"/>
        <w:rPr>
          <w:rFonts w:ascii="宋体" w:hAnsi="宋体" w:cs="宋体"/>
          <w:b/>
          <w:color w:val="auto"/>
          <w:sz w:val="24"/>
          <w:highlight w:val="none"/>
        </w:rPr>
      </w:pPr>
      <w:r>
        <w:rPr>
          <w:rFonts w:hint="eastAsia" w:ascii="宋体" w:hAnsi="宋体" w:cs="宋体"/>
          <w:b/>
          <w:color w:val="auto"/>
          <w:sz w:val="24"/>
          <w:highlight w:val="none"/>
        </w:rPr>
        <w:t>（四）出现下列情形之一的，磋商失败</w:t>
      </w:r>
    </w:p>
    <w:p w14:paraId="086838B9">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1.符合条件的供应商或者对磋商文件作实质响应的供应商不足3家的（市场竞争不充分的科研项目，以及需要扶持的科技成果转化项目可以是2家）；</w:t>
      </w:r>
    </w:p>
    <w:p w14:paraId="2354DBC4">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4CDFD32D">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3.供应商的报价超过了采购预算，采购人不能支付的；</w:t>
      </w:r>
    </w:p>
    <w:p w14:paraId="46009BC5">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4.因重大变故，采购任务取消的。</w:t>
      </w:r>
    </w:p>
    <w:p w14:paraId="79D0D95C">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主管部门。</w:t>
      </w:r>
    </w:p>
    <w:p w14:paraId="1B705092">
      <w:pPr>
        <w:snapToGrid w:val="0"/>
        <w:spacing w:line="360" w:lineRule="auto"/>
        <w:ind w:firstLine="555"/>
        <w:rPr>
          <w:rFonts w:ascii="宋体" w:hAnsi="宋体" w:cs="宋体"/>
          <w:b/>
          <w:bCs/>
          <w:color w:val="auto"/>
          <w:sz w:val="24"/>
          <w:highlight w:val="none"/>
        </w:rPr>
      </w:pPr>
      <w:r>
        <w:rPr>
          <w:rFonts w:hint="eastAsia" w:ascii="宋体" w:hAnsi="宋体" w:cs="宋体"/>
          <w:b/>
          <w:bCs/>
          <w:color w:val="auto"/>
          <w:sz w:val="24"/>
          <w:highlight w:val="none"/>
        </w:rPr>
        <w:t>（五）本次项目磋商的商务技术响应文件分值为100分。</w:t>
      </w:r>
    </w:p>
    <w:p w14:paraId="519E15A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商务技术响应文件分值为所有磋商小组成员打分的算术平均值，计算结果均四舍五入保留两位小数。 </w:t>
      </w:r>
    </w:p>
    <w:p w14:paraId="41D13937">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（六）磋商小组推荐综合得分最高的供应商为项目预成交供应商，并出具评审磋商报告。</w:t>
      </w:r>
    </w:p>
    <w:p w14:paraId="190FEA4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如成交供应商拒绝与采购人签订合同的，采购人可以按照评审报告推荐的成交候选人名单排序，确定下一候选人为成交供应商，也可以重新开展采购活动。</w:t>
      </w:r>
    </w:p>
    <w:p w14:paraId="73394C60">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（七）确定成交候选人的特殊情况处理：</w:t>
      </w:r>
    </w:p>
    <w:p w14:paraId="0E56D0E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1.若总分相同，则按项目服务方案得分高者优先。</w:t>
      </w:r>
    </w:p>
    <w:p w14:paraId="63EB01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2.若总分且项目服务方案得分均相同的，则采取评委票决的方式确定。</w:t>
      </w:r>
    </w:p>
    <w:p w14:paraId="369EE5AA">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八）磋商评审时，磋商小组成员对评审的细则若有争议，由磋商小组集体讨论确定，并对未尽情况有最终解释权。</w:t>
      </w:r>
    </w:p>
    <w:p w14:paraId="321DBF4C">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（九）对落标的供应商不做落标原因的解释。</w:t>
      </w:r>
    </w:p>
    <w:p w14:paraId="131EC3C5">
      <w:pPr>
        <w:snapToGrid w:val="0"/>
        <w:spacing w:line="360" w:lineRule="auto"/>
        <w:ind w:left="568"/>
        <w:rPr>
          <w:rFonts w:ascii="宋体" w:hAnsi="宋体" w:cs="宋体"/>
          <w:b/>
          <w:color w:val="auto"/>
          <w:sz w:val="24"/>
          <w:highlight w:val="none"/>
          <w:lang w:val="zh-CN"/>
        </w:rPr>
      </w:pPr>
      <w:r>
        <w:rPr>
          <w:rFonts w:hint="eastAsia" w:ascii="宋体" w:hAnsi="宋体" w:cs="宋体"/>
          <w:b/>
          <w:color w:val="auto"/>
          <w:sz w:val="24"/>
          <w:highlight w:val="none"/>
          <w:lang w:val="zh-CN"/>
        </w:rPr>
        <w:t>六、评审标准</w:t>
      </w:r>
    </w:p>
    <w:p w14:paraId="46A9637F">
      <w:pPr>
        <w:snapToGrid w:val="0"/>
        <w:spacing w:line="360" w:lineRule="auto"/>
        <w:ind w:left="568"/>
        <w:rPr>
          <w:rFonts w:ascii="宋体" w:hAnsi="宋体" w:cs="宋体"/>
          <w:b/>
          <w:color w:val="auto"/>
          <w:sz w:val="24"/>
          <w:highlight w:val="none"/>
        </w:rPr>
      </w:pPr>
      <w:r>
        <w:rPr>
          <w:rFonts w:hint="eastAsia" w:ascii="宋体" w:hAnsi="宋体" w:cs="宋体"/>
          <w:b/>
          <w:color w:val="auto"/>
          <w:sz w:val="24"/>
          <w:highlight w:val="none"/>
        </w:rPr>
        <w:t>（一）</w:t>
      </w:r>
      <w:r>
        <w:rPr>
          <w:rFonts w:hint="eastAsia" w:ascii="宋体" w:hAnsi="宋体" w:cs="宋体"/>
          <w:b/>
          <w:color w:val="auto"/>
          <w:sz w:val="24"/>
          <w:highlight w:val="none"/>
          <w:lang w:val="zh-CN"/>
        </w:rPr>
        <w:t>商务技术分（</w:t>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lang w:val="zh-CN"/>
        </w:rPr>
        <w:t>0分）</w:t>
      </w:r>
    </w:p>
    <w:p w14:paraId="066016E5">
      <w:pPr>
        <w:snapToGrid w:val="0"/>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供应商得分为磋商小组成员评分的算术平均分</w:t>
      </w:r>
      <w:r>
        <w:rPr>
          <w:rFonts w:hint="eastAsia" w:ascii="宋体" w:hAnsi="宋体" w:cs="宋体"/>
          <w:color w:val="auto"/>
          <w:sz w:val="24"/>
          <w:highlight w:val="none"/>
          <w:lang w:eastAsia="zh-CN"/>
        </w:rPr>
        <w:t>，</w:t>
      </w:r>
      <w:r>
        <w:rPr>
          <w:rFonts w:hint="eastAsia" w:ascii="宋体" w:hAnsi="宋体" w:cs="宋体"/>
          <w:color w:val="auto"/>
          <w:sz w:val="24"/>
          <w:highlight w:val="none"/>
        </w:rPr>
        <w:t>分值四舍五入保留小数点后两位。</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8"/>
        <w:gridCol w:w="1030"/>
        <w:gridCol w:w="5588"/>
        <w:gridCol w:w="577"/>
        <w:gridCol w:w="704"/>
        <w:gridCol w:w="686"/>
      </w:tblGrid>
      <w:tr w14:paraId="27BB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trPr>
        <w:tc>
          <w:tcPr>
            <w:tcW w:w="264" w:type="pct"/>
            <w:tcBorders>
              <w:top w:val="single" w:color="auto" w:sz="8" w:space="0"/>
              <w:left w:val="single" w:color="auto" w:sz="8" w:space="0"/>
              <w:bottom w:val="single" w:color="auto" w:sz="8" w:space="0"/>
              <w:right w:val="single" w:color="auto" w:sz="8" w:space="0"/>
            </w:tcBorders>
            <w:shd w:val="clear" w:color="auto" w:fill="auto"/>
            <w:vAlign w:val="center"/>
          </w:tcPr>
          <w:p w14:paraId="13E83EF2">
            <w:pPr>
              <w:spacing w:line="240" w:lineRule="atLeas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序号</w:t>
            </w:r>
          </w:p>
        </w:tc>
        <w:tc>
          <w:tcPr>
            <w:tcW w:w="568" w:type="pct"/>
            <w:tcBorders>
              <w:top w:val="single" w:color="auto" w:sz="8" w:space="0"/>
              <w:left w:val="nil"/>
              <w:bottom w:val="single" w:color="auto" w:sz="8" w:space="0"/>
              <w:right w:val="single" w:color="auto" w:sz="8" w:space="0"/>
            </w:tcBorders>
            <w:shd w:val="clear" w:color="auto" w:fill="auto"/>
            <w:vAlign w:val="center"/>
          </w:tcPr>
          <w:p w14:paraId="5A8F22DB">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评分内容</w:t>
            </w:r>
          </w:p>
        </w:tc>
        <w:tc>
          <w:tcPr>
            <w:tcW w:w="3081" w:type="pct"/>
            <w:tcBorders>
              <w:top w:val="single" w:color="auto" w:sz="8" w:space="0"/>
              <w:left w:val="nil"/>
              <w:bottom w:val="single" w:color="auto" w:sz="8" w:space="0"/>
              <w:right w:val="single" w:color="auto" w:sz="8" w:space="0"/>
            </w:tcBorders>
            <w:shd w:val="clear" w:color="auto" w:fill="auto"/>
            <w:vAlign w:val="center"/>
          </w:tcPr>
          <w:p w14:paraId="0D2D8B1F">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评分标准</w:t>
            </w:r>
          </w:p>
        </w:tc>
        <w:tc>
          <w:tcPr>
            <w:tcW w:w="318" w:type="pct"/>
            <w:tcBorders>
              <w:top w:val="single" w:color="auto" w:sz="8" w:space="0"/>
              <w:left w:val="nil"/>
              <w:bottom w:val="single" w:color="auto" w:sz="8" w:space="0"/>
              <w:right w:val="single" w:color="auto" w:sz="8" w:space="0"/>
            </w:tcBorders>
            <w:shd w:val="clear" w:color="auto" w:fill="auto"/>
            <w:vAlign w:val="center"/>
          </w:tcPr>
          <w:p w14:paraId="23355178">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最高分</w:t>
            </w:r>
          </w:p>
        </w:tc>
        <w:tc>
          <w:tcPr>
            <w:tcW w:w="388" w:type="pct"/>
            <w:tcBorders>
              <w:top w:val="single" w:color="auto" w:sz="8" w:space="0"/>
              <w:left w:val="nil"/>
              <w:bottom w:val="single" w:color="auto" w:sz="8" w:space="0"/>
              <w:right w:val="single" w:color="auto" w:sz="8" w:space="0"/>
            </w:tcBorders>
            <w:shd w:val="clear" w:color="auto" w:fill="auto"/>
            <w:vAlign w:val="center"/>
          </w:tcPr>
          <w:p w14:paraId="07407CF3">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最低分</w:t>
            </w:r>
          </w:p>
        </w:tc>
        <w:tc>
          <w:tcPr>
            <w:tcW w:w="378" w:type="pct"/>
            <w:tcBorders>
              <w:top w:val="single" w:color="auto" w:sz="8" w:space="0"/>
              <w:left w:val="nil"/>
              <w:bottom w:val="single" w:color="auto" w:sz="8" w:space="0"/>
              <w:right w:val="single" w:color="auto" w:sz="8" w:space="0"/>
            </w:tcBorders>
            <w:shd w:val="clear" w:color="auto" w:fill="auto"/>
            <w:vAlign w:val="center"/>
          </w:tcPr>
          <w:p w14:paraId="5CC4827C">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主/客观</w:t>
            </w:r>
          </w:p>
        </w:tc>
      </w:tr>
      <w:tr w14:paraId="489D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trPr>
        <w:tc>
          <w:tcPr>
            <w:tcW w:w="264" w:type="pct"/>
            <w:tcBorders>
              <w:top w:val="single" w:color="auto" w:sz="8" w:space="0"/>
              <w:left w:val="single" w:color="auto" w:sz="8" w:space="0"/>
              <w:bottom w:val="single" w:color="auto" w:sz="8" w:space="0"/>
              <w:right w:val="single" w:color="auto" w:sz="8" w:space="0"/>
            </w:tcBorders>
            <w:shd w:val="clear" w:color="auto" w:fill="auto"/>
            <w:vAlign w:val="center"/>
          </w:tcPr>
          <w:p w14:paraId="5A9990C4">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w:t>
            </w:r>
          </w:p>
        </w:tc>
        <w:tc>
          <w:tcPr>
            <w:tcW w:w="568" w:type="pct"/>
            <w:tcBorders>
              <w:top w:val="single" w:color="auto" w:sz="8" w:space="0"/>
              <w:left w:val="nil"/>
              <w:bottom w:val="single" w:color="auto" w:sz="8" w:space="0"/>
              <w:right w:val="single" w:color="auto" w:sz="8" w:space="0"/>
            </w:tcBorders>
            <w:shd w:val="clear" w:color="auto" w:fill="auto"/>
            <w:vAlign w:val="center"/>
          </w:tcPr>
          <w:p w14:paraId="53E28419">
            <w:pPr>
              <w:adjustRightInd w:val="0"/>
              <w:snapToGrid w:val="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供应商综合实力</w:t>
            </w:r>
          </w:p>
        </w:tc>
        <w:tc>
          <w:tcPr>
            <w:tcW w:w="3081" w:type="pct"/>
            <w:tcBorders>
              <w:top w:val="single" w:color="auto" w:sz="8" w:space="0"/>
              <w:left w:val="nil"/>
              <w:bottom w:val="single" w:color="auto" w:sz="8" w:space="0"/>
              <w:right w:val="single" w:color="auto" w:sz="8" w:space="0"/>
            </w:tcBorders>
            <w:shd w:val="clear" w:color="auto" w:fill="auto"/>
            <w:vAlign w:val="center"/>
          </w:tcPr>
          <w:p w14:paraId="0B0A6E1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2020年1月1日至今（以表彰文件或获奖证书的落款时间为准），供应商获得司法行政机关或设区市及以上律师协会奖励的，每提供一项市级奖项得1分，每提供一项省级奖项得2分，每提供一项部级及以上奖项得3分，本项最高得5分。</w:t>
            </w:r>
          </w:p>
          <w:p w14:paraId="651826D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证明材料：提供表彰文件或获奖证书的复印件或扫描件加盖供应商公章，否则不得分。</w:t>
            </w:r>
          </w:p>
        </w:tc>
        <w:tc>
          <w:tcPr>
            <w:tcW w:w="318" w:type="pct"/>
            <w:tcBorders>
              <w:top w:val="single" w:color="auto" w:sz="8" w:space="0"/>
              <w:left w:val="nil"/>
              <w:bottom w:val="single" w:color="auto" w:sz="8" w:space="0"/>
              <w:right w:val="single" w:color="auto" w:sz="8" w:space="0"/>
            </w:tcBorders>
            <w:shd w:val="clear" w:color="auto" w:fill="auto"/>
            <w:vAlign w:val="center"/>
          </w:tcPr>
          <w:p w14:paraId="3669EF53">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w:t>
            </w:r>
          </w:p>
        </w:tc>
        <w:tc>
          <w:tcPr>
            <w:tcW w:w="388" w:type="pct"/>
            <w:tcBorders>
              <w:top w:val="single" w:color="auto" w:sz="8" w:space="0"/>
              <w:left w:val="nil"/>
              <w:bottom w:val="single" w:color="auto" w:sz="8" w:space="0"/>
              <w:right w:val="single" w:color="auto" w:sz="8" w:space="0"/>
            </w:tcBorders>
            <w:shd w:val="clear" w:color="auto" w:fill="auto"/>
            <w:vAlign w:val="center"/>
          </w:tcPr>
          <w:p w14:paraId="08974B86">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0</w:t>
            </w:r>
          </w:p>
        </w:tc>
        <w:tc>
          <w:tcPr>
            <w:tcW w:w="378" w:type="pct"/>
            <w:tcBorders>
              <w:top w:val="single" w:color="auto" w:sz="8" w:space="0"/>
              <w:left w:val="nil"/>
              <w:bottom w:val="single" w:color="auto" w:sz="8" w:space="0"/>
              <w:right w:val="single" w:color="auto" w:sz="8" w:space="0"/>
            </w:tcBorders>
            <w:shd w:val="clear" w:color="auto" w:fill="auto"/>
            <w:vAlign w:val="center"/>
          </w:tcPr>
          <w:p w14:paraId="75794553">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客观</w:t>
            </w:r>
          </w:p>
        </w:tc>
      </w:tr>
      <w:tr w14:paraId="3DD1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trPr>
        <w:tc>
          <w:tcPr>
            <w:tcW w:w="264" w:type="pct"/>
            <w:tcBorders>
              <w:top w:val="single" w:color="auto" w:sz="8" w:space="0"/>
              <w:left w:val="single" w:color="auto" w:sz="8" w:space="0"/>
              <w:bottom w:val="single" w:color="auto" w:sz="8" w:space="0"/>
              <w:right w:val="single" w:color="auto" w:sz="8" w:space="0"/>
            </w:tcBorders>
            <w:shd w:val="clear" w:color="auto" w:fill="auto"/>
            <w:vAlign w:val="center"/>
          </w:tcPr>
          <w:p w14:paraId="11796732">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w:t>
            </w:r>
          </w:p>
        </w:tc>
        <w:tc>
          <w:tcPr>
            <w:tcW w:w="568" w:type="pct"/>
            <w:tcBorders>
              <w:top w:val="single" w:color="auto" w:sz="8" w:space="0"/>
              <w:left w:val="nil"/>
              <w:bottom w:val="single" w:color="auto" w:sz="8" w:space="0"/>
              <w:right w:val="single" w:color="auto" w:sz="8" w:space="0"/>
            </w:tcBorders>
            <w:shd w:val="clear" w:color="auto" w:fill="auto"/>
            <w:vAlign w:val="center"/>
          </w:tcPr>
          <w:p w14:paraId="092CF248">
            <w:pPr>
              <w:adjustRightInd w:val="0"/>
              <w:snapToGrid w:val="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供应商业绩</w:t>
            </w:r>
          </w:p>
        </w:tc>
        <w:tc>
          <w:tcPr>
            <w:tcW w:w="3081" w:type="pct"/>
            <w:tcBorders>
              <w:top w:val="single" w:color="auto" w:sz="8" w:space="0"/>
              <w:left w:val="nil"/>
              <w:bottom w:val="single" w:color="auto" w:sz="8" w:space="0"/>
              <w:right w:val="single" w:color="auto" w:sz="8" w:space="0"/>
            </w:tcBorders>
            <w:shd w:val="clear" w:color="auto" w:fill="auto"/>
            <w:vAlign w:val="center"/>
          </w:tcPr>
          <w:p w14:paraId="54C96E0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供应商自2020年1月1日以来（以合同签订时间或聘书的落款时间为准）承担过</w:t>
            </w:r>
            <w:r>
              <w:rPr>
                <w:rFonts w:hint="eastAsia" w:ascii="宋体" w:hAnsi="宋体" w:eastAsia="宋体" w:cs="宋体"/>
                <w:color w:val="auto"/>
                <w:sz w:val="21"/>
                <w:szCs w:val="21"/>
                <w:highlight w:val="none"/>
              </w:rPr>
              <w:t>项目内容包含</w:t>
            </w:r>
            <w:r>
              <w:rPr>
                <w:rFonts w:hint="eastAsia" w:ascii="宋体" w:hAnsi="宋体" w:eastAsia="宋体" w:cs="宋体"/>
                <w:color w:val="auto"/>
                <w:sz w:val="21"/>
                <w:szCs w:val="21"/>
                <w:highlight w:val="none"/>
                <w:lang w:bidi="en-US"/>
              </w:rPr>
              <w:t>法律服务且以年度为合同期的项目，每承担一项得2分，最高得20分。</w:t>
            </w:r>
          </w:p>
          <w:p w14:paraId="5A887A4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注：法律服务含法律顾问、法律咨询服务、法律服务。</w:t>
            </w:r>
          </w:p>
          <w:p w14:paraId="029DB8C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en-US"/>
              </w:rPr>
              <w:t>证明材料：提供合同复印件或扫描件加盖供应商公章，否则不得分。</w:t>
            </w:r>
          </w:p>
        </w:tc>
        <w:tc>
          <w:tcPr>
            <w:tcW w:w="318" w:type="pct"/>
            <w:tcBorders>
              <w:top w:val="single" w:color="auto" w:sz="8" w:space="0"/>
              <w:left w:val="nil"/>
              <w:bottom w:val="single" w:color="auto" w:sz="8" w:space="0"/>
              <w:right w:val="single" w:color="auto" w:sz="8" w:space="0"/>
            </w:tcBorders>
            <w:shd w:val="clear" w:color="auto" w:fill="auto"/>
            <w:vAlign w:val="center"/>
          </w:tcPr>
          <w:p w14:paraId="6967ADF8">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20</w:t>
            </w:r>
          </w:p>
        </w:tc>
        <w:tc>
          <w:tcPr>
            <w:tcW w:w="388" w:type="pct"/>
            <w:tcBorders>
              <w:top w:val="single" w:color="auto" w:sz="8" w:space="0"/>
              <w:left w:val="nil"/>
              <w:bottom w:val="single" w:color="auto" w:sz="8" w:space="0"/>
              <w:right w:val="single" w:color="auto" w:sz="8" w:space="0"/>
            </w:tcBorders>
            <w:shd w:val="clear" w:color="auto" w:fill="auto"/>
            <w:vAlign w:val="center"/>
          </w:tcPr>
          <w:p w14:paraId="2C24CDC8">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0</w:t>
            </w:r>
          </w:p>
        </w:tc>
        <w:tc>
          <w:tcPr>
            <w:tcW w:w="378" w:type="pct"/>
            <w:tcBorders>
              <w:top w:val="single" w:color="auto" w:sz="8" w:space="0"/>
              <w:left w:val="nil"/>
              <w:bottom w:val="single" w:color="auto" w:sz="8" w:space="0"/>
              <w:right w:val="single" w:color="auto" w:sz="8" w:space="0"/>
            </w:tcBorders>
            <w:shd w:val="clear" w:color="auto" w:fill="auto"/>
            <w:vAlign w:val="center"/>
          </w:tcPr>
          <w:p w14:paraId="4CA226BA">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客观</w:t>
            </w:r>
          </w:p>
        </w:tc>
      </w:tr>
      <w:tr w14:paraId="359D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trPr>
        <w:tc>
          <w:tcPr>
            <w:tcW w:w="264" w:type="pct"/>
            <w:tcBorders>
              <w:top w:val="single" w:color="auto" w:sz="8" w:space="0"/>
              <w:left w:val="single" w:color="auto" w:sz="8" w:space="0"/>
              <w:bottom w:val="single" w:color="auto" w:sz="8" w:space="0"/>
              <w:right w:val="single" w:color="auto" w:sz="8" w:space="0"/>
            </w:tcBorders>
            <w:shd w:val="clear" w:color="auto" w:fill="auto"/>
            <w:vAlign w:val="center"/>
          </w:tcPr>
          <w:p w14:paraId="03DD1E77">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w:t>
            </w:r>
          </w:p>
        </w:tc>
        <w:tc>
          <w:tcPr>
            <w:tcW w:w="568" w:type="pct"/>
            <w:tcBorders>
              <w:top w:val="single" w:color="auto" w:sz="8" w:space="0"/>
              <w:left w:val="nil"/>
              <w:bottom w:val="single" w:color="auto" w:sz="8" w:space="0"/>
              <w:right w:val="single" w:color="auto" w:sz="8" w:space="0"/>
            </w:tcBorders>
            <w:shd w:val="clear" w:color="auto" w:fill="auto"/>
            <w:vAlign w:val="center"/>
          </w:tcPr>
          <w:p w14:paraId="51FFD4DA">
            <w:pPr>
              <w:adjustRightInd w:val="0"/>
              <w:snapToGrid w:val="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项目负责人能力</w:t>
            </w:r>
          </w:p>
        </w:tc>
        <w:tc>
          <w:tcPr>
            <w:tcW w:w="3081" w:type="pct"/>
            <w:tcBorders>
              <w:top w:val="single" w:color="auto" w:sz="8" w:space="0"/>
              <w:left w:val="nil"/>
              <w:bottom w:val="single" w:color="auto" w:sz="8" w:space="0"/>
              <w:right w:val="single" w:color="auto" w:sz="8" w:space="0"/>
            </w:tcBorders>
            <w:shd w:val="clear" w:color="auto" w:fill="auto"/>
            <w:vAlign w:val="center"/>
          </w:tcPr>
          <w:p w14:paraId="72DC1F7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①项目负责人（主办律师）具有15年（含）以上从业经验得5分，主办律师具有10（含）-15年（不含）从业经验得3分，主办律师少于10年（不含）从业经验得1分。</w:t>
            </w:r>
          </w:p>
          <w:p w14:paraId="7BCF6D2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证明材料：提供能体现人员姓名和从业时间的业绩证明材料的复印件或扫描件加盖供应商公章，否则不得分。</w:t>
            </w:r>
          </w:p>
          <w:p w14:paraId="66B0BA8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②项目负责人（主办律师）自2020年1月1日以来（以判决书或调解书落款时间为准），以委托诉讼代理人身份代理过交通事故责任纠纷类诉讼案件（以判决书或调解书载明的案由为准），每提供一个案件判决书或调解书的得3分，此项最高得15分。</w:t>
            </w:r>
          </w:p>
          <w:p w14:paraId="6F03932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③项目负责人（主办律师）自2020年1月1日以来（以判决书或调解书落款时间为准），以委托诉讼代理人身份代理过公共道路妨碍通行损害责任纠纷类、违反安全保障义务责任纠纷类诉讼案件（以判决书或调解书载明的案由为准），每提供</w:t>
            </w:r>
            <w:r>
              <w:rPr>
                <w:rFonts w:hint="eastAsia" w:ascii="宋体" w:hAnsi="宋体" w:eastAsia="宋体" w:cs="宋体"/>
                <w:color w:val="auto"/>
                <w:sz w:val="21"/>
                <w:szCs w:val="21"/>
                <w:highlight w:val="none"/>
                <w:lang w:eastAsia="zh-CN" w:bidi="en-US"/>
              </w:rPr>
              <w:t>上述两类案件中任意</w:t>
            </w:r>
            <w:r>
              <w:rPr>
                <w:rFonts w:hint="eastAsia" w:ascii="宋体" w:hAnsi="宋体" w:eastAsia="宋体" w:cs="宋体"/>
                <w:color w:val="auto"/>
                <w:sz w:val="21"/>
                <w:szCs w:val="21"/>
                <w:highlight w:val="none"/>
                <w:lang w:bidi="en-US"/>
              </w:rPr>
              <w:t>一个案件判决书或调解书得3分，最高得15分。</w:t>
            </w:r>
            <w:r>
              <w:rPr>
                <w:rFonts w:hint="eastAsia" w:ascii="宋体" w:hAnsi="宋体" w:eastAsia="宋体" w:cs="宋体"/>
                <w:color w:val="auto"/>
                <w:sz w:val="21"/>
                <w:szCs w:val="21"/>
                <w:highlight w:val="none"/>
                <w:lang w:eastAsia="zh-CN" w:bidi="en-US"/>
              </w:rPr>
              <w:t>提供的案件仅涉及上述两类案件中一类的</w:t>
            </w:r>
            <w:r>
              <w:rPr>
                <w:rFonts w:hint="eastAsia" w:ascii="宋体" w:hAnsi="宋体" w:eastAsia="宋体" w:cs="宋体"/>
                <w:color w:val="auto"/>
                <w:sz w:val="21"/>
                <w:szCs w:val="21"/>
                <w:highlight w:val="none"/>
                <w:lang w:bidi="en-US"/>
              </w:rPr>
              <w:t>，此项最高得12分。</w:t>
            </w:r>
          </w:p>
          <w:p w14:paraId="10FA57E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fldChar w:fldCharType="begin"/>
            </w:r>
            <w:r>
              <w:rPr>
                <w:rFonts w:hint="eastAsia" w:ascii="宋体" w:hAnsi="宋体" w:eastAsia="宋体" w:cs="宋体"/>
                <w:color w:val="auto"/>
                <w:sz w:val="21"/>
                <w:szCs w:val="21"/>
                <w:highlight w:val="none"/>
                <w:lang w:bidi="en-US"/>
              </w:rPr>
              <w:instrText xml:space="preserve"> = 4 \* GB3 \* MERGEFORMAT </w:instrText>
            </w:r>
            <w:r>
              <w:rPr>
                <w:rFonts w:hint="eastAsia" w:ascii="宋体" w:hAnsi="宋体" w:eastAsia="宋体" w:cs="宋体"/>
                <w:color w:val="auto"/>
                <w:sz w:val="21"/>
                <w:szCs w:val="21"/>
                <w:highlight w:val="none"/>
                <w:lang w:bidi="en-US"/>
              </w:rPr>
              <w:fldChar w:fldCharType="separate"/>
            </w:r>
            <w:r>
              <w:rPr>
                <w:rFonts w:hint="eastAsia" w:ascii="宋体" w:hAnsi="宋体" w:eastAsia="宋体" w:cs="宋体"/>
                <w:color w:val="auto"/>
                <w:sz w:val="21"/>
                <w:szCs w:val="21"/>
                <w:highlight w:val="none"/>
                <w:lang w:bidi="en-US"/>
              </w:rPr>
              <w:t>④</w:t>
            </w:r>
            <w:r>
              <w:rPr>
                <w:rFonts w:hint="eastAsia" w:ascii="宋体" w:hAnsi="宋体" w:eastAsia="宋体" w:cs="宋体"/>
                <w:color w:val="auto"/>
                <w:sz w:val="21"/>
                <w:szCs w:val="21"/>
                <w:highlight w:val="none"/>
                <w:lang w:bidi="en-US"/>
              </w:rPr>
              <w:fldChar w:fldCharType="end"/>
            </w:r>
            <w:r>
              <w:rPr>
                <w:rFonts w:hint="eastAsia" w:ascii="宋体" w:hAnsi="宋体" w:eastAsia="宋体" w:cs="宋体"/>
                <w:color w:val="auto"/>
                <w:sz w:val="21"/>
                <w:szCs w:val="21"/>
                <w:highlight w:val="none"/>
                <w:lang w:bidi="en-US"/>
              </w:rPr>
              <w:t>项目负责人（主办律师）自2020年1月1日以来（以判决书或调解书落款时间为准），以委托诉讼代理人身份代理过建设工程合同纠纷类、租赁合同纠纷类诉讼案件（以判决书或调解书载明的案由为准），每提供</w:t>
            </w:r>
            <w:r>
              <w:rPr>
                <w:rFonts w:hint="eastAsia" w:ascii="宋体" w:hAnsi="宋体" w:eastAsia="宋体" w:cs="宋体"/>
                <w:color w:val="auto"/>
                <w:sz w:val="21"/>
                <w:szCs w:val="21"/>
                <w:highlight w:val="none"/>
                <w:lang w:eastAsia="zh-CN" w:bidi="en-US"/>
              </w:rPr>
              <w:t>上述两类案件中任意</w:t>
            </w:r>
            <w:r>
              <w:rPr>
                <w:rFonts w:hint="eastAsia" w:ascii="宋体" w:hAnsi="宋体" w:eastAsia="宋体" w:cs="宋体"/>
                <w:color w:val="auto"/>
                <w:sz w:val="21"/>
                <w:szCs w:val="21"/>
                <w:highlight w:val="none"/>
                <w:lang w:bidi="en-US"/>
              </w:rPr>
              <w:t>一个案件判决书或调解书得3分，最高得15分。</w:t>
            </w:r>
            <w:r>
              <w:rPr>
                <w:rFonts w:hint="eastAsia" w:ascii="宋体" w:hAnsi="宋体" w:eastAsia="宋体" w:cs="宋体"/>
                <w:color w:val="auto"/>
                <w:sz w:val="21"/>
                <w:szCs w:val="21"/>
                <w:highlight w:val="none"/>
                <w:lang w:eastAsia="zh-CN" w:bidi="en-US"/>
              </w:rPr>
              <w:t>提供的案件仅涉及上述两类案件中一类的</w:t>
            </w:r>
            <w:r>
              <w:rPr>
                <w:rFonts w:hint="eastAsia" w:ascii="宋体" w:hAnsi="宋体" w:eastAsia="宋体" w:cs="宋体"/>
                <w:color w:val="auto"/>
                <w:sz w:val="21"/>
                <w:szCs w:val="21"/>
                <w:highlight w:val="none"/>
                <w:lang w:bidi="en-US"/>
              </w:rPr>
              <w:t>，此项最高得12分。</w:t>
            </w:r>
          </w:p>
          <w:p w14:paraId="26D2414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以上②③</w:t>
            </w:r>
            <w:r>
              <w:rPr>
                <w:rFonts w:hint="eastAsia" w:ascii="宋体" w:hAnsi="宋体" w:eastAsia="宋体" w:cs="宋体"/>
                <w:color w:val="auto"/>
                <w:sz w:val="21"/>
                <w:szCs w:val="21"/>
                <w:highlight w:val="none"/>
                <w:lang w:bidi="en-US"/>
              </w:rPr>
              <w:fldChar w:fldCharType="begin"/>
            </w:r>
            <w:r>
              <w:rPr>
                <w:rFonts w:hint="eastAsia" w:ascii="宋体" w:hAnsi="宋体" w:eastAsia="宋体" w:cs="宋体"/>
                <w:color w:val="auto"/>
                <w:sz w:val="21"/>
                <w:szCs w:val="21"/>
                <w:highlight w:val="none"/>
                <w:lang w:bidi="en-US"/>
              </w:rPr>
              <w:instrText xml:space="preserve"> = 4 \* GB3 \* MERGEFORMAT </w:instrText>
            </w:r>
            <w:r>
              <w:rPr>
                <w:rFonts w:hint="eastAsia" w:ascii="宋体" w:hAnsi="宋体" w:eastAsia="宋体" w:cs="宋体"/>
                <w:color w:val="auto"/>
                <w:sz w:val="21"/>
                <w:szCs w:val="21"/>
                <w:highlight w:val="none"/>
                <w:lang w:bidi="en-US"/>
              </w:rPr>
              <w:fldChar w:fldCharType="separate"/>
            </w:r>
            <w:r>
              <w:rPr>
                <w:rFonts w:hint="eastAsia" w:ascii="宋体" w:hAnsi="宋体" w:eastAsia="宋体" w:cs="宋体"/>
                <w:color w:val="auto"/>
                <w:sz w:val="21"/>
                <w:szCs w:val="21"/>
                <w:highlight w:val="none"/>
                <w:lang w:bidi="en-US"/>
              </w:rPr>
              <w:t>④</w:t>
            </w:r>
            <w:r>
              <w:rPr>
                <w:rFonts w:hint="eastAsia" w:ascii="宋体" w:hAnsi="宋体" w:eastAsia="宋体" w:cs="宋体"/>
                <w:color w:val="auto"/>
                <w:sz w:val="21"/>
                <w:szCs w:val="21"/>
                <w:highlight w:val="none"/>
                <w:lang w:bidi="en-US"/>
              </w:rPr>
              <w:fldChar w:fldCharType="end"/>
            </w:r>
            <w:r>
              <w:rPr>
                <w:rFonts w:hint="eastAsia" w:ascii="宋体" w:hAnsi="宋体" w:eastAsia="宋体" w:cs="宋体"/>
                <w:color w:val="auto"/>
                <w:sz w:val="21"/>
                <w:szCs w:val="21"/>
                <w:highlight w:val="none"/>
                <w:lang w:bidi="en-US"/>
              </w:rPr>
              <w:t>项证明材料：提供列表式汇总表并附对应判决书或调解书复印件或扫描件加盖供应商公章，否则不得分。</w:t>
            </w:r>
          </w:p>
          <w:p w14:paraId="3612E36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注：以上②③</w:t>
            </w:r>
            <w:r>
              <w:rPr>
                <w:rFonts w:hint="eastAsia" w:ascii="宋体" w:hAnsi="宋体" w:eastAsia="宋体" w:cs="宋体"/>
                <w:color w:val="auto"/>
                <w:sz w:val="21"/>
                <w:szCs w:val="21"/>
                <w:highlight w:val="none"/>
                <w:lang w:bidi="en-US"/>
              </w:rPr>
              <w:fldChar w:fldCharType="begin"/>
            </w:r>
            <w:r>
              <w:rPr>
                <w:rFonts w:hint="eastAsia" w:ascii="宋体" w:hAnsi="宋体" w:eastAsia="宋体" w:cs="宋体"/>
                <w:color w:val="auto"/>
                <w:sz w:val="21"/>
                <w:szCs w:val="21"/>
                <w:highlight w:val="none"/>
                <w:lang w:bidi="en-US"/>
              </w:rPr>
              <w:instrText xml:space="preserve"> = 4 \* GB3 \* MERGEFORMAT </w:instrText>
            </w:r>
            <w:r>
              <w:rPr>
                <w:rFonts w:hint="eastAsia" w:ascii="宋体" w:hAnsi="宋体" w:eastAsia="宋体" w:cs="宋体"/>
                <w:color w:val="auto"/>
                <w:sz w:val="21"/>
                <w:szCs w:val="21"/>
                <w:highlight w:val="none"/>
                <w:lang w:bidi="en-US"/>
              </w:rPr>
              <w:fldChar w:fldCharType="separate"/>
            </w:r>
            <w:r>
              <w:rPr>
                <w:rFonts w:hint="eastAsia" w:ascii="宋体" w:hAnsi="宋体" w:eastAsia="宋体" w:cs="宋体"/>
                <w:color w:val="auto"/>
                <w:sz w:val="21"/>
                <w:szCs w:val="21"/>
                <w:highlight w:val="none"/>
                <w:lang w:bidi="en-US"/>
              </w:rPr>
              <w:t>④</w:t>
            </w:r>
            <w:r>
              <w:rPr>
                <w:rFonts w:hint="eastAsia" w:ascii="宋体" w:hAnsi="宋体" w:eastAsia="宋体" w:cs="宋体"/>
                <w:color w:val="auto"/>
                <w:sz w:val="21"/>
                <w:szCs w:val="21"/>
                <w:highlight w:val="none"/>
                <w:lang w:bidi="en-US"/>
              </w:rPr>
              <w:fldChar w:fldCharType="end"/>
            </w:r>
            <w:r>
              <w:rPr>
                <w:rFonts w:hint="eastAsia" w:ascii="宋体" w:hAnsi="宋体" w:eastAsia="宋体" w:cs="宋体"/>
                <w:color w:val="auto"/>
                <w:sz w:val="21"/>
                <w:szCs w:val="21"/>
                <w:highlight w:val="none"/>
                <w:lang w:bidi="en-US"/>
              </w:rPr>
              <w:t>项，项目负责人（主办律师）代理同一个案件有一审、二审、再审等情况的，按一个案件计。</w:t>
            </w:r>
          </w:p>
        </w:tc>
        <w:tc>
          <w:tcPr>
            <w:tcW w:w="318" w:type="pct"/>
            <w:tcBorders>
              <w:top w:val="single" w:color="auto" w:sz="8" w:space="0"/>
              <w:left w:val="nil"/>
              <w:bottom w:val="single" w:color="auto" w:sz="8" w:space="0"/>
              <w:right w:val="single" w:color="auto" w:sz="8" w:space="0"/>
            </w:tcBorders>
            <w:shd w:val="clear" w:color="auto" w:fill="auto"/>
            <w:vAlign w:val="center"/>
          </w:tcPr>
          <w:p w14:paraId="164C4463">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50</w:t>
            </w:r>
          </w:p>
        </w:tc>
        <w:tc>
          <w:tcPr>
            <w:tcW w:w="388" w:type="pct"/>
            <w:tcBorders>
              <w:top w:val="single" w:color="auto" w:sz="8" w:space="0"/>
              <w:left w:val="nil"/>
              <w:bottom w:val="single" w:color="auto" w:sz="8" w:space="0"/>
              <w:right w:val="single" w:color="auto" w:sz="8" w:space="0"/>
            </w:tcBorders>
            <w:shd w:val="clear" w:color="auto" w:fill="auto"/>
            <w:vAlign w:val="center"/>
          </w:tcPr>
          <w:p w14:paraId="00B3869A">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0</w:t>
            </w:r>
          </w:p>
        </w:tc>
        <w:tc>
          <w:tcPr>
            <w:tcW w:w="378" w:type="pct"/>
            <w:tcBorders>
              <w:top w:val="single" w:color="auto" w:sz="8" w:space="0"/>
              <w:left w:val="nil"/>
              <w:bottom w:val="single" w:color="auto" w:sz="8" w:space="0"/>
              <w:right w:val="single" w:color="auto" w:sz="8" w:space="0"/>
            </w:tcBorders>
            <w:shd w:val="clear" w:color="auto" w:fill="auto"/>
            <w:vAlign w:val="center"/>
          </w:tcPr>
          <w:p w14:paraId="09CF33FB">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客观</w:t>
            </w:r>
          </w:p>
        </w:tc>
      </w:tr>
      <w:tr w14:paraId="14A1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trPr>
        <w:tc>
          <w:tcPr>
            <w:tcW w:w="264" w:type="pct"/>
            <w:tcBorders>
              <w:top w:val="single" w:color="auto" w:sz="8" w:space="0"/>
              <w:left w:val="single" w:color="auto" w:sz="8" w:space="0"/>
              <w:bottom w:val="single" w:color="auto" w:sz="8" w:space="0"/>
              <w:right w:val="single" w:color="auto" w:sz="8" w:space="0"/>
            </w:tcBorders>
            <w:shd w:val="clear" w:color="auto" w:fill="auto"/>
            <w:vAlign w:val="center"/>
          </w:tcPr>
          <w:p w14:paraId="7199695E">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w:t>
            </w:r>
          </w:p>
        </w:tc>
        <w:tc>
          <w:tcPr>
            <w:tcW w:w="568" w:type="pct"/>
            <w:tcBorders>
              <w:top w:val="single" w:color="auto" w:sz="8" w:space="0"/>
              <w:left w:val="nil"/>
              <w:bottom w:val="single" w:color="auto" w:sz="8" w:space="0"/>
              <w:right w:val="single" w:color="auto" w:sz="8" w:space="0"/>
            </w:tcBorders>
            <w:shd w:val="clear" w:color="auto" w:fill="auto"/>
            <w:vAlign w:val="center"/>
          </w:tcPr>
          <w:p w14:paraId="32596ED2">
            <w:pPr>
              <w:adjustRightInd w:val="0"/>
              <w:snapToGrid w:val="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内部制度</w:t>
            </w:r>
          </w:p>
        </w:tc>
        <w:tc>
          <w:tcPr>
            <w:tcW w:w="3081" w:type="pct"/>
            <w:tcBorders>
              <w:top w:val="single" w:color="auto" w:sz="8" w:space="0"/>
              <w:left w:val="nil"/>
              <w:bottom w:val="single" w:color="auto" w:sz="8" w:space="0"/>
              <w:right w:val="single" w:color="auto" w:sz="8" w:space="0"/>
            </w:tcBorders>
            <w:shd w:val="clear" w:color="auto" w:fill="auto"/>
            <w:vAlign w:val="center"/>
          </w:tcPr>
          <w:p w14:paraId="7AFE055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根据供应商提供的内部制度评分，方案包含以下内容：</w:t>
            </w:r>
          </w:p>
          <w:p w14:paraId="78FEC78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①人员管理制度；</w:t>
            </w:r>
          </w:p>
          <w:p w14:paraId="71154CB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②质量控制制度；</w:t>
            </w:r>
          </w:p>
          <w:p w14:paraId="0B60197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③档案管理制度；</w:t>
            </w:r>
          </w:p>
          <w:p w14:paraId="397A1F3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未提供或未完整提供①②③项方案的不得分；</w:t>
            </w:r>
          </w:p>
          <w:p w14:paraId="005899A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按上述①②③项要求提供方案且阐述一般的，得3分；</w:t>
            </w:r>
          </w:p>
          <w:p w14:paraId="63E23FF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按上述①②③项要求提供方案且比较全面、清晰、合理的，得4分；</w:t>
            </w:r>
          </w:p>
          <w:p w14:paraId="5A5A92F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按上述①②③项要求提供方案且全面、清晰、合理的，得5分。</w:t>
            </w:r>
          </w:p>
          <w:p w14:paraId="3447EAD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注：以上①②③项制度，制度名称表述可与以上不一致，但需包含①②③项管理内容。</w:t>
            </w:r>
          </w:p>
        </w:tc>
        <w:tc>
          <w:tcPr>
            <w:tcW w:w="318" w:type="pct"/>
            <w:tcBorders>
              <w:top w:val="single" w:color="auto" w:sz="8" w:space="0"/>
              <w:left w:val="nil"/>
              <w:bottom w:val="single" w:color="auto" w:sz="8" w:space="0"/>
              <w:right w:val="single" w:color="auto" w:sz="8" w:space="0"/>
            </w:tcBorders>
            <w:shd w:val="clear" w:color="auto" w:fill="auto"/>
            <w:vAlign w:val="center"/>
          </w:tcPr>
          <w:p w14:paraId="4776B53F">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w:t>
            </w:r>
          </w:p>
        </w:tc>
        <w:tc>
          <w:tcPr>
            <w:tcW w:w="388" w:type="pct"/>
            <w:tcBorders>
              <w:top w:val="single" w:color="auto" w:sz="8" w:space="0"/>
              <w:left w:val="nil"/>
              <w:bottom w:val="single" w:color="auto" w:sz="8" w:space="0"/>
              <w:right w:val="single" w:color="auto" w:sz="8" w:space="0"/>
            </w:tcBorders>
            <w:shd w:val="clear" w:color="auto" w:fill="auto"/>
            <w:vAlign w:val="center"/>
          </w:tcPr>
          <w:p w14:paraId="60859CE0">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0</w:t>
            </w:r>
          </w:p>
        </w:tc>
        <w:tc>
          <w:tcPr>
            <w:tcW w:w="378" w:type="pct"/>
            <w:tcBorders>
              <w:top w:val="single" w:color="auto" w:sz="8" w:space="0"/>
              <w:left w:val="nil"/>
              <w:bottom w:val="single" w:color="auto" w:sz="8" w:space="0"/>
              <w:right w:val="single" w:color="auto" w:sz="8" w:space="0"/>
            </w:tcBorders>
            <w:shd w:val="clear" w:color="auto" w:fill="auto"/>
            <w:vAlign w:val="center"/>
          </w:tcPr>
          <w:p w14:paraId="67E05B00">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主观</w:t>
            </w:r>
          </w:p>
        </w:tc>
      </w:tr>
      <w:tr w14:paraId="26F6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trPr>
        <w:tc>
          <w:tcPr>
            <w:tcW w:w="264" w:type="pct"/>
            <w:tcBorders>
              <w:top w:val="single" w:color="auto" w:sz="8" w:space="0"/>
              <w:left w:val="single" w:color="auto" w:sz="8" w:space="0"/>
              <w:bottom w:val="single" w:color="auto" w:sz="8" w:space="0"/>
              <w:right w:val="single" w:color="auto" w:sz="8" w:space="0"/>
            </w:tcBorders>
            <w:shd w:val="clear" w:color="auto" w:fill="auto"/>
            <w:vAlign w:val="center"/>
          </w:tcPr>
          <w:p w14:paraId="70B6C23F">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w:t>
            </w:r>
          </w:p>
        </w:tc>
        <w:tc>
          <w:tcPr>
            <w:tcW w:w="568" w:type="pct"/>
            <w:tcBorders>
              <w:top w:val="single" w:color="auto" w:sz="8" w:space="0"/>
              <w:left w:val="nil"/>
              <w:bottom w:val="single" w:color="auto" w:sz="8" w:space="0"/>
              <w:right w:val="single" w:color="auto" w:sz="8" w:space="0"/>
            </w:tcBorders>
            <w:shd w:val="clear" w:color="auto" w:fill="auto"/>
            <w:vAlign w:val="center"/>
          </w:tcPr>
          <w:p w14:paraId="29DCDFC7">
            <w:pPr>
              <w:adjustRightInd w:val="0"/>
              <w:snapToGrid w:val="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项目人员组织方案</w:t>
            </w:r>
          </w:p>
        </w:tc>
        <w:tc>
          <w:tcPr>
            <w:tcW w:w="3081" w:type="pct"/>
            <w:tcBorders>
              <w:top w:val="single" w:color="auto" w:sz="8" w:space="0"/>
              <w:left w:val="nil"/>
              <w:bottom w:val="single" w:color="auto" w:sz="8" w:space="0"/>
              <w:right w:val="single" w:color="auto" w:sz="8" w:space="0"/>
            </w:tcBorders>
            <w:shd w:val="clear" w:color="auto" w:fill="auto"/>
            <w:vAlign w:val="center"/>
          </w:tcPr>
          <w:p w14:paraId="2003980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根据供应商提供的项目人员组织方案进行评分：</w:t>
            </w:r>
          </w:p>
          <w:p w14:paraId="1389FAC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①人员组织架构；</w:t>
            </w:r>
          </w:p>
          <w:p w14:paraId="63012AB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②人员分工；</w:t>
            </w:r>
          </w:p>
          <w:p w14:paraId="0E27795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③人员专业能力。</w:t>
            </w:r>
          </w:p>
          <w:p w14:paraId="4ABE02E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未提供或未完整提供①②③项方案的不得分；</w:t>
            </w:r>
          </w:p>
          <w:p w14:paraId="680FF14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按上述①②③项要求提供方案且阐述一般的，得3分，</w:t>
            </w:r>
          </w:p>
          <w:p w14:paraId="3D4E269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按上述①②③项要求提供方案且比较全面、清晰、合理的，得4分，</w:t>
            </w:r>
          </w:p>
          <w:p w14:paraId="3AE25D0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按上述①②③项要求提供方案且全面、清晰、合理的，得5分。</w:t>
            </w:r>
          </w:p>
        </w:tc>
        <w:tc>
          <w:tcPr>
            <w:tcW w:w="318" w:type="pct"/>
            <w:tcBorders>
              <w:top w:val="single" w:color="auto" w:sz="8" w:space="0"/>
              <w:left w:val="nil"/>
              <w:bottom w:val="single" w:color="auto" w:sz="8" w:space="0"/>
              <w:right w:val="single" w:color="auto" w:sz="8" w:space="0"/>
            </w:tcBorders>
            <w:shd w:val="clear" w:color="auto" w:fill="auto"/>
            <w:vAlign w:val="center"/>
          </w:tcPr>
          <w:p w14:paraId="1650775C">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w:t>
            </w:r>
          </w:p>
        </w:tc>
        <w:tc>
          <w:tcPr>
            <w:tcW w:w="388" w:type="pct"/>
            <w:tcBorders>
              <w:top w:val="single" w:color="auto" w:sz="8" w:space="0"/>
              <w:left w:val="nil"/>
              <w:bottom w:val="single" w:color="auto" w:sz="8" w:space="0"/>
              <w:right w:val="single" w:color="auto" w:sz="8" w:space="0"/>
            </w:tcBorders>
            <w:shd w:val="clear" w:color="auto" w:fill="auto"/>
            <w:vAlign w:val="center"/>
          </w:tcPr>
          <w:p w14:paraId="47C4644E">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0</w:t>
            </w:r>
          </w:p>
        </w:tc>
        <w:tc>
          <w:tcPr>
            <w:tcW w:w="378" w:type="pct"/>
            <w:tcBorders>
              <w:top w:val="single" w:color="auto" w:sz="8" w:space="0"/>
              <w:left w:val="nil"/>
              <w:bottom w:val="single" w:color="auto" w:sz="8" w:space="0"/>
              <w:right w:val="single" w:color="auto" w:sz="8" w:space="0"/>
            </w:tcBorders>
            <w:shd w:val="clear" w:color="auto" w:fill="auto"/>
            <w:vAlign w:val="center"/>
          </w:tcPr>
          <w:p w14:paraId="3B4E8777">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主观</w:t>
            </w:r>
          </w:p>
        </w:tc>
      </w:tr>
      <w:tr w14:paraId="26C3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trPr>
        <w:tc>
          <w:tcPr>
            <w:tcW w:w="264" w:type="pct"/>
            <w:tcBorders>
              <w:top w:val="single" w:color="auto" w:sz="8" w:space="0"/>
              <w:left w:val="single" w:color="auto" w:sz="8" w:space="0"/>
              <w:bottom w:val="single" w:color="auto" w:sz="8" w:space="0"/>
              <w:right w:val="single" w:color="auto" w:sz="8" w:space="0"/>
            </w:tcBorders>
            <w:shd w:val="clear" w:color="auto" w:fill="auto"/>
            <w:vAlign w:val="center"/>
          </w:tcPr>
          <w:p w14:paraId="0DC0B59E">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w:t>
            </w:r>
          </w:p>
        </w:tc>
        <w:tc>
          <w:tcPr>
            <w:tcW w:w="568" w:type="pct"/>
            <w:tcBorders>
              <w:top w:val="single" w:color="auto" w:sz="8" w:space="0"/>
              <w:left w:val="nil"/>
              <w:bottom w:val="single" w:color="auto" w:sz="8" w:space="0"/>
              <w:right w:val="single" w:color="auto" w:sz="8" w:space="0"/>
            </w:tcBorders>
            <w:shd w:val="clear" w:color="auto" w:fill="auto"/>
            <w:vAlign w:val="center"/>
          </w:tcPr>
          <w:p w14:paraId="5A88992F">
            <w:pPr>
              <w:adjustRightInd w:val="0"/>
              <w:snapToGrid w:val="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项目服务方案</w:t>
            </w:r>
          </w:p>
        </w:tc>
        <w:tc>
          <w:tcPr>
            <w:tcW w:w="3081" w:type="pct"/>
            <w:tcBorders>
              <w:top w:val="single" w:color="auto" w:sz="8" w:space="0"/>
              <w:left w:val="nil"/>
              <w:bottom w:val="single" w:color="auto" w:sz="8" w:space="0"/>
              <w:right w:val="single" w:color="auto" w:sz="8" w:space="0"/>
            </w:tcBorders>
            <w:shd w:val="clear" w:color="auto" w:fill="auto"/>
            <w:vAlign w:val="center"/>
          </w:tcPr>
          <w:p w14:paraId="6624A40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根据供应商提供的项目服务方案进行评分：</w:t>
            </w:r>
          </w:p>
          <w:p w14:paraId="64901B2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①服务的难点、要点；</w:t>
            </w:r>
          </w:p>
          <w:p w14:paraId="60965FB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②服务质量保证措施。</w:t>
            </w:r>
          </w:p>
          <w:p w14:paraId="11D584D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未提供或未完整提供①②项方案的不得分；</w:t>
            </w:r>
          </w:p>
          <w:p w14:paraId="7ADD672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按上述①②项要求提供方案且阐述一般的，得9分，</w:t>
            </w:r>
          </w:p>
          <w:p w14:paraId="031C079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按上述①②项要求提供方案且比较全面、清晰、合理的，得12分，</w:t>
            </w:r>
          </w:p>
          <w:p w14:paraId="359BD59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按上述①②项要求提供方案且全面、清晰、合理的，得15分。</w:t>
            </w:r>
          </w:p>
        </w:tc>
        <w:tc>
          <w:tcPr>
            <w:tcW w:w="318" w:type="pct"/>
            <w:tcBorders>
              <w:top w:val="single" w:color="auto" w:sz="8" w:space="0"/>
              <w:left w:val="nil"/>
              <w:bottom w:val="single" w:color="auto" w:sz="8" w:space="0"/>
              <w:right w:val="single" w:color="auto" w:sz="8" w:space="0"/>
            </w:tcBorders>
            <w:shd w:val="clear" w:color="auto" w:fill="auto"/>
            <w:vAlign w:val="center"/>
          </w:tcPr>
          <w:p w14:paraId="28143538">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15</w:t>
            </w:r>
          </w:p>
        </w:tc>
        <w:tc>
          <w:tcPr>
            <w:tcW w:w="388" w:type="pct"/>
            <w:tcBorders>
              <w:top w:val="single" w:color="auto" w:sz="8" w:space="0"/>
              <w:left w:val="nil"/>
              <w:bottom w:val="single" w:color="auto" w:sz="8" w:space="0"/>
              <w:right w:val="single" w:color="auto" w:sz="8" w:space="0"/>
            </w:tcBorders>
            <w:shd w:val="clear" w:color="auto" w:fill="auto"/>
            <w:vAlign w:val="center"/>
          </w:tcPr>
          <w:p w14:paraId="16442E6B">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0</w:t>
            </w:r>
          </w:p>
        </w:tc>
        <w:tc>
          <w:tcPr>
            <w:tcW w:w="378" w:type="pct"/>
            <w:tcBorders>
              <w:top w:val="single" w:color="auto" w:sz="8" w:space="0"/>
              <w:left w:val="nil"/>
              <w:bottom w:val="single" w:color="auto" w:sz="8" w:space="0"/>
              <w:right w:val="single" w:color="auto" w:sz="8" w:space="0"/>
            </w:tcBorders>
            <w:shd w:val="clear" w:color="auto" w:fill="auto"/>
            <w:vAlign w:val="center"/>
          </w:tcPr>
          <w:p w14:paraId="0B85E7AD">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主观</w:t>
            </w:r>
          </w:p>
        </w:tc>
      </w:tr>
    </w:tbl>
    <w:p w14:paraId="321856CD">
      <w:pPr>
        <w:autoSpaceDE w:val="0"/>
        <w:autoSpaceDN w:val="0"/>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（二）价格分</w:t>
      </w:r>
    </w:p>
    <w:p w14:paraId="37A833FA">
      <w:pPr>
        <w:autoSpaceDE w:val="0"/>
        <w:autoSpaceDN w:val="0"/>
        <w:adjustRightInd w:val="0"/>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本项目为固定价格报价，供应商须按开标一览表中的报价提交，不得调整报价，否则做无效响应处理。</w:t>
      </w:r>
    </w:p>
    <w:p w14:paraId="449EF003">
      <w:pPr>
        <w:autoSpaceDE w:val="0"/>
        <w:autoSpaceDN w:val="0"/>
        <w:adjustRightInd w:val="0"/>
        <w:snapToGrid w:val="0"/>
        <w:spacing w:line="360" w:lineRule="auto"/>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lang w:val="zh-CN"/>
        </w:rPr>
        <w:t>）</w:t>
      </w:r>
      <w:r>
        <w:rPr>
          <w:rFonts w:hint="eastAsia" w:ascii="宋体" w:hAnsi="宋体" w:cs="宋体"/>
          <w:b/>
          <w:bCs/>
          <w:color w:val="auto"/>
          <w:sz w:val="24"/>
          <w:highlight w:val="none"/>
          <w:lang w:val="en-US" w:eastAsia="zh-CN"/>
        </w:rPr>
        <w:t>评审过程异常低价的审查</w:t>
      </w:r>
    </w:p>
    <w:p w14:paraId="58CB4E1D">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评审过程中出现下列情形之一的，</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应当启动异常低价投标（响应）审查程序：</w:t>
      </w:r>
    </w:p>
    <w:p w14:paraId="14BC8AB0">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投标（响应）报价低于采购项目预算50%的，即投标（响应）报价&lt;采购项目预算×50%</w:t>
      </w:r>
      <w:r>
        <w:rPr>
          <w:rFonts w:hint="eastAsia" w:ascii="宋体" w:hAnsi="宋体" w:cs="宋体"/>
          <w:color w:val="auto"/>
          <w:sz w:val="24"/>
          <w:highlight w:val="none"/>
          <w:lang w:eastAsia="zh-CN"/>
        </w:rPr>
        <w:t>；</w:t>
      </w:r>
    </w:p>
    <w:p w14:paraId="72B7A558">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投标（响应）报价低于采购项目最高限价45%的，即投标（响应）报价&lt;采购项目最高限价×45%</w:t>
      </w:r>
      <w:r>
        <w:rPr>
          <w:rFonts w:hint="eastAsia" w:ascii="宋体" w:hAnsi="宋体" w:cs="宋体"/>
          <w:color w:val="auto"/>
          <w:sz w:val="24"/>
          <w:highlight w:val="none"/>
          <w:lang w:eastAsia="zh-CN"/>
        </w:rPr>
        <w:t>；</w:t>
      </w:r>
    </w:p>
    <w:p w14:paraId="106E8FCC">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认定的供应商报价过低、有可能影响产品质量或者不能诚信履约的其他情形。</w:t>
      </w:r>
    </w:p>
    <w:p w14:paraId="21D6307D">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启动异常低价投标（响应）审查</w:t>
      </w:r>
    </w:p>
    <w:p w14:paraId="5B8C947A">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应当要求相关供应商在评标现场合理的时间内，提供项目具体成本测算等与报价合理性相关的书面说明及相关证明材料，对投标（响应）价格作出解释，由</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应当将其作为无效投标（响应）处理。审查相关情况应当在评审报告中进行记录。</w:t>
      </w:r>
    </w:p>
    <w:p w14:paraId="77CB9111">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七、政府采购政策功能落实</w:t>
      </w:r>
    </w:p>
    <w:p w14:paraId="4D2B99EA">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1.小微型企业价格扣除</w:t>
      </w:r>
    </w:p>
    <w:p w14:paraId="46E4B76C">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（1）本项目对小型和微型企业给予20%的扣除价格，用扣除后的价格参与评审。</w:t>
      </w:r>
    </w:p>
    <w:p w14:paraId="5AAEFE4F">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（2）供应商需按照采购文件的要求提供相应的《小型、微型企业声明函》。</w:t>
      </w:r>
    </w:p>
    <w:p w14:paraId="74B310C6">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（3）企业标准请参照《关于印发中小企业划型标准规定的通知》（工信部联企业[2011]300号）文件规定自行填写。</w:t>
      </w:r>
    </w:p>
    <w:p w14:paraId="7E313071">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2.残疾人福利单位价格扣除</w:t>
      </w:r>
    </w:p>
    <w:p w14:paraId="198301C8">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（1）本项目对残疾人福利性单位视同小型、微型企业，给予20%的价格扣除，用扣除后的价格参与评审。</w:t>
      </w:r>
    </w:p>
    <w:p w14:paraId="37B22FD2">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（2）残疾人福利单位需按照采购文件的要求提供《残疾人福利性单位声明函》。</w:t>
      </w:r>
    </w:p>
    <w:p w14:paraId="40688837">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（3）残疾人福利单位标准请参照《关于促进残疾人就业政府采购政策的通知》（财库〔2017〕141号）。</w:t>
      </w:r>
    </w:p>
    <w:p w14:paraId="0B4FD592">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3.监狱和戒毒企业价格扣除</w:t>
      </w:r>
    </w:p>
    <w:p w14:paraId="5148D338">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（1）本项目对监狱和戒毒企业（简称监狱企业）视同小型、微型企业，给予20%的价格扣除，用扣除后的价格参与评审。</w:t>
      </w:r>
    </w:p>
    <w:p w14:paraId="3C002097">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49D7E265">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（3）监狱企业标准请参照《关于政府采购支持监狱企业发展有关问题的通知》（财库[2014]68号）。</w:t>
      </w:r>
    </w:p>
    <w:p w14:paraId="7172D385">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残疾人福利单位、监狱企业属于小型、微型企业的，不重复享受政策。</w:t>
      </w:r>
    </w:p>
    <w:p w14:paraId="7B7B952F">
      <w:pPr>
        <w:snapToGrid w:val="0"/>
        <w:spacing w:line="360" w:lineRule="auto"/>
        <w:ind w:firstLine="555"/>
        <w:rPr>
          <w:rFonts w:ascii="宋体" w:hAnsi="宋体" w:cs="宋体"/>
          <w:b/>
          <w:bCs/>
          <w:color w:val="auto"/>
          <w:sz w:val="24"/>
          <w:highlight w:val="none"/>
        </w:rPr>
      </w:pPr>
      <w:r>
        <w:rPr>
          <w:rFonts w:hint="eastAsia" w:ascii="宋体" w:hAnsi="宋体" w:cs="宋体"/>
          <w:b/>
          <w:bCs/>
          <w:color w:val="auto"/>
          <w:sz w:val="24"/>
          <w:highlight w:val="none"/>
          <w:lang w:eastAsia="zh-CN"/>
        </w:rPr>
        <w:t>5.</w:t>
      </w:r>
      <w:r>
        <w:rPr>
          <w:rFonts w:hint="eastAsia" w:ascii="宋体" w:hAnsi="宋体" w:cs="宋体"/>
          <w:b/>
          <w:bCs/>
          <w:color w:val="auto"/>
          <w:sz w:val="24"/>
          <w:highlight w:val="none"/>
        </w:rPr>
        <w:t>专门面向中小企业采购的项目或者采购包，不再执行价格评审优惠的扶持政策。</w:t>
      </w:r>
    </w:p>
    <w:p w14:paraId="2972A7B4">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八、变更为其他方式采购的情形</w:t>
      </w:r>
    </w:p>
    <w:p w14:paraId="2855ED90">
      <w:pPr>
        <w:autoSpaceDE w:val="0"/>
        <w:autoSpaceDN w:val="0"/>
        <w:adjustRightInd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提交响应文件截止时间时参加磋商的供应商不足3家的，及磋商中出现符合专业条件的供应商或对磋商文件作实质响应的供应商不足3家（规定可以2家的情形除外），除采购任务取消外，采购人视情采取其他方式采购。</w:t>
      </w:r>
      <w:r>
        <w:rPr>
          <w:rFonts w:hint="eastAsia" w:ascii="宋体" w:hAnsi="宋体" w:cs="宋体"/>
          <w:color w:val="auto"/>
          <w:sz w:val="24"/>
          <w:highlight w:val="none"/>
          <w:lang w:val="zh-CN"/>
        </w:rPr>
        <w:t>磋商文件中对供应商资质、技术等要求，将作为</w:t>
      </w:r>
      <w:r>
        <w:rPr>
          <w:rFonts w:hint="eastAsia" w:ascii="宋体" w:hAnsi="宋体" w:cs="宋体"/>
          <w:color w:val="auto"/>
          <w:sz w:val="24"/>
          <w:highlight w:val="none"/>
        </w:rPr>
        <w:t>其他</w:t>
      </w:r>
      <w:r>
        <w:rPr>
          <w:rFonts w:hint="eastAsia" w:ascii="宋体" w:hAnsi="宋体" w:cs="宋体"/>
          <w:color w:val="auto"/>
          <w:sz w:val="24"/>
          <w:highlight w:val="none"/>
          <w:lang w:val="zh-CN"/>
        </w:rPr>
        <w:t>方式采购的基本要求和依据。原已经参加磋商并符合要求的供应商，根据自愿原则，参加</w:t>
      </w:r>
      <w:r>
        <w:rPr>
          <w:rFonts w:hint="eastAsia" w:ascii="宋体" w:hAnsi="宋体" w:cs="宋体"/>
          <w:color w:val="auto"/>
          <w:sz w:val="24"/>
          <w:highlight w:val="none"/>
        </w:rPr>
        <w:t>其他</w:t>
      </w:r>
      <w:r>
        <w:rPr>
          <w:rFonts w:hint="eastAsia" w:ascii="宋体" w:hAnsi="宋体" w:cs="宋体"/>
          <w:color w:val="auto"/>
          <w:sz w:val="24"/>
          <w:highlight w:val="none"/>
          <w:lang w:val="zh-CN"/>
        </w:rPr>
        <w:t>方式采购。</w:t>
      </w:r>
    </w:p>
    <w:p w14:paraId="53FD3614">
      <w:pPr>
        <w:autoSpaceDE w:val="0"/>
        <w:autoSpaceDN w:val="0"/>
        <w:adjustRightInd w:val="0"/>
        <w:snapToGrid w:val="0"/>
        <w:spacing w:line="360" w:lineRule="auto"/>
        <w:ind w:left="-178" w:right="210" w:firstLine="636"/>
        <w:rPr>
          <w:rFonts w:ascii="宋体" w:hAnsi="宋体" w:cs="宋体"/>
          <w:b/>
          <w:color w:val="auto"/>
          <w:sz w:val="24"/>
          <w:highlight w:val="none"/>
          <w:lang w:val="zh-CN"/>
        </w:rPr>
      </w:pPr>
      <w:r>
        <w:rPr>
          <w:rFonts w:hint="eastAsia" w:ascii="宋体" w:hAnsi="宋体" w:cs="宋体"/>
          <w:b/>
          <w:color w:val="auto"/>
          <w:sz w:val="24"/>
          <w:highlight w:val="none"/>
          <w:lang w:val="zh-CN"/>
        </w:rPr>
        <w:t>九、出现下列情形之一的，竞争性磋商采购活动终止，重新开展采购活动：</w:t>
      </w:r>
    </w:p>
    <w:p w14:paraId="1D124BF5">
      <w:pPr>
        <w:pStyle w:val="30"/>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（一）因情况变化，不再符合规定的竞争性磋商采购方式适用情形的；</w:t>
      </w:r>
    </w:p>
    <w:p w14:paraId="6FE4A4DC">
      <w:pPr>
        <w:pStyle w:val="30"/>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（二）出现影响采购公正的违法、违规行为的；</w:t>
      </w:r>
    </w:p>
    <w:p w14:paraId="365E5CF1">
      <w:pPr>
        <w:pStyle w:val="30"/>
        <w:snapToGrid w:val="0"/>
        <w:spacing w:line="360" w:lineRule="auto"/>
        <w:ind w:firstLine="480" w:firstLineChars="200"/>
        <w:contextualSpacing/>
        <w:rPr>
          <w:rFonts w:hint="eastAsia" w:ascii="宋体" w:eastAsia="宋体" w:cs="宋体"/>
          <w:color w:val="auto"/>
          <w:sz w:val="24"/>
          <w:szCs w:val="24"/>
          <w:highlight w:val="none"/>
        </w:rPr>
      </w:pPr>
      <w:r>
        <w:rPr>
          <w:rFonts w:hint="eastAsia" w:ascii="宋体" w:eastAsia="宋体" w:cs="宋体"/>
          <w:color w:val="auto"/>
          <w:sz w:val="24"/>
          <w:szCs w:val="24"/>
          <w:highlight w:val="none"/>
        </w:rPr>
        <w:t>（三）在采购过程中符合要求的供应商或者报价未超过采购预算的供应商不足3家的（市场竞争不充分的科研项目，以及需要扶持的科技成果转化项目除外）。</w:t>
      </w:r>
    </w:p>
    <w:p w14:paraId="062019EB">
      <w:pPr>
        <w:autoSpaceDE w:val="0"/>
        <w:autoSpaceDN w:val="0"/>
        <w:adjustRightInd w:val="0"/>
        <w:snapToGrid w:val="0"/>
        <w:spacing w:line="360" w:lineRule="auto"/>
        <w:ind w:left="-178" w:right="210" w:firstLine="636"/>
        <w:rPr>
          <w:rFonts w:hint="eastAsia" w:ascii="宋体" w:hAnsi="宋体" w:cs="宋体"/>
          <w:b/>
          <w:color w:val="auto"/>
          <w:sz w:val="24"/>
          <w:highlight w:val="none"/>
          <w:lang w:val="zh-CN"/>
        </w:rPr>
      </w:pPr>
      <w:r>
        <w:rPr>
          <w:rFonts w:hint="eastAsia" w:ascii="宋体" w:hAnsi="宋体" w:cs="宋体"/>
          <w:b/>
          <w:color w:val="auto"/>
          <w:sz w:val="24"/>
          <w:highlight w:val="none"/>
          <w:lang w:val="en-US" w:eastAsia="zh-CN"/>
        </w:rPr>
        <w:t>十、</w:t>
      </w:r>
      <w:r>
        <w:rPr>
          <w:rFonts w:hint="eastAsia" w:ascii="宋体" w:hAnsi="宋体" w:cs="宋体"/>
          <w:b/>
          <w:color w:val="auto"/>
          <w:sz w:val="24"/>
          <w:highlight w:val="none"/>
          <w:lang w:val="zh-CN"/>
        </w:rPr>
        <w:t>若有充分证据证明，</w:t>
      </w:r>
      <w:r>
        <w:rPr>
          <w:rFonts w:hint="eastAsia" w:ascii="宋体" w:hAnsi="宋体" w:cs="宋体"/>
          <w:b/>
          <w:color w:val="auto"/>
          <w:sz w:val="24"/>
          <w:highlight w:val="none"/>
          <w:lang w:val="en-US" w:eastAsia="zh-CN"/>
        </w:rPr>
        <w:t>成交供应商</w:t>
      </w:r>
      <w:r>
        <w:rPr>
          <w:rFonts w:hint="eastAsia" w:ascii="宋体" w:hAnsi="宋体" w:cs="宋体"/>
          <w:b/>
          <w:color w:val="auto"/>
          <w:sz w:val="24"/>
          <w:highlight w:val="none"/>
          <w:lang w:val="zh-CN"/>
        </w:rPr>
        <w:t>出现下列情况之一的，一经查实，将被取消</w:t>
      </w:r>
      <w:r>
        <w:rPr>
          <w:rFonts w:hint="eastAsia" w:ascii="宋体" w:hAnsi="宋体" w:cs="宋体"/>
          <w:b/>
          <w:color w:val="auto"/>
          <w:sz w:val="24"/>
          <w:highlight w:val="none"/>
          <w:lang w:val="en-US" w:eastAsia="zh-CN"/>
        </w:rPr>
        <w:t>成交</w:t>
      </w:r>
      <w:r>
        <w:rPr>
          <w:rFonts w:hint="eastAsia" w:ascii="宋体" w:hAnsi="宋体" w:cs="宋体"/>
          <w:b/>
          <w:color w:val="auto"/>
          <w:sz w:val="24"/>
          <w:highlight w:val="none"/>
          <w:lang w:val="zh-CN"/>
        </w:rPr>
        <w:t>资格：</w:t>
      </w:r>
    </w:p>
    <w:p w14:paraId="482070C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提供虚假材料谋取</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的。</w:t>
      </w:r>
    </w:p>
    <w:p w14:paraId="7959D23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向采购人、采购代理机构行贿或者提供其他不正当利益的。</w:t>
      </w:r>
    </w:p>
    <w:p w14:paraId="2BA218B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恶意竞争，投标总报价明显低于其自身合理成本且又无法提供证明的。</w:t>
      </w:r>
    </w:p>
    <w:p w14:paraId="0C49D9E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属于本文件规定的无效条件，但在评标过程中又未被评委会发现的。</w:t>
      </w:r>
    </w:p>
    <w:p w14:paraId="08CCBA5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与采购人或者其他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恶意串通的。</w:t>
      </w:r>
    </w:p>
    <w:p w14:paraId="17C6937E">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采取不正当手段诋毁、排挤其他</w:t>
      </w:r>
      <w:r>
        <w:rPr>
          <w:rFonts w:hint="eastAsia" w:ascii="宋体" w:hAnsi="宋体" w:eastAsia="宋体" w:cs="宋体"/>
          <w:color w:val="auto"/>
          <w:sz w:val="24"/>
          <w:szCs w:val="24"/>
          <w:highlight w:val="none"/>
          <w:lang w:val="en-US"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w:t>
      </w:r>
    </w:p>
    <w:p w14:paraId="71CCB7E7">
      <w:pPr>
        <w:autoSpaceDE w:val="0"/>
        <w:autoSpaceDN w:val="0"/>
        <w:adjustRightInd w:val="0"/>
        <w:snapToGrid w:val="0"/>
        <w:spacing w:line="360" w:lineRule="auto"/>
        <w:ind w:left="-178" w:right="210" w:firstLine="636"/>
        <w:rPr>
          <w:rFonts w:hint="eastAsia" w:ascii="宋体" w:hAnsi="宋体" w:cs="宋体"/>
          <w:b/>
          <w:color w:val="auto"/>
          <w:sz w:val="24"/>
          <w:highlight w:val="none"/>
          <w:lang w:val="zh-CN"/>
        </w:rPr>
      </w:pPr>
      <w:r>
        <w:rPr>
          <w:rFonts w:hint="eastAsia" w:ascii="宋体" w:hAnsi="宋体" w:cs="宋体"/>
          <w:b/>
          <w:color w:val="auto"/>
          <w:sz w:val="24"/>
          <w:highlight w:val="none"/>
          <w:lang w:val="en-US" w:eastAsia="zh-CN"/>
        </w:rPr>
        <w:t>十一、</w:t>
      </w:r>
      <w:r>
        <w:rPr>
          <w:rFonts w:hint="eastAsia" w:ascii="宋体" w:hAnsi="宋体" w:cs="宋体"/>
          <w:b/>
          <w:color w:val="auto"/>
          <w:sz w:val="24"/>
          <w:highlight w:val="none"/>
          <w:lang w:val="zh-CN"/>
        </w:rPr>
        <w:t>有下列情形之一的，视为</w:t>
      </w:r>
      <w:r>
        <w:rPr>
          <w:rFonts w:hint="eastAsia" w:ascii="宋体" w:hAnsi="宋体" w:cs="宋体"/>
          <w:b/>
          <w:color w:val="auto"/>
          <w:sz w:val="24"/>
          <w:highlight w:val="none"/>
          <w:lang w:val="zh-CN" w:eastAsia="zh-CN"/>
        </w:rPr>
        <w:t>投标</w:t>
      </w:r>
      <w:r>
        <w:rPr>
          <w:rFonts w:hint="eastAsia" w:ascii="宋体" w:hAnsi="宋体" w:cs="宋体"/>
          <w:b/>
          <w:color w:val="auto"/>
          <w:sz w:val="24"/>
          <w:highlight w:val="none"/>
          <w:lang w:val="en-US" w:eastAsia="zh-CN"/>
        </w:rPr>
        <w:t>供应商</w:t>
      </w:r>
      <w:r>
        <w:rPr>
          <w:rFonts w:hint="eastAsia" w:ascii="宋体" w:hAnsi="宋体" w:cs="宋体"/>
          <w:b/>
          <w:color w:val="auto"/>
          <w:sz w:val="24"/>
          <w:highlight w:val="none"/>
          <w:lang w:val="zh-CN"/>
        </w:rPr>
        <w:t>串通投标，投标无效：</w:t>
      </w:r>
    </w:p>
    <w:p w14:paraId="497B246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文件由同一单位或者个人编制；</w:t>
      </w:r>
    </w:p>
    <w:p w14:paraId="79FF476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委托同一单位或者个人办理投标事宜；</w:t>
      </w:r>
    </w:p>
    <w:p w14:paraId="6FCDCF7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文件载明的项目管理成员或者联系人员为同一人；</w:t>
      </w:r>
    </w:p>
    <w:p w14:paraId="7041B92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文件异常一致或者投标报价呈规律性差异；</w:t>
      </w:r>
    </w:p>
    <w:p w14:paraId="44BC841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文件相互混装</w:t>
      </w:r>
      <w:r>
        <w:rPr>
          <w:rFonts w:hint="eastAsia" w:ascii="宋体" w:hAnsi="宋体" w:eastAsia="宋体" w:cs="宋体"/>
          <w:color w:val="auto"/>
          <w:sz w:val="24"/>
          <w:szCs w:val="24"/>
          <w:highlight w:val="none"/>
          <w:lang w:eastAsia="zh-CN"/>
        </w:rPr>
        <w:t>。</w:t>
      </w:r>
    </w:p>
    <w:p w14:paraId="7C1452C1">
      <w:pPr>
        <w:autoSpaceDE w:val="0"/>
        <w:autoSpaceDN w:val="0"/>
        <w:adjustRightInd w:val="0"/>
        <w:snapToGrid w:val="0"/>
        <w:spacing w:line="360" w:lineRule="auto"/>
        <w:ind w:left="-178" w:right="210" w:firstLine="636"/>
        <w:rPr>
          <w:rFonts w:ascii="宋体" w:hAnsi="宋体" w:cs="宋体"/>
          <w:b/>
          <w:color w:val="auto"/>
          <w:sz w:val="24"/>
          <w:highlight w:val="none"/>
          <w:lang w:val="zh-CN"/>
        </w:rPr>
      </w:pPr>
      <w:r>
        <w:rPr>
          <w:rFonts w:hint="eastAsia" w:ascii="宋体" w:hAnsi="宋体" w:cs="宋体"/>
          <w:b/>
          <w:color w:val="auto"/>
          <w:sz w:val="24"/>
          <w:highlight w:val="none"/>
          <w:lang w:val="zh-CN"/>
        </w:rPr>
        <w:t>十</w:t>
      </w:r>
      <w:r>
        <w:rPr>
          <w:rFonts w:hint="eastAsia" w:ascii="宋体" w:hAnsi="宋体" w:cs="宋体"/>
          <w:b/>
          <w:color w:val="auto"/>
          <w:sz w:val="24"/>
          <w:highlight w:val="none"/>
          <w:lang w:val="en-US" w:eastAsia="zh-CN"/>
        </w:rPr>
        <w:t>二</w:t>
      </w:r>
      <w:r>
        <w:rPr>
          <w:rFonts w:hint="eastAsia" w:ascii="宋体" w:hAnsi="宋体" w:cs="宋体"/>
          <w:b/>
          <w:color w:val="auto"/>
          <w:sz w:val="24"/>
          <w:highlight w:val="none"/>
          <w:lang w:val="zh-CN"/>
        </w:rPr>
        <w:t>、成交通知</w:t>
      </w:r>
    </w:p>
    <w:p w14:paraId="07CF8DB1">
      <w:pPr>
        <w:snapToGrid w:val="0"/>
        <w:spacing w:line="360" w:lineRule="auto"/>
        <w:ind w:firstLine="480" w:firstLineChars="200"/>
        <w:rPr>
          <w:rFonts w:ascii="宋体" w:hAnsi="宋体" w:cs="宋体"/>
          <w:b/>
          <w:color w:val="auto"/>
          <w:sz w:val="36"/>
          <w:szCs w:val="36"/>
          <w:highlight w:val="none"/>
        </w:rPr>
      </w:pPr>
      <w:r>
        <w:rPr>
          <w:rFonts w:hint="eastAsia" w:ascii="宋体" w:hAnsi="宋体" w:cs="宋体"/>
          <w:color w:val="auto"/>
          <w:sz w:val="24"/>
          <w:highlight w:val="none"/>
        </w:rPr>
        <w:t>成交结果在南通市交通运输局网站公告，公告期限为1个工作日。《成交通知书》一经发出，采购人改变成交结果，或者成交供应商放弃成交的，各自承担相应的法律责任。《成交通知书》是采购合同的组成部分。</w:t>
      </w:r>
      <w:r>
        <w:rPr>
          <w:rFonts w:hint="eastAsia" w:ascii="宋体" w:hAnsi="宋体" w:cs="宋体"/>
          <w:b/>
          <w:color w:val="auto"/>
          <w:sz w:val="36"/>
          <w:szCs w:val="36"/>
          <w:highlight w:val="none"/>
        </w:rPr>
        <w:br w:type="page"/>
      </w:r>
    </w:p>
    <w:p w14:paraId="3E6E27C2">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合同签订与验收付款</w:t>
      </w:r>
    </w:p>
    <w:p w14:paraId="61B67045">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一、成交供应商在《成交通知书》发出之日起30日内和采购人签订合同。合同签订后成交供应商方可履约，否则引起的一切后果由成交供应商自行承担。所签合同不得对采购文件作实质性修改。采购人不得向成交供应商提出不合理的要求作为签订合同的条件，不得与成交供应商私下订立背离采购文件实质性内容的协议。</w:t>
      </w:r>
    </w:p>
    <w:p w14:paraId="7D654DA1">
      <w:pPr>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val="zh-CN"/>
        </w:rPr>
        <w:t>签订合同后，</w:t>
      </w:r>
      <w:r>
        <w:rPr>
          <w:rFonts w:hint="eastAsia" w:ascii="宋体" w:hAnsi="宋体" w:cs="宋体"/>
          <w:color w:val="auto"/>
          <w:sz w:val="24"/>
          <w:highlight w:val="none"/>
          <w:lang w:val="en-US" w:eastAsia="zh-CN"/>
        </w:rPr>
        <w:t>成交供应商不</w:t>
      </w:r>
      <w:r>
        <w:rPr>
          <w:rFonts w:hint="eastAsia" w:ascii="宋体" w:hAnsi="宋体" w:cs="宋体"/>
          <w:color w:val="auto"/>
          <w:sz w:val="24"/>
          <w:highlight w:val="none"/>
          <w:lang w:val="zh-CN"/>
        </w:rPr>
        <w:t>得将合同标的进行转包。未经采购人同意，</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val="zh-CN"/>
        </w:rPr>
        <w:t>也不得采用分包的形式履行合同，否则采购人有权终止合同。采购合同分包履行的，</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val="zh-CN"/>
        </w:rPr>
        <w:t>就采购项目和分包项目向采购人负责，分包供应商就分包项目承担责任。转包或分包造成采购人损失的，</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val="zh-CN"/>
        </w:rPr>
        <w:t>应承担相应赔偿责任。</w:t>
      </w:r>
    </w:p>
    <w:p w14:paraId="2FD5B86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采购人与成交供应商串通或要求成交供应商通过减少货物数量或降低服务标准的，或在履行合同中采取更改配置、调换物品等手段的，或要求成交供应商出具虚假发票或任意更改销售发票的，或谋取不正当利益的，采购人应承担相应的法律责任。</w:t>
      </w:r>
    </w:p>
    <w:p w14:paraId="4EAEA70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货物和服务的追加、减少和添购。</w:t>
      </w:r>
    </w:p>
    <w:p w14:paraId="5E9BDD1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.1采购合同履行中，采购人需追加与合同标的相同的货物和服务的，在不改变合同其他条款的前提下，可以与</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rPr>
        <w:t>协商签订补充合同，但所有补充合同的采购金额不超过原合同金额10%。</w:t>
      </w:r>
    </w:p>
    <w:p w14:paraId="2663BA6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.2采购结束后，采购人若由于各种客观原因，必须对采购项目所牵涉的货物和服务进行适当的减少时，在双方协商一致的前提下，可以按照招标采购时的价格水平做相应的调减，并据此签订补充合同。</w:t>
      </w:r>
    </w:p>
    <w:p w14:paraId="486E5E54">
      <w:pPr>
        <w:pStyle w:val="30"/>
        <w:numPr>
          <w:ilvl w:val="0"/>
          <w:numId w:val="1"/>
        </w:numPr>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履约验收：</w:t>
      </w:r>
    </w:p>
    <w:p w14:paraId="75F05167">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验收实施主体：法务科</w:t>
      </w:r>
    </w:p>
    <w:p w14:paraId="1B10FD37">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验收时间：每一合同年度12月底</w:t>
      </w:r>
    </w:p>
    <w:p w14:paraId="5C77C3F2">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验收方式：由法务科牵头组织成立验收小组，采用书面或座谈形式对法律服务单位进行评价。</w:t>
      </w:r>
    </w:p>
    <w:p w14:paraId="013590F1">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验收内容：对法律服务单位提供的法律咨询服务及法律咨询服务进行评价。</w:t>
      </w:r>
    </w:p>
    <w:p w14:paraId="7C9DA636">
      <w:pPr>
        <w:pStyle w:val="30"/>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rPr>
        <w:t>验收标准：根据法律服务单位日常法律服务的工作态度、响应速度、业务能力、工作质量进行综合评价。评价为优、良的为验收合格；评价为中、差的为验收不合格。</w:t>
      </w:r>
    </w:p>
    <w:p w14:paraId="1C061F2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、成交供应商出现违约情形，应当及时纠正或补偿；造成损失的，按合同约定追究违约责任；发现有假冒、伪劣、走私产品、商业贿赂等违法情形的，应由采购人移交工商、质监、公安等行政执法部门依法查处。</w:t>
      </w:r>
    </w:p>
    <w:p w14:paraId="24938967">
      <w:pPr>
        <w:pStyle w:val="6"/>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w:t>
      </w:r>
      <w:r>
        <w:rPr>
          <w:rFonts w:hint="eastAsia" w:ascii="宋体" w:hAnsi="宋体" w:cs="宋体"/>
          <w:color w:val="auto"/>
          <w:sz w:val="24"/>
          <w:szCs w:val="24"/>
          <w:highlight w:val="none"/>
        </w:rPr>
        <w:t>合同条款内容</w:t>
      </w:r>
    </w:p>
    <w:p w14:paraId="167F4E53">
      <w:pPr>
        <w:pStyle w:val="6"/>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p>
    <w:p w14:paraId="0CD8EBF8">
      <w:pPr>
        <w:pStyle w:val="6"/>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p>
    <w:p w14:paraId="512F5F70">
      <w:pPr>
        <w:pStyle w:val="6"/>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p>
    <w:p w14:paraId="05F4296E">
      <w:pPr>
        <w:pStyle w:val="6"/>
        <w:kinsoku w:val="0"/>
        <w:topLinePunct/>
        <w:autoSpaceDE w:val="0"/>
        <w:autoSpaceDN w:val="0"/>
        <w:snapToGrid w:val="0"/>
        <w:spacing w:line="360" w:lineRule="auto"/>
        <w:ind w:firstLine="0"/>
        <w:contextualSpacing/>
        <w:rPr>
          <w:rFonts w:ascii="宋体" w:hAnsi="宋体" w:cs="宋体"/>
          <w:color w:val="auto"/>
          <w:sz w:val="24"/>
          <w:highlight w:val="none"/>
        </w:rPr>
      </w:pPr>
      <w:r>
        <w:rPr>
          <w:rFonts w:hint="eastAsia" w:ascii="宋体" w:hAnsi="宋体" w:cs="宋体"/>
          <w:color w:val="auto"/>
          <w:sz w:val="24"/>
          <w:szCs w:val="24"/>
          <w:highlight w:val="none"/>
        </w:rPr>
        <w:br w:type="page"/>
      </w:r>
    </w:p>
    <w:p w14:paraId="4879EE1F">
      <w:pPr>
        <w:spacing w:line="360" w:lineRule="auto"/>
        <w:ind w:firstLine="602"/>
        <w:jc w:val="center"/>
        <w:outlineLvl w:val="0"/>
        <w:rPr>
          <w:rFonts w:ascii="宋体" w:hAnsi="宋体" w:cs="宋体"/>
          <w:b/>
          <w:bCs/>
          <w:color w:val="auto"/>
          <w:sz w:val="30"/>
          <w:szCs w:val="20"/>
          <w:highlight w:val="none"/>
        </w:rPr>
      </w:pPr>
      <w:r>
        <w:rPr>
          <w:rFonts w:hint="eastAsia" w:ascii="宋体" w:hAnsi="宋体" w:cs="宋体"/>
          <w:b/>
          <w:color w:val="auto"/>
          <w:sz w:val="30"/>
          <w:szCs w:val="21"/>
          <w:highlight w:val="none"/>
          <w:lang w:eastAsia="zh-CN"/>
        </w:rPr>
        <w:t>2026-2028年南通市公路事业发展中心法律服务项目</w:t>
      </w:r>
      <w:r>
        <w:rPr>
          <w:rFonts w:hint="eastAsia" w:ascii="宋体" w:hAnsi="宋体" w:cs="宋体"/>
          <w:b/>
          <w:color w:val="auto"/>
          <w:sz w:val="30"/>
          <w:szCs w:val="21"/>
          <w:highlight w:val="none"/>
        </w:rPr>
        <w:t>合同协议书</w:t>
      </w:r>
    </w:p>
    <w:p w14:paraId="1BD8C63D">
      <w:pPr>
        <w:tabs>
          <w:tab w:val="left" w:pos="9360"/>
        </w:tabs>
        <w:spacing w:line="360" w:lineRule="auto"/>
        <w:ind w:firstLine="471"/>
        <w:rPr>
          <w:rFonts w:ascii="宋体" w:hAnsi="宋体" w:cs="宋体"/>
          <w:color w:val="auto"/>
          <w:sz w:val="24"/>
          <w:highlight w:val="none"/>
        </w:rPr>
      </w:pPr>
      <w:r>
        <w:rPr>
          <w:rFonts w:hint="eastAsia" w:ascii="宋体" w:hAnsi="宋体" w:cs="宋体"/>
          <w:color w:val="auto"/>
          <w:sz w:val="24"/>
          <w:highlight w:val="none"/>
        </w:rPr>
        <w:t>甲方(采购人)：</w:t>
      </w:r>
    </w:p>
    <w:p w14:paraId="376784E3">
      <w:pPr>
        <w:tabs>
          <w:tab w:val="left" w:pos="9360"/>
        </w:tabs>
        <w:spacing w:line="360" w:lineRule="auto"/>
        <w:ind w:firstLine="471"/>
        <w:rPr>
          <w:rFonts w:ascii="宋体" w:hAnsi="宋体" w:cs="宋体"/>
          <w:color w:val="auto"/>
          <w:sz w:val="24"/>
          <w:highlight w:val="none"/>
        </w:rPr>
      </w:pPr>
      <w:r>
        <w:rPr>
          <w:rFonts w:hint="eastAsia" w:ascii="宋体" w:hAnsi="宋体" w:cs="宋体"/>
          <w:color w:val="auto"/>
          <w:sz w:val="24"/>
          <w:highlight w:val="none"/>
        </w:rPr>
        <w:t>乙方(成交供应商)：</w:t>
      </w:r>
    </w:p>
    <w:p w14:paraId="738604D6">
      <w:pPr>
        <w:spacing w:line="360" w:lineRule="auto"/>
        <w:ind w:firstLine="471"/>
        <w:rPr>
          <w:rFonts w:ascii="宋体" w:hAnsi="宋体" w:cs="宋体"/>
          <w:color w:val="auto"/>
          <w:sz w:val="24"/>
          <w:highlight w:val="none"/>
        </w:rPr>
      </w:pPr>
      <w:r>
        <w:rPr>
          <w:rFonts w:hint="eastAsia" w:ascii="宋体" w:hAnsi="宋体" w:cs="宋体"/>
          <w:color w:val="auto"/>
          <w:sz w:val="24"/>
          <w:highlight w:val="none"/>
        </w:rPr>
        <w:t>甲乙双方根据《中华人民共和国政府采购法》、《中华人民共和国民法典》及</w:t>
      </w:r>
      <w:r>
        <w:rPr>
          <w:rFonts w:hint="eastAsia" w:ascii="宋体" w:hAnsi="宋体" w:cs="宋体"/>
          <w:color w:val="auto"/>
          <w:sz w:val="24"/>
          <w:highlight w:val="none"/>
          <w:lang w:eastAsia="zh-CN"/>
        </w:rPr>
        <w:t>2026-2028年南通市公路事业发展中心法律服务项目</w:t>
      </w:r>
      <w:r>
        <w:rPr>
          <w:rFonts w:hint="eastAsia" w:ascii="宋体" w:hAnsi="宋体" w:cs="宋体"/>
          <w:color w:val="auto"/>
          <w:sz w:val="24"/>
          <w:highlight w:val="none"/>
        </w:rPr>
        <w:t>采购文件(项目编号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2026-2028Flfw</w:t>
      </w:r>
      <w:r>
        <w:rPr>
          <w:rFonts w:hint="eastAsia" w:ascii="宋体" w:hAnsi="宋体" w:cs="宋体"/>
          <w:color w:val="auto"/>
          <w:sz w:val="24"/>
          <w:highlight w:val="none"/>
        </w:rPr>
        <w:t>)，按照平等、自愿的原则，协商签订此合同。</w:t>
      </w:r>
    </w:p>
    <w:p w14:paraId="31413F23">
      <w:pPr>
        <w:tabs>
          <w:tab w:val="left" w:pos="0"/>
          <w:tab w:val="left" w:pos="993"/>
          <w:tab w:val="left" w:pos="1134"/>
        </w:tabs>
        <w:spacing w:line="360" w:lineRule="auto"/>
        <w:ind w:firstLine="472"/>
        <w:rPr>
          <w:rFonts w:ascii="宋体" w:hAnsi="宋体" w:cs="宋体"/>
          <w:b/>
          <w:color w:val="auto"/>
          <w:sz w:val="24"/>
          <w:highlight w:val="none"/>
        </w:rPr>
      </w:pPr>
      <w:r>
        <w:rPr>
          <w:rFonts w:hint="eastAsia" w:ascii="宋体" w:hAnsi="宋体" w:cs="宋体"/>
          <w:b/>
          <w:color w:val="auto"/>
          <w:sz w:val="24"/>
          <w:highlight w:val="none"/>
        </w:rPr>
        <w:t>一、说明</w:t>
      </w:r>
    </w:p>
    <w:p w14:paraId="668FDC1F">
      <w:pPr>
        <w:tabs>
          <w:tab w:val="left" w:pos="0"/>
          <w:tab w:val="left" w:pos="993"/>
          <w:tab w:val="left" w:pos="1134"/>
        </w:tabs>
        <w:spacing w:line="360" w:lineRule="auto"/>
        <w:ind w:firstLine="480"/>
        <w:rPr>
          <w:rFonts w:ascii="宋体" w:hAnsi="宋体" w:cs="宋体"/>
          <w:color w:val="auto"/>
          <w:sz w:val="24"/>
          <w:highlight w:val="none"/>
        </w:rPr>
      </w:pPr>
      <w:r>
        <w:rPr>
          <w:rFonts w:hint="eastAsia" w:ascii="宋体" w:hAnsi="宋体" w:cs="宋体"/>
          <w:color w:val="auto"/>
          <w:sz w:val="24"/>
          <w:highlight w:val="none"/>
          <w:lang w:eastAsia="zh-CN"/>
        </w:rPr>
        <w:t>2026-2028年南通市公路事业发展中心法律服务项目</w:t>
      </w:r>
      <w:r>
        <w:rPr>
          <w:rFonts w:hint="eastAsia" w:ascii="宋体" w:hAnsi="宋体" w:cs="宋体"/>
          <w:color w:val="auto"/>
          <w:sz w:val="24"/>
          <w:highlight w:val="none"/>
        </w:rPr>
        <w:t>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日组织了</w:t>
      </w:r>
      <w:r>
        <w:rPr>
          <w:rFonts w:hint="eastAsia" w:ascii="宋体" w:hAnsi="宋体" w:cs="宋体"/>
          <w:color w:val="auto"/>
          <w:sz w:val="24"/>
          <w:highlight w:val="none"/>
          <w:u w:val="single"/>
        </w:rPr>
        <w:t xml:space="preserve"> 竞争性磋商 </w:t>
      </w:r>
      <w:r>
        <w:rPr>
          <w:rFonts w:hint="eastAsia" w:ascii="宋体" w:hAnsi="宋体" w:cs="宋体"/>
          <w:color w:val="auto"/>
          <w:sz w:val="24"/>
          <w:highlight w:val="none"/>
        </w:rPr>
        <w:t>，经认真严格的评审，确定由乙方承包本项目。</w:t>
      </w:r>
    </w:p>
    <w:p w14:paraId="5CE8AC08">
      <w:pPr>
        <w:spacing w:line="360" w:lineRule="auto"/>
        <w:ind w:firstLine="472"/>
        <w:rPr>
          <w:rFonts w:ascii="宋体" w:hAnsi="宋体" w:cs="宋体"/>
          <w:b/>
          <w:color w:val="auto"/>
          <w:sz w:val="24"/>
          <w:highlight w:val="none"/>
        </w:rPr>
      </w:pPr>
      <w:r>
        <w:rPr>
          <w:rFonts w:hint="eastAsia" w:ascii="宋体" w:hAnsi="宋体" w:cs="宋体"/>
          <w:b/>
          <w:color w:val="auto"/>
          <w:sz w:val="24"/>
          <w:highlight w:val="none"/>
        </w:rPr>
        <w:t>二</w:t>
      </w:r>
      <w:r>
        <w:rPr>
          <w:rFonts w:hint="eastAsia" w:ascii="宋体" w:hAnsi="宋体" w:cs="宋体"/>
          <w:color w:val="auto"/>
          <w:sz w:val="24"/>
          <w:highlight w:val="none"/>
        </w:rPr>
        <w:t>、</w:t>
      </w:r>
      <w:r>
        <w:rPr>
          <w:rFonts w:hint="eastAsia" w:ascii="宋体" w:hAnsi="宋体" w:cs="宋体"/>
          <w:b/>
          <w:color w:val="auto"/>
          <w:sz w:val="24"/>
          <w:highlight w:val="none"/>
        </w:rPr>
        <w:t>项目基本情况</w:t>
      </w:r>
    </w:p>
    <w:p w14:paraId="217F25DE">
      <w:pPr>
        <w:spacing w:line="360" w:lineRule="auto"/>
        <w:ind w:firstLine="472"/>
        <w:rPr>
          <w:rFonts w:hint="eastAsia" w:ascii="宋体" w:hAnsi="宋体" w:eastAsia="宋体" w:cs="宋体"/>
          <w:bCs/>
          <w:color w:val="auto"/>
          <w:sz w:val="24"/>
          <w:highlight w:val="none"/>
          <w:u w:val="single"/>
          <w:lang w:eastAsia="zh-CN"/>
        </w:rPr>
      </w:pPr>
      <w:r>
        <w:rPr>
          <w:rFonts w:hint="eastAsia" w:ascii="宋体" w:hAnsi="宋体" w:cs="宋体"/>
          <w:bCs/>
          <w:color w:val="auto"/>
          <w:sz w:val="24"/>
          <w:highlight w:val="none"/>
        </w:rPr>
        <w:t>1、项目名称：</w:t>
      </w:r>
      <w:r>
        <w:rPr>
          <w:rFonts w:hint="eastAsia" w:ascii="宋体" w:hAnsi="宋体" w:cs="宋体"/>
          <w:color w:val="auto"/>
          <w:sz w:val="24"/>
          <w:highlight w:val="none"/>
          <w:lang w:eastAsia="zh-CN"/>
        </w:rPr>
        <w:t>2026-2028年南通市公路事业发展中心法律服务项目</w:t>
      </w:r>
    </w:p>
    <w:p w14:paraId="751554EA">
      <w:pPr>
        <w:spacing w:line="360" w:lineRule="auto"/>
        <w:ind w:firstLine="472"/>
        <w:rPr>
          <w:rFonts w:ascii="宋体" w:hAnsi="宋体" w:cs="宋体"/>
          <w:b/>
          <w:color w:val="auto"/>
          <w:sz w:val="24"/>
          <w:highlight w:val="none"/>
          <w:u w:val="single"/>
        </w:rPr>
      </w:pPr>
      <w:r>
        <w:rPr>
          <w:rFonts w:hint="eastAsia" w:ascii="宋体" w:hAnsi="宋体" w:cs="宋体"/>
          <w:bCs/>
          <w:color w:val="auto"/>
          <w:sz w:val="24"/>
          <w:highlight w:val="none"/>
        </w:rPr>
        <w:t>2、项目地点：南通市</w:t>
      </w:r>
    </w:p>
    <w:p w14:paraId="17D98EE0">
      <w:pPr>
        <w:spacing w:line="360" w:lineRule="auto"/>
        <w:ind w:firstLine="472"/>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3、工作内容：对2026-2028年南通市公路事业发展中心（含各分中心）涉及的法律事务提供相关服务，本项目不包含经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eastAsia="zh-CN"/>
        </w:rPr>
        <w:t>党委会集体讨论研究认定为需要另行项目化实施的服务项目。</w:t>
      </w:r>
      <w:r>
        <w:rPr>
          <w:rFonts w:hint="eastAsia" w:ascii="宋体" w:hAnsi="宋体" w:cs="宋体"/>
          <w:color w:val="auto"/>
          <w:sz w:val="24"/>
          <w:highlight w:val="none"/>
          <w:lang w:val="en-US" w:eastAsia="zh-CN"/>
        </w:rPr>
        <w:t>具体要求如下：</w:t>
      </w:r>
    </w:p>
    <w:p w14:paraId="1D1EDEC9">
      <w:pPr>
        <w:spacing w:line="360" w:lineRule="auto"/>
        <w:ind w:firstLine="472"/>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（一）法律咨询服务。为</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eastAsia="zh-CN"/>
        </w:rPr>
        <w:t>实现正当权益、提高管理效率、排除不法侵害、防范法律风险、维护合法权益提供服务，咨询内容主要涉及公路养护管理有关法律问题、经济合同、劳动合同、知识产权、国有资产管理、信息公开等领域。</w:t>
      </w:r>
    </w:p>
    <w:p w14:paraId="36002F89">
      <w:pPr>
        <w:spacing w:line="360" w:lineRule="auto"/>
        <w:ind w:firstLine="472"/>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（二）法律服务。主要包括：</w:t>
      </w:r>
    </w:p>
    <w:p w14:paraId="5525B210">
      <w:pPr>
        <w:spacing w:line="360" w:lineRule="auto"/>
        <w:ind w:firstLine="472"/>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法律诉讼服务。预计每年发生10-20件民事诉讼案件，主要涉及机动车交通事故责任纠纷、公共道路妨碍通行损害责任纠纷、违反安全保障义务责任纠纷、建设工程合同纠纷、租赁合同纠纷等诉讼案件，该数量及诉讼类型仅作为参考，实际诉讼数量低于或高于该数量的，诉讼类型超出该范围的不调整法律服务费用。</w:t>
      </w:r>
    </w:p>
    <w:p w14:paraId="56E55E25">
      <w:pPr>
        <w:spacing w:line="360" w:lineRule="auto"/>
        <w:ind w:firstLine="472"/>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2.法律文件代理服务。</w:t>
      </w:r>
    </w:p>
    <w:p w14:paraId="13D2BCD5">
      <w:pPr>
        <w:spacing w:line="360" w:lineRule="auto"/>
        <w:ind w:firstLine="472"/>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3.仲裁服务。</w:t>
      </w:r>
    </w:p>
    <w:p w14:paraId="00FB0C47">
      <w:pPr>
        <w:spacing w:line="360" w:lineRule="auto"/>
        <w:ind w:firstLine="472"/>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4.调解服务。</w:t>
      </w:r>
    </w:p>
    <w:p w14:paraId="2004C000">
      <w:pPr>
        <w:spacing w:line="360" w:lineRule="auto"/>
        <w:ind w:firstLine="472"/>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5.其他法律服务。除与法律有关的调查、取证外，主要包含</w:t>
      </w:r>
    </w:p>
    <w:p w14:paraId="18625120">
      <w:pPr>
        <w:spacing w:line="360" w:lineRule="auto"/>
        <w:ind w:firstLine="472"/>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（1）出具法律意见书或律师函。根据</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eastAsia="zh-CN"/>
        </w:rPr>
        <w:t>的要求，对决策、招标采购、合同、信访、舆情等事务的处理，进行法律论证，出具法律意见书或律师函。一般性事务，</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eastAsia="zh-CN"/>
        </w:rPr>
        <w:t>应在3个工作日内出具法律意见书或律师函；情况复杂的，经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eastAsia="zh-CN"/>
        </w:rPr>
        <w:t>同意可适当延长。</w:t>
      </w:r>
    </w:p>
    <w:p w14:paraId="1C1EC25E">
      <w:pPr>
        <w:spacing w:line="360" w:lineRule="auto"/>
        <w:ind w:firstLine="472"/>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（2）出具合法性审查意见书。对招标文件、政府采购文件、合同、制度、标准等，从法律方面提供修改和补充意见，并出具合法性审查意见。一般性文件，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eastAsia="zh-CN"/>
        </w:rPr>
        <w:t>应在3个工作日内出具合法性审查意见；情况复杂的，经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eastAsia="zh-CN"/>
        </w:rPr>
        <w:t>同意可适当延长。预计每年出具合法性审查意见书50-100件，以招标、采购文件及合同为主，该数据及审查范围仅作为参考，实际服务数量低于或高于该数量的，实际审查范围超出该范围的，不调整法律服务费用。</w:t>
      </w:r>
    </w:p>
    <w:p w14:paraId="5370414A">
      <w:pPr>
        <w:spacing w:line="360" w:lineRule="auto"/>
        <w:ind w:firstLine="472"/>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（3）参与谈判。参加</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eastAsia="zh-CN"/>
        </w:rPr>
        <w:t>关于行业管理、合同履行、信访等事务的谈判。</w:t>
      </w:r>
    </w:p>
    <w:p w14:paraId="5B9AF00E">
      <w:pPr>
        <w:spacing w:line="360" w:lineRule="auto"/>
        <w:ind w:firstLine="472"/>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（4）举办法律讲座。结合</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eastAsia="zh-CN"/>
        </w:rPr>
        <w:t>工作需求，为</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eastAsia="zh-CN"/>
        </w:rPr>
        <w:t>的工作人员或行业从业人员举办不少于2次法律讲座，主要涉及民法典及公路养护管理法律领域。具体讲座内容由</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eastAsia="zh-CN"/>
        </w:rPr>
        <w:t>另行确定。</w:t>
      </w:r>
    </w:p>
    <w:p w14:paraId="1588B372">
      <w:pPr>
        <w:spacing w:line="360" w:lineRule="auto"/>
        <w:ind w:firstLine="472"/>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（5）及时提示履职法律风险。</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eastAsia="zh-CN"/>
        </w:rPr>
        <w:t>及时将在提供法律服务过程中发现的</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eastAsia="zh-CN"/>
        </w:rPr>
        <w:t>履职法律风险作出风险提示，并提出防范建议及措施。</w:t>
      </w:r>
    </w:p>
    <w:p w14:paraId="38ADEF3B">
      <w:pPr>
        <w:spacing w:line="360" w:lineRule="auto"/>
        <w:ind w:firstLine="472"/>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（6）协助</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eastAsia="zh-CN"/>
        </w:rPr>
        <w:t>办理其他法律事务。</w:t>
      </w:r>
    </w:p>
    <w:p w14:paraId="1BE5C8CF">
      <w:pPr>
        <w:spacing w:line="360" w:lineRule="auto"/>
        <w:ind w:firstLine="471"/>
        <w:rPr>
          <w:rFonts w:ascii="宋体" w:hAnsi="宋体" w:cs="宋体"/>
          <w:b/>
          <w:color w:val="auto"/>
          <w:sz w:val="24"/>
          <w:highlight w:val="none"/>
        </w:rPr>
      </w:pPr>
      <w:r>
        <w:rPr>
          <w:rFonts w:hint="eastAsia" w:ascii="宋体" w:hAnsi="宋体" w:cs="宋体"/>
          <w:b/>
          <w:color w:val="auto"/>
          <w:sz w:val="24"/>
          <w:highlight w:val="none"/>
        </w:rPr>
        <w:t>三、合同文件构成</w:t>
      </w:r>
    </w:p>
    <w:p w14:paraId="70440DD5">
      <w:pPr>
        <w:spacing w:line="360" w:lineRule="auto"/>
        <w:ind w:firstLine="471"/>
        <w:rPr>
          <w:rFonts w:ascii="宋体" w:hAnsi="宋体" w:cs="宋体"/>
          <w:bCs/>
          <w:color w:val="auto"/>
          <w:sz w:val="24"/>
          <w:highlight w:val="none"/>
        </w:rPr>
      </w:pPr>
      <w:r>
        <w:rPr>
          <w:rFonts w:hint="eastAsia" w:ascii="宋体" w:hAnsi="宋体" w:cs="宋体"/>
          <w:bCs/>
          <w:color w:val="auto"/>
          <w:sz w:val="24"/>
          <w:highlight w:val="none"/>
        </w:rPr>
        <w:t>本协议书与下列文件一起构成合同文件：</w:t>
      </w:r>
    </w:p>
    <w:p w14:paraId="6126EFF4">
      <w:pPr>
        <w:spacing w:line="360" w:lineRule="auto"/>
        <w:ind w:firstLine="471"/>
        <w:rPr>
          <w:rFonts w:ascii="宋体" w:hAnsi="宋体" w:cs="宋体"/>
          <w:bCs/>
          <w:color w:val="auto"/>
          <w:sz w:val="24"/>
          <w:highlight w:val="none"/>
        </w:rPr>
      </w:pPr>
      <w:r>
        <w:rPr>
          <w:rFonts w:hint="eastAsia" w:ascii="宋体" w:hAnsi="宋体" w:cs="宋体"/>
          <w:bCs/>
          <w:color w:val="auto"/>
          <w:sz w:val="24"/>
          <w:highlight w:val="none"/>
        </w:rPr>
        <w:t>（1）中标（成交）通知书；</w:t>
      </w:r>
    </w:p>
    <w:p w14:paraId="204D4D8C">
      <w:pPr>
        <w:spacing w:line="360" w:lineRule="auto"/>
        <w:ind w:firstLine="471"/>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）投标承诺/服务承诺</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w:t>
      </w:r>
    </w:p>
    <w:p w14:paraId="04027A45">
      <w:pPr>
        <w:spacing w:line="360" w:lineRule="auto"/>
        <w:ind w:firstLine="471"/>
        <w:rPr>
          <w:rFonts w:hint="default" w:ascii="宋体" w:hAnsi="宋体" w:cs="宋体"/>
          <w:bCs/>
          <w:color w:val="auto"/>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磋商文件；</w:t>
      </w:r>
    </w:p>
    <w:p w14:paraId="7BD25A5A">
      <w:pPr>
        <w:spacing w:line="360" w:lineRule="auto"/>
        <w:ind w:firstLine="471"/>
        <w:rPr>
          <w:rFonts w:hint="eastAsia" w:ascii="宋体" w:hAnsi="宋体" w:cs="宋体"/>
          <w:bCs/>
          <w:color w:val="auto"/>
          <w:sz w:val="24"/>
          <w:highlight w:val="none"/>
        </w:rPr>
      </w:pPr>
      <w:r>
        <w:rPr>
          <w:rFonts w:hint="eastAsia" w:ascii="宋体" w:hAnsi="宋体" w:cs="宋体"/>
          <w:bCs/>
          <w:color w:val="auto"/>
          <w:sz w:val="24"/>
          <w:highlight w:val="none"/>
        </w:rPr>
        <w:t>（4）其他合同文件。</w:t>
      </w:r>
    </w:p>
    <w:p w14:paraId="065C8026">
      <w:pPr>
        <w:spacing w:line="360" w:lineRule="auto"/>
        <w:ind w:firstLine="471"/>
        <w:rPr>
          <w:rFonts w:ascii="宋体" w:hAnsi="宋体" w:cs="宋体"/>
          <w:bCs/>
          <w:color w:val="auto"/>
          <w:sz w:val="24"/>
          <w:highlight w:val="none"/>
        </w:rPr>
      </w:pPr>
      <w:r>
        <w:rPr>
          <w:rFonts w:hint="eastAsia" w:ascii="宋体" w:hAnsi="宋体" w:cs="宋体"/>
          <w:bCs/>
          <w:color w:val="auto"/>
          <w:sz w:val="24"/>
          <w:highlight w:val="none"/>
        </w:rPr>
        <w:t>（5）响应文件及评标过程中形成的文字资料、澄清资料均作为本合同的组成部分，具有同等效力。</w:t>
      </w:r>
    </w:p>
    <w:p w14:paraId="1EB952FE">
      <w:pPr>
        <w:spacing w:line="360" w:lineRule="auto"/>
        <w:ind w:firstLine="471"/>
        <w:rPr>
          <w:rFonts w:ascii="宋体" w:hAnsi="宋体" w:cs="宋体"/>
          <w:bCs/>
          <w:color w:val="auto"/>
          <w:sz w:val="24"/>
          <w:highlight w:val="none"/>
        </w:rPr>
      </w:pPr>
      <w:r>
        <w:rPr>
          <w:rFonts w:hint="eastAsia" w:ascii="宋体" w:hAnsi="宋体" w:cs="宋体"/>
          <w:bCs/>
          <w:color w:val="auto"/>
          <w:sz w:val="24"/>
          <w:highlight w:val="none"/>
        </w:rPr>
        <w:t>上述各项合同文件包括合同当事人就该项合同文件所作出的补充和修改，属于同一类内容的文件，应以最新签署的为准。</w:t>
      </w:r>
    </w:p>
    <w:p w14:paraId="5F211139">
      <w:pPr>
        <w:spacing w:line="360" w:lineRule="auto"/>
        <w:ind w:firstLine="471"/>
        <w:rPr>
          <w:rFonts w:ascii="宋体" w:hAnsi="宋体" w:cs="宋体"/>
          <w:color w:val="auto"/>
          <w:sz w:val="24"/>
          <w:highlight w:val="none"/>
        </w:rPr>
      </w:pPr>
      <w:r>
        <w:rPr>
          <w:rFonts w:hint="eastAsia" w:ascii="宋体" w:hAnsi="宋体" w:cs="宋体"/>
          <w:b/>
          <w:color w:val="auto"/>
          <w:sz w:val="24"/>
          <w:highlight w:val="none"/>
        </w:rPr>
        <w:t>四、人员要求</w:t>
      </w:r>
    </w:p>
    <w:p w14:paraId="09D1B2D3">
      <w:pPr>
        <w:spacing w:line="360" w:lineRule="auto"/>
        <w:ind w:firstLine="471"/>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项目负责人</w:t>
      </w:r>
      <w:r>
        <w:rPr>
          <w:rFonts w:hint="eastAsia" w:ascii="宋体" w:hAnsi="宋体" w:cs="宋体"/>
          <w:color w:val="auto"/>
          <w:sz w:val="24"/>
          <w:highlight w:val="none"/>
        </w:rPr>
        <w:t>(即主办律师)</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投入本项目</w:t>
      </w:r>
      <w:r>
        <w:rPr>
          <w:rFonts w:hint="eastAsia" w:ascii="宋体" w:hAnsi="宋体" w:cs="宋体"/>
          <w:color w:val="auto"/>
          <w:sz w:val="24"/>
          <w:szCs w:val="24"/>
          <w:highlight w:val="none"/>
          <w:lang w:val="en-US" w:eastAsia="zh-CN"/>
        </w:rPr>
        <w:t>其他</w:t>
      </w:r>
      <w:r>
        <w:rPr>
          <w:rFonts w:hint="eastAsia" w:ascii="宋体" w:hAnsi="宋体" w:cs="宋体"/>
          <w:color w:val="auto"/>
          <w:sz w:val="24"/>
          <w:szCs w:val="24"/>
          <w:highlight w:val="none"/>
        </w:rPr>
        <w:t>人员见本合同协议书附件</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p>
    <w:p w14:paraId="54187479">
      <w:pPr>
        <w:spacing w:line="360" w:lineRule="auto"/>
        <w:ind w:firstLine="480"/>
        <w:rPr>
          <w:rFonts w:ascii="宋体" w:hAnsi="宋体" w:cs="宋体"/>
          <w:b/>
          <w:color w:val="auto"/>
          <w:sz w:val="24"/>
          <w:highlight w:val="none"/>
        </w:rPr>
      </w:pPr>
      <w:r>
        <w:rPr>
          <w:rFonts w:hint="eastAsia" w:ascii="宋体" w:hAnsi="宋体" w:cs="宋体"/>
          <w:b/>
          <w:color w:val="auto"/>
          <w:sz w:val="24"/>
          <w:highlight w:val="none"/>
        </w:rPr>
        <w:t>五、合同服务期</w:t>
      </w:r>
    </w:p>
    <w:p w14:paraId="01BA44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首年服务期为</w:t>
      </w:r>
      <w:r>
        <w:rPr>
          <w:rFonts w:hint="eastAsia" w:ascii="宋体" w:hAnsi="宋体" w:cs="宋体"/>
          <w:color w:val="auto"/>
          <w:sz w:val="24"/>
          <w:highlight w:val="none"/>
        </w:rPr>
        <w:t>2026年1月1日-2026年12月31日</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有权对</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rPr>
        <w:t>履职期间的情况综合考核并决定是否续签合同，</w:t>
      </w:r>
      <w:r>
        <w:rPr>
          <w:rFonts w:hint="eastAsia" w:ascii="宋体" w:hAnsi="宋体" w:cs="宋体"/>
          <w:color w:val="auto"/>
          <w:sz w:val="24"/>
          <w:highlight w:val="none"/>
        </w:rPr>
        <w:t>评价为优、良的为考核合格，可续签下一年度合同；评价为中、差的为考核不合格，不再续签下一年度合同；</w:t>
      </w:r>
      <w:r>
        <w:rPr>
          <w:rFonts w:hint="eastAsia" w:ascii="宋体" w:hAnsi="宋体" w:cs="宋体"/>
          <w:color w:val="auto"/>
          <w:sz w:val="24"/>
          <w:highlight w:val="none"/>
          <w:lang w:val="zh-CN"/>
        </w:rPr>
        <w:t>续签合同服务期为</w:t>
      </w:r>
      <w:r>
        <w:rPr>
          <w:rFonts w:hint="eastAsia" w:ascii="宋体" w:hAnsi="宋体" w:cs="宋体"/>
          <w:color w:val="auto"/>
          <w:sz w:val="24"/>
          <w:highlight w:val="none"/>
        </w:rPr>
        <w:t>12个月,最多可续签两次。</w:t>
      </w:r>
    </w:p>
    <w:p w14:paraId="54B00EA0">
      <w:pPr>
        <w:pStyle w:val="58"/>
        <w:spacing w:before="0"/>
        <w:ind w:firstLine="472"/>
        <w:rPr>
          <w:rFonts w:ascii="宋体" w:hAnsi="宋体" w:cs="宋体"/>
          <w:b/>
          <w:color w:val="auto"/>
          <w:szCs w:val="24"/>
          <w:highlight w:val="none"/>
        </w:rPr>
      </w:pPr>
      <w:r>
        <w:rPr>
          <w:rFonts w:hint="eastAsia" w:ascii="宋体" w:hAnsi="宋体" w:cs="宋体"/>
          <w:b/>
          <w:color w:val="auto"/>
          <w:szCs w:val="24"/>
          <w:highlight w:val="none"/>
        </w:rPr>
        <w:t>六、合同价款及付款方式</w:t>
      </w:r>
    </w:p>
    <w:p w14:paraId="491D7A5A">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rPr>
        <w:t>1、本项目</w:t>
      </w:r>
      <w:r>
        <w:rPr>
          <w:rFonts w:hint="eastAsia" w:ascii="宋体" w:hAnsi="宋体" w:cs="宋体"/>
          <w:color w:val="auto"/>
          <w:sz w:val="24"/>
          <w:highlight w:val="none"/>
          <w:lang w:val="en-US" w:eastAsia="zh-CN"/>
        </w:rPr>
        <w:t>为总价合同，签约合同价为</w:t>
      </w:r>
      <w:r>
        <w:rPr>
          <w:rFonts w:hint="eastAsia" w:ascii="宋体" w:hAnsi="宋体" w:cs="宋体"/>
          <w:color w:val="auto"/>
          <w:sz w:val="24"/>
          <w:highlight w:val="none"/>
        </w:rPr>
        <w:t>人民币</w:t>
      </w:r>
      <w:r>
        <w:rPr>
          <w:rFonts w:hint="eastAsia" w:ascii="宋体" w:hAnsi="宋体" w:cs="宋体"/>
          <w:color w:val="auto"/>
          <w:sz w:val="24"/>
          <w:highlight w:val="none"/>
          <w:u w:val="single"/>
          <w:lang w:val="en-US" w:eastAsia="zh-CN"/>
        </w:rPr>
        <w:t>壹拾伍万元/年</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150000元/年</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466E7718">
      <w:pPr>
        <w:autoSpaceDE w:val="0"/>
        <w:autoSpaceDN w:val="0"/>
        <w:adjustRightInd w:val="0"/>
        <w:snapToGrid w:val="0"/>
        <w:spacing w:line="360" w:lineRule="auto"/>
        <w:ind w:firstLine="480" w:firstLineChars="200"/>
        <w:contextualSpacing/>
        <w:jc w:val="left"/>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合同价</w:t>
      </w:r>
      <w:r>
        <w:rPr>
          <w:rFonts w:hint="eastAsia" w:ascii="宋体" w:hAnsi="宋体" w:cs="宋体"/>
          <w:color w:val="auto"/>
          <w:sz w:val="24"/>
          <w:highlight w:val="none"/>
          <w:lang w:val="zh-CN"/>
        </w:rPr>
        <w:t>包括完成本项目服务工作所需要的人员费用、交通工具及使用费、设备、通讯及相关费用、诉讼（或仲裁、执行等）代理等事务的一切服务收费、南通市（含所辖县区）以内办案产生的交通、住宿、餐饮等费用以及公司取费、法定税金、利润等与履行合同有关的一切费用。</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rPr>
        <w:t>提供法律服务过程中应当由</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支付的诉讼费、仲裁费、执行费、保全费、公证费、鉴定费、查档费、翻译费、专家论证费以及异地办案差旅费等办案费用，由</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承担。</w:t>
      </w:r>
    </w:p>
    <w:p w14:paraId="74F2024D">
      <w:pPr>
        <w:autoSpaceDE w:val="0"/>
        <w:autoSpaceDN w:val="0"/>
        <w:adjustRightInd w:val="0"/>
        <w:snapToGrid w:val="0"/>
        <w:spacing w:line="360" w:lineRule="auto"/>
        <w:ind w:firstLine="480" w:firstLineChars="200"/>
        <w:contextualSpacing/>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注：</w:t>
      </w:r>
      <w:r>
        <w:rPr>
          <w:rFonts w:hint="eastAsia" w:ascii="宋体" w:hAnsi="宋体" w:cs="宋体"/>
          <w:color w:val="auto"/>
          <w:sz w:val="24"/>
          <w:highlight w:val="none"/>
          <w:lang w:val="zh-CN"/>
        </w:rPr>
        <w:t>因服务需要并经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同意确需离开南通市范围的，异地办案差旅费按</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工作人员因公出差规定执行，</w:t>
      </w:r>
      <w:r>
        <w:rPr>
          <w:rFonts w:hint="eastAsia" w:ascii="宋体" w:hAnsi="宋体" w:cs="宋体"/>
          <w:color w:val="auto"/>
          <w:sz w:val="24"/>
          <w:highlight w:val="none"/>
          <w:lang w:val="en-US" w:eastAsia="zh-CN"/>
        </w:rPr>
        <w:t>按实际发生量结算。</w:t>
      </w:r>
    </w:p>
    <w:p w14:paraId="0BF2B35A">
      <w:pPr>
        <w:spacing w:line="360" w:lineRule="auto"/>
        <w:ind w:firstLine="471"/>
        <w:rPr>
          <w:rFonts w:ascii="宋体" w:hAnsi="宋体" w:cs="宋体"/>
          <w:color w:val="auto"/>
          <w:sz w:val="24"/>
          <w:highlight w:val="none"/>
        </w:rPr>
      </w:pPr>
      <w:r>
        <w:rPr>
          <w:rFonts w:hint="eastAsia" w:ascii="宋体" w:hAnsi="宋体" w:cs="宋体"/>
          <w:color w:val="auto"/>
          <w:sz w:val="24"/>
          <w:highlight w:val="none"/>
        </w:rPr>
        <w:t>2、付款方式：</w:t>
      </w:r>
    </w:p>
    <w:p w14:paraId="3545CB8B">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val="zh-CN"/>
        </w:rPr>
        <w:t>本项目为总价合同，合同签订之日起15个工作日内支付签约合同价的</w:t>
      </w:r>
      <w:r>
        <w:rPr>
          <w:rFonts w:hint="eastAsia" w:ascii="宋体" w:hAnsi="宋体" w:cs="宋体"/>
          <w:color w:val="auto"/>
          <w:spacing w:val="7"/>
          <w:kern w:val="0"/>
          <w:sz w:val="24"/>
          <w:highlight w:val="none"/>
        </w:rPr>
        <w:t>30</w:t>
      </w:r>
      <w:r>
        <w:rPr>
          <w:rFonts w:hint="eastAsia" w:ascii="宋体" w:hAnsi="宋体" w:cs="宋体"/>
          <w:color w:val="auto"/>
          <w:spacing w:val="7"/>
          <w:kern w:val="0"/>
          <w:sz w:val="24"/>
          <w:highlight w:val="none"/>
          <w:lang w:val="zh-CN"/>
        </w:rPr>
        <w:t>%，年度</w:t>
      </w:r>
      <w:r>
        <w:rPr>
          <w:rFonts w:hint="eastAsia" w:ascii="宋体" w:hAnsi="宋体" w:cs="宋体"/>
          <w:color w:val="auto"/>
          <w:spacing w:val="7"/>
          <w:kern w:val="0"/>
          <w:sz w:val="24"/>
          <w:highlight w:val="none"/>
        </w:rPr>
        <w:t>服务期满后一次性付清余款。</w:t>
      </w:r>
    </w:p>
    <w:p w14:paraId="02E2BF7A">
      <w:pPr>
        <w:keepNext w:val="0"/>
        <w:keepLines w:val="0"/>
        <w:pageBreakBefore w:val="0"/>
        <w:topLinePunct w:val="0"/>
        <w:bidi w:val="0"/>
        <w:adjustRightInd w:val="0"/>
        <w:snapToGrid w:val="0"/>
        <w:spacing w:line="360" w:lineRule="auto"/>
        <w:ind w:firstLine="508" w:firstLineChars="200"/>
        <w:contextualSpacing/>
        <w:textAlignment w:val="auto"/>
        <w:rPr>
          <w:rFonts w:hint="default" w:ascii="宋体" w:hAnsi="宋体" w:cs="宋体"/>
          <w:color w:val="auto"/>
          <w:spacing w:val="7"/>
          <w:kern w:val="0"/>
          <w:sz w:val="24"/>
          <w:highlight w:val="none"/>
          <w:lang w:val="en-US" w:eastAsia="zh-CN"/>
        </w:rPr>
      </w:pPr>
      <w:r>
        <w:rPr>
          <w:rFonts w:hint="eastAsia" w:ascii="宋体" w:hAnsi="宋体" w:cs="宋体"/>
          <w:color w:val="auto"/>
          <w:spacing w:val="7"/>
          <w:kern w:val="0"/>
          <w:sz w:val="24"/>
          <w:highlight w:val="none"/>
        </w:rPr>
        <w:t>注：</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1</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本项目签约合同价为法律服务费，法律服务为固定价格，差旅费按实际发生量结算。</w:t>
      </w:r>
    </w:p>
    <w:p w14:paraId="6F8ABC40">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2</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rPr>
        <w:t>每次付款须按合同扣减违约金和赔偿款；</w:t>
      </w:r>
    </w:p>
    <w:p w14:paraId="2FF18FEC">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3</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rPr>
        <w:t>付款前供应商须提供等额合规发票及相关申请资料，否则采购人可以拒付；</w:t>
      </w:r>
    </w:p>
    <w:p w14:paraId="3E60E59A">
      <w:pPr>
        <w:snapToGrid w:val="0"/>
        <w:spacing w:line="360" w:lineRule="auto"/>
        <w:ind w:firstLine="508"/>
        <w:contextualSpacing/>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4</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rPr>
        <w:t>所有付款均不计利息。</w:t>
      </w:r>
    </w:p>
    <w:p w14:paraId="5A8ECE63">
      <w:pPr>
        <w:spacing w:line="360" w:lineRule="auto"/>
        <w:ind w:firstLine="472"/>
        <w:rPr>
          <w:rFonts w:ascii="宋体" w:hAnsi="宋体" w:cs="宋体"/>
          <w:color w:val="auto"/>
          <w:sz w:val="24"/>
          <w:highlight w:val="none"/>
        </w:rPr>
      </w:pPr>
      <w:r>
        <w:rPr>
          <w:rFonts w:hint="eastAsia" w:ascii="宋体" w:hAnsi="宋体" w:cs="宋体"/>
          <w:b/>
          <w:color w:val="auto"/>
          <w:sz w:val="24"/>
          <w:highlight w:val="none"/>
        </w:rPr>
        <w:t>七、履约保证金</w:t>
      </w:r>
    </w:p>
    <w:p w14:paraId="25BE2BB8">
      <w:pPr>
        <w:spacing w:line="360" w:lineRule="auto"/>
        <w:ind w:firstLine="471"/>
        <w:rPr>
          <w:rFonts w:ascii="宋体" w:hAnsi="宋体" w:cs="宋体"/>
          <w:color w:val="auto"/>
          <w:sz w:val="24"/>
          <w:highlight w:val="none"/>
        </w:rPr>
      </w:pPr>
      <w:r>
        <w:rPr>
          <w:rFonts w:hint="eastAsia" w:ascii="宋体" w:hAnsi="宋体" w:cs="宋体"/>
          <w:color w:val="auto"/>
          <w:sz w:val="24"/>
          <w:highlight w:val="none"/>
        </w:rPr>
        <w:t>本项目免收履约保证金。</w:t>
      </w:r>
    </w:p>
    <w:p w14:paraId="66B7917B">
      <w:pPr>
        <w:widowControl/>
        <w:numPr>
          <w:ilvl w:val="0"/>
          <w:numId w:val="2"/>
        </w:numPr>
        <w:spacing w:line="360" w:lineRule="auto"/>
        <w:ind w:firstLine="474" w:firstLineChars="0"/>
        <w:jc w:val="left"/>
        <w:rPr>
          <w:rFonts w:hint="eastAsia" w:ascii="宋体" w:hAnsi="宋体" w:cs="宋体"/>
          <w:b/>
          <w:color w:val="auto"/>
          <w:spacing w:val="-2"/>
          <w:sz w:val="24"/>
          <w:highlight w:val="none"/>
          <w:lang w:val="en-US" w:eastAsia="zh-CN"/>
        </w:rPr>
      </w:pPr>
      <w:r>
        <w:rPr>
          <w:rFonts w:hint="eastAsia" w:ascii="宋体" w:hAnsi="宋体" w:cs="宋体"/>
          <w:b/>
          <w:color w:val="auto"/>
          <w:spacing w:val="-2"/>
          <w:kern w:val="2"/>
          <w:sz w:val="24"/>
          <w:szCs w:val="24"/>
          <w:highlight w:val="none"/>
          <w:lang w:val="en-US" w:eastAsia="zh-CN" w:bidi="ar-SA"/>
        </w:rPr>
        <w:t>甲、</w:t>
      </w:r>
      <w:r>
        <w:rPr>
          <w:rFonts w:hint="eastAsia" w:ascii="宋体" w:hAnsi="宋体" w:cs="宋体"/>
          <w:b/>
          <w:color w:val="auto"/>
          <w:spacing w:val="-2"/>
          <w:sz w:val="24"/>
          <w:highlight w:val="none"/>
          <w:lang w:val="en-US" w:eastAsia="zh-CN"/>
        </w:rPr>
        <w:t>乙双方的义务</w:t>
      </w:r>
    </w:p>
    <w:p w14:paraId="1EACC981">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lang w:val="en-US" w:eastAsia="zh-CN"/>
        </w:rPr>
        <w:t>（一）甲方</w:t>
      </w:r>
      <w:r>
        <w:rPr>
          <w:rFonts w:hint="eastAsia" w:ascii="宋体" w:hAnsi="宋体" w:cs="宋体"/>
          <w:color w:val="auto"/>
          <w:sz w:val="24"/>
          <w:highlight w:val="none"/>
        </w:rPr>
        <w:t>的义务</w:t>
      </w:r>
    </w:p>
    <w:p w14:paraId="4AEFDA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应当全面、客观和及时地向乙方提供与法律事务有关的各种情况、文件、资料，并对所提供的资料及相关证据的真实性、合法性负责；</w:t>
      </w:r>
    </w:p>
    <w:p w14:paraId="32CA0F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应当为乙方律师办理法律事务提出明确、合理的要求；</w:t>
      </w:r>
    </w:p>
    <w:p w14:paraId="52E031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应当按时、足额向乙方支付法律服务费和工作费用；</w:t>
      </w:r>
    </w:p>
    <w:p w14:paraId="7C87D394">
      <w:pPr>
        <w:spacing w:line="360" w:lineRule="auto"/>
        <w:ind w:firstLine="471"/>
        <w:rPr>
          <w:rFonts w:hint="eastAsia" w:ascii="宋体" w:hAnsi="宋体" w:cs="宋体"/>
          <w:color w:val="auto"/>
          <w:sz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指定</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为联系人，负责转达</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的指示和要求，提供文件和资料等，</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更换联系人应当通知法律顾问；</w:t>
      </w:r>
    </w:p>
    <w:p w14:paraId="7E075793">
      <w:pPr>
        <w:spacing w:line="360" w:lineRule="auto"/>
        <w:ind w:firstLine="471"/>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乙方的义务</w:t>
      </w:r>
    </w:p>
    <w:p w14:paraId="6F02CD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、乙方律师应当勤勉、尽责地完成第</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条第</w:t>
      </w:r>
      <w:r>
        <w:rPr>
          <w:rFonts w:hint="eastAsia" w:ascii="宋体" w:hAnsi="宋体" w:cs="宋体"/>
          <w:color w:val="auto"/>
          <w:sz w:val="24"/>
          <w:szCs w:val="24"/>
          <w:highlight w:val="none"/>
          <w:lang w:val="en-US" w:eastAsia="zh-CN"/>
        </w:rPr>
        <w:t>3点</w:t>
      </w:r>
      <w:r>
        <w:rPr>
          <w:rFonts w:hint="eastAsia" w:ascii="宋体" w:hAnsi="宋体" w:eastAsia="宋体" w:cs="宋体"/>
          <w:color w:val="auto"/>
          <w:sz w:val="24"/>
          <w:szCs w:val="24"/>
          <w:highlight w:val="none"/>
        </w:rPr>
        <w:t>所列法律事务工作；</w:t>
      </w:r>
    </w:p>
    <w:p w14:paraId="2A61E0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、乙方律师在涉及</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的对抗性案件或者交易活动中，未经</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同意，不得担任与</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具有法律上利益冲突的另一方的法律顾问或者代理人；</w:t>
      </w:r>
    </w:p>
    <w:p w14:paraId="4232A6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、乙方律师对其获知的</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商业秘密负有保密责任，非由法律规定或者</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同意，不得向任何第三方披露；</w:t>
      </w:r>
    </w:p>
    <w:p w14:paraId="388BDC8C">
      <w:pPr>
        <w:widowControl/>
        <w:spacing w:line="360" w:lineRule="auto"/>
        <w:ind w:firstLine="474"/>
        <w:jc w:val="left"/>
        <w:rPr>
          <w:rFonts w:ascii="宋体" w:hAnsi="宋体" w:cs="宋体"/>
          <w:b/>
          <w:color w:val="auto"/>
          <w:spacing w:val="-2"/>
          <w:sz w:val="24"/>
          <w:highlight w:val="none"/>
        </w:rPr>
      </w:pPr>
      <w:r>
        <w:rPr>
          <w:rFonts w:hint="eastAsia" w:ascii="宋体" w:hAnsi="宋体" w:cs="宋体"/>
          <w:b/>
          <w:color w:val="auto"/>
          <w:spacing w:val="-2"/>
          <w:sz w:val="24"/>
          <w:highlight w:val="none"/>
        </w:rPr>
        <w:t>九、验收标准与要求</w:t>
      </w:r>
    </w:p>
    <w:p w14:paraId="3220E0B9">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1、甲方</w:t>
      </w:r>
      <w:r>
        <w:rPr>
          <w:rFonts w:hint="eastAsia" w:ascii="宋体" w:eastAsia="宋体" w:cs="宋体"/>
          <w:color w:val="auto"/>
          <w:kern w:val="0"/>
          <w:sz w:val="24"/>
          <w:szCs w:val="24"/>
          <w:highlight w:val="none"/>
        </w:rPr>
        <w:t>按合同约定积极配合</w:t>
      </w:r>
      <w:r>
        <w:rPr>
          <w:rFonts w:hint="eastAsia" w:ascii="宋体" w:eastAsia="宋体" w:cs="宋体"/>
          <w:color w:val="auto"/>
          <w:kern w:val="0"/>
          <w:sz w:val="24"/>
          <w:szCs w:val="24"/>
          <w:highlight w:val="none"/>
          <w:lang w:val="en-US" w:eastAsia="zh-CN"/>
        </w:rPr>
        <w:t>乙方</w:t>
      </w:r>
      <w:r>
        <w:rPr>
          <w:rFonts w:hint="eastAsia" w:ascii="宋体" w:eastAsia="宋体" w:cs="宋体"/>
          <w:color w:val="auto"/>
          <w:kern w:val="0"/>
          <w:sz w:val="24"/>
          <w:szCs w:val="24"/>
          <w:highlight w:val="none"/>
        </w:rPr>
        <w:t>履约，对照磋商文件及时组织项目验收，</w:t>
      </w:r>
      <w:r>
        <w:rPr>
          <w:rFonts w:hint="eastAsia" w:ascii="宋体" w:eastAsia="宋体" w:cs="宋体"/>
          <w:color w:val="auto"/>
          <w:kern w:val="0"/>
          <w:sz w:val="24"/>
          <w:szCs w:val="24"/>
          <w:highlight w:val="none"/>
          <w:lang w:val="en-US" w:eastAsia="zh-CN"/>
        </w:rPr>
        <w:t>乙方</w:t>
      </w:r>
      <w:r>
        <w:rPr>
          <w:rFonts w:hint="eastAsia" w:ascii="宋体" w:eastAsia="宋体" w:cs="宋体"/>
          <w:color w:val="auto"/>
          <w:kern w:val="0"/>
          <w:sz w:val="24"/>
          <w:szCs w:val="24"/>
          <w:highlight w:val="none"/>
        </w:rPr>
        <w:t>满足所有</w:t>
      </w:r>
      <w:r>
        <w:rPr>
          <w:rFonts w:hint="eastAsia" w:ascii="宋体" w:eastAsia="宋体" w:cs="宋体"/>
          <w:color w:val="auto"/>
          <w:kern w:val="0"/>
          <w:sz w:val="24"/>
          <w:szCs w:val="24"/>
          <w:highlight w:val="none"/>
          <w:lang w:val="en-US" w:eastAsia="zh-CN"/>
        </w:rPr>
        <w:t>服务</w:t>
      </w:r>
      <w:r>
        <w:rPr>
          <w:rFonts w:hint="eastAsia" w:ascii="宋体" w:eastAsia="宋体" w:cs="宋体"/>
          <w:color w:val="auto"/>
          <w:kern w:val="0"/>
          <w:sz w:val="24"/>
          <w:szCs w:val="24"/>
          <w:highlight w:val="none"/>
        </w:rPr>
        <w:t>要求视为验收合格，履约验收合格单将作为支付款项的依据。</w:t>
      </w:r>
    </w:p>
    <w:p w14:paraId="63A96E6C">
      <w:pPr>
        <w:pStyle w:val="30"/>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2、验收标准</w:t>
      </w:r>
    </w:p>
    <w:p w14:paraId="22AD2BDF">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验收实施主体：法务科</w:t>
      </w:r>
    </w:p>
    <w:p w14:paraId="5D1F907A">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验收时间：每一合同年度12月底</w:t>
      </w:r>
    </w:p>
    <w:p w14:paraId="59DCFAF8">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验收方式：由法务科牵头组织成立验收小组，采用书面或座谈形式对法律服务单位进行评价。</w:t>
      </w:r>
    </w:p>
    <w:p w14:paraId="31235B56">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验收内容：对法律服务单位提供的法律咨询服务及法律咨询服务进行评价。</w:t>
      </w:r>
    </w:p>
    <w:p w14:paraId="64A07E96">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eastAsia="宋体" w:cs="宋体"/>
          <w:color w:val="auto"/>
          <w:sz w:val="24"/>
          <w:szCs w:val="24"/>
          <w:highlight w:val="none"/>
        </w:rPr>
        <w:t>验收标准：根据法律服务单位日常法律服务的工作态度、响应速度、业务能力、工作质量进行综合评价。评价为优、良的为验收合格；评价为中、差的为验收不合格。</w:t>
      </w:r>
    </w:p>
    <w:p w14:paraId="1DA24830">
      <w:pPr>
        <w:numPr>
          <w:ilvl w:val="0"/>
          <w:numId w:val="0"/>
        </w:numPr>
        <w:spacing w:line="360" w:lineRule="auto"/>
        <w:ind w:firstLine="471" w:firstLine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十、合同生效和终止</w:t>
      </w:r>
    </w:p>
    <w:p w14:paraId="4C52C410">
      <w:pPr>
        <w:spacing w:line="360" w:lineRule="auto"/>
        <w:ind w:firstLine="471"/>
        <w:rPr>
          <w:rFonts w:ascii="宋体" w:hAnsi="宋体" w:cs="宋体"/>
          <w:color w:val="auto"/>
          <w:sz w:val="24"/>
          <w:highlight w:val="none"/>
        </w:rPr>
      </w:pPr>
      <w:r>
        <w:rPr>
          <w:rFonts w:hint="eastAsia" w:ascii="宋体" w:hAnsi="宋体" w:cs="宋体"/>
          <w:color w:val="auto"/>
          <w:sz w:val="24"/>
          <w:highlight w:val="none"/>
        </w:rPr>
        <w:t>本合同经双方签字</w:t>
      </w:r>
      <w:r>
        <w:rPr>
          <w:rFonts w:hint="eastAsia" w:ascii="宋体" w:hAnsi="宋体" w:cs="宋体"/>
          <w:color w:val="auto"/>
          <w:sz w:val="24"/>
          <w:highlight w:val="none"/>
          <w:lang w:val="en-US" w:eastAsia="zh-CN"/>
        </w:rPr>
        <w:t>并加</w:t>
      </w:r>
      <w:r>
        <w:rPr>
          <w:rFonts w:hint="eastAsia" w:ascii="宋体" w:hAnsi="宋体" w:cs="宋体"/>
          <w:color w:val="auto"/>
          <w:sz w:val="24"/>
          <w:highlight w:val="none"/>
        </w:rPr>
        <w:t>盖</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章后生效，至双方按照合同的规定履行完各自的义务和责任后</w:t>
      </w:r>
      <w:r>
        <w:rPr>
          <w:rFonts w:hint="eastAsia" w:ascii="宋体" w:hAnsi="宋体" w:cs="宋体"/>
          <w:color w:val="auto"/>
          <w:sz w:val="24"/>
          <w:highlight w:val="none"/>
          <w:lang w:val="en-US" w:eastAsia="zh-CN"/>
        </w:rPr>
        <w:t>终止</w:t>
      </w:r>
      <w:r>
        <w:rPr>
          <w:rFonts w:hint="eastAsia" w:ascii="宋体" w:hAnsi="宋体" w:cs="宋体"/>
          <w:color w:val="auto"/>
          <w:sz w:val="24"/>
          <w:highlight w:val="none"/>
        </w:rPr>
        <w:t>。</w:t>
      </w:r>
    </w:p>
    <w:p w14:paraId="1A57407C">
      <w:pPr>
        <w:numPr>
          <w:ilvl w:val="0"/>
          <w:numId w:val="0"/>
        </w:numPr>
        <w:spacing w:line="360" w:lineRule="auto"/>
        <w:ind w:firstLine="471" w:firstLineChars="0"/>
        <w:rPr>
          <w:rFonts w:hint="eastAsia" w:ascii="宋体" w:hAnsi="宋体" w:cs="宋体"/>
          <w:b/>
          <w:color w:val="auto"/>
          <w:sz w:val="24"/>
          <w:highlight w:val="none"/>
        </w:rPr>
      </w:pPr>
      <w:r>
        <w:rPr>
          <w:rFonts w:hint="eastAsia" w:ascii="宋体" w:hAnsi="宋体" w:eastAsia="宋体" w:cs="宋体"/>
          <w:b/>
          <w:color w:val="auto"/>
          <w:kern w:val="2"/>
          <w:sz w:val="24"/>
          <w:szCs w:val="24"/>
          <w:highlight w:val="none"/>
          <w:lang w:val="en-US" w:eastAsia="zh-CN" w:bidi="ar-SA"/>
        </w:rPr>
        <w:t>十</w:t>
      </w:r>
      <w:r>
        <w:rPr>
          <w:rFonts w:hint="eastAsia" w:ascii="宋体" w:hAnsi="宋体" w:cs="宋体"/>
          <w:b/>
          <w:color w:val="auto"/>
          <w:kern w:val="2"/>
          <w:sz w:val="24"/>
          <w:szCs w:val="24"/>
          <w:highlight w:val="none"/>
          <w:lang w:val="en-US" w:eastAsia="zh-CN" w:bidi="ar-SA"/>
        </w:rPr>
        <w:t>一</w:t>
      </w:r>
      <w:r>
        <w:rPr>
          <w:rFonts w:hint="eastAsia" w:ascii="宋体" w:hAnsi="宋体" w:eastAsia="宋体" w:cs="宋体"/>
          <w:b/>
          <w:color w:val="auto"/>
          <w:kern w:val="2"/>
          <w:sz w:val="24"/>
          <w:szCs w:val="24"/>
          <w:highlight w:val="none"/>
          <w:lang w:val="en-US" w:eastAsia="zh-CN" w:bidi="ar-SA"/>
        </w:rPr>
        <w:t>、</w:t>
      </w:r>
      <w:r>
        <w:rPr>
          <w:rFonts w:hint="eastAsia" w:ascii="宋体" w:hAnsi="宋体" w:cs="宋体"/>
          <w:b/>
          <w:color w:val="auto"/>
          <w:sz w:val="24"/>
          <w:highlight w:val="none"/>
        </w:rPr>
        <w:t>违约责任</w:t>
      </w:r>
    </w:p>
    <w:p w14:paraId="0B4A3B44">
      <w:pPr>
        <w:spacing w:line="360" w:lineRule="auto"/>
        <w:ind w:firstLine="471"/>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（一）乙方违约</w:t>
      </w:r>
    </w:p>
    <w:p w14:paraId="6A58CE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乙方无正当理由不提供法律服务或者违反</w:t>
      </w:r>
      <w:r>
        <w:rPr>
          <w:rFonts w:hint="eastAsia" w:ascii="宋体" w:hAnsi="宋体" w:cs="宋体"/>
          <w:color w:val="auto"/>
          <w:sz w:val="24"/>
          <w:szCs w:val="24"/>
          <w:highlight w:val="none"/>
          <w:lang w:val="en-US" w:eastAsia="zh-CN"/>
        </w:rPr>
        <w:t>法律及本合同规定的乙方</w:t>
      </w:r>
      <w:r>
        <w:rPr>
          <w:rFonts w:hint="eastAsia" w:ascii="宋体" w:hAnsi="宋体" w:eastAsia="宋体" w:cs="宋体"/>
          <w:color w:val="auto"/>
          <w:sz w:val="24"/>
          <w:szCs w:val="24"/>
          <w:highlight w:val="none"/>
        </w:rPr>
        <w:t>的义务，</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有权要求退还部分或者全部已付的法律顾问费。乙方律师因工作延误、失职、失误导致</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蒙受损失，乙方应当</w:t>
      </w:r>
      <w:r>
        <w:rPr>
          <w:rFonts w:hint="eastAsia" w:ascii="宋体" w:hAnsi="宋体" w:cs="宋体"/>
          <w:color w:val="auto"/>
          <w:sz w:val="24"/>
          <w:szCs w:val="24"/>
          <w:highlight w:val="none"/>
          <w:lang w:val="en-US" w:eastAsia="zh-CN"/>
        </w:rPr>
        <w:t>向甲方承担赔偿责任</w:t>
      </w:r>
      <w:r>
        <w:rPr>
          <w:rFonts w:hint="eastAsia" w:ascii="宋体" w:hAnsi="宋体" w:eastAsia="宋体" w:cs="宋体"/>
          <w:color w:val="auto"/>
          <w:sz w:val="24"/>
          <w:szCs w:val="24"/>
          <w:highlight w:val="none"/>
        </w:rPr>
        <w:t>。</w:t>
      </w:r>
    </w:p>
    <w:p w14:paraId="65B917BC">
      <w:pPr>
        <w:spacing w:line="360" w:lineRule="auto"/>
        <w:ind w:firstLine="47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（二）甲方违约</w:t>
      </w:r>
    </w:p>
    <w:p w14:paraId="6D98DF2F">
      <w:pPr>
        <w:spacing w:line="360" w:lineRule="auto"/>
        <w:ind w:firstLine="471"/>
        <w:rPr>
          <w:rFonts w:ascii="宋体" w:hAnsi="宋体" w:cs="宋体"/>
          <w:bCs/>
          <w:color w:val="auto"/>
          <w:sz w:val="24"/>
          <w:highlight w:val="none"/>
        </w:rPr>
      </w:pPr>
      <w:r>
        <w:rPr>
          <w:rFonts w:hint="eastAsia" w:ascii="宋体" w:hAnsi="宋体" w:cs="宋体"/>
          <w:color w:val="auto"/>
          <w:sz w:val="24"/>
          <w:highlight w:val="none"/>
          <w:lang w:val="en-US" w:eastAsia="zh-CN"/>
        </w:rPr>
        <w:t>甲方未按合同约定支付</w:t>
      </w:r>
      <w:r>
        <w:rPr>
          <w:rFonts w:hint="eastAsia" w:ascii="宋体" w:hAnsi="宋体" w:eastAsia="宋体" w:cs="宋体"/>
          <w:color w:val="auto"/>
          <w:kern w:val="0"/>
          <w:sz w:val="24"/>
          <w:szCs w:val="24"/>
          <w:highlight w:val="none"/>
        </w:rPr>
        <w:t>服务费用</w:t>
      </w:r>
      <w:r>
        <w:rPr>
          <w:rFonts w:hint="eastAsia" w:ascii="宋体" w:hAnsi="宋体" w:cs="宋体"/>
          <w:color w:val="auto"/>
          <w:sz w:val="24"/>
          <w:highlight w:val="none"/>
          <w:lang w:val="en-US" w:eastAsia="zh-CN"/>
        </w:rPr>
        <w:t>的，甲方按相当于中国人民银行发布的同期六个月以内（含六个月）短期贷款基准利率（不计复利）加手续费支付逾期付款违约金。</w:t>
      </w:r>
    </w:p>
    <w:p w14:paraId="3DD71962">
      <w:pPr>
        <w:spacing w:line="360" w:lineRule="auto"/>
        <w:ind w:firstLine="482"/>
        <w:rPr>
          <w:rFonts w:ascii="宋体" w:hAnsi="宋体" w:cs="宋体"/>
          <w:b/>
          <w:color w:val="auto"/>
          <w:sz w:val="24"/>
          <w:highlight w:val="none"/>
        </w:rPr>
      </w:pPr>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二</w:t>
      </w:r>
      <w:r>
        <w:rPr>
          <w:rFonts w:hint="eastAsia" w:ascii="宋体" w:hAnsi="宋体" w:cs="宋体"/>
          <w:b/>
          <w:color w:val="auto"/>
          <w:sz w:val="24"/>
          <w:highlight w:val="none"/>
        </w:rPr>
        <w:t>、不可抗力事件处理</w:t>
      </w:r>
    </w:p>
    <w:p w14:paraId="71A73D9B">
      <w:pPr>
        <w:tabs>
          <w:tab w:val="left" w:pos="360"/>
        </w:tabs>
        <w:spacing w:line="360" w:lineRule="auto"/>
        <w:ind w:firstLine="480"/>
        <w:rPr>
          <w:rFonts w:ascii="宋体" w:hAnsi="宋体" w:cs="宋体"/>
          <w:bCs/>
          <w:color w:val="auto"/>
          <w:sz w:val="24"/>
          <w:highlight w:val="none"/>
        </w:rPr>
      </w:pPr>
      <w:r>
        <w:rPr>
          <w:rFonts w:hint="eastAsia" w:ascii="宋体" w:hAnsi="宋体" w:cs="宋体"/>
          <w:bCs/>
          <w:color w:val="auto"/>
          <w:sz w:val="24"/>
          <w:highlight w:val="none"/>
        </w:rPr>
        <w:t>1、由于不可抗力因素（指火灾、地震、洪水、战争等）使乙方不能在合同规定的期限内完成服务时，乙方必须立即以书面形式通知甲方，并以书面形式向甲方提供有关政府机关所出具的不可抗力因素证明。</w:t>
      </w:r>
    </w:p>
    <w:p w14:paraId="1CAC4A7C">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p>
    <w:p w14:paraId="7B21595F">
      <w:pPr>
        <w:spacing w:line="360" w:lineRule="auto"/>
        <w:ind w:firstLine="471"/>
        <w:jc w:val="left"/>
        <w:rPr>
          <w:rFonts w:ascii="宋体" w:hAnsi="宋体" w:cs="宋体"/>
          <w:b/>
          <w:color w:val="auto"/>
          <w:sz w:val="24"/>
          <w:highlight w:val="none"/>
          <w:lang w:val="zh-CN"/>
        </w:rPr>
      </w:pPr>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三</w:t>
      </w:r>
      <w:r>
        <w:rPr>
          <w:rFonts w:hint="eastAsia" w:ascii="宋体" w:hAnsi="宋体" w:cs="宋体"/>
          <w:b/>
          <w:color w:val="auto"/>
          <w:sz w:val="24"/>
          <w:highlight w:val="none"/>
        </w:rPr>
        <w:t>、</w:t>
      </w:r>
      <w:r>
        <w:rPr>
          <w:rFonts w:hint="eastAsia" w:ascii="宋体" w:hAnsi="宋体" w:cs="宋体"/>
          <w:b/>
          <w:color w:val="auto"/>
          <w:sz w:val="24"/>
          <w:highlight w:val="none"/>
          <w:lang w:val="zh-CN"/>
        </w:rPr>
        <w:t>争议处理</w:t>
      </w:r>
    </w:p>
    <w:p w14:paraId="69080279">
      <w:pPr>
        <w:spacing w:line="360" w:lineRule="auto"/>
        <w:ind w:firstLine="471"/>
        <w:jc w:val="left"/>
        <w:rPr>
          <w:rFonts w:ascii="宋体" w:hAnsi="宋体" w:cs="宋体"/>
          <w:color w:val="auto"/>
          <w:sz w:val="24"/>
          <w:highlight w:val="none"/>
          <w:lang w:val="zh-CN"/>
        </w:rPr>
      </w:pPr>
      <w:r>
        <w:rPr>
          <w:rFonts w:hint="eastAsia" w:ascii="宋体" w:hAnsi="宋体" w:cs="宋体"/>
          <w:color w:val="auto"/>
          <w:sz w:val="24"/>
          <w:highlight w:val="none"/>
          <w:lang w:val="zh-CN"/>
        </w:rPr>
        <w:t xml:space="preserve">争议的最终解决方式：仲裁 </w:t>
      </w:r>
    </w:p>
    <w:p w14:paraId="167EECD1">
      <w:pPr>
        <w:spacing w:line="360" w:lineRule="auto"/>
        <w:ind w:firstLine="471"/>
        <w:jc w:val="left"/>
        <w:rPr>
          <w:rFonts w:ascii="宋体" w:hAnsi="宋体" w:cs="宋体"/>
          <w:b/>
          <w:color w:val="auto"/>
          <w:sz w:val="24"/>
          <w:highlight w:val="none"/>
        </w:rPr>
      </w:pPr>
      <w:r>
        <w:rPr>
          <w:rFonts w:hint="eastAsia" w:ascii="宋体" w:hAnsi="宋体" w:cs="宋体"/>
          <w:color w:val="auto"/>
          <w:sz w:val="24"/>
          <w:highlight w:val="none"/>
          <w:lang w:val="zh-CN"/>
        </w:rPr>
        <w:t>如采用仲裁，向南通仲裁委员会提起仲裁。</w:t>
      </w:r>
    </w:p>
    <w:p w14:paraId="6FBBD9C4">
      <w:pPr>
        <w:spacing w:line="360" w:lineRule="auto"/>
        <w:ind w:firstLine="471"/>
        <w:jc w:val="left"/>
        <w:rPr>
          <w:rFonts w:ascii="宋体" w:hAnsi="宋体" w:cs="宋体"/>
          <w:b/>
          <w:color w:val="auto"/>
          <w:sz w:val="24"/>
          <w:highlight w:val="none"/>
          <w:lang w:val="zh-CN"/>
        </w:rPr>
      </w:pPr>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w:t>
      </w:r>
      <w:r>
        <w:rPr>
          <w:rFonts w:hint="eastAsia" w:ascii="宋体" w:hAnsi="宋体" w:cs="宋体"/>
          <w:b/>
          <w:color w:val="auto"/>
          <w:sz w:val="24"/>
          <w:highlight w:val="none"/>
          <w:lang w:val="zh-CN"/>
        </w:rPr>
        <w:t>其他</w:t>
      </w:r>
    </w:p>
    <w:p w14:paraId="10FA0F87">
      <w:pPr>
        <w:spacing w:line="360" w:lineRule="auto"/>
        <w:ind w:firstLine="471"/>
        <w:jc w:val="left"/>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未经过甲方的书面同意，乙方不得转让其应履行的合同项下的义务，</w:t>
      </w:r>
      <w:r>
        <w:rPr>
          <w:rFonts w:hint="eastAsia" w:ascii="宋体" w:hAnsi="宋体" w:cs="宋体"/>
          <w:color w:val="auto"/>
          <w:sz w:val="24"/>
          <w:highlight w:val="none"/>
        </w:rPr>
        <w:t>或</w:t>
      </w:r>
      <w:r>
        <w:rPr>
          <w:rFonts w:hint="eastAsia" w:ascii="宋体" w:hAnsi="宋体" w:cs="宋体"/>
          <w:color w:val="auto"/>
          <w:sz w:val="24"/>
          <w:highlight w:val="none"/>
          <w:lang w:val="zh-CN"/>
        </w:rPr>
        <w:t>将部分合同项下的义务分包给其他单位完成。</w:t>
      </w:r>
    </w:p>
    <w:p w14:paraId="39468C8D">
      <w:pPr>
        <w:spacing w:line="360" w:lineRule="auto"/>
        <w:ind w:firstLine="471"/>
        <w:jc w:val="left"/>
        <w:rPr>
          <w:rFonts w:ascii="宋体" w:hAnsi="宋体" w:cs="宋体"/>
          <w:color w:val="auto"/>
          <w:sz w:val="24"/>
          <w:highlight w:val="none"/>
        </w:rPr>
      </w:pPr>
      <w:r>
        <w:rPr>
          <w:rFonts w:hint="eastAsia" w:ascii="宋体" w:hAnsi="宋体" w:cs="宋体"/>
          <w:color w:val="auto"/>
          <w:sz w:val="24"/>
          <w:highlight w:val="none"/>
        </w:rPr>
        <w:t>2、合同履行期内甲乙双方均不得随意变更或解除合同。合同若有未尽事宜，需经双方共同协商，订立补充协议，补充协议条款与本合同条款有冲突的，以补充协议条款为准，补充协议与本合同有同等法律效力。</w:t>
      </w:r>
    </w:p>
    <w:p w14:paraId="48160450">
      <w:pPr>
        <w:spacing w:line="360" w:lineRule="auto"/>
        <w:ind w:firstLine="471"/>
        <w:rPr>
          <w:rFonts w:ascii="宋体" w:hAnsi="宋体" w:cs="宋体"/>
          <w:color w:val="auto"/>
          <w:sz w:val="24"/>
          <w:highlight w:val="none"/>
        </w:rPr>
      </w:pPr>
      <w:r>
        <w:rPr>
          <w:rFonts w:hint="eastAsia" w:ascii="宋体" w:hAnsi="宋体" w:cs="宋体"/>
          <w:color w:val="auto"/>
          <w:sz w:val="24"/>
          <w:highlight w:val="none"/>
        </w:rPr>
        <w:t>3、本合同</w:t>
      </w:r>
      <w:r>
        <w:rPr>
          <w:rFonts w:hint="eastAsia" w:ascii="宋体" w:hAnsi="宋体" w:cs="宋体"/>
          <w:color w:val="auto"/>
          <w:sz w:val="24"/>
          <w:highlight w:val="none"/>
          <w:u w:val="single"/>
        </w:rPr>
        <w:t>一式陆份</w:t>
      </w:r>
      <w:r>
        <w:rPr>
          <w:rFonts w:hint="eastAsia" w:ascii="宋体" w:hAnsi="宋体" w:cs="宋体"/>
          <w:color w:val="auto"/>
          <w:sz w:val="24"/>
          <w:highlight w:val="none"/>
        </w:rPr>
        <w:t>，双方各执叁份，自签订之日起生效。</w:t>
      </w:r>
    </w:p>
    <w:p w14:paraId="663A6222">
      <w:pPr>
        <w:spacing w:line="360" w:lineRule="auto"/>
        <w:ind w:firstLine="471"/>
        <w:rPr>
          <w:rFonts w:ascii="宋体" w:hAnsi="宋体" w:cs="宋体"/>
          <w:color w:val="auto"/>
          <w:sz w:val="24"/>
          <w:highlight w:val="none"/>
        </w:rPr>
      </w:pPr>
      <w:r>
        <w:rPr>
          <w:rFonts w:hint="eastAsia" w:ascii="宋体" w:hAnsi="宋体" w:cs="宋体"/>
          <w:color w:val="auto"/>
          <w:sz w:val="24"/>
          <w:highlight w:val="none"/>
        </w:rPr>
        <w:t>4、本合同未尽事宜，遵照《中华人民共和国民法典》有关条文执行。</w:t>
      </w:r>
    </w:p>
    <w:p w14:paraId="56DE8FF7">
      <w:pPr>
        <w:pStyle w:val="2"/>
        <w:rPr>
          <w:rFonts w:hint="eastAsia" w:ascii="宋体" w:hAnsi="宋体" w:cs="宋体"/>
          <w:color w:val="auto"/>
          <w:sz w:val="24"/>
          <w:highlight w:val="none"/>
        </w:rPr>
      </w:pPr>
    </w:p>
    <w:p w14:paraId="1367DCF7">
      <w:pPr>
        <w:pStyle w:val="2"/>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附件1：投入本项目主要人员情况汇总表</w:t>
      </w:r>
    </w:p>
    <w:p w14:paraId="5AE09D6C">
      <w:pPr>
        <w:pStyle w:val="2"/>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附件2：供应商分项报价明细表</w:t>
      </w:r>
    </w:p>
    <w:p w14:paraId="2853D834">
      <w:pPr>
        <w:pStyle w:val="2"/>
        <w:rPr>
          <w:color w:val="auto"/>
          <w:highlight w:val="none"/>
        </w:rPr>
      </w:pPr>
    </w:p>
    <w:p w14:paraId="0F01DD8B">
      <w:pPr>
        <w:ind w:firstLine="400"/>
        <w:rPr>
          <w:rFonts w:cs="宋体" w:asciiTheme="minorEastAsia" w:hAnsiTheme="minorEastAsia" w:eastAsiaTheme="minorEastAsia"/>
          <w:bCs/>
          <w:color w:val="auto"/>
          <w:spacing w:val="2"/>
          <w:sz w:val="24"/>
          <w:highlight w:val="none"/>
        </w:rPr>
      </w:pPr>
    </w:p>
    <w:p w14:paraId="7645C5B4">
      <w:pPr>
        <w:ind w:firstLine="400"/>
        <w:rPr>
          <w:rFonts w:cs="宋体" w:asciiTheme="minorEastAsia" w:hAnsiTheme="minorEastAsia" w:eastAsiaTheme="minorEastAsia"/>
          <w:bCs/>
          <w:color w:val="auto"/>
          <w:spacing w:val="2"/>
          <w:sz w:val="24"/>
          <w:highlight w:val="none"/>
        </w:rPr>
      </w:pPr>
    </w:p>
    <w:p w14:paraId="628354F8">
      <w:pPr>
        <w:spacing w:line="360" w:lineRule="auto"/>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甲方</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（全称）         （盖章）  </w:t>
      </w:r>
      <w:r>
        <w:rPr>
          <w:rFonts w:hint="eastAsia" w:cs="宋体" w:asciiTheme="minorEastAsia" w:hAnsiTheme="minorEastAsia" w:eastAsiaTheme="minorEastAsia"/>
          <w:color w:val="auto"/>
          <w:sz w:val="24"/>
          <w:highlight w:val="none"/>
        </w:rPr>
        <w:t>　      乙方</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（全称） （盖章）         </w:t>
      </w:r>
    </w:p>
    <w:p w14:paraId="487B9A6E">
      <w:pPr>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                               法定代表人</w:t>
      </w:r>
    </w:p>
    <w:p w14:paraId="51876F8D">
      <w:pPr>
        <w:spacing w:line="360" w:lineRule="auto"/>
        <w:jc w:val="left"/>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或其委托代理人：</w:t>
      </w:r>
      <w:r>
        <w:rPr>
          <w:rFonts w:hint="eastAsia" w:cs="宋体" w:asciiTheme="minorEastAsia" w:hAnsiTheme="minorEastAsia" w:eastAsiaTheme="minorEastAsia"/>
          <w:color w:val="auto"/>
          <w:sz w:val="24"/>
          <w:highlight w:val="none"/>
          <w:u w:val="single"/>
        </w:rPr>
        <w:t>（签字）</w:t>
      </w:r>
      <w:r>
        <w:rPr>
          <w:rFonts w:hint="eastAsia" w:cs="宋体" w:asciiTheme="minorEastAsia" w:hAnsiTheme="minorEastAsia" w:eastAsiaTheme="minorEastAsia"/>
          <w:color w:val="auto"/>
          <w:sz w:val="24"/>
          <w:highlight w:val="none"/>
        </w:rPr>
        <w:t xml:space="preserve">                 或其委托代理人：</w:t>
      </w:r>
      <w:r>
        <w:rPr>
          <w:rFonts w:hint="eastAsia" w:cs="宋体" w:asciiTheme="minorEastAsia" w:hAnsiTheme="minorEastAsia" w:eastAsiaTheme="minorEastAsia"/>
          <w:color w:val="auto"/>
          <w:sz w:val="24"/>
          <w:highlight w:val="none"/>
          <w:u w:val="single"/>
        </w:rPr>
        <w:t>（签字）</w:t>
      </w:r>
    </w:p>
    <w:p w14:paraId="7FCFA95F">
      <w:pPr>
        <w:spacing w:line="360" w:lineRule="auto"/>
        <w:jc w:val="left"/>
        <w:rPr>
          <w:rFonts w:cs="宋体" w:asciiTheme="minorEastAsia" w:hAnsiTheme="minorEastAsia" w:eastAsiaTheme="minorEastAsia"/>
          <w:color w:val="auto"/>
          <w:sz w:val="24"/>
          <w:highlight w:val="none"/>
        </w:rPr>
      </w:pPr>
    </w:p>
    <w:p w14:paraId="3EAF0DDB">
      <w:pPr>
        <w:tabs>
          <w:tab w:val="left" w:pos="4395"/>
          <w:tab w:val="left" w:pos="4678"/>
          <w:tab w:val="left" w:pos="4820"/>
        </w:tabs>
        <w:spacing w:line="360" w:lineRule="auto"/>
        <w:ind w:firstLine="36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年   月   日                                    年  月  日</w:t>
      </w:r>
    </w:p>
    <w:p w14:paraId="4BE6887A">
      <w:pPr>
        <w:rPr>
          <w:rFonts w:hint="eastAsia" w:ascii="宋体" w:hAnsi="宋体" w:cs="宋体"/>
          <w:b/>
          <w:color w:val="auto"/>
          <w:sz w:val="24"/>
          <w:szCs w:val="20"/>
          <w:highlight w:val="none"/>
        </w:rPr>
      </w:pPr>
      <w:r>
        <w:rPr>
          <w:rFonts w:hint="eastAsia" w:ascii="宋体" w:hAnsi="宋体" w:cs="宋体"/>
          <w:b/>
          <w:color w:val="auto"/>
          <w:sz w:val="24"/>
          <w:szCs w:val="20"/>
          <w:highlight w:val="none"/>
        </w:rPr>
        <w:br w:type="page"/>
      </w:r>
    </w:p>
    <w:p w14:paraId="673325DF">
      <w:pPr>
        <w:spacing w:line="360" w:lineRule="auto"/>
        <w:rPr>
          <w:rFonts w:ascii="宋体" w:hAnsi="宋体" w:cs="宋体"/>
          <w:b/>
          <w:color w:val="auto"/>
          <w:sz w:val="24"/>
          <w:szCs w:val="20"/>
          <w:highlight w:val="none"/>
        </w:rPr>
      </w:pPr>
      <w:r>
        <w:rPr>
          <w:rFonts w:hint="eastAsia" w:ascii="宋体" w:hAnsi="宋体" w:cs="宋体"/>
          <w:b/>
          <w:color w:val="auto"/>
          <w:sz w:val="24"/>
          <w:szCs w:val="20"/>
          <w:highlight w:val="none"/>
        </w:rPr>
        <w:t>附件1</w:t>
      </w:r>
    </w:p>
    <w:p w14:paraId="7B62FAC6">
      <w:pPr>
        <w:spacing w:line="300" w:lineRule="auto"/>
        <w:jc w:val="center"/>
        <w:rPr>
          <w:rFonts w:ascii="宋体" w:hAnsi="宋体"/>
          <w:bCs/>
          <w:color w:val="auto"/>
          <w:sz w:val="32"/>
          <w:szCs w:val="32"/>
          <w:highlight w:val="none"/>
        </w:rPr>
      </w:pPr>
      <w:r>
        <w:rPr>
          <w:rFonts w:hint="eastAsia" w:ascii="宋体" w:hAnsi="宋体"/>
          <w:bCs/>
          <w:color w:val="auto"/>
          <w:sz w:val="32"/>
          <w:szCs w:val="32"/>
          <w:highlight w:val="none"/>
        </w:rPr>
        <w:t>投入本项目主要人员情况汇总表</w:t>
      </w:r>
    </w:p>
    <w:tbl>
      <w:tblPr>
        <w:tblStyle w:val="1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024"/>
        <w:gridCol w:w="900"/>
        <w:gridCol w:w="540"/>
        <w:gridCol w:w="900"/>
        <w:gridCol w:w="720"/>
        <w:gridCol w:w="900"/>
        <w:gridCol w:w="1260"/>
        <w:gridCol w:w="1800"/>
        <w:gridCol w:w="720"/>
        <w:gridCol w:w="720"/>
      </w:tblGrid>
      <w:tr w14:paraId="164E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16" w:type="dxa"/>
            <w:vMerge w:val="restart"/>
            <w:noWrap/>
            <w:vAlign w:val="center"/>
          </w:tcPr>
          <w:p w14:paraId="1599C851">
            <w:pPr>
              <w:widowControl/>
              <w:jc w:val="center"/>
              <w:textAlignment w:val="bottom"/>
              <w:rPr>
                <w:rFonts w:ascii="Arial" w:hAnsi="Arial" w:cs="Arial"/>
                <w:color w:val="auto"/>
                <w:sz w:val="20"/>
                <w:highlight w:val="none"/>
              </w:rPr>
            </w:pPr>
            <w:r>
              <w:rPr>
                <w:rFonts w:ascii="Arial" w:hAnsi="Arial" w:cs="Arial"/>
                <w:color w:val="auto"/>
                <w:kern w:val="0"/>
                <w:sz w:val="20"/>
                <w:highlight w:val="none"/>
              </w:rPr>
              <w:t>序号</w:t>
            </w:r>
          </w:p>
        </w:tc>
        <w:tc>
          <w:tcPr>
            <w:tcW w:w="1024" w:type="dxa"/>
            <w:vMerge w:val="restart"/>
            <w:noWrap/>
            <w:vAlign w:val="center"/>
          </w:tcPr>
          <w:p w14:paraId="1D1C7A84">
            <w:pPr>
              <w:widowControl/>
              <w:jc w:val="center"/>
              <w:textAlignment w:val="bottom"/>
              <w:rPr>
                <w:rFonts w:ascii="Arial" w:hAnsi="Arial" w:cs="Arial"/>
                <w:color w:val="auto"/>
                <w:sz w:val="20"/>
                <w:highlight w:val="none"/>
              </w:rPr>
            </w:pPr>
            <w:r>
              <w:rPr>
                <w:rFonts w:ascii="Arial" w:hAnsi="Arial" w:cs="Arial"/>
                <w:color w:val="auto"/>
                <w:kern w:val="0"/>
                <w:sz w:val="20"/>
                <w:highlight w:val="none"/>
              </w:rPr>
              <w:t>在本</w:t>
            </w:r>
            <w:r>
              <w:rPr>
                <w:rFonts w:hint="eastAsia" w:ascii="Arial" w:hAnsi="Arial" w:cs="Arial"/>
                <w:color w:val="auto"/>
                <w:kern w:val="0"/>
                <w:sz w:val="20"/>
                <w:highlight w:val="none"/>
              </w:rPr>
              <w:t>项目</w:t>
            </w:r>
            <w:r>
              <w:rPr>
                <w:rFonts w:ascii="Arial" w:hAnsi="Arial" w:cs="Arial"/>
                <w:color w:val="auto"/>
                <w:kern w:val="0"/>
                <w:sz w:val="20"/>
                <w:highlight w:val="none"/>
              </w:rPr>
              <w:t>任职</w:t>
            </w:r>
          </w:p>
        </w:tc>
        <w:tc>
          <w:tcPr>
            <w:tcW w:w="900" w:type="dxa"/>
            <w:vMerge w:val="restart"/>
            <w:noWrap/>
            <w:vAlign w:val="center"/>
          </w:tcPr>
          <w:p w14:paraId="22DAE89F">
            <w:pPr>
              <w:widowControl/>
              <w:jc w:val="center"/>
              <w:textAlignment w:val="bottom"/>
              <w:rPr>
                <w:rFonts w:ascii="Arial" w:hAnsi="Arial" w:cs="Arial"/>
                <w:color w:val="auto"/>
                <w:sz w:val="20"/>
                <w:highlight w:val="none"/>
              </w:rPr>
            </w:pPr>
            <w:r>
              <w:rPr>
                <w:rFonts w:ascii="Arial" w:hAnsi="Arial" w:cs="Arial"/>
                <w:color w:val="auto"/>
                <w:kern w:val="0"/>
                <w:sz w:val="20"/>
                <w:highlight w:val="none"/>
              </w:rPr>
              <w:t>姓名</w:t>
            </w:r>
          </w:p>
        </w:tc>
        <w:tc>
          <w:tcPr>
            <w:tcW w:w="540" w:type="dxa"/>
            <w:vMerge w:val="restart"/>
            <w:noWrap/>
            <w:vAlign w:val="center"/>
          </w:tcPr>
          <w:p w14:paraId="67BB813D">
            <w:pPr>
              <w:widowControl/>
              <w:jc w:val="center"/>
              <w:textAlignment w:val="bottom"/>
              <w:rPr>
                <w:rFonts w:ascii="Arial" w:hAnsi="Arial" w:cs="Arial"/>
                <w:color w:val="auto"/>
                <w:sz w:val="20"/>
                <w:highlight w:val="none"/>
              </w:rPr>
            </w:pPr>
            <w:r>
              <w:rPr>
                <w:rFonts w:ascii="Arial" w:hAnsi="Arial" w:cs="Arial"/>
                <w:color w:val="auto"/>
                <w:kern w:val="0"/>
                <w:sz w:val="20"/>
                <w:highlight w:val="none"/>
              </w:rPr>
              <w:t>学历</w:t>
            </w:r>
          </w:p>
        </w:tc>
        <w:tc>
          <w:tcPr>
            <w:tcW w:w="900" w:type="dxa"/>
            <w:vMerge w:val="restart"/>
            <w:noWrap/>
            <w:vAlign w:val="center"/>
          </w:tcPr>
          <w:p w14:paraId="21D85A67">
            <w:pPr>
              <w:widowControl/>
              <w:jc w:val="center"/>
              <w:textAlignment w:val="bottom"/>
              <w:rPr>
                <w:rFonts w:ascii="Arial" w:hAnsi="Arial" w:cs="Arial"/>
                <w:color w:val="auto"/>
                <w:kern w:val="0"/>
                <w:sz w:val="20"/>
                <w:highlight w:val="none"/>
              </w:rPr>
            </w:pPr>
            <w:r>
              <w:rPr>
                <w:rFonts w:ascii="Arial" w:hAnsi="Arial" w:cs="Arial"/>
                <w:color w:val="auto"/>
                <w:kern w:val="0"/>
                <w:sz w:val="20"/>
                <w:highlight w:val="none"/>
              </w:rPr>
              <w:t>技术</w:t>
            </w:r>
          </w:p>
          <w:p w14:paraId="07E7170E">
            <w:pPr>
              <w:widowControl/>
              <w:jc w:val="center"/>
              <w:textAlignment w:val="bottom"/>
              <w:rPr>
                <w:rFonts w:ascii="Arial" w:hAnsi="Arial" w:cs="Arial"/>
                <w:color w:val="auto"/>
                <w:sz w:val="20"/>
                <w:highlight w:val="none"/>
              </w:rPr>
            </w:pPr>
            <w:r>
              <w:rPr>
                <w:rFonts w:ascii="Arial" w:hAnsi="Arial" w:cs="Arial"/>
                <w:color w:val="auto"/>
                <w:kern w:val="0"/>
                <w:sz w:val="20"/>
                <w:highlight w:val="none"/>
              </w:rPr>
              <w:t>职称</w:t>
            </w:r>
          </w:p>
        </w:tc>
        <w:tc>
          <w:tcPr>
            <w:tcW w:w="720" w:type="dxa"/>
            <w:vMerge w:val="restart"/>
            <w:noWrap/>
            <w:vAlign w:val="center"/>
          </w:tcPr>
          <w:p w14:paraId="25556876">
            <w:pPr>
              <w:widowControl/>
              <w:jc w:val="center"/>
              <w:textAlignment w:val="bottom"/>
              <w:rPr>
                <w:rFonts w:ascii="Arial" w:hAnsi="Arial" w:cs="Arial"/>
                <w:color w:val="auto"/>
                <w:sz w:val="20"/>
                <w:highlight w:val="none"/>
              </w:rPr>
            </w:pPr>
            <w:r>
              <w:rPr>
                <w:rFonts w:ascii="Arial" w:hAnsi="Arial" w:cs="Arial"/>
                <w:color w:val="auto"/>
                <w:kern w:val="0"/>
                <w:sz w:val="20"/>
                <w:highlight w:val="none"/>
              </w:rPr>
              <w:t>专业</w:t>
            </w:r>
          </w:p>
        </w:tc>
        <w:tc>
          <w:tcPr>
            <w:tcW w:w="2160" w:type="dxa"/>
            <w:gridSpan w:val="2"/>
            <w:noWrap/>
            <w:vAlign w:val="center"/>
          </w:tcPr>
          <w:p w14:paraId="06D49E58">
            <w:pPr>
              <w:widowControl/>
              <w:jc w:val="center"/>
              <w:textAlignment w:val="bottom"/>
              <w:rPr>
                <w:rFonts w:ascii="Arial" w:hAnsi="Arial" w:cs="Arial"/>
                <w:color w:val="auto"/>
                <w:kern w:val="0"/>
                <w:sz w:val="20"/>
                <w:highlight w:val="none"/>
              </w:rPr>
            </w:pPr>
            <w:r>
              <w:rPr>
                <w:rFonts w:hint="eastAsia" w:ascii="Arial" w:hAnsi="Arial" w:cs="Arial"/>
                <w:color w:val="auto"/>
                <w:kern w:val="0"/>
                <w:sz w:val="20"/>
                <w:highlight w:val="none"/>
              </w:rPr>
              <w:t>执业或职业资格证明</w:t>
            </w:r>
          </w:p>
        </w:tc>
        <w:tc>
          <w:tcPr>
            <w:tcW w:w="1800" w:type="dxa"/>
            <w:vMerge w:val="restart"/>
            <w:noWrap/>
            <w:vAlign w:val="center"/>
          </w:tcPr>
          <w:p w14:paraId="32E71C4A">
            <w:pPr>
              <w:widowControl/>
              <w:jc w:val="center"/>
              <w:textAlignment w:val="bottom"/>
              <w:rPr>
                <w:rFonts w:ascii="Arial" w:hAnsi="Arial" w:cs="Arial"/>
                <w:color w:val="auto"/>
                <w:sz w:val="20"/>
                <w:highlight w:val="none"/>
              </w:rPr>
            </w:pPr>
            <w:r>
              <w:rPr>
                <w:rFonts w:hint="eastAsia" w:ascii="Arial" w:hAnsi="Arial" w:cs="Arial"/>
                <w:color w:val="auto"/>
                <w:kern w:val="0"/>
                <w:sz w:val="20"/>
                <w:highlight w:val="none"/>
              </w:rPr>
              <w:t>身份证号</w:t>
            </w:r>
          </w:p>
        </w:tc>
        <w:tc>
          <w:tcPr>
            <w:tcW w:w="720" w:type="dxa"/>
            <w:vMerge w:val="restart"/>
            <w:noWrap/>
            <w:vAlign w:val="center"/>
          </w:tcPr>
          <w:p w14:paraId="039DB20E">
            <w:pPr>
              <w:widowControl/>
              <w:jc w:val="center"/>
              <w:textAlignment w:val="bottom"/>
              <w:rPr>
                <w:rFonts w:ascii="Arial" w:hAnsi="Arial" w:cs="Arial"/>
                <w:color w:val="auto"/>
                <w:sz w:val="20"/>
                <w:highlight w:val="none"/>
              </w:rPr>
            </w:pPr>
            <w:r>
              <w:rPr>
                <w:rFonts w:hint="eastAsia" w:ascii="Arial" w:hAnsi="Arial" w:cs="Arial"/>
                <w:color w:val="auto"/>
                <w:sz w:val="20"/>
                <w:highlight w:val="none"/>
              </w:rPr>
              <w:t>社保</w:t>
            </w:r>
          </w:p>
          <w:p w14:paraId="545D7E3B">
            <w:pPr>
              <w:widowControl/>
              <w:jc w:val="center"/>
              <w:textAlignment w:val="bottom"/>
              <w:rPr>
                <w:rFonts w:ascii="Arial" w:hAnsi="Arial" w:cs="Arial"/>
                <w:color w:val="auto"/>
                <w:sz w:val="20"/>
                <w:highlight w:val="none"/>
              </w:rPr>
            </w:pPr>
            <w:r>
              <w:rPr>
                <w:rFonts w:hint="eastAsia" w:ascii="Arial" w:hAnsi="Arial" w:cs="Arial"/>
                <w:color w:val="auto"/>
                <w:sz w:val="20"/>
                <w:highlight w:val="none"/>
              </w:rPr>
              <w:t>缴费单位</w:t>
            </w:r>
          </w:p>
        </w:tc>
        <w:tc>
          <w:tcPr>
            <w:tcW w:w="720" w:type="dxa"/>
            <w:vMerge w:val="restart"/>
            <w:noWrap/>
            <w:vAlign w:val="center"/>
          </w:tcPr>
          <w:p w14:paraId="3AE4EE2F">
            <w:pPr>
              <w:widowControl/>
              <w:jc w:val="center"/>
              <w:textAlignment w:val="bottom"/>
              <w:rPr>
                <w:rFonts w:ascii="Arial" w:hAnsi="Arial" w:cs="Arial"/>
                <w:color w:val="auto"/>
                <w:sz w:val="20"/>
                <w:highlight w:val="none"/>
              </w:rPr>
            </w:pPr>
            <w:r>
              <w:rPr>
                <w:rFonts w:hint="eastAsia" w:ascii="Arial" w:hAnsi="Arial" w:cs="Arial"/>
                <w:color w:val="auto"/>
                <w:sz w:val="20"/>
                <w:highlight w:val="none"/>
              </w:rPr>
              <w:t>备注</w:t>
            </w:r>
          </w:p>
        </w:tc>
      </w:tr>
      <w:tr w14:paraId="6017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16" w:type="dxa"/>
            <w:vMerge w:val="continue"/>
            <w:noWrap/>
            <w:vAlign w:val="center"/>
          </w:tcPr>
          <w:p w14:paraId="60E08201">
            <w:pPr>
              <w:spacing w:line="300" w:lineRule="auto"/>
              <w:jc w:val="center"/>
              <w:rPr>
                <w:rFonts w:ascii="黑体" w:eastAsia="黑体"/>
                <w:b/>
                <w:color w:val="auto"/>
                <w:sz w:val="24"/>
                <w:highlight w:val="none"/>
              </w:rPr>
            </w:pPr>
          </w:p>
        </w:tc>
        <w:tc>
          <w:tcPr>
            <w:tcW w:w="1024" w:type="dxa"/>
            <w:vMerge w:val="continue"/>
            <w:noWrap/>
            <w:vAlign w:val="center"/>
          </w:tcPr>
          <w:p w14:paraId="33A64542">
            <w:pPr>
              <w:spacing w:line="300" w:lineRule="auto"/>
              <w:jc w:val="center"/>
              <w:rPr>
                <w:rFonts w:ascii="黑体" w:eastAsia="黑体"/>
                <w:b/>
                <w:color w:val="auto"/>
                <w:sz w:val="24"/>
                <w:highlight w:val="none"/>
              </w:rPr>
            </w:pPr>
          </w:p>
        </w:tc>
        <w:tc>
          <w:tcPr>
            <w:tcW w:w="900" w:type="dxa"/>
            <w:vMerge w:val="continue"/>
            <w:noWrap/>
            <w:vAlign w:val="center"/>
          </w:tcPr>
          <w:p w14:paraId="7EA69BF9">
            <w:pPr>
              <w:spacing w:line="300" w:lineRule="auto"/>
              <w:jc w:val="center"/>
              <w:rPr>
                <w:rFonts w:ascii="黑体" w:eastAsia="黑体"/>
                <w:b/>
                <w:color w:val="auto"/>
                <w:sz w:val="24"/>
                <w:highlight w:val="none"/>
              </w:rPr>
            </w:pPr>
          </w:p>
        </w:tc>
        <w:tc>
          <w:tcPr>
            <w:tcW w:w="540" w:type="dxa"/>
            <w:vMerge w:val="continue"/>
            <w:noWrap/>
            <w:vAlign w:val="center"/>
          </w:tcPr>
          <w:p w14:paraId="36B183FD">
            <w:pPr>
              <w:spacing w:line="300" w:lineRule="auto"/>
              <w:jc w:val="center"/>
              <w:rPr>
                <w:rFonts w:ascii="黑体" w:eastAsia="黑体"/>
                <w:b/>
                <w:color w:val="auto"/>
                <w:sz w:val="24"/>
                <w:highlight w:val="none"/>
              </w:rPr>
            </w:pPr>
          </w:p>
        </w:tc>
        <w:tc>
          <w:tcPr>
            <w:tcW w:w="900" w:type="dxa"/>
            <w:vMerge w:val="continue"/>
            <w:noWrap/>
            <w:vAlign w:val="center"/>
          </w:tcPr>
          <w:p w14:paraId="2C51BA54">
            <w:pPr>
              <w:spacing w:line="300" w:lineRule="auto"/>
              <w:jc w:val="center"/>
              <w:rPr>
                <w:rFonts w:ascii="黑体" w:eastAsia="黑体"/>
                <w:b/>
                <w:color w:val="auto"/>
                <w:sz w:val="24"/>
                <w:highlight w:val="none"/>
              </w:rPr>
            </w:pPr>
          </w:p>
        </w:tc>
        <w:tc>
          <w:tcPr>
            <w:tcW w:w="720" w:type="dxa"/>
            <w:vMerge w:val="continue"/>
            <w:noWrap/>
            <w:vAlign w:val="center"/>
          </w:tcPr>
          <w:p w14:paraId="453BEA9B">
            <w:pPr>
              <w:spacing w:line="300" w:lineRule="auto"/>
              <w:jc w:val="center"/>
              <w:rPr>
                <w:rFonts w:ascii="黑体" w:eastAsia="黑体"/>
                <w:b/>
                <w:color w:val="auto"/>
                <w:sz w:val="24"/>
                <w:highlight w:val="none"/>
              </w:rPr>
            </w:pPr>
          </w:p>
        </w:tc>
        <w:tc>
          <w:tcPr>
            <w:tcW w:w="900" w:type="dxa"/>
            <w:noWrap/>
            <w:vAlign w:val="center"/>
          </w:tcPr>
          <w:p w14:paraId="52815927">
            <w:pPr>
              <w:jc w:val="center"/>
              <w:rPr>
                <w:rFonts w:ascii="Arial" w:hAnsi="Arial" w:cs="Arial"/>
                <w:color w:val="auto"/>
                <w:kern w:val="0"/>
                <w:sz w:val="20"/>
                <w:highlight w:val="none"/>
              </w:rPr>
            </w:pPr>
            <w:r>
              <w:rPr>
                <w:rFonts w:hint="eastAsia" w:ascii="Arial" w:hAnsi="Arial" w:cs="Arial"/>
                <w:color w:val="auto"/>
                <w:kern w:val="0"/>
                <w:sz w:val="20"/>
                <w:highlight w:val="none"/>
              </w:rPr>
              <w:t>证书</w:t>
            </w:r>
          </w:p>
          <w:p w14:paraId="6C79BB18">
            <w:pPr>
              <w:jc w:val="center"/>
              <w:rPr>
                <w:rFonts w:ascii="Arial" w:hAnsi="Arial" w:cs="Arial"/>
                <w:color w:val="auto"/>
                <w:kern w:val="0"/>
                <w:sz w:val="20"/>
                <w:highlight w:val="none"/>
              </w:rPr>
            </w:pPr>
            <w:r>
              <w:rPr>
                <w:rFonts w:hint="eastAsia" w:ascii="Arial" w:hAnsi="Arial" w:cs="Arial"/>
                <w:color w:val="auto"/>
                <w:kern w:val="0"/>
                <w:sz w:val="20"/>
                <w:highlight w:val="none"/>
              </w:rPr>
              <w:t>名称</w:t>
            </w:r>
          </w:p>
        </w:tc>
        <w:tc>
          <w:tcPr>
            <w:tcW w:w="1260" w:type="dxa"/>
            <w:noWrap/>
            <w:vAlign w:val="center"/>
          </w:tcPr>
          <w:p w14:paraId="05E1BB81">
            <w:pPr>
              <w:spacing w:line="300" w:lineRule="auto"/>
              <w:jc w:val="center"/>
              <w:rPr>
                <w:rFonts w:ascii="Arial" w:hAnsi="Arial" w:cs="Arial"/>
                <w:color w:val="auto"/>
                <w:kern w:val="0"/>
                <w:sz w:val="20"/>
                <w:highlight w:val="none"/>
              </w:rPr>
            </w:pPr>
            <w:r>
              <w:rPr>
                <w:rFonts w:hint="eastAsia" w:ascii="Arial" w:hAnsi="Arial" w:cs="Arial"/>
                <w:color w:val="auto"/>
                <w:kern w:val="0"/>
                <w:sz w:val="20"/>
                <w:highlight w:val="none"/>
              </w:rPr>
              <w:t>证 号</w:t>
            </w:r>
          </w:p>
        </w:tc>
        <w:tc>
          <w:tcPr>
            <w:tcW w:w="1800" w:type="dxa"/>
            <w:vMerge w:val="continue"/>
            <w:noWrap/>
            <w:vAlign w:val="center"/>
          </w:tcPr>
          <w:p w14:paraId="60C8F842">
            <w:pPr>
              <w:spacing w:line="300" w:lineRule="auto"/>
              <w:jc w:val="center"/>
              <w:rPr>
                <w:rFonts w:ascii="黑体" w:eastAsia="黑体"/>
                <w:b/>
                <w:color w:val="auto"/>
                <w:sz w:val="24"/>
                <w:highlight w:val="none"/>
              </w:rPr>
            </w:pPr>
          </w:p>
        </w:tc>
        <w:tc>
          <w:tcPr>
            <w:tcW w:w="720" w:type="dxa"/>
            <w:vMerge w:val="continue"/>
            <w:noWrap/>
            <w:vAlign w:val="center"/>
          </w:tcPr>
          <w:p w14:paraId="1C1C9521">
            <w:pPr>
              <w:widowControl/>
              <w:jc w:val="center"/>
              <w:textAlignment w:val="bottom"/>
              <w:rPr>
                <w:rFonts w:ascii="黑体" w:eastAsia="黑体"/>
                <w:b/>
                <w:color w:val="auto"/>
                <w:sz w:val="24"/>
                <w:highlight w:val="none"/>
              </w:rPr>
            </w:pPr>
          </w:p>
        </w:tc>
        <w:tc>
          <w:tcPr>
            <w:tcW w:w="720" w:type="dxa"/>
            <w:vMerge w:val="continue"/>
            <w:noWrap/>
            <w:vAlign w:val="center"/>
          </w:tcPr>
          <w:p w14:paraId="6B0E9E02">
            <w:pPr>
              <w:spacing w:line="300" w:lineRule="auto"/>
              <w:jc w:val="center"/>
              <w:rPr>
                <w:rFonts w:ascii="黑体" w:eastAsia="黑体"/>
                <w:b/>
                <w:color w:val="auto"/>
                <w:sz w:val="24"/>
                <w:highlight w:val="none"/>
              </w:rPr>
            </w:pPr>
          </w:p>
        </w:tc>
      </w:tr>
      <w:tr w14:paraId="7F79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4AEE2FE7">
            <w:pPr>
              <w:spacing w:line="300" w:lineRule="auto"/>
              <w:jc w:val="center"/>
              <w:rPr>
                <w:rFonts w:ascii="黑体" w:eastAsia="黑体"/>
                <w:b/>
                <w:color w:val="auto"/>
                <w:sz w:val="24"/>
                <w:highlight w:val="none"/>
              </w:rPr>
            </w:pPr>
          </w:p>
        </w:tc>
        <w:tc>
          <w:tcPr>
            <w:tcW w:w="1024" w:type="dxa"/>
            <w:noWrap/>
            <w:vAlign w:val="center"/>
          </w:tcPr>
          <w:p w14:paraId="43D17D2D">
            <w:pPr>
              <w:spacing w:line="300" w:lineRule="auto"/>
              <w:jc w:val="center"/>
              <w:rPr>
                <w:rFonts w:ascii="黑体" w:eastAsia="黑体"/>
                <w:b/>
                <w:color w:val="auto"/>
                <w:sz w:val="24"/>
                <w:highlight w:val="none"/>
              </w:rPr>
            </w:pPr>
          </w:p>
        </w:tc>
        <w:tc>
          <w:tcPr>
            <w:tcW w:w="900" w:type="dxa"/>
            <w:noWrap/>
            <w:vAlign w:val="center"/>
          </w:tcPr>
          <w:p w14:paraId="6A602E56">
            <w:pPr>
              <w:spacing w:line="300" w:lineRule="auto"/>
              <w:jc w:val="center"/>
              <w:rPr>
                <w:rFonts w:ascii="黑体" w:eastAsia="黑体"/>
                <w:b/>
                <w:color w:val="auto"/>
                <w:sz w:val="24"/>
                <w:highlight w:val="none"/>
              </w:rPr>
            </w:pPr>
          </w:p>
        </w:tc>
        <w:tc>
          <w:tcPr>
            <w:tcW w:w="540" w:type="dxa"/>
            <w:noWrap/>
            <w:vAlign w:val="center"/>
          </w:tcPr>
          <w:p w14:paraId="2FC2764F">
            <w:pPr>
              <w:spacing w:line="300" w:lineRule="auto"/>
              <w:jc w:val="center"/>
              <w:rPr>
                <w:rFonts w:ascii="黑体" w:eastAsia="黑体"/>
                <w:b/>
                <w:color w:val="auto"/>
                <w:sz w:val="24"/>
                <w:highlight w:val="none"/>
              </w:rPr>
            </w:pPr>
          </w:p>
        </w:tc>
        <w:tc>
          <w:tcPr>
            <w:tcW w:w="900" w:type="dxa"/>
            <w:noWrap/>
            <w:vAlign w:val="center"/>
          </w:tcPr>
          <w:p w14:paraId="4A3CEE11">
            <w:pPr>
              <w:spacing w:line="300" w:lineRule="auto"/>
              <w:jc w:val="center"/>
              <w:rPr>
                <w:rFonts w:ascii="黑体" w:eastAsia="黑体"/>
                <w:b/>
                <w:color w:val="auto"/>
                <w:sz w:val="24"/>
                <w:highlight w:val="none"/>
              </w:rPr>
            </w:pPr>
          </w:p>
        </w:tc>
        <w:tc>
          <w:tcPr>
            <w:tcW w:w="720" w:type="dxa"/>
            <w:noWrap/>
            <w:vAlign w:val="center"/>
          </w:tcPr>
          <w:p w14:paraId="7224AA3E">
            <w:pPr>
              <w:spacing w:line="300" w:lineRule="auto"/>
              <w:jc w:val="center"/>
              <w:rPr>
                <w:rFonts w:ascii="黑体" w:eastAsia="黑体"/>
                <w:b/>
                <w:color w:val="auto"/>
                <w:sz w:val="24"/>
                <w:highlight w:val="none"/>
              </w:rPr>
            </w:pPr>
          </w:p>
        </w:tc>
        <w:tc>
          <w:tcPr>
            <w:tcW w:w="900" w:type="dxa"/>
            <w:noWrap/>
            <w:vAlign w:val="center"/>
          </w:tcPr>
          <w:p w14:paraId="5AAE648F">
            <w:pPr>
              <w:spacing w:line="300" w:lineRule="auto"/>
              <w:jc w:val="center"/>
              <w:rPr>
                <w:rFonts w:ascii="黑体" w:eastAsia="黑体"/>
                <w:b/>
                <w:color w:val="auto"/>
                <w:sz w:val="24"/>
                <w:highlight w:val="none"/>
              </w:rPr>
            </w:pPr>
          </w:p>
        </w:tc>
        <w:tc>
          <w:tcPr>
            <w:tcW w:w="1260" w:type="dxa"/>
            <w:noWrap/>
            <w:vAlign w:val="center"/>
          </w:tcPr>
          <w:p w14:paraId="7532A319">
            <w:pPr>
              <w:spacing w:line="300" w:lineRule="auto"/>
              <w:jc w:val="center"/>
              <w:rPr>
                <w:rFonts w:ascii="黑体" w:eastAsia="黑体"/>
                <w:b/>
                <w:color w:val="auto"/>
                <w:sz w:val="24"/>
                <w:highlight w:val="none"/>
              </w:rPr>
            </w:pPr>
          </w:p>
        </w:tc>
        <w:tc>
          <w:tcPr>
            <w:tcW w:w="1800" w:type="dxa"/>
            <w:noWrap/>
            <w:vAlign w:val="center"/>
          </w:tcPr>
          <w:p w14:paraId="27B9FEA7">
            <w:pPr>
              <w:spacing w:line="300" w:lineRule="auto"/>
              <w:jc w:val="center"/>
              <w:rPr>
                <w:rFonts w:ascii="黑体" w:eastAsia="黑体"/>
                <w:b/>
                <w:color w:val="auto"/>
                <w:sz w:val="24"/>
                <w:highlight w:val="none"/>
              </w:rPr>
            </w:pPr>
          </w:p>
        </w:tc>
        <w:tc>
          <w:tcPr>
            <w:tcW w:w="720" w:type="dxa"/>
            <w:noWrap/>
            <w:vAlign w:val="center"/>
          </w:tcPr>
          <w:p w14:paraId="576CD652">
            <w:pPr>
              <w:spacing w:line="300" w:lineRule="auto"/>
              <w:jc w:val="center"/>
              <w:rPr>
                <w:rFonts w:ascii="黑体" w:eastAsia="黑体"/>
                <w:b/>
                <w:color w:val="auto"/>
                <w:sz w:val="24"/>
                <w:highlight w:val="none"/>
              </w:rPr>
            </w:pPr>
          </w:p>
        </w:tc>
        <w:tc>
          <w:tcPr>
            <w:tcW w:w="720" w:type="dxa"/>
            <w:noWrap/>
            <w:vAlign w:val="center"/>
          </w:tcPr>
          <w:p w14:paraId="0B762B77">
            <w:pPr>
              <w:spacing w:line="300" w:lineRule="auto"/>
              <w:jc w:val="center"/>
              <w:rPr>
                <w:rFonts w:ascii="黑体" w:eastAsia="黑体"/>
                <w:b/>
                <w:color w:val="auto"/>
                <w:sz w:val="24"/>
                <w:highlight w:val="none"/>
              </w:rPr>
            </w:pPr>
          </w:p>
        </w:tc>
      </w:tr>
      <w:tr w14:paraId="5C0F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01A642D">
            <w:pPr>
              <w:spacing w:line="300" w:lineRule="auto"/>
              <w:jc w:val="center"/>
              <w:rPr>
                <w:rFonts w:ascii="黑体" w:eastAsia="黑体"/>
                <w:b/>
                <w:color w:val="auto"/>
                <w:sz w:val="24"/>
                <w:highlight w:val="none"/>
              </w:rPr>
            </w:pPr>
          </w:p>
        </w:tc>
        <w:tc>
          <w:tcPr>
            <w:tcW w:w="1024" w:type="dxa"/>
            <w:noWrap/>
            <w:vAlign w:val="center"/>
          </w:tcPr>
          <w:p w14:paraId="0C3B00C0">
            <w:pPr>
              <w:spacing w:line="300" w:lineRule="auto"/>
              <w:jc w:val="center"/>
              <w:rPr>
                <w:rFonts w:ascii="黑体" w:eastAsia="黑体"/>
                <w:b/>
                <w:color w:val="auto"/>
                <w:sz w:val="24"/>
                <w:highlight w:val="none"/>
              </w:rPr>
            </w:pPr>
          </w:p>
        </w:tc>
        <w:tc>
          <w:tcPr>
            <w:tcW w:w="900" w:type="dxa"/>
            <w:noWrap/>
            <w:vAlign w:val="center"/>
          </w:tcPr>
          <w:p w14:paraId="49C1654F">
            <w:pPr>
              <w:spacing w:line="300" w:lineRule="auto"/>
              <w:jc w:val="center"/>
              <w:rPr>
                <w:rFonts w:ascii="黑体" w:eastAsia="黑体"/>
                <w:b/>
                <w:color w:val="auto"/>
                <w:sz w:val="24"/>
                <w:highlight w:val="none"/>
              </w:rPr>
            </w:pPr>
          </w:p>
        </w:tc>
        <w:tc>
          <w:tcPr>
            <w:tcW w:w="540" w:type="dxa"/>
            <w:noWrap/>
            <w:vAlign w:val="center"/>
          </w:tcPr>
          <w:p w14:paraId="4DBCF28A">
            <w:pPr>
              <w:spacing w:line="300" w:lineRule="auto"/>
              <w:jc w:val="center"/>
              <w:rPr>
                <w:rFonts w:ascii="黑体" w:eastAsia="黑体"/>
                <w:b/>
                <w:color w:val="auto"/>
                <w:sz w:val="24"/>
                <w:highlight w:val="none"/>
              </w:rPr>
            </w:pPr>
          </w:p>
        </w:tc>
        <w:tc>
          <w:tcPr>
            <w:tcW w:w="900" w:type="dxa"/>
            <w:noWrap/>
            <w:vAlign w:val="center"/>
          </w:tcPr>
          <w:p w14:paraId="242B86E9">
            <w:pPr>
              <w:spacing w:line="300" w:lineRule="auto"/>
              <w:jc w:val="center"/>
              <w:rPr>
                <w:rFonts w:ascii="黑体" w:eastAsia="黑体"/>
                <w:b/>
                <w:color w:val="auto"/>
                <w:sz w:val="24"/>
                <w:highlight w:val="none"/>
              </w:rPr>
            </w:pPr>
          </w:p>
        </w:tc>
        <w:tc>
          <w:tcPr>
            <w:tcW w:w="720" w:type="dxa"/>
            <w:noWrap/>
            <w:vAlign w:val="center"/>
          </w:tcPr>
          <w:p w14:paraId="33B4653D">
            <w:pPr>
              <w:spacing w:line="300" w:lineRule="auto"/>
              <w:jc w:val="center"/>
              <w:rPr>
                <w:rFonts w:ascii="黑体" w:eastAsia="黑体"/>
                <w:b/>
                <w:color w:val="auto"/>
                <w:sz w:val="24"/>
                <w:highlight w:val="none"/>
              </w:rPr>
            </w:pPr>
          </w:p>
        </w:tc>
        <w:tc>
          <w:tcPr>
            <w:tcW w:w="900" w:type="dxa"/>
            <w:noWrap/>
            <w:vAlign w:val="center"/>
          </w:tcPr>
          <w:p w14:paraId="56662D5E">
            <w:pPr>
              <w:spacing w:line="300" w:lineRule="auto"/>
              <w:jc w:val="center"/>
              <w:rPr>
                <w:rFonts w:ascii="黑体" w:eastAsia="黑体"/>
                <w:b/>
                <w:color w:val="auto"/>
                <w:sz w:val="24"/>
                <w:highlight w:val="none"/>
              </w:rPr>
            </w:pPr>
          </w:p>
        </w:tc>
        <w:tc>
          <w:tcPr>
            <w:tcW w:w="1260" w:type="dxa"/>
            <w:noWrap/>
            <w:vAlign w:val="center"/>
          </w:tcPr>
          <w:p w14:paraId="1DBF71C5">
            <w:pPr>
              <w:spacing w:line="300" w:lineRule="auto"/>
              <w:jc w:val="center"/>
              <w:rPr>
                <w:rFonts w:ascii="黑体" w:eastAsia="黑体"/>
                <w:b/>
                <w:color w:val="auto"/>
                <w:sz w:val="24"/>
                <w:highlight w:val="none"/>
              </w:rPr>
            </w:pPr>
          </w:p>
        </w:tc>
        <w:tc>
          <w:tcPr>
            <w:tcW w:w="1800" w:type="dxa"/>
            <w:noWrap/>
            <w:vAlign w:val="center"/>
          </w:tcPr>
          <w:p w14:paraId="048F6334">
            <w:pPr>
              <w:spacing w:line="300" w:lineRule="auto"/>
              <w:jc w:val="center"/>
              <w:rPr>
                <w:rFonts w:ascii="黑体" w:eastAsia="黑体"/>
                <w:b/>
                <w:color w:val="auto"/>
                <w:sz w:val="24"/>
                <w:highlight w:val="none"/>
              </w:rPr>
            </w:pPr>
          </w:p>
        </w:tc>
        <w:tc>
          <w:tcPr>
            <w:tcW w:w="720" w:type="dxa"/>
            <w:noWrap/>
            <w:vAlign w:val="center"/>
          </w:tcPr>
          <w:p w14:paraId="3C2A4BE3">
            <w:pPr>
              <w:spacing w:line="300" w:lineRule="auto"/>
              <w:jc w:val="center"/>
              <w:rPr>
                <w:rFonts w:ascii="黑体" w:eastAsia="黑体"/>
                <w:b/>
                <w:color w:val="auto"/>
                <w:sz w:val="24"/>
                <w:highlight w:val="none"/>
              </w:rPr>
            </w:pPr>
          </w:p>
        </w:tc>
        <w:tc>
          <w:tcPr>
            <w:tcW w:w="720" w:type="dxa"/>
            <w:noWrap/>
            <w:vAlign w:val="center"/>
          </w:tcPr>
          <w:p w14:paraId="45447035">
            <w:pPr>
              <w:spacing w:line="300" w:lineRule="auto"/>
              <w:jc w:val="center"/>
              <w:rPr>
                <w:rFonts w:ascii="黑体" w:eastAsia="黑体"/>
                <w:b/>
                <w:color w:val="auto"/>
                <w:sz w:val="24"/>
                <w:highlight w:val="none"/>
              </w:rPr>
            </w:pPr>
          </w:p>
        </w:tc>
      </w:tr>
      <w:tr w14:paraId="72DC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C04118C">
            <w:pPr>
              <w:spacing w:line="300" w:lineRule="auto"/>
              <w:jc w:val="center"/>
              <w:rPr>
                <w:rFonts w:ascii="黑体" w:eastAsia="黑体"/>
                <w:b/>
                <w:color w:val="auto"/>
                <w:sz w:val="24"/>
                <w:highlight w:val="none"/>
              </w:rPr>
            </w:pPr>
          </w:p>
        </w:tc>
        <w:tc>
          <w:tcPr>
            <w:tcW w:w="1024" w:type="dxa"/>
            <w:noWrap/>
            <w:vAlign w:val="center"/>
          </w:tcPr>
          <w:p w14:paraId="05C52999">
            <w:pPr>
              <w:spacing w:line="300" w:lineRule="auto"/>
              <w:jc w:val="center"/>
              <w:rPr>
                <w:rFonts w:ascii="黑体" w:eastAsia="黑体"/>
                <w:b/>
                <w:color w:val="auto"/>
                <w:sz w:val="24"/>
                <w:highlight w:val="none"/>
              </w:rPr>
            </w:pPr>
          </w:p>
        </w:tc>
        <w:tc>
          <w:tcPr>
            <w:tcW w:w="900" w:type="dxa"/>
            <w:noWrap/>
            <w:vAlign w:val="center"/>
          </w:tcPr>
          <w:p w14:paraId="2D504ABD">
            <w:pPr>
              <w:spacing w:line="300" w:lineRule="auto"/>
              <w:jc w:val="center"/>
              <w:rPr>
                <w:rFonts w:ascii="黑体" w:eastAsia="黑体"/>
                <w:b/>
                <w:color w:val="auto"/>
                <w:sz w:val="24"/>
                <w:highlight w:val="none"/>
              </w:rPr>
            </w:pPr>
          </w:p>
        </w:tc>
        <w:tc>
          <w:tcPr>
            <w:tcW w:w="540" w:type="dxa"/>
            <w:noWrap/>
            <w:vAlign w:val="center"/>
          </w:tcPr>
          <w:p w14:paraId="1D0E68A1">
            <w:pPr>
              <w:spacing w:line="300" w:lineRule="auto"/>
              <w:jc w:val="center"/>
              <w:rPr>
                <w:rFonts w:ascii="黑体" w:eastAsia="黑体"/>
                <w:b/>
                <w:color w:val="auto"/>
                <w:sz w:val="24"/>
                <w:highlight w:val="none"/>
              </w:rPr>
            </w:pPr>
          </w:p>
        </w:tc>
        <w:tc>
          <w:tcPr>
            <w:tcW w:w="900" w:type="dxa"/>
            <w:noWrap/>
            <w:vAlign w:val="center"/>
          </w:tcPr>
          <w:p w14:paraId="702E4C60">
            <w:pPr>
              <w:spacing w:line="300" w:lineRule="auto"/>
              <w:jc w:val="center"/>
              <w:rPr>
                <w:rFonts w:ascii="黑体" w:eastAsia="黑体"/>
                <w:b/>
                <w:color w:val="auto"/>
                <w:sz w:val="24"/>
                <w:highlight w:val="none"/>
              </w:rPr>
            </w:pPr>
          </w:p>
        </w:tc>
        <w:tc>
          <w:tcPr>
            <w:tcW w:w="720" w:type="dxa"/>
            <w:noWrap/>
            <w:vAlign w:val="center"/>
          </w:tcPr>
          <w:p w14:paraId="502F36A1">
            <w:pPr>
              <w:spacing w:line="300" w:lineRule="auto"/>
              <w:jc w:val="center"/>
              <w:rPr>
                <w:rFonts w:ascii="黑体" w:eastAsia="黑体"/>
                <w:b/>
                <w:color w:val="auto"/>
                <w:sz w:val="24"/>
                <w:highlight w:val="none"/>
              </w:rPr>
            </w:pPr>
          </w:p>
        </w:tc>
        <w:tc>
          <w:tcPr>
            <w:tcW w:w="900" w:type="dxa"/>
            <w:noWrap/>
            <w:vAlign w:val="center"/>
          </w:tcPr>
          <w:p w14:paraId="2D78E29F">
            <w:pPr>
              <w:spacing w:line="300" w:lineRule="auto"/>
              <w:jc w:val="center"/>
              <w:rPr>
                <w:rFonts w:ascii="黑体" w:eastAsia="黑体"/>
                <w:b/>
                <w:color w:val="auto"/>
                <w:sz w:val="24"/>
                <w:highlight w:val="none"/>
              </w:rPr>
            </w:pPr>
          </w:p>
        </w:tc>
        <w:tc>
          <w:tcPr>
            <w:tcW w:w="1260" w:type="dxa"/>
            <w:noWrap/>
            <w:vAlign w:val="center"/>
          </w:tcPr>
          <w:p w14:paraId="0CD241C3">
            <w:pPr>
              <w:spacing w:line="300" w:lineRule="auto"/>
              <w:jc w:val="center"/>
              <w:rPr>
                <w:rFonts w:ascii="黑体" w:eastAsia="黑体"/>
                <w:b/>
                <w:color w:val="auto"/>
                <w:sz w:val="24"/>
                <w:highlight w:val="none"/>
              </w:rPr>
            </w:pPr>
          </w:p>
        </w:tc>
        <w:tc>
          <w:tcPr>
            <w:tcW w:w="1800" w:type="dxa"/>
            <w:noWrap/>
            <w:vAlign w:val="center"/>
          </w:tcPr>
          <w:p w14:paraId="363C0AD1">
            <w:pPr>
              <w:spacing w:line="300" w:lineRule="auto"/>
              <w:jc w:val="center"/>
              <w:rPr>
                <w:rFonts w:ascii="黑体" w:eastAsia="黑体"/>
                <w:b/>
                <w:color w:val="auto"/>
                <w:sz w:val="24"/>
                <w:highlight w:val="none"/>
              </w:rPr>
            </w:pPr>
          </w:p>
        </w:tc>
        <w:tc>
          <w:tcPr>
            <w:tcW w:w="720" w:type="dxa"/>
            <w:noWrap/>
            <w:vAlign w:val="center"/>
          </w:tcPr>
          <w:p w14:paraId="56E87E03">
            <w:pPr>
              <w:spacing w:line="300" w:lineRule="auto"/>
              <w:jc w:val="center"/>
              <w:rPr>
                <w:rFonts w:ascii="黑体" w:eastAsia="黑体"/>
                <w:b/>
                <w:color w:val="auto"/>
                <w:sz w:val="24"/>
                <w:highlight w:val="none"/>
              </w:rPr>
            </w:pPr>
          </w:p>
        </w:tc>
        <w:tc>
          <w:tcPr>
            <w:tcW w:w="720" w:type="dxa"/>
            <w:noWrap/>
            <w:vAlign w:val="center"/>
          </w:tcPr>
          <w:p w14:paraId="27F6EC90">
            <w:pPr>
              <w:spacing w:line="300" w:lineRule="auto"/>
              <w:jc w:val="center"/>
              <w:rPr>
                <w:rFonts w:ascii="黑体" w:eastAsia="黑体"/>
                <w:b/>
                <w:color w:val="auto"/>
                <w:sz w:val="24"/>
                <w:highlight w:val="none"/>
              </w:rPr>
            </w:pPr>
          </w:p>
        </w:tc>
      </w:tr>
      <w:tr w14:paraId="4EE6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1668859F">
            <w:pPr>
              <w:spacing w:line="300" w:lineRule="auto"/>
              <w:jc w:val="center"/>
              <w:rPr>
                <w:rFonts w:ascii="黑体" w:eastAsia="黑体"/>
                <w:b/>
                <w:color w:val="auto"/>
                <w:sz w:val="24"/>
                <w:highlight w:val="none"/>
              </w:rPr>
            </w:pPr>
          </w:p>
        </w:tc>
        <w:tc>
          <w:tcPr>
            <w:tcW w:w="1024" w:type="dxa"/>
            <w:noWrap/>
            <w:vAlign w:val="center"/>
          </w:tcPr>
          <w:p w14:paraId="14FAC9ED">
            <w:pPr>
              <w:spacing w:line="300" w:lineRule="auto"/>
              <w:jc w:val="center"/>
              <w:rPr>
                <w:rFonts w:ascii="黑体" w:eastAsia="黑体"/>
                <w:b/>
                <w:color w:val="auto"/>
                <w:sz w:val="24"/>
                <w:highlight w:val="none"/>
              </w:rPr>
            </w:pPr>
          </w:p>
        </w:tc>
        <w:tc>
          <w:tcPr>
            <w:tcW w:w="900" w:type="dxa"/>
            <w:noWrap/>
            <w:vAlign w:val="center"/>
          </w:tcPr>
          <w:p w14:paraId="54F34FE5">
            <w:pPr>
              <w:spacing w:line="300" w:lineRule="auto"/>
              <w:jc w:val="center"/>
              <w:rPr>
                <w:rFonts w:ascii="黑体" w:eastAsia="黑体"/>
                <w:b/>
                <w:color w:val="auto"/>
                <w:sz w:val="24"/>
                <w:highlight w:val="none"/>
              </w:rPr>
            </w:pPr>
          </w:p>
        </w:tc>
        <w:tc>
          <w:tcPr>
            <w:tcW w:w="540" w:type="dxa"/>
            <w:noWrap/>
            <w:vAlign w:val="center"/>
          </w:tcPr>
          <w:p w14:paraId="29772AEC">
            <w:pPr>
              <w:spacing w:line="300" w:lineRule="auto"/>
              <w:jc w:val="center"/>
              <w:rPr>
                <w:rFonts w:ascii="黑体" w:eastAsia="黑体"/>
                <w:b/>
                <w:color w:val="auto"/>
                <w:sz w:val="24"/>
                <w:highlight w:val="none"/>
              </w:rPr>
            </w:pPr>
          </w:p>
        </w:tc>
        <w:tc>
          <w:tcPr>
            <w:tcW w:w="900" w:type="dxa"/>
            <w:noWrap/>
            <w:vAlign w:val="center"/>
          </w:tcPr>
          <w:p w14:paraId="0E3D3BA8">
            <w:pPr>
              <w:spacing w:line="300" w:lineRule="auto"/>
              <w:jc w:val="center"/>
              <w:rPr>
                <w:rFonts w:ascii="黑体" w:eastAsia="黑体"/>
                <w:b/>
                <w:color w:val="auto"/>
                <w:sz w:val="24"/>
                <w:highlight w:val="none"/>
              </w:rPr>
            </w:pPr>
          </w:p>
        </w:tc>
        <w:tc>
          <w:tcPr>
            <w:tcW w:w="720" w:type="dxa"/>
            <w:noWrap/>
            <w:vAlign w:val="center"/>
          </w:tcPr>
          <w:p w14:paraId="0FBC22E5">
            <w:pPr>
              <w:spacing w:line="300" w:lineRule="auto"/>
              <w:jc w:val="center"/>
              <w:rPr>
                <w:rFonts w:ascii="黑体" w:eastAsia="黑体"/>
                <w:b/>
                <w:color w:val="auto"/>
                <w:sz w:val="24"/>
                <w:highlight w:val="none"/>
              </w:rPr>
            </w:pPr>
          </w:p>
        </w:tc>
        <w:tc>
          <w:tcPr>
            <w:tcW w:w="900" w:type="dxa"/>
            <w:noWrap/>
            <w:vAlign w:val="center"/>
          </w:tcPr>
          <w:p w14:paraId="4D3EC1D1">
            <w:pPr>
              <w:spacing w:line="300" w:lineRule="auto"/>
              <w:jc w:val="center"/>
              <w:rPr>
                <w:rFonts w:ascii="黑体" w:eastAsia="黑体"/>
                <w:b/>
                <w:color w:val="auto"/>
                <w:sz w:val="24"/>
                <w:highlight w:val="none"/>
              </w:rPr>
            </w:pPr>
          </w:p>
        </w:tc>
        <w:tc>
          <w:tcPr>
            <w:tcW w:w="1260" w:type="dxa"/>
            <w:noWrap/>
            <w:vAlign w:val="center"/>
          </w:tcPr>
          <w:p w14:paraId="0A99EE0E">
            <w:pPr>
              <w:spacing w:line="300" w:lineRule="auto"/>
              <w:jc w:val="center"/>
              <w:rPr>
                <w:rFonts w:ascii="黑体" w:eastAsia="黑体"/>
                <w:b/>
                <w:color w:val="auto"/>
                <w:sz w:val="24"/>
                <w:highlight w:val="none"/>
              </w:rPr>
            </w:pPr>
          </w:p>
        </w:tc>
        <w:tc>
          <w:tcPr>
            <w:tcW w:w="1800" w:type="dxa"/>
            <w:noWrap/>
            <w:vAlign w:val="center"/>
          </w:tcPr>
          <w:p w14:paraId="5F339E2F">
            <w:pPr>
              <w:spacing w:line="300" w:lineRule="auto"/>
              <w:jc w:val="center"/>
              <w:rPr>
                <w:rFonts w:ascii="黑体" w:eastAsia="黑体"/>
                <w:b/>
                <w:color w:val="auto"/>
                <w:sz w:val="24"/>
                <w:highlight w:val="none"/>
              </w:rPr>
            </w:pPr>
          </w:p>
        </w:tc>
        <w:tc>
          <w:tcPr>
            <w:tcW w:w="720" w:type="dxa"/>
            <w:noWrap/>
            <w:vAlign w:val="center"/>
          </w:tcPr>
          <w:p w14:paraId="2EF6418E">
            <w:pPr>
              <w:spacing w:line="300" w:lineRule="auto"/>
              <w:jc w:val="center"/>
              <w:rPr>
                <w:rFonts w:ascii="黑体" w:eastAsia="黑体"/>
                <w:b/>
                <w:color w:val="auto"/>
                <w:sz w:val="24"/>
                <w:highlight w:val="none"/>
              </w:rPr>
            </w:pPr>
          </w:p>
        </w:tc>
        <w:tc>
          <w:tcPr>
            <w:tcW w:w="720" w:type="dxa"/>
            <w:noWrap/>
            <w:vAlign w:val="center"/>
          </w:tcPr>
          <w:p w14:paraId="1A618429">
            <w:pPr>
              <w:spacing w:line="300" w:lineRule="auto"/>
              <w:jc w:val="center"/>
              <w:rPr>
                <w:rFonts w:ascii="黑体" w:eastAsia="黑体"/>
                <w:b/>
                <w:color w:val="auto"/>
                <w:sz w:val="24"/>
                <w:highlight w:val="none"/>
              </w:rPr>
            </w:pPr>
          </w:p>
        </w:tc>
      </w:tr>
      <w:tr w14:paraId="3EF3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64DF77D">
            <w:pPr>
              <w:spacing w:line="300" w:lineRule="auto"/>
              <w:jc w:val="center"/>
              <w:rPr>
                <w:rFonts w:ascii="黑体" w:eastAsia="黑体"/>
                <w:b/>
                <w:color w:val="auto"/>
                <w:sz w:val="24"/>
                <w:highlight w:val="none"/>
              </w:rPr>
            </w:pPr>
          </w:p>
        </w:tc>
        <w:tc>
          <w:tcPr>
            <w:tcW w:w="1024" w:type="dxa"/>
            <w:noWrap/>
            <w:vAlign w:val="center"/>
          </w:tcPr>
          <w:p w14:paraId="29072FD7">
            <w:pPr>
              <w:spacing w:line="300" w:lineRule="auto"/>
              <w:jc w:val="center"/>
              <w:rPr>
                <w:rFonts w:ascii="黑体" w:eastAsia="黑体"/>
                <w:b/>
                <w:color w:val="auto"/>
                <w:sz w:val="24"/>
                <w:highlight w:val="none"/>
              </w:rPr>
            </w:pPr>
          </w:p>
        </w:tc>
        <w:tc>
          <w:tcPr>
            <w:tcW w:w="900" w:type="dxa"/>
            <w:noWrap/>
            <w:vAlign w:val="center"/>
          </w:tcPr>
          <w:p w14:paraId="1AAF3C2E">
            <w:pPr>
              <w:spacing w:line="300" w:lineRule="auto"/>
              <w:jc w:val="center"/>
              <w:rPr>
                <w:rFonts w:ascii="黑体" w:eastAsia="黑体"/>
                <w:b/>
                <w:color w:val="auto"/>
                <w:sz w:val="24"/>
                <w:highlight w:val="none"/>
              </w:rPr>
            </w:pPr>
          </w:p>
        </w:tc>
        <w:tc>
          <w:tcPr>
            <w:tcW w:w="540" w:type="dxa"/>
            <w:noWrap/>
            <w:vAlign w:val="center"/>
          </w:tcPr>
          <w:p w14:paraId="00F56250">
            <w:pPr>
              <w:spacing w:line="300" w:lineRule="auto"/>
              <w:jc w:val="center"/>
              <w:rPr>
                <w:rFonts w:ascii="黑体" w:eastAsia="黑体"/>
                <w:b/>
                <w:color w:val="auto"/>
                <w:sz w:val="24"/>
                <w:highlight w:val="none"/>
              </w:rPr>
            </w:pPr>
          </w:p>
        </w:tc>
        <w:tc>
          <w:tcPr>
            <w:tcW w:w="900" w:type="dxa"/>
            <w:noWrap/>
            <w:vAlign w:val="center"/>
          </w:tcPr>
          <w:p w14:paraId="54A6C916">
            <w:pPr>
              <w:spacing w:line="300" w:lineRule="auto"/>
              <w:jc w:val="center"/>
              <w:rPr>
                <w:rFonts w:ascii="黑体" w:eastAsia="黑体"/>
                <w:b/>
                <w:color w:val="auto"/>
                <w:sz w:val="24"/>
                <w:highlight w:val="none"/>
              </w:rPr>
            </w:pPr>
          </w:p>
        </w:tc>
        <w:tc>
          <w:tcPr>
            <w:tcW w:w="720" w:type="dxa"/>
            <w:noWrap/>
            <w:vAlign w:val="center"/>
          </w:tcPr>
          <w:p w14:paraId="259E2D0B">
            <w:pPr>
              <w:spacing w:line="300" w:lineRule="auto"/>
              <w:jc w:val="center"/>
              <w:rPr>
                <w:rFonts w:ascii="黑体" w:eastAsia="黑体"/>
                <w:b/>
                <w:color w:val="auto"/>
                <w:sz w:val="24"/>
                <w:highlight w:val="none"/>
              </w:rPr>
            </w:pPr>
          </w:p>
        </w:tc>
        <w:tc>
          <w:tcPr>
            <w:tcW w:w="900" w:type="dxa"/>
            <w:noWrap/>
            <w:vAlign w:val="center"/>
          </w:tcPr>
          <w:p w14:paraId="1C48D2F5">
            <w:pPr>
              <w:spacing w:line="300" w:lineRule="auto"/>
              <w:jc w:val="center"/>
              <w:rPr>
                <w:rFonts w:ascii="黑体" w:eastAsia="黑体"/>
                <w:b/>
                <w:color w:val="auto"/>
                <w:sz w:val="24"/>
                <w:highlight w:val="none"/>
              </w:rPr>
            </w:pPr>
          </w:p>
        </w:tc>
        <w:tc>
          <w:tcPr>
            <w:tcW w:w="1260" w:type="dxa"/>
            <w:noWrap/>
            <w:vAlign w:val="center"/>
          </w:tcPr>
          <w:p w14:paraId="58FDEFCF">
            <w:pPr>
              <w:spacing w:line="300" w:lineRule="auto"/>
              <w:jc w:val="center"/>
              <w:rPr>
                <w:rFonts w:ascii="黑体" w:eastAsia="黑体"/>
                <w:b/>
                <w:color w:val="auto"/>
                <w:sz w:val="24"/>
                <w:highlight w:val="none"/>
              </w:rPr>
            </w:pPr>
          </w:p>
        </w:tc>
        <w:tc>
          <w:tcPr>
            <w:tcW w:w="1800" w:type="dxa"/>
            <w:noWrap/>
            <w:vAlign w:val="center"/>
          </w:tcPr>
          <w:p w14:paraId="7361B6B2">
            <w:pPr>
              <w:spacing w:line="300" w:lineRule="auto"/>
              <w:jc w:val="center"/>
              <w:rPr>
                <w:rFonts w:ascii="黑体" w:eastAsia="黑体"/>
                <w:b/>
                <w:color w:val="auto"/>
                <w:sz w:val="24"/>
                <w:highlight w:val="none"/>
              </w:rPr>
            </w:pPr>
          </w:p>
        </w:tc>
        <w:tc>
          <w:tcPr>
            <w:tcW w:w="720" w:type="dxa"/>
            <w:noWrap/>
            <w:vAlign w:val="center"/>
          </w:tcPr>
          <w:p w14:paraId="0646C216">
            <w:pPr>
              <w:spacing w:line="300" w:lineRule="auto"/>
              <w:jc w:val="center"/>
              <w:rPr>
                <w:rFonts w:ascii="黑体" w:eastAsia="黑体"/>
                <w:b/>
                <w:color w:val="auto"/>
                <w:sz w:val="24"/>
                <w:highlight w:val="none"/>
              </w:rPr>
            </w:pPr>
          </w:p>
        </w:tc>
        <w:tc>
          <w:tcPr>
            <w:tcW w:w="720" w:type="dxa"/>
            <w:noWrap/>
            <w:vAlign w:val="center"/>
          </w:tcPr>
          <w:p w14:paraId="010226FB">
            <w:pPr>
              <w:spacing w:line="300" w:lineRule="auto"/>
              <w:jc w:val="center"/>
              <w:rPr>
                <w:rFonts w:ascii="黑体" w:eastAsia="黑体"/>
                <w:b/>
                <w:color w:val="auto"/>
                <w:sz w:val="24"/>
                <w:highlight w:val="none"/>
              </w:rPr>
            </w:pPr>
          </w:p>
        </w:tc>
      </w:tr>
      <w:tr w14:paraId="49C0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77364A4F">
            <w:pPr>
              <w:spacing w:line="300" w:lineRule="auto"/>
              <w:jc w:val="center"/>
              <w:rPr>
                <w:rFonts w:ascii="黑体" w:eastAsia="黑体"/>
                <w:b/>
                <w:color w:val="auto"/>
                <w:sz w:val="24"/>
                <w:highlight w:val="none"/>
              </w:rPr>
            </w:pPr>
          </w:p>
        </w:tc>
        <w:tc>
          <w:tcPr>
            <w:tcW w:w="1024" w:type="dxa"/>
            <w:noWrap/>
            <w:vAlign w:val="center"/>
          </w:tcPr>
          <w:p w14:paraId="08D3D928">
            <w:pPr>
              <w:spacing w:line="300" w:lineRule="auto"/>
              <w:jc w:val="center"/>
              <w:rPr>
                <w:rFonts w:ascii="黑体" w:eastAsia="黑体"/>
                <w:b/>
                <w:color w:val="auto"/>
                <w:sz w:val="24"/>
                <w:highlight w:val="none"/>
              </w:rPr>
            </w:pPr>
          </w:p>
        </w:tc>
        <w:tc>
          <w:tcPr>
            <w:tcW w:w="900" w:type="dxa"/>
            <w:noWrap/>
            <w:vAlign w:val="center"/>
          </w:tcPr>
          <w:p w14:paraId="4B219D83">
            <w:pPr>
              <w:spacing w:line="300" w:lineRule="auto"/>
              <w:jc w:val="center"/>
              <w:rPr>
                <w:rFonts w:ascii="黑体" w:eastAsia="黑体"/>
                <w:b/>
                <w:color w:val="auto"/>
                <w:sz w:val="24"/>
                <w:highlight w:val="none"/>
              </w:rPr>
            </w:pPr>
          </w:p>
        </w:tc>
        <w:tc>
          <w:tcPr>
            <w:tcW w:w="540" w:type="dxa"/>
            <w:noWrap/>
            <w:vAlign w:val="center"/>
          </w:tcPr>
          <w:p w14:paraId="6C01B0F2">
            <w:pPr>
              <w:spacing w:line="300" w:lineRule="auto"/>
              <w:jc w:val="center"/>
              <w:rPr>
                <w:rFonts w:ascii="黑体" w:eastAsia="黑体"/>
                <w:b/>
                <w:color w:val="auto"/>
                <w:sz w:val="24"/>
                <w:highlight w:val="none"/>
              </w:rPr>
            </w:pPr>
          </w:p>
        </w:tc>
        <w:tc>
          <w:tcPr>
            <w:tcW w:w="900" w:type="dxa"/>
            <w:noWrap/>
            <w:vAlign w:val="center"/>
          </w:tcPr>
          <w:p w14:paraId="4822EA2C">
            <w:pPr>
              <w:spacing w:line="300" w:lineRule="auto"/>
              <w:jc w:val="center"/>
              <w:rPr>
                <w:rFonts w:ascii="黑体" w:eastAsia="黑体"/>
                <w:b/>
                <w:color w:val="auto"/>
                <w:sz w:val="24"/>
                <w:highlight w:val="none"/>
              </w:rPr>
            </w:pPr>
          </w:p>
        </w:tc>
        <w:tc>
          <w:tcPr>
            <w:tcW w:w="720" w:type="dxa"/>
            <w:noWrap/>
            <w:vAlign w:val="center"/>
          </w:tcPr>
          <w:p w14:paraId="2D98B682">
            <w:pPr>
              <w:spacing w:line="300" w:lineRule="auto"/>
              <w:jc w:val="center"/>
              <w:rPr>
                <w:rFonts w:ascii="黑体" w:eastAsia="黑体"/>
                <w:b/>
                <w:color w:val="auto"/>
                <w:sz w:val="24"/>
                <w:highlight w:val="none"/>
              </w:rPr>
            </w:pPr>
          </w:p>
        </w:tc>
        <w:tc>
          <w:tcPr>
            <w:tcW w:w="900" w:type="dxa"/>
            <w:noWrap/>
            <w:vAlign w:val="center"/>
          </w:tcPr>
          <w:p w14:paraId="6B599DAF">
            <w:pPr>
              <w:spacing w:line="300" w:lineRule="auto"/>
              <w:jc w:val="center"/>
              <w:rPr>
                <w:rFonts w:ascii="黑体" w:eastAsia="黑体"/>
                <w:b/>
                <w:color w:val="auto"/>
                <w:sz w:val="24"/>
                <w:highlight w:val="none"/>
              </w:rPr>
            </w:pPr>
          </w:p>
        </w:tc>
        <w:tc>
          <w:tcPr>
            <w:tcW w:w="1260" w:type="dxa"/>
            <w:noWrap/>
            <w:vAlign w:val="center"/>
          </w:tcPr>
          <w:p w14:paraId="394A510E">
            <w:pPr>
              <w:spacing w:line="300" w:lineRule="auto"/>
              <w:jc w:val="center"/>
              <w:rPr>
                <w:rFonts w:ascii="黑体" w:eastAsia="黑体"/>
                <w:b/>
                <w:color w:val="auto"/>
                <w:sz w:val="24"/>
                <w:highlight w:val="none"/>
              </w:rPr>
            </w:pPr>
          </w:p>
        </w:tc>
        <w:tc>
          <w:tcPr>
            <w:tcW w:w="1800" w:type="dxa"/>
            <w:noWrap/>
            <w:vAlign w:val="center"/>
          </w:tcPr>
          <w:p w14:paraId="37CE9F08">
            <w:pPr>
              <w:spacing w:line="300" w:lineRule="auto"/>
              <w:jc w:val="center"/>
              <w:rPr>
                <w:rFonts w:ascii="黑体" w:eastAsia="黑体"/>
                <w:b/>
                <w:color w:val="auto"/>
                <w:sz w:val="24"/>
                <w:highlight w:val="none"/>
              </w:rPr>
            </w:pPr>
          </w:p>
        </w:tc>
        <w:tc>
          <w:tcPr>
            <w:tcW w:w="720" w:type="dxa"/>
            <w:noWrap/>
            <w:vAlign w:val="center"/>
          </w:tcPr>
          <w:p w14:paraId="74AB0B97">
            <w:pPr>
              <w:spacing w:line="300" w:lineRule="auto"/>
              <w:jc w:val="center"/>
              <w:rPr>
                <w:rFonts w:ascii="黑体" w:eastAsia="黑体"/>
                <w:b/>
                <w:color w:val="auto"/>
                <w:sz w:val="24"/>
                <w:highlight w:val="none"/>
              </w:rPr>
            </w:pPr>
          </w:p>
        </w:tc>
        <w:tc>
          <w:tcPr>
            <w:tcW w:w="720" w:type="dxa"/>
            <w:noWrap/>
            <w:vAlign w:val="center"/>
          </w:tcPr>
          <w:p w14:paraId="6671F4F7">
            <w:pPr>
              <w:spacing w:line="300" w:lineRule="auto"/>
              <w:jc w:val="center"/>
              <w:rPr>
                <w:rFonts w:ascii="黑体" w:eastAsia="黑体"/>
                <w:b/>
                <w:color w:val="auto"/>
                <w:sz w:val="24"/>
                <w:highlight w:val="none"/>
              </w:rPr>
            </w:pPr>
          </w:p>
        </w:tc>
      </w:tr>
      <w:tr w14:paraId="1553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128E1C0B">
            <w:pPr>
              <w:spacing w:line="300" w:lineRule="auto"/>
              <w:jc w:val="center"/>
              <w:rPr>
                <w:rFonts w:ascii="黑体" w:eastAsia="黑体"/>
                <w:b/>
                <w:color w:val="auto"/>
                <w:sz w:val="24"/>
                <w:highlight w:val="none"/>
              </w:rPr>
            </w:pPr>
          </w:p>
        </w:tc>
        <w:tc>
          <w:tcPr>
            <w:tcW w:w="1024" w:type="dxa"/>
            <w:noWrap/>
            <w:vAlign w:val="center"/>
          </w:tcPr>
          <w:p w14:paraId="4AAC29A6">
            <w:pPr>
              <w:spacing w:line="300" w:lineRule="auto"/>
              <w:jc w:val="center"/>
              <w:rPr>
                <w:rFonts w:ascii="黑体" w:eastAsia="黑体"/>
                <w:b/>
                <w:color w:val="auto"/>
                <w:sz w:val="24"/>
                <w:highlight w:val="none"/>
              </w:rPr>
            </w:pPr>
          </w:p>
        </w:tc>
        <w:tc>
          <w:tcPr>
            <w:tcW w:w="900" w:type="dxa"/>
            <w:noWrap/>
            <w:vAlign w:val="center"/>
          </w:tcPr>
          <w:p w14:paraId="115476DD">
            <w:pPr>
              <w:spacing w:line="300" w:lineRule="auto"/>
              <w:jc w:val="center"/>
              <w:rPr>
                <w:rFonts w:ascii="黑体" w:eastAsia="黑体"/>
                <w:b/>
                <w:color w:val="auto"/>
                <w:sz w:val="24"/>
                <w:highlight w:val="none"/>
              </w:rPr>
            </w:pPr>
          </w:p>
        </w:tc>
        <w:tc>
          <w:tcPr>
            <w:tcW w:w="540" w:type="dxa"/>
            <w:noWrap/>
            <w:vAlign w:val="center"/>
          </w:tcPr>
          <w:p w14:paraId="44ED90ED">
            <w:pPr>
              <w:spacing w:line="300" w:lineRule="auto"/>
              <w:jc w:val="center"/>
              <w:rPr>
                <w:rFonts w:ascii="黑体" w:eastAsia="黑体"/>
                <w:b/>
                <w:color w:val="auto"/>
                <w:sz w:val="24"/>
                <w:highlight w:val="none"/>
              </w:rPr>
            </w:pPr>
          </w:p>
        </w:tc>
        <w:tc>
          <w:tcPr>
            <w:tcW w:w="900" w:type="dxa"/>
            <w:noWrap/>
            <w:vAlign w:val="center"/>
          </w:tcPr>
          <w:p w14:paraId="59200AA7">
            <w:pPr>
              <w:spacing w:line="300" w:lineRule="auto"/>
              <w:jc w:val="center"/>
              <w:rPr>
                <w:rFonts w:ascii="黑体" w:eastAsia="黑体"/>
                <w:b/>
                <w:color w:val="auto"/>
                <w:sz w:val="24"/>
                <w:highlight w:val="none"/>
              </w:rPr>
            </w:pPr>
          </w:p>
        </w:tc>
        <w:tc>
          <w:tcPr>
            <w:tcW w:w="720" w:type="dxa"/>
            <w:noWrap/>
            <w:vAlign w:val="center"/>
          </w:tcPr>
          <w:p w14:paraId="6036B260">
            <w:pPr>
              <w:spacing w:line="300" w:lineRule="auto"/>
              <w:jc w:val="center"/>
              <w:rPr>
                <w:rFonts w:ascii="黑体" w:eastAsia="黑体"/>
                <w:b/>
                <w:color w:val="auto"/>
                <w:sz w:val="24"/>
                <w:highlight w:val="none"/>
              </w:rPr>
            </w:pPr>
          </w:p>
        </w:tc>
        <w:tc>
          <w:tcPr>
            <w:tcW w:w="900" w:type="dxa"/>
            <w:noWrap/>
            <w:vAlign w:val="center"/>
          </w:tcPr>
          <w:p w14:paraId="5F595C4B">
            <w:pPr>
              <w:spacing w:line="300" w:lineRule="auto"/>
              <w:jc w:val="center"/>
              <w:rPr>
                <w:rFonts w:ascii="黑体" w:eastAsia="黑体"/>
                <w:b/>
                <w:color w:val="auto"/>
                <w:sz w:val="24"/>
                <w:highlight w:val="none"/>
              </w:rPr>
            </w:pPr>
          </w:p>
        </w:tc>
        <w:tc>
          <w:tcPr>
            <w:tcW w:w="1260" w:type="dxa"/>
            <w:noWrap/>
            <w:vAlign w:val="center"/>
          </w:tcPr>
          <w:p w14:paraId="7643BC4B">
            <w:pPr>
              <w:spacing w:line="300" w:lineRule="auto"/>
              <w:jc w:val="center"/>
              <w:rPr>
                <w:rFonts w:ascii="黑体" w:eastAsia="黑体"/>
                <w:b/>
                <w:color w:val="auto"/>
                <w:sz w:val="24"/>
                <w:highlight w:val="none"/>
              </w:rPr>
            </w:pPr>
          </w:p>
        </w:tc>
        <w:tc>
          <w:tcPr>
            <w:tcW w:w="1800" w:type="dxa"/>
            <w:noWrap/>
            <w:vAlign w:val="center"/>
          </w:tcPr>
          <w:p w14:paraId="2F07A6E0">
            <w:pPr>
              <w:spacing w:line="300" w:lineRule="auto"/>
              <w:jc w:val="center"/>
              <w:rPr>
                <w:rFonts w:ascii="黑体" w:eastAsia="黑体"/>
                <w:b/>
                <w:color w:val="auto"/>
                <w:sz w:val="24"/>
                <w:highlight w:val="none"/>
              </w:rPr>
            </w:pPr>
          </w:p>
        </w:tc>
        <w:tc>
          <w:tcPr>
            <w:tcW w:w="720" w:type="dxa"/>
            <w:noWrap/>
            <w:vAlign w:val="center"/>
          </w:tcPr>
          <w:p w14:paraId="7EC0F56D">
            <w:pPr>
              <w:spacing w:line="300" w:lineRule="auto"/>
              <w:jc w:val="center"/>
              <w:rPr>
                <w:rFonts w:ascii="黑体" w:eastAsia="黑体"/>
                <w:b/>
                <w:color w:val="auto"/>
                <w:sz w:val="24"/>
                <w:highlight w:val="none"/>
              </w:rPr>
            </w:pPr>
          </w:p>
        </w:tc>
        <w:tc>
          <w:tcPr>
            <w:tcW w:w="720" w:type="dxa"/>
            <w:noWrap/>
            <w:vAlign w:val="center"/>
          </w:tcPr>
          <w:p w14:paraId="3051EA38">
            <w:pPr>
              <w:spacing w:line="300" w:lineRule="auto"/>
              <w:jc w:val="center"/>
              <w:rPr>
                <w:rFonts w:ascii="黑体" w:eastAsia="黑体"/>
                <w:b/>
                <w:color w:val="auto"/>
                <w:sz w:val="24"/>
                <w:highlight w:val="none"/>
              </w:rPr>
            </w:pPr>
          </w:p>
        </w:tc>
      </w:tr>
      <w:tr w14:paraId="3A79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5105FD34">
            <w:pPr>
              <w:spacing w:line="300" w:lineRule="auto"/>
              <w:jc w:val="center"/>
              <w:rPr>
                <w:rFonts w:ascii="黑体" w:eastAsia="黑体"/>
                <w:b/>
                <w:color w:val="auto"/>
                <w:sz w:val="24"/>
                <w:highlight w:val="none"/>
              </w:rPr>
            </w:pPr>
          </w:p>
        </w:tc>
        <w:tc>
          <w:tcPr>
            <w:tcW w:w="1024" w:type="dxa"/>
            <w:noWrap/>
            <w:vAlign w:val="center"/>
          </w:tcPr>
          <w:p w14:paraId="55304B3B">
            <w:pPr>
              <w:spacing w:line="300" w:lineRule="auto"/>
              <w:jc w:val="center"/>
              <w:rPr>
                <w:rFonts w:ascii="黑体" w:eastAsia="黑体"/>
                <w:b/>
                <w:color w:val="auto"/>
                <w:sz w:val="24"/>
                <w:highlight w:val="none"/>
              </w:rPr>
            </w:pPr>
          </w:p>
        </w:tc>
        <w:tc>
          <w:tcPr>
            <w:tcW w:w="900" w:type="dxa"/>
            <w:noWrap/>
            <w:vAlign w:val="center"/>
          </w:tcPr>
          <w:p w14:paraId="7A9A5D76">
            <w:pPr>
              <w:spacing w:line="300" w:lineRule="auto"/>
              <w:jc w:val="center"/>
              <w:rPr>
                <w:rFonts w:ascii="黑体" w:eastAsia="黑体"/>
                <w:b/>
                <w:color w:val="auto"/>
                <w:sz w:val="24"/>
                <w:highlight w:val="none"/>
              </w:rPr>
            </w:pPr>
          </w:p>
        </w:tc>
        <w:tc>
          <w:tcPr>
            <w:tcW w:w="540" w:type="dxa"/>
            <w:noWrap/>
            <w:vAlign w:val="center"/>
          </w:tcPr>
          <w:p w14:paraId="116465A6">
            <w:pPr>
              <w:spacing w:line="300" w:lineRule="auto"/>
              <w:jc w:val="center"/>
              <w:rPr>
                <w:rFonts w:ascii="黑体" w:eastAsia="黑体"/>
                <w:b/>
                <w:color w:val="auto"/>
                <w:sz w:val="24"/>
                <w:highlight w:val="none"/>
              </w:rPr>
            </w:pPr>
          </w:p>
        </w:tc>
        <w:tc>
          <w:tcPr>
            <w:tcW w:w="900" w:type="dxa"/>
            <w:noWrap/>
            <w:vAlign w:val="center"/>
          </w:tcPr>
          <w:p w14:paraId="0FCE6D7C">
            <w:pPr>
              <w:spacing w:line="300" w:lineRule="auto"/>
              <w:jc w:val="center"/>
              <w:rPr>
                <w:rFonts w:ascii="黑体" w:eastAsia="黑体"/>
                <w:b/>
                <w:color w:val="auto"/>
                <w:sz w:val="24"/>
                <w:highlight w:val="none"/>
              </w:rPr>
            </w:pPr>
          </w:p>
        </w:tc>
        <w:tc>
          <w:tcPr>
            <w:tcW w:w="720" w:type="dxa"/>
            <w:noWrap/>
            <w:vAlign w:val="center"/>
          </w:tcPr>
          <w:p w14:paraId="627CE2DF">
            <w:pPr>
              <w:spacing w:line="300" w:lineRule="auto"/>
              <w:jc w:val="center"/>
              <w:rPr>
                <w:rFonts w:ascii="黑体" w:eastAsia="黑体"/>
                <w:b/>
                <w:color w:val="auto"/>
                <w:sz w:val="24"/>
                <w:highlight w:val="none"/>
              </w:rPr>
            </w:pPr>
          </w:p>
        </w:tc>
        <w:tc>
          <w:tcPr>
            <w:tcW w:w="900" w:type="dxa"/>
            <w:noWrap/>
            <w:vAlign w:val="center"/>
          </w:tcPr>
          <w:p w14:paraId="7880E356">
            <w:pPr>
              <w:spacing w:line="300" w:lineRule="auto"/>
              <w:jc w:val="center"/>
              <w:rPr>
                <w:rFonts w:ascii="黑体" w:eastAsia="黑体"/>
                <w:b/>
                <w:color w:val="auto"/>
                <w:sz w:val="24"/>
                <w:highlight w:val="none"/>
              </w:rPr>
            </w:pPr>
          </w:p>
        </w:tc>
        <w:tc>
          <w:tcPr>
            <w:tcW w:w="1260" w:type="dxa"/>
            <w:noWrap/>
            <w:vAlign w:val="center"/>
          </w:tcPr>
          <w:p w14:paraId="2BACBD9B">
            <w:pPr>
              <w:spacing w:line="300" w:lineRule="auto"/>
              <w:jc w:val="center"/>
              <w:rPr>
                <w:rFonts w:ascii="黑体" w:eastAsia="黑体"/>
                <w:b/>
                <w:color w:val="auto"/>
                <w:sz w:val="24"/>
                <w:highlight w:val="none"/>
              </w:rPr>
            </w:pPr>
          </w:p>
        </w:tc>
        <w:tc>
          <w:tcPr>
            <w:tcW w:w="1800" w:type="dxa"/>
            <w:noWrap/>
            <w:vAlign w:val="center"/>
          </w:tcPr>
          <w:p w14:paraId="67BF78A2">
            <w:pPr>
              <w:spacing w:line="300" w:lineRule="auto"/>
              <w:jc w:val="center"/>
              <w:rPr>
                <w:rFonts w:ascii="黑体" w:eastAsia="黑体"/>
                <w:b/>
                <w:color w:val="auto"/>
                <w:sz w:val="24"/>
                <w:highlight w:val="none"/>
              </w:rPr>
            </w:pPr>
          </w:p>
        </w:tc>
        <w:tc>
          <w:tcPr>
            <w:tcW w:w="720" w:type="dxa"/>
            <w:noWrap/>
            <w:vAlign w:val="center"/>
          </w:tcPr>
          <w:p w14:paraId="10C9824E">
            <w:pPr>
              <w:spacing w:line="300" w:lineRule="auto"/>
              <w:jc w:val="center"/>
              <w:rPr>
                <w:rFonts w:ascii="黑体" w:eastAsia="黑体"/>
                <w:b/>
                <w:color w:val="auto"/>
                <w:sz w:val="24"/>
                <w:highlight w:val="none"/>
              </w:rPr>
            </w:pPr>
          </w:p>
        </w:tc>
        <w:tc>
          <w:tcPr>
            <w:tcW w:w="720" w:type="dxa"/>
            <w:noWrap/>
            <w:vAlign w:val="center"/>
          </w:tcPr>
          <w:p w14:paraId="55530F11">
            <w:pPr>
              <w:spacing w:line="300" w:lineRule="auto"/>
              <w:jc w:val="center"/>
              <w:rPr>
                <w:rFonts w:ascii="黑体" w:eastAsia="黑体"/>
                <w:b/>
                <w:color w:val="auto"/>
                <w:sz w:val="24"/>
                <w:highlight w:val="none"/>
              </w:rPr>
            </w:pPr>
          </w:p>
        </w:tc>
      </w:tr>
    </w:tbl>
    <w:p w14:paraId="7954CEA1">
      <w:pP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p>
    <w:p w14:paraId="4060D7C1">
      <w:pPr>
        <w:spacing w:line="360" w:lineRule="auto"/>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附件</w:t>
      </w:r>
      <w:r>
        <w:rPr>
          <w:rFonts w:hint="eastAsia" w:ascii="宋体" w:hAnsi="宋体" w:cs="宋体"/>
          <w:b/>
          <w:color w:val="auto"/>
          <w:sz w:val="24"/>
          <w:szCs w:val="20"/>
          <w:highlight w:val="none"/>
          <w:lang w:val="en-US" w:eastAsia="zh-CN"/>
        </w:rPr>
        <w:t>2</w:t>
      </w:r>
    </w:p>
    <w:p w14:paraId="6613F3BA">
      <w:pPr>
        <w:tabs>
          <w:tab w:val="left" w:pos="7155"/>
        </w:tabs>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供应商分项报价明细表</w:t>
      </w:r>
    </w:p>
    <w:p w14:paraId="5007E3A6">
      <w:pPr>
        <w:widowControl/>
        <w:jc w:val="left"/>
        <w:rPr>
          <w:rFonts w:cs="宋体" w:asciiTheme="minorEastAsia" w:hAnsiTheme="minorEastAsia" w:eastAsiaTheme="minorEastAsia"/>
          <w:b/>
          <w:color w:val="auto"/>
          <w:sz w:val="36"/>
          <w:szCs w:val="36"/>
          <w:highlight w:val="none"/>
        </w:rPr>
      </w:pPr>
      <w:r>
        <w:rPr>
          <w:rFonts w:hint="eastAsia" w:ascii="宋体" w:hAnsi="宋体" w:cs="宋体"/>
          <w:color w:val="auto"/>
          <w:sz w:val="24"/>
          <w:highlight w:val="none"/>
        </w:rPr>
        <w:br w:type="page"/>
      </w:r>
    </w:p>
    <w:p w14:paraId="59FE9D67">
      <w:pPr>
        <w:spacing w:line="360" w:lineRule="auto"/>
        <w:jc w:val="center"/>
        <w:rPr>
          <w:rFonts w:hint="eastAsia" w:ascii="宋体" w:hAnsi="宋体" w:eastAsia="宋体" w:cs="宋体"/>
          <w:b/>
          <w:color w:val="auto"/>
          <w:sz w:val="32"/>
          <w:szCs w:val="32"/>
          <w:highlight w:val="none"/>
        </w:rPr>
      </w:pPr>
      <w:bookmarkStart w:id="1" w:name="_GoBack"/>
      <w:bookmarkEnd w:id="1"/>
      <w:r>
        <w:rPr>
          <w:rFonts w:hint="eastAsia" w:ascii="宋体" w:hAnsi="宋体" w:cs="宋体"/>
          <w:b/>
          <w:color w:val="auto"/>
          <w:sz w:val="32"/>
          <w:szCs w:val="32"/>
          <w:highlight w:val="none"/>
          <w:lang w:eastAsia="zh-CN"/>
        </w:rPr>
        <w:t>2026-2028年南通市公路事业发展中心法律服务项目</w:t>
      </w:r>
      <w:r>
        <w:rPr>
          <w:rFonts w:hint="eastAsia" w:ascii="宋体" w:hAnsi="宋体" w:eastAsia="宋体" w:cs="宋体"/>
          <w:b/>
          <w:color w:val="auto"/>
          <w:sz w:val="32"/>
          <w:szCs w:val="32"/>
          <w:highlight w:val="none"/>
        </w:rPr>
        <w:t>廉政合同</w:t>
      </w:r>
    </w:p>
    <w:p w14:paraId="5364E08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根据交通</w:t>
      </w:r>
      <w:r>
        <w:rPr>
          <w:rFonts w:hint="eastAsia" w:ascii="宋体" w:hAnsi="宋体" w:cs="宋体"/>
          <w:color w:val="auto"/>
          <w:sz w:val="24"/>
          <w:highlight w:val="none"/>
          <w:lang w:val="en-US" w:eastAsia="zh-CN"/>
        </w:rPr>
        <w:t>运输</w:t>
      </w:r>
      <w:r>
        <w:rPr>
          <w:rFonts w:hint="eastAsia" w:ascii="宋体" w:hAnsi="宋体" w:cs="宋体"/>
          <w:color w:val="auto"/>
          <w:sz w:val="24"/>
          <w:highlight w:val="none"/>
        </w:rPr>
        <w:t>部《关于在交通基础设施建设中加强廉政建设的若干意见》以及有关工程建设、廉政建设的规定，为做好工程建设中的党风廉政建设，保证工程建设高效优质，保证建设资金的安全和有效使用以及投资效益，甲方</w:t>
      </w:r>
      <w:r>
        <w:rPr>
          <w:rFonts w:hint="eastAsia" w:ascii="宋体" w:hAnsi="宋体" w:cs="宋体"/>
          <w:color w:val="auto"/>
          <w:sz w:val="24"/>
          <w:highlight w:val="none"/>
          <w:u w:val="single"/>
        </w:rPr>
        <w:t xml:space="preserve">     （全称）      </w:t>
      </w:r>
      <w:r>
        <w:rPr>
          <w:rFonts w:hint="eastAsia" w:ascii="宋体" w:hAnsi="宋体" w:cs="宋体"/>
          <w:color w:val="auto"/>
          <w:sz w:val="24"/>
          <w:highlight w:val="none"/>
        </w:rPr>
        <w:t>与乙方</w:t>
      </w:r>
      <w:r>
        <w:rPr>
          <w:rFonts w:hint="eastAsia" w:ascii="宋体" w:hAnsi="宋体" w:cs="宋体"/>
          <w:color w:val="auto"/>
          <w:sz w:val="24"/>
          <w:highlight w:val="none"/>
          <w:u w:val="single"/>
        </w:rPr>
        <w:t xml:space="preserve"> （全称）   </w:t>
      </w:r>
      <w:r>
        <w:rPr>
          <w:rFonts w:hint="eastAsia" w:ascii="宋体" w:hAnsi="宋体" w:cs="宋体"/>
          <w:color w:val="auto"/>
          <w:sz w:val="24"/>
          <w:highlight w:val="none"/>
        </w:rPr>
        <w:t>特订立如下合同。</w:t>
      </w:r>
    </w:p>
    <w:p w14:paraId="27BD64B5">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第一条</w:t>
      </w:r>
      <w:r>
        <w:rPr>
          <w:rFonts w:hint="eastAsia" w:ascii="宋体" w:hAnsi="宋体" w:cs="宋体"/>
          <w:color w:val="auto"/>
          <w:sz w:val="24"/>
          <w:highlight w:val="none"/>
        </w:rPr>
        <w:t>甲乙双方的权利和义务</w:t>
      </w:r>
    </w:p>
    <w:p w14:paraId="258E03A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（一）严格遵守国家有关法律法规及交通运输部的有关规定。</w:t>
      </w:r>
    </w:p>
    <w:p w14:paraId="750C92A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（二）严格执行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的合同文件，自觉按合同办事。</w:t>
      </w:r>
    </w:p>
    <w:p w14:paraId="317FB98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（三）双方的业务活动坚持公开、公正、诚信、透明的原则（除法律认定的商业秘密和合同文件另有规定之外），不得损害国家和集体利益，违反工程建设管理规章制度。</w:t>
      </w:r>
    </w:p>
    <w:p w14:paraId="13AE04C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（四）建立健全廉政制度，开展廉政教育，设立廉政告示牌，公布举报电话，监督并认真查处违法违纪行为。</w:t>
      </w:r>
    </w:p>
    <w:p w14:paraId="2D2F0DB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（五）发现对方在业务活动中有违反廉政规定的行为，有及时提醒对方纠正的权利和义务。</w:t>
      </w:r>
    </w:p>
    <w:p w14:paraId="60D893D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（六）发现对方严重违反本合同义务条款的行为，有向其上级有关部门举报、建议给予处理并要求告知处理结果的权利。影响合同履行的，可按照合同中关于合同解除的约定处理。</w:t>
      </w:r>
    </w:p>
    <w:p w14:paraId="12FC3764">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第二条</w:t>
      </w:r>
      <w:r>
        <w:rPr>
          <w:rFonts w:hint="eastAsia" w:ascii="宋体" w:hAnsi="宋体" w:cs="宋体"/>
          <w:color w:val="auto"/>
          <w:sz w:val="24"/>
          <w:highlight w:val="none"/>
        </w:rPr>
        <w:t>甲方的义务</w:t>
      </w:r>
    </w:p>
    <w:p w14:paraId="1506385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（一）甲方作为工程项目的建设单位，认真履行合同规定的甲方责任。</w:t>
      </w:r>
    </w:p>
    <w:p w14:paraId="5AABD85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（二）甲方及其工作人员不得索要或接受乙方的礼金、有价证券和贵重物品，不得在乙方报销任何应由甲方或个人支付的费用等。</w:t>
      </w:r>
    </w:p>
    <w:p w14:paraId="1314506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（三）甲方工作人员不得参加乙方安排的超标准宴请和娱乐活动；不得接受乙方提供的通讯工具、交通工具和高档办公用品等。</w:t>
      </w:r>
    </w:p>
    <w:p w14:paraId="037521A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（四）甲方及其工作人员不得要求或者接受乙方为其住房装修、婚丧嫁娶活动、配偶子女的工作安排以及出国出境、旅游等提供方便等。</w:t>
      </w:r>
    </w:p>
    <w:p w14:paraId="0E32AAB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（五）甲方工作人员的配偶、子女不得从事与甲方工程有关的项目。</w:t>
      </w:r>
    </w:p>
    <w:p w14:paraId="2511D61E">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第三条</w:t>
      </w:r>
      <w:r>
        <w:rPr>
          <w:rFonts w:hint="eastAsia" w:ascii="宋体" w:hAnsi="宋体" w:cs="宋体"/>
          <w:color w:val="auto"/>
          <w:sz w:val="24"/>
          <w:highlight w:val="none"/>
        </w:rPr>
        <w:t>乙方的义务</w:t>
      </w:r>
    </w:p>
    <w:p w14:paraId="1BF00A2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（一）乙方不得以任何理由向甲方及其工作人员行贿或馈赠礼金、有价证券、贵重礼品。</w:t>
      </w:r>
    </w:p>
    <w:p w14:paraId="71C7096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（二）乙方不得以任何名义为甲方及其工作人员报销应由甲方单位或个人支付的任何费用。</w:t>
      </w:r>
    </w:p>
    <w:p w14:paraId="33F8A5A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（三）乙方不得以任何理由安排甲方工作人员参加超标准宴请及娱乐活动。</w:t>
      </w:r>
    </w:p>
    <w:p w14:paraId="615FC76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（四）乙方不得为甲方单位和个人购置或提供通讯工具、交通工具和高档办公用品等。</w:t>
      </w:r>
    </w:p>
    <w:p w14:paraId="3461471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（五）乙方及其工作人员不得索取或接受工作关系单位的礼金、有价证券和贵重物品，不得在工作关系报销任何应由乙方或个人支付的费用。</w:t>
      </w:r>
    </w:p>
    <w:p w14:paraId="1CB22BB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（六）乙方及其工作人员必须严格按照规程办事，不得损害甲方利益。</w:t>
      </w:r>
    </w:p>
    <w:p w14:paraId="7B0E2E76">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第四条</w:t>
      </w:r>
      <w:r>
        <w:rPr>
          <w:rFonts w:hint="eastAsia" w:ascii="宋体" w:hAnsi="宋体" w:cs="宋体"/>
          <w:color w:val="auto"/>
          <w:sz w:val="24"/>
          <w:highlight w:val="none"/>
        </w:rPr>
        <w:t>违约责任</w:t>
      </w:r>
    </w:p>
    <w:p w14:paraId="3413F0C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（一）甲方及其工作人员违反本合同第一、二条；按管理权限，依据有关规定给予党纪、政纪或组织处理；涉嫌犯罪的，移交司法机关追究刑事责任；给乙方单位造成经济损失的，应予以赔偿。</w:t>
      </w:r>
    </w:p>
    <w:p w14:paraId="274C7C3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二）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0E7A5556">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第五条</w:t>
      </w:r>
      <w:r>
        <w:rPr>
          <w:rFonts w:hint="eastAsia" w:ascii="宋体" w:hAnsi="宋体" w:cs="宋体"/>
          <w:color w:val="auto"/>
          <w:sz w:val="24"/>
          <w:highlight w:val="none"/>
        </w:rPr>
        <w:t>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2A8182F3">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第六条</w:t>
      </w:r>
      <w:r>
        <w:rPr>
          <w:rFonts w:hint="eastAsia" w:ascii="宋体" w:hAnsi="宋体" w:cs="宋体"/>
          <w:color w:val="auto"/>
          <w:sz w:val="24"/>
          <w:highlight w:val="none"/>
        </w:rPr>
        <w:t>本合同有效期为甲乙双方签署之日起至该工程项目所有工作内容完成并经甲方验收合格后止。</w:t>
      </w:r>
    </w:p>
    <w:p w14:paraId="4C658806">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第七条</w:t>
      </w:r>
      <w:r>
        <w:rPr>
          <w:rFonts w:hint="eastAsia" w:ascii="宋体" w:hAnsi="宋体" w:cs="宋体"/>
          <w:color w:val="auto"/>
          <w:sz w:val="24"/>
          <w:highlight w:val="none"/>
        </w:rPr>
        <w:t>本合同作为</w:t>
      </w:r>
      <w:r>
        <w:rPr>
          <w:rFonts w:hint="eastAsia" w:ascii="宋体" w:hAnsi="宋体" w:cs="宋体"/>
          <w:color w:val="auto"/>
          <w:sz w:val="24"/>
          <w:highlight w:val="none"/>
          <w:lang w:eastAsia="zh-CN"/>
        </w:rPr>
        <w:t>2026-2028年南通市公路事业发展中心法律服务项目</w:t>
      </w:r>
      <w:r>
        <w:rPr>
          <w:rFonts w:hint="eastAsia" w:ascii="宋体" w:hAnsi="宋体" w:cs="宋体"/>
          <w:color w:val="auto"/>
          <w:sz w:val="24"/>
          <w:highlight w:val="none"/>
        </w:rPr>
        <w:t>合同的附件，与</w:t>
      </w:r>
      <w:r>
        <w:rPr>
          <w:rFonts w:hint="eastAsia" w:ascii="宋体" w:hAnsi="宋体" w:cs="宋体"/>
          <w:color w:val="auto"/>
          <w:sz w:val="24"/>
          <w:highlight w:val="none"/>
          <w:lang w:eastAsia="zh-CN"/>
        </w:rPr>
        <w:t>2026-2028年南通市公路事业发展中心法律服务项目</w:t>
      </w:r>
      <w:r>
        <w:rPr>
          <w:rFonts w:hint="eastAsia" w:ascii="宋体" w:hAnsi="宋体" w:cs="宋体"/>
          <w:color w:val="auto"/>
          <w:sz w:val="24"/>
          <w:highlight w:val="none"/>
        </w:rPr>
        <w:t>合同具有同等的法律效力，经合同双方签署立即生效。</w:t>
      </w:r>
    </w:p>
    <w:p w14:paraId="3D6701A9">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第八条</w:t>
      </w:r>
      <w:r>
        <w:rPr>
          <w:rFonts w:hint="eastAsia" w:ascii="宋体" w:hAnsi="宋体" w:cs="宋体"/>
          <w:color w:val="auto"/>
          <w:sz w:val="24"/>
          <w:highlight w:val="none"/>
        </w:rPr>
        <w:t>本合同一式六份，双方各执三份。</w:t>
      </w:r>
    </w:p>
    <w:p w14:paraId="4BB20B68">
      <w:pPr>
        <w:spacing w:line="360" w:lineRule="auto"/>
        <w:rPr>
          <w:rFonts w:ascii="宋体" w:hAnsi="宋体" w:cs="宋体"/>
          <w:color w:val="auto"/>
          <w:sz w:val="24"/>
          <w:highlight w:val="none"/>
        </w:rPr>
      </w:pPr>
    </w:p>
    <w:p w14:paraId="720B6A1B">
      <w:pPr>
        <w:spacing w:line="360" w:lineRule="auto"/>
        <w:rPr>
          <w:rFonts w:ascii="宋体" w:hAnsi="宋体" w:cs="宋体"/>
          <w:color w:val="auto"/>
          <w:sz w:val="24"/>
          <w:highlight w:val="none"/>
        </w:rPr>
      </w:pPr>
    </w:p>
    <w:p w14:paraId="6ADD94F7">
      <w:pPr>
        <w:spacing w:line="360" w:lineRule="auto"/>
        <w:jc w:val="left"/>
        <w:rPr>
          <w:rFonts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color w:val="auto"/>
          <w:sz w:val="24"/>
          <w:highlight w:val="none"/>
        </w:rPr>
        <w:tab/>
      </w:r>
      <w:r>
        <w:rPr>
          <w:rFonts w:hint="eastAsia" w:ascii="宋体" w:hAnsi="宋体" w:cs="宋体"/>
          <w:color w:val="auto"/>
          <w:sz w:val="24"/>
          <w:highlight w:val="none"/>
        </w:rPr>
        <w:t>（盖单位章）                     乙方：（盖单位章）</w:t>
      </w:r>
    </w:p>
    <w:p w14:paraId="6E46EDBF">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                              法定代表人</w:t>
      </w:r>
    </w:p>
    <w:p w14:paraId="632BF0CE">
      <w:pPr>
        <w:spacing w:line="360" w:lineRule="auto"/>
        <w:jc w:val="left"/>
        <w:rPr>
          <w:rFonts w:ascii="宋体" w:hAnsi="宋体" w:cs="宋体"/>
          <w:color w:val="auto"/>
          <w:sz w:val="24"/>
          <w:highlight w:val="none"/>
        </w:rPr>
      </w:pPr>
      <w:r>
        <w:rPr>
          <w:rFonts w:hint="eastAsia" w:ascii="宋体" w:hAnsi="宋体" w:cs="宋体"/>
          <w:color w:val="auto"/>
          <w:sz w:val="24"/>
          <w:highlight w:val="none"/>
        </w:rPr>
        <w:t>或其委托代理人：（签字或盖章）          或其委托代理人：（签字或盖章）</w:t>
      </w:r>
    </w:p>
    <w:p w14:paraId="7610B367">
      <w:pPr>
        <w:spacing w:line="360" w:lineRule="auto"/>
        <w:jc w:val="left"/>
        <w:rPr>
          <w:rFonts w:ascii="宋体" w:hAnsi="宋体" w:cs="宋体"/>
          <w:color w:val="auto"/>
          <w:sz w:val="24"/>
          <w:highlight w:val="none"/>
        </w:rPr>
      </w:pPr>
    </w:p>
    <w:p w14:paraId="42199C5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年 </w:t>
      </w:r>
      <w:r>
        <w:rPr>
          <w:rFonts w:hint="eastAsia" w:ascii="宋体" w:hAnsi="宋体" w:cs="宋体"/>
          <w:color w:val="auto"/>
          <w:sz w:val="24"/>
          <w:highlight w:val="none"/>
        </w:rPr>
        <w:tab/>
      </w:r>
      <w:r>
        <w:rPr>
          <w:rFonts w:hint="eastAsia" w:ascii="宋体" w:hAnsi="宋体" w:cs="宋体"/>
          <w:color w:val="auto"/>
          <w:sz w:val="24"/>
          <w:highlight w:val="none"/>
        </w:rPr>
        <w:t xml:space="preserve">  月 </w:t>
      </w:r>
      <w:r>
        <w:rPr>
          <w:rFonts w:hint="eastAsia" w:ascii="宋体" w:hAnsi="宋体" w:cs="宋体"/>
          <w:color w:val="auto"/>
          <w:sz w:val="24"/>
          <w:highlight w:val="none"/>
        </w:rPr>
        <w:tab/>
      </w:r>
      <w:r>
        <w:rPr>
          <w:rFonts w:hint="eastAsia" w:ascii="宋体" w:hAnsi="宋体" w:cs="宋体"/>
          <w:color w:val="auto"/>
          <w:sz w:val="24"/>
          <w:highlight w:val="none"/>
        </w:rPr>
        <w:t xml:space="preserve">  日</w:t>
      </w:r>
    </w:p>
    <w:p w14:paraId="0B3C7C43">
      <w:pPr>
        <w:rPr>
          <w:rFonts w:ascii="宋体" w:hAnsi="宋体" w:cs="宋体"/>
          <w:color w:val="auto"/>
          <w:sz w:val="36"/>
          <w:szCs w:val="36"/>
          <w:highlight w:val="none"/>
        </w:rPr>
        <w:sectPr>
          <w:footerReference r:id="rId4" w:type="default"/>
          <w:pgSz w:w="11905" w:h="16838"/>
          <w:pgMar w:top="1429" w:right="1429" w:bottom="1429" w:left="1429" w:header="850" w:footer="992" w:gutter="0"/>
          <w:cols w:space="0" w:num="1"/>
          <w:rtlGutter w:val="0"/>
          <w:docGrid w:linePitch="360" w:charSpace="0"/>
        </w:sectPr>
      </w:pPr>
    </w:p>
    <w:p w14:paraId="4B1298AC">
      <w:pPr>
        <w:spacing w:line="300" w:lineRule="auto"/>
        <w:jc w:val="center"/>
        <w:rPr>
          <w:rFonts w:hint="eastAsia"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eastAsia="zh-CN"/>
        </w:rPr>
        <w:t>2026-2028年南通市公路事业发展中心法律服务项目</w:t>
      </w:r>
      <w:r>
        <w:rPr>
          <w:rFonts w:hint="eastAsia" w:ascii="宋体" w:hAnsi="宋体" w:eastAsia="宋体" w:cs="宋体"/>
          <w:b/>
          <w:color w:val="auto"/>
          <w:sz w:val="32"/>
          <w:szCs w:val="32"/>
          <w:highlight w:val="none"/>
          <w:lang w:val="en-US" w:eastAsia="zh-CN"/>
        </w:rPr>
        <w:t>保密协议</w:t>
      </w:r>
    </w:p>
    <w:p w14:paraId="02723D2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南通市公路事业发展中心</w:t>
      </w:r>
    </w:p>
    <w:p w14:paraId="319812C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w:t>
      </w:r>
    </w:p>
    <w:p w14:paraId="7C3C575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乙方因承接</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u w:val="single"/>
          <w:lang w:eastAsia="zh-CN"/>
        </w:rPr>
        <w:t>2026-2028年南通市公路事业发展中心法律服务项目</w:t>
      </w:r>
      <w:r>
        <w:rPr>
          <w:rFonts w:hint="eastAsia" w:ascii="宋体" w:hAnsi="宋体" w:eastAsia="宋体" w:cs="宋体"/>
          <w:color w:val="auto"/>
          <w:kern w:val="0"/>
          <w:sz w:val="24"/>
          <w:szCs w:val="24"/>
          <w:highlight w:val="none"/>
        </w:rPr>
        <w:t>的协作，已经（或将要）知悉国家秘密和</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的商业秘密、技术秘密和其他合法秘密（以下简称“秘密”）。为了明确乙方的保密义务，甲、乙双方本着平等、自愿、公平和诚实信用的原则，订立本保密协议。</w:t>
      </w:r>
    </w:p>
    <w:p w14:paraId="1D01D0D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双方确认在签署本协议前已经详细审阅过协议的内容，并完全了解协议各条款的法律含义。乙方按本协议有义务为</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保守秘密。</w:t>
      </w:r>
    </w:p>
    <w:p w14:paraId="713DB9E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第一条、保密的内容和范围</w:t>
      </w:r>
    </w:p>
    <w:p w14:paraId="4EEC40F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甲、乙双方确认，乙方应承担保密义务的</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秘密范围包括但不限于本协议签订时存在的及本协议签订后乙方在</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工作期间形成的以下内容：</w:t>
      </w:r>
    </w:p>
    <w:p w14:paraId="0EF6F82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1、国家秘密：关系国家的安全和利益，依照法定程序确定，在一定时间内只限一定范围的人员知悉的事项；</w:t>
      </w:r>
    </w:p>
    <w:p w14:paraId="31C6BD6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技术信息：包括但不限于建筑设计规划方案、工程建设、技术方案、工程设计、计算机软件、数据库、工艺流程、技术指标、图纸、样品、样机、操作手册、技术文档、涉及商业秘密的业务函电、产品标准等等；</w:t>
      </w:r>
    </w:p>
    <w:p w14:paraId="6B6934A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3、经营信息：包括但不限于采购资料、管理制度、不公开的财务资料、招投标中的标底及标书内容等等；</w:t>
      </w:r>
    </w:p>
    <w:p w14:paraId="104C360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依照法律规定或者有关协议的约定，对外承担保密义务的事项；</w:t>
      </w:r>
    </w:p>
    <w:p w14:paraId="6C787EE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5、其他</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采取保密措施的有关信息。</w:t>
      </w:r>
    </w:p>
    <w:p w14:paraId="6120E98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第二条、乙方的保密义务</w:t>
      </w:r>
    </w:p>
    <w:p w14:paraId="51C0F73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对第一条所称的秘密，乙方承担以下保密义务：</w:t>
      </w:r>
    </w:p>
    <w:p w14:paraId="51B2DE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1、遵守《中华人民共和国保守国家秘密法》和《中华人民共和国反不正当竞争法》等相关法律、法规、规章、规范性文件和政策的规定，遵守</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有关保密的规章制度的规定；</w:t>
      </w:r>
    </w:p>
    <w:p w14:paraId="40AF0D3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2、不得刺探与本职工作或本身业务无关的秘密；或以盗窃、利诱、胁迫或其他不正当手段获取</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的秘密；</w:t>
      </w:r>
    </w:p>
    <w:p w14:paraId="4228759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3、不得向不承担保密义务的任何第三人披露或在工作范围外使用</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的秘密；</w:t>
      </w:r>
    </w:p>
    <w:p w14:paraId="61E8EE7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4、不得以任何形式允许（出借、赠与、出租、转让等处分</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秘密的行为皆属于“允许”）或协助不承担保密义务的任何第三人使用</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的秘密；</w:t>
      </w:r>
    </w:p>
    <w:p w14:paraId="408A325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5、如发现秘密被泄露或者自己过失泄露秘密，应当采取有效措施防止泄密进一步扩大，并及时向</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报告；</w:t>
      </w:r>
    </w:p>
    <w:p w14:paraId="6AB4114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6、乙方与</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签订的有关合同内容作为</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秘密的一部分，不论合同是否履行完毕，乙方不得使任何第三人知悉（包括但不限于披漏、展示、宣传等）其在</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处的合同工作内容；</w:t>
      </w:r>
    </w:p>
    <w:p w14:paraId="00A6D99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另行要求的保密义务。</w:t>
      </w:r>
    </w:p>
    <w:p w14:paraId="22DE718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第三条、保密期限</w:t>
      </w:r>
    </w:p>
    <w:p w14:paraId="11C63A7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甲、乙双方确认，乙方的保密义务自合同签订之日起开始，到该秘密公开时止。乙方在</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处的工作是否完成，不影响保密义务的承担。</w:t>
      </w:r>
    </w:p>
    <w:p w14:paraId="4B651A6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第四条、其他约定</w:t>
      </w:r>
    </w:p>
    <w:p w14:paraId="082E874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负责提出具体保密要求，定期或不定期的进行监督检查，乙方必须积极配合</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的保密检查，并严格按照</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的保密要求做好保密措施的整改工作。</w:t>
      </w:r>
    </w:p>
    <w:p w14:paraId="003BE20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未经他方书面许可，任何一方不得将其持有的有关另一方的事务或其事务运行操作方法等保密信息向协议以外的第三方或公众透露，且不得对保密信息进行拷贝和抄写。</w:t>
      </w:r>
    </w:p>
    <w:p w14:paraId="6593246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第五条、违约责任</w:t>
      </w:r>
    </w:p>
    <w:p w14:paraId="22188BA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甲、乙双方约定，如果乙方不履行本协议第二条、第三条、第四条所规定的保密义务，应当承担违约责任：</w:t>
      </w:r>
    </w:p>
    <w:p w14:paraId="7F4B3BE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1、如果乙方发生保密违规违纪事件，</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从乙方的合同款中扣除相应额度的罚款（当合同款余款不足时，乙方应一次性向</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补足差额），发生一起，查处一起；</w:t>
      </w:r>
    </w:p>
    <w:p w14:paraId="3F8E219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2、如果乙方发生经国家有关部门认定的“泄露国家秘密”事件，乙方应一次性向</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支付违约金额按照合同款总额的90％计算，不足十万元按十万元计；</w:t>
      </w:r>
    </w:p>
    <w:p w14:paraId="3399C5A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3、如果</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发现乙方泄露除“国家秘密”以外的其他秘密，乙方应一次性向</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支付合同总金额的50%的违约金；</w:t>
      </w:r>
    </w:p>
    <w:p w14:paraId="6919F70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4、如果本条第二款、第三款约定的违约金不足以弥补</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的损失，乙方还应当向</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承担损失赔偿责任；同时</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有权单方面终止与乙方的合作，乙方承担由此产生的一切损失；</w:t>
      </w:r>
    </w:p>
    <w:p w14:paraId="5ED6944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因乙方的违约行为而支付的调查费、诉讼费、律师费等合理费用，应当包含在损失赔偿额之内；</w:t>
      </w:r>
    </w:p>
    <w:p w14:paraId="3BC18C9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6、对乙方及其员工因违反第二条所规定的保密义务乙方及其员工行为构成犯罪的，依法追究刑事责任；</w:t>
      </w:r>
    </w:p>
    <w:p w14:paraId="6D0F91D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7、乙方员工履行职务行为违反本协议时，乙方应当向</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承担违约责任。</w:t>
      </w:r>
    </w:p>
    <w:p w14:paraId="0AC8708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第六条、争议的解决办法</w:t>
      </w:r>
    </w:p>
    <w:p w14:paraId="64B4A5C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因执行本协议而发生纠纷，可以由双方协商解决或者共同委托双方信任的第三方调解。协商、调解不成或者一方不愿意协商、调解的，双方一致同意任何一方都有权向南通仲裁委员会提出仲裁解决。</w:t>
      </w:r>
    </w:p>
    <w:p w14:paraId="7904FA4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第七条、协议的效力和变更</w:t>
      </w:r>
    </w:p>
    <w:p w14:paraId="49FEA8F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1、本协议自双方签字盖章后生效。本协议的任何修改必须经过双方的书面同意。本协议一式</w:t>
      </w:r>
      <w:r>
        <w:rPr>
          <w:rFonts w:hint="eastAsia" w:ascii="宋体" w:hAnsi="宋体" w:cs="宋体"/>
          <w:color w:val="auto"/>
          <w:kern w:val="0"/>
          <w:sz w:val="24"/>
          <w:szCs w:val="24"/>
          <w:highlight w:val="none"/>
          <w:lang w:val="en-US" w:eastAsia="zh-CN"/>
        </w:rPr>
        <w:t>陆</w:t>
      </w:r>
      <w:r>
        <w:rPr>
          <w:rFonts w:hint="eastAsia" w:ascii="宋体" w:hAnsi="宋体" w:eastAsia="宋体" w:cs="宋体"/>
          <w:color w:val="auto"/>
          <w:kern w:val="0"/>
          <w:sz w:val="24"/>
          <w:szCs w:val="24"/>
          <w:highlight w:val="none"/>
        </w:rPr>
        <w:t>份，双方各执</w:t>
      </w:r>
      <w:r>
        <w:rPr>
          <w:rFonts w:hint="eastAsia" w:ascii="宋体" w:hAnsi="宋体" w:cs="宋体"/>
          <w:color w:val="auto"/>
          <w:kern w:val="0"/>
          <w:sz w:val="24"/>
          <w:szCs w:val="24"/>
          <w:highlight w:val="none"/>
          <w:lang w:val="en-US" w:eastAsia="zh-CN"/>
        </w:rPr>
        <w:t>叁</w:t>
      </w:r>
      <w:r>
        <w:rPr>
          <w:rFonts w:hint="eastAsia" w:ascii="宋体" w:hAnsi="宋体" w:eastAsia="宋体" w:cs="宋体"/>
          <w:color w:val="auto"/>
          <w:kern w:val="0"/>
          <w:sz w:val="24"/>
          <w:szCs w:val="24"/>
          <w:highlight w:val="none"/>
        </w:rPr>
        <w:t>份。</w:t>
      </w:r>
    </w:p>
    <w:p w14:paraId="48CC1A0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2、本协议是对国家有关保密法律法规、政策规定及</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有关保密规章制度的补充，可以同时适用；本协议与国家有关保密法律法规、政策规定及</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有关保密规章制度的强制性条款相冲突时，以国家有关保密法律法规、政策及</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有关保密规章制度为准。</w:t>
      </w:r>
    </w:p>
    <w:p w14:paraId="72E5003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p>
    <w:p w14:paraId="34D71B12">
      <w:pPr>
        <w:spacing w:line="360" w:lineRule="auto"/>
        <w:rPr>
          <w:rFonts w:ascii="宋体" w:hAnsi="宋体" w:cs="宋体"/>
          <w:color w:val="auto"/>
          <w:sz w:val="24"/>
          <w:highlight w:val="none"/>
        </w:rPr>
      </w:pPr>
    </w:p>
    <w:p w14:paraId="261E22CC">
      <w:pPr>
        <w:spacing w:line="360" w:lineRule="auto"/>
        <w:jc w:val="left"/>
        <w:rPr>
          <w:rFonts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color w:val="auto"/>
          <w:sz w:val="24"/>
          <w:highlight w:val="none"/>
        </w:rPr>
        <w:tab/>
      </w:r>
      <w:r>
        <w:rPr>
          <w:rFonts w:hint="eastAsia" w:ascii="宋体" w:hAnsi="宋体" w:cs="宋体"/>
          <w:color w:val="auto"/>
          <w:sz w:val="24"/>
          <w:highlight w:val="none"/>
        </w:rPr>
        <w:t>（盖单位章）                     乙方：（盖单位章）</w:t>
      </w:r>
    </w:p>
    <w:p w14:paraId="5D23F1FF">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                              法定代表人</w:t>
      </w:r>
    </w:p>
    <w:p w14:paraId="609B6826">
      <w:pPr>
        <w:spacing w:line="360" w:lineRule="auto"/>
        <w:jc w:val="left"/>
        <w:rPr>
          <w:rFonts w:ascii="宋体" w:hAnsi="宋体" w:cs="宋体"/>
          <w:color w:val="auto"/>
          <w:sz w:val="24"/>
          <w:highlight w:val="none"/>
        </w:rPr>
      </w:pPr>
      <w:r>
        <w:rPr>
          <w:rFonts w:hint="eastAsia" w:ascii="宋体" w:hAnsi="宋体" w:cs="宋体"/>
          <w:color w:val="auto"/>
          <w:sz w:val="24"/>
          <w:highlight w:val="none"/>
        </w:rPr>
        <w:t>或其委托代理人：（签字或盖章）          或其委托代理人：（签字或盖章）</w:t>
      </w:r>
    </w:p>
    <w:p w14:paraId="15A19C8A">
      <w:pPr>
        <w:spacing w:line="360" w:lineRule="auto"/>
        <w:jc w:val="left"/>
        <w:rPr>
          <w:rFonts w:ascii="宋体" w:hAnsi="宋体" w:cs="宋体"/>
          <w:color w:val="auto"/>
          <w:sz w:val="24"/>
          <w:highlight w:val="none"/>
        </w:rPr>
      </w:pPr>
    </w:p>
    <w:p w14:paraId="2F84DFA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年 </w:t>
      </w:r>
      <w:r>
        <w:rPr>
          <w:rFonts w:hint="eastAsia" w:ascii="宋体" w:hAnsi="宋体" w:cs="宋体"/>
          <w:color w:val="auto"/>
          <w:sz w:val="24"/>
          <w:highlight w:val="none"/>
        </w:rPr>
        <w:tab/>
      </w:r>
      <w:r>
        <w:rPr>
          <w:rFonts w:hint="eastAsia" w:ascii="宋体" w:hAnsi="宋体" w:cs="宋体"/>
          <w:color w:val="auto"/>
          <w:sz w:val="24"/>
          <w:highlight w:val="none"/>
        </w:rPr>
        <w:t xml:space="preserve">  月 </w:t>
      </w:r>
      <w:r>
        <w:rPr>
          <w:rFonts w:hint="eastAsia" w:ascii="宋体" w:hAnsi="宋体" w:cs="宋体"/>
          <w:color w:val="auto"/>
          <w:sz w:val="24"/>
          <w:highlight w:val="none"/>
        </w:rPr>
        <w:tab/>
      </w:r>
      <w:r>
        <w:rPr>
          <w:rFonts w:hint="eastAsia" w:ascii="宋体" w:hAnsi="宋体" w:cs="宋体"/>
          <w:color w:val="auto"/>
          <w:sz w:val="24"/>
          <w:highlight w:val="none"/>
        </w:rPr>
        <w:t xml:space="preserve">  日</w:t>
      </w:r>
    </w:p>
    <w:p w14:paraId="05AAABED">
      <w:pPr>
        <w:rPr>
          <w:rFonts w:ascii="宋体" w:hAnsi="宋体" w:cs="宋体"/>
          <w:color w:val="auto"/>
          <w:sz w:val="36"/>
          <w:szCs w:val="36"/>
          <w:highlight w:val="none"/>
        </w:rPr>
        <w:sectPr>
          <w:pgSz w:w="11905" w:h="16838"/>
          <w:pgMar w:top="1429" w:right="1429" w:bottom="1429" w:left="1429" w:header="850" w:footer="992" w:gutter="0"/>
          <w:cols w:space="0" w:num="1"/>
          <w:rtlGutter w:val="0"/>
          <w:docGrid w:linePitch="360" w:charSpace="0"/>
        </w:sectPr>
      </w:pPr>
    </w:p>
    <w:p w14:paraId="4673903E">
      <w:pPr>
        <w:adjustRightInd w:val="0"/>
        <w:snapToGrid w:val="0"/>
        <w:spacing w:line="360" w:lineRule="auto"/>
        <w:ind w:firstLine="723" w:firstLineChars="200"/>
        <w:jc w:val="center"/>
        <w:rPr>
          <w:rFonts w:ascii="宋体" w:hAnsi="宋体" w:cs="宋体"/>
          <w:color w:val="auto"/>
          <w:sz w:val="28"/>
          <w:szCs w:val="28"/>
          <w:highlight w:val="none"/>
        </w:rPr>
      </w:pPr>
      <w:r>
        <w:rPr>
          <w:rFonts w:hint="eastAsia" w:ascii="宋体" w:hAnsi="宋体" w:cs="宋体"/>
          <w:b/>
          <w:color w:val="auto"/>
          <w:sz w:val="36"/>
          <w:szCs w:val="36"/>
          <w:highlight w:val="none"/>
        </w:rPr>
        <w:t>第六部分  质疑提出和处理</w:t>
      </w:r>
    </w:p>
    <w:p w14:paraId="6B2A19E2">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一、质疑的提出</w:t>
      </w:r>
    </w:p>
    <w:p w14:paraId="2D1DB9C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（一）质疑人的身份要求      </w:t>
      </w:r>
    </w:p>
    <w:p w14:paraId="5BD3135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1.提出质疑的供应商应当是参与所质疑项目采购活动的供应商。</w:t>
      </w:r>
    </w:p>
    <w:p w14:paraId="4085FF5D">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2.潜在供应商已依法获取其可质疑的采购文件的，可以对该文件提出质疑。对采购文件提出质疑的，应当在获取采购文件或者采购文件公告期限届满之日起7个工作日内提出。</w:t>
      </w:r>
    </w:p>
    <w:p w14:paraId="4B31452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（二）质疑提出的格式要求   </w:t>
      </w:r>
    </w:p>
    <w:p w14:paraId="5BA596E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1.质疑</w:t>
      </w:r>
      <w:r>
        <w:rPr>
          <w:rFonts w:hint="eastAsia" w:ascii="宋体" w:hAnsi="宋体" w:cs="宋体"/>
          <w:color w:val="auto"/>
          <w:kern w:val="0"/>
          <w:sz w:val="24"/>
          <w:highlight w:val="none"/>
        </w:rPr>
        <w:t>应</w:t>
      </w:r>
      <w:r>
        <w:rPr>
          <w:rFonts w:hint="eastAsia" w:ascii="宋体" w:hAnsi="宋体" w:cs="宋体"/>
          <w:color w:val="auto"/>
          <w:kern w:val="0"/>
          <w:sz w:val="24"/>
          <w:highlight w:val="none"/>
          <w:lang w:val="zh-CN"/>
        </w:rPr>
        <w:t>参照《中华人民共和国政府采购法》、《中华人民共和国政府采购法实施条例》及《江苏省政府采购供应商监督管理暂行办法》的相关规定提交，质疑实行实名制，不得进行虚假、恶意质疑，未按上述要求提交的质疑函，采购人有权不予受理。</w:t>
      </w:r>
    </w:p>
    <w:p w14:paraId="4C4C318A">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2.质疑函应包括：    </w:t>
      </w:r>
    </w:p>
    <w:p w14:paraId="35FF914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（1）质疑供应商的名称、地址、邮编、联系人及联系电话；</w:t>
      </w:r>
    </w:p>
    <w:p w14:paraId="7E9FB8F5">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（2）具体、明确的质疑事项及明确的请求；</w:t>
      </w:r>
    </w:p>
    <w:p w14:paraId="147EBFB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（3）质疑的事实依据和必要的法律依据；</w:t>
      </w:r>
    </w:p>
    <w:p w14:paraId="2A3F41F6">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（4）提起质疑的日期；</w:t>
      </w:r>
    </w:p>
    <w:p w14:paraId="2A8E337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（5）认为自己合法权益受到损害或可能受到损害的相关证据材料；                            </w:t>
      </w:r>
    </w:p>
    <w:p w14:paraId="2D43CE9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（6）质疑函应当署名：质疑人为自然人的，应当由本人签字并附有效身份证明；质疑人为法人或其他组织的，应当由法定代表人签字并加盖单位公章，未按要求签字和盖章的为无效质疑，</w:t>
      </w:r>
      <w:r>
        <w:rPr>
          <w:rFonts w:hint="eastAsia" w:ascii="宋体" w:hAnsi="宋体" w:cs="宋体"/>
          <w:color w:val="auto"/>
          <w:kern w:val="0"/>
          <w:sz w:val="24"/>
          <w:highlight w:val="none"/>
        </w:rPr>
        <w:t>采购人</w:t>
      </w:r>
      <w:r>
        <w:rPr>
          <w:rFonts w:hint="eastAsia" w:ascii="宋体" w:hAnsi="宋体" w:cs="宋体"/>
          <w:color w:val="auto"/>
          <w:kern w:val="0"/>
          <w:sz w:val="24"/>
          <w:highlight w:val="none"/>
          <w:lang w:val="zh-CN"/>
        </w:rPr>
        <w:t>将不予受理。质疑人委托代理质疑的，应当向采购人提交授权委托书，并载明委托代理的具体权限和事项。</w:t>
      </w:r>
    </w:p>
    <w:p w14:paraId="69FD880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3.质疑函需遵循的原则：</w:t>
      </w:r>
    </w:p>
    <w:p w14:paraId="2A95D43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人。</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人不具有法定调查、认定权限。</w:t>
      </w:r>
    </w:p>
    <w:p w14:paraId="68D26BBB">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（三）质疑提出的时效要求</w:t>
      </w:r>
    </w:p>
    <w:p w14:paraId="5405C96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1.供应商认为采购文件、采购过程和采购结果使自己的权益受到损害的，可以在知道或应知其权益受到损害之日起七个工作日内，以书面形式向采购人或采购人提出质疑。上述应知其权益受到损害之日，是指：                       </w:t>
      </w:r>
    </w:p>
    <w:p w14:paraId="3946406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（1）对可以质疑的采购文件提出质疑的，为收到采购文件之日或者采购文件公告期限届满之日；</w:t>
      </w:r>
    </w:p>
    <w:p w14:paraId="75672A2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（2）对采购过程提出质疑的，为各采购程序环节结束之日；</w:t>
      </w:r>
    </w:p>
    <w:p w14:paraId="4BB8533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（3）对成交或者成交结果提出质疑的，为成交或者成交结果公告期限届满之日。                 </w:t>
      </w:r>
    </w:p>
    <w:p w14:paraId="0E64F7E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供应商认为采购文件使自己的权益受到损害的，可以按照</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公告第八项要求向采购人提出质疑；供应商认为采购过程和采购结果使自己的权益受到损害的，可以以书面形式向采购人或采购人提出质疑。</w:t>
      </w:r>
    </w:p>
    <w:p w14:paraId="0F5C401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2.供应商应在法定质疑期一次性提出针对同一采购程序环节的质疑。                         </w:t>
      </w:r>
    </w:p>
    <w:p w14:paraId="6995FEC0">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二、《质疑函》的受理和答复</w:t>
      </w:r>
    </w:p>
    <w:p w14:paraId="46E4E4D0">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采购人收到质疑函后，将对质疑的形式和内容进行审查，如质疑函内容、格式不符合规定，采购人将告知质疑人进行补正。</w:t>
      </w:r>
    </w:p>
    <w:p w14:paraId="729BE34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 质疑人应当在法定质疑期限内进行补正并重新提交质疑函，拒不补正或者在法定期限内未重新提交质疑函的，为无效质疑，采购人将不予受理。</w:t>
      </w:r>
    </w:p>
    <w:p w14:paraId="4219EB9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3.采购人或采购代理机构答复供应商质疑应当采用书面方式并依法送达，质疑供应商或其委托代理人拒绝签收的视为已经送达。</w:t>
      </w:r>
    </w:p>
    <w:p w14:paraId="5CEB9FEC">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三、质疑处理</w:t>
      </w:r>
    </w:p>
    <w:p w14:paraId="4AD88EA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质疑成立的处理</w:t>
      </w:r>
    </w:p>
    <w:p w14:paraId="370B262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（1）对于内容、格式符合规定的质疑函，采购人在收到磋商供应商的书面质疑后七个工作日内作出书面答复，但答复的内容不得涉及商业秘密。                       </w:t>
      </w:r>
    </w:p>
    <w:p w14:paraId="5B28198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（2）对采购文件提出的质疑，依法通过澄清或者修改可以继续开展采购活动的，澄清或者修改采购文件后继续开展采购活动；否则应当修改采购文件后重新开展采购活动。</w:t>
      </w:r>
    </w:p>
    <w:p w14:paraId="1F1D2882">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（3）对采购过程、成交或者成交结果提出的质疑，合格供应商符合法定数量时，可以从合格的成交候选人中另行确定成交、成交供应商的，应当依法另行确定成交供应商；否则应当重新开展采购活动。</w:t>
      </w:r>
    </w:p>
    <w:p w14:paraId="2082224C">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质疑答复导致成交、成交结果改变的，采购人或者采购代理机构应当将有关情况书面报告本级财政部门。</w:t>
      </w:r>
    </w:p>
    <w:p w14:paraId="36E49C0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2.质疑不成立的处理</w:t>
      </w:r>
    </w:p>
    <w:p w14:paraId="22CE6F5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若质疑不成立，或者成立未对成交、成交结果构成影响的，继续开展采购活动。                  </w:t>
      </w:r>
    </w:p>
    <w:p w14:paraId="65C188B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3.虚假质疑的处理          </w:t>
      </w:r>
    </w:p>
    <w:p w14:paraId="16770E63">
      <w:pPr>
        <w:pStyle w:val="3"/>
        <w:adjustRightInd w:val="0"/>
        <w:snapToGrid w:val="0"/>
        <w:spacing w:after="0" w:line="360" w:lineRule="auto"/>
        <w:ind w:left="0" w:leftChars="0"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 xml:space="preserve">供应商提出书面质疑必须有理、有据，不得恶意质疑或提交虚假质疑。否则，一经查实，采购人有权依据相关规定，报请主管部门对该供应商进行相应的处罚。                      </w:t>
      </w:r>
    </w:p>
    <w:p w14:paraId="1ED3AA60">
      <w:pPr>
        <w:autoSpaceDE w:val="0"/>
        <w:autoSpaceDN w:val="0"/>
        <w:adjustRightInd w:val="0"/>
        <w:snapToGrid w:val="0"/>
        <w:spacing w:line="300" w:lineRule="auto"/>
        <w:contextualSpacing/>
        <w:rPr>
          <w:rFonts w:ascii="宋体" w:hAnsi="宋体" w:cs="宋体"/>
          <w:color w:val="auto"/>
          <w:sz w:val="28"/>
          <w:szCs w:val="28"/>
          <w:highlight w:val="none"/>
          <w:lang w:val="zh-CN"/>
        </w:rPr>
      </w:pPr>
    </w:p>
    <w:p w14:paraId="7C2133C9">
      <w:pPr>
        <w:autoSpaceDE w:val="0"/>
        <w:autoSpaceDN w:val="0"/>
        <w:adjustRightInd w:val="0"/>
        <w:snapToGrid w:val="0"/>
        <w:spacing w:line="300" w:lineRule="auto"/>
        <w:ind w:left="3630" w:right="210" w:hanging="3092"/>
        <w:outlineLvl w:val="0"/>
        <w:rPr>
          <w:rFonts w:ascii="宋体" w:hAnsi="宋体" w:cs="宋体"/>
          <w:color w:val="auto"/>
          <w:sz w:val="28"/>
          <w:szCs w:val="28"/>
          <w:highlight w:val="none"/>
          <w:lang w:val="zh-CN"/>
        </w:rPr>
      </w:pPr>
    </w:p>
    <w:p w14:paraId="63D28D1E">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5C4A7867">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4E2EFA8">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04D3A248">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03DE0747">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4572317B">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5ADA923">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59F497E7">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4282A7C1">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BA2BA35">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3E1C0DA8">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3241A3F">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0B157812">
      <w:pPr>
        <w:widowControl/>
        <w:jc w:val="center"/>
        <w:rPr>
          <w:rFonts w:ascii="宋体" w:hAnsi="宋体" w:cs="宋体"/>
          <w:bCs/>
          <w:color w:val="auto"/>
          <w:sz w:val="44"/>
          <w:szCs w:val="44"/>
          <w:highlight w:val="none"/>
        </w:rPr>
      </w:pPr>
      <w:r>
        <w:rPr>
          <w:rFonts w:hint="eastAsia" w:ascii="宋体" w:hAnsi="宋体" w:cs="宋体"/>
          <w:b/>
          <w:bCs/>
          <w:color w:val="auto"/>
          <w:sz w:val="36"/>
          <w:szCs w:val="36"/>
          <w:highlight w:val="none"/>
          <w:lang w:val="zh-CN"/>
        </w:rPr>
        <w:br w:type="page"/>
      </w:r>
      <w:r>
        <w:rPr>
          <w:rFonts w:hint="eastAsia" w:ascii="宋体" w:hAnsi="宋体" w:cs="宋体"/>
          <w:bCs/>
          <w:color w:val="auto"/>
          <w:sz w:val="44"/>
          <w:szCs w:val="44"/>
          <w:highlight w:val="none"/>
        </w:rPr>
        <w:t>质疑函范本</w:t>
      </w:r>
    </w:p>
    <w:p w14:paraId="5856EB40">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F75B50B">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p>
    <w:p w14:paraId="275C5A5D">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0F0A136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             联系电话：</w:t>
      </w:r>
    </w:p>
    <w:p w14:paraId="6CD365B1">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p>
    <w:p w14:paraId="6F58E7CA">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p>
    <w:p w14:paraId="52A559C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04B04EBC">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67E2F57">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p>
    <w:p w14:paraId="567CFE2B">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     包号：</w:t>
      </w:r>
    </w:p>
    <w:p w14:paraId="26B13684">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p>
    <w:p w14:paraId="2A585F6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p>
    <w:p w14:paraId="0E6ABE56">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42E9FAC">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p>
    <w:p w14:paraId="6A5ACCAA">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p>
    <w:p w14:paraId="38029908">
      <w:pPr>
        <w:adjustRightInd w:val="0"/>
        <w:snapToGrid w:val="0"/>
        <w:spacing w:line="360" w:lineRule="auto"/>
        <w:rPr>
          <w:rFonts w:ascii="宋体" w:hAnsi="宋体" w:cs="宋体"/>
          <w:color w:val="auto"/>
          <w:sz w:val="24"/>
          <w:highlight w:val="none"/>
        </w:rPr>
      </w:pPr>
    </w:p>
    <w:p w14:paraId="622A4385">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p>
    <w:p w14:paraId="52981C5D">
      <w:pPr>
        <w:adjustRightInd w:val="0"/>
        <w:snapToGrid w:val="0"/>
        <w:spacing w:line="360" w:lineRule="auto"/>
        <w:rPr>
          <w:rFonts w:ascii="宋体" w:hAnsi="宋体" w:cs="宋体"/>
          <w:color w:val="auto"/>
          <w:sz w:val="24"/>
          <w:highlight w:val="none"/>
          <w:u w:val="dotted"/>
        </w:rPr>
      </w:pPr>
    </w:p>
    <w:p w14:paraId="09A6C7C2">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2709400D">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6409DA41">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1C0E4A8">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p>
    <w:p w14:paraId="1FB956D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236764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506F85F">
      <w:pPr>
        <w:adjustRightInd w:val="0"/>
        <w:snapToGrid w:val="0"/>
        <w:spacing w:line="360" w:lineRule="auto"/>
        <w:rPr>
          <w:rFonts w:ascii="宋体" w:hAnsi="宋体" w:cs="宋体"/>
          <w:color w:val="auto"/>
          <w:sz w:val="32"/>
          <w:szCs w:val="32"/>
          <w:highlight w:val="none"/>
        </w:rPr>
      </w:pPr>
    </w:p>
    <w:p w14:paraId="717AD1B5">
      <w:pPr>
        <w:adjustRightInd w:val="0"/>
        <w:snapToGrid w:val="0"/>
        <w:spacing w:line="360" w:lineRule="auto"/>
        <w:rPr>
          <w:rFonts w:ascii="宋体" w:hAnsi="宋体" w:cs="宋体"/>
          <w:b/>
          <w:color w:val="auto"/>
          <w:sz w:val="32"/>
          <w:szCs w:val="32"/>
          <w:highlight w:val="none"/>
        </w:rPr>
      </w:pPr>
    </w:p>
    <w:p w14:paraId="50C8805D">
      <w:pPr>
        <w:adjustRightInd w:val="0"/>
        <w:snapToGrid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7AC5A27B">
      <w:pPr>
        <w:adjustRightInd w:val="0"/>
        <w:snapToGrid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0458EA00">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5548B68">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0EED58B">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0C66E87">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40B876C">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09AB7C5B">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EC569D3">
      <w:pPr>
        <w:widowControl/>
        <w:jc w:val="left"/>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5DDE8299">
      <w:pPr>
        <w:autoSpaceDE w:val="0"/>
        <w:autoSpaceDN w:val="0"/>
        <w:adjustRightInd w:val="0"/>
        <w:snapToGrid w:val="0"/>
        <w:ind w:left="4513" w:right="210" w:hanging="4513"/>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第七部分  响应文件组成</w:t>
      </w:r>
    </w:p>
    <w:p w14:paraId="63DDACC4">
      <w:pPr>
        <w:snapToGrid w:val="0"/>
        <w:spacing w:line="440" w:lineRule="exact"/>
        <w:ind w:firstLine="458" w:firstLineChars="200"/>
        <w:jc w:val="left"/>
        <w:rPr>
          <w:rFonts w:ascii="宋体" w:hAnsi="宋体" w:cs="宋体"/>
          <w:b/>
          <w:color w:val="auto"/>
          <w:spacing w:val="-6"/>
          <w:sz w:val="24"/>
          <w:highlight w:val="none"/>
        </w:rPr>
      </w:pPr>
      <w:r>
        <w:rPr>
          <w:rFonts w:hint="eastAsia" w:ascii="宋体" w:hAnsi="宋体" w:cs="宋体"/>
          <w:b/>
          <w:color w:val="auto"/>
          <w:spacing w:val="-6"/>
          <w:sz w:val="24"/>
          <w:highlight w:val="none"/>
        </w:rPr>
        <w:t>响应文件由资格审查、商务技术文件、价格响应文件、电子版响应文件四</w:t>
      </w:r>
      <w:r>
        <w:rPr>
          <w:rFonts w:hint="eastAsia" w:ascii="宋体" w:hAnsi="宋体" w:cs="宋体"/>
          <w:b/>
          <w:color w:val="auto"/>
          <w:sz w:val="24"/>
          <w:highlight w:val="none"/>
        </w:rPr>
        <w:t>部分组成</w:t>
      </w:r>
      <w:r>
        <w:rPr>
          <w:rFonts w:hint="eastAsia" w:ascii="宋体" w:hAnsi="宋体" w:cs="宋体"/>
          <w:b/>
          <w:color w:val="auto"/>
          <w:spacing w:val="-6"/>
          <w:sz w:val="24"/>
          <w:highlight w:val="none"/>
        </w:rPr>
        <w:t>。</w:t>
      </w:r>
    </w:p>
    <w:p w14:paraId="3F704D21">
      <w:pPr>
        <w:snapToGrid w:val="0"/>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一、资格审查</w:t>
      </w:r>
    </w:p>
    <w:p w14:paraId="6C67BE4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1.资格声明函原件；</w:t>
      </w:r>
    </w:p>
    <w:p w14:paraId="3BE2378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2.授权委托书或法定代表人身份证明原件；</w:t>
      </w:r>
    </w:p>
    <w:p w14:paraId="0448E01F">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3.供应商信用承诺书原件；</w:t>
      </w:r>
    </w:p>
    <w:p w14:paraId="5995E321">
      <w:pPr>
        <w:tabs>
          <w:tab w:val="left" w:pos="3375"/>
        </w:tabs>
        <w:autoSpaceDE w:val="0"/>
        <w:autoSpaceDN w:val="0"/>
        <w:adjustRightInd w:val="0"/>
        <w:snapToGrid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.供应商基本情况表及按竞争性磋商公告资格要求提供相应的佐证材料（以下材料均须提供复印件（或扫描件）并加盖公章）；</w:t>
      </w:r>
    </w:p>
    <w:p w14:paraId="0558DF19">
      <w:pPr>
        <w:tabs>
          <w:tab w:val="left" w:pos="3375"/>
        </w:tabs>
        <w:autoSpaceDE w:val="0"/>
        <w:autoSpaceDN w:val="0"/>
        <w:adjustRightInd w:val="0"/>
        <w:snapToGrid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提供供应商的</w:t>
      </w:r>
      <w:r>
        <w:rPr>
          <w:rFonts w:hint="eastAsia" w:ascii="宋体" w:hAnsi="宋体" w:cs="宋体"/>
          <w:color w:val="auto"/>
          <w:sz w:val="24"/>
          <w:highlight w:val="none"/>
        </w:rPr>
        <w:t>《律师事务所执业许可证》或《律师事务所分所执业许可证》</w:t>
      </w:r>
      <w:r>
        <w:rPr>
          <w:rFonts w:hint="eastAsia" w:cs="宋体" w:asciiTheme="minorEastAsia" w:hAnsiTheme="minorEastAsia" w:eastAsiaTheme="minorEastAsia"/>
          <w:color w:val="auto"/>
          <w:sz w:val="24"/>
          <w:highlight w:val="none"/>
        </w:rPr>
        <w:t>；</w:t>
      </w:r>
    </w:p>
    <w:p w14:paraId="67242AA1">
      <w:pPr>
        <w:tabs>
          <w:tab w:val="left" w:pos="3375"/>
        </w:tabs>
        <w:autoSpaceDE w:val="0"/>
        <w:autoSpaceDN w:val="0"/>
        <w:adjustRightInd w:val="0"/>
        <w:snapToGrid w:val="0"/>
        <w:spacing w:line="440" w:lineRule="exact"/>
        <w:ind w:firstLine="480" w:firstLineChars="200"/>
        <w:rPr>
          <w:rFonts w:hint="eastAsia" w:ascii="宋体" w:hAnsi="宋体" w:cs="宋体"/>
          <w:color w:val="auto"/>
          <w:sz w:val="24"/>
          <w:highlight w:val="none"/>
          <w:lang w:val="en-US" w:eastAsia="zh-CN"/>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lang w:eastAsia="zh-CN"/>
        </w:rPr>
        <w:t>）</w:t>
      </w:r>
      <w:r>
        <w:rPr>
          <w:rFonts w:hint="eastAsia" w:ascii="宋体" w:hAnsi="宋体" w:eastAsia="宋体" w:cs="宋体"/>
          <w:color w:val="auto"/>
          <w:sz w:val="24"/>
          <w:szCs w:val="21"/>
          <w:highlight w:val="none"/>
          <w:lang w:val="en-US" w:eastAsia="zh-CN"/>
        </w:rPr>
        <w:t>提供供应商主办律师及</w:t>
      </w:r>
      <w:r>
        <w:rPr>
          <w:rFonts w:hint="eastAsia" w:ascii="宋体" w:hAnsi="宋体" w:cs="宋体"/>
          <w:color w:val="auto"/>
          <w:sz w:val="24"/>
          <w:szCs w:val="21"/>
          <w:highlight w:val="none"/>
          <w:lang w:val="en-US" w:eastAsia="zh-CN"/>
        </w:rPr>
        <w:t>其他</w:t>
      </w:r>
      <w:r>
        <w:rPr>
          <w:rFonts w:hint="eastAsia" w:ascii="宋体" w:hAnsi="宋体" w:eastAsia="宋体" w:cs="宋体"/>
          <w:color w:val="auto"/>
          <w:sz w:val="24"/>
          <w:szCs w:val="21"/>
          <w:highlight w:val="none"/>
          <w:lang w:val="en-US" w:eastAsia="zh-CN"/>
        </w:rPr>
        <w:t>成员的律师执业资格证书</w:t>
      </w:r>
      <w:r>
        <w:rPr>
          <w:rFonts w:hint="eastAsia" w:ascii="宋体" w:hAnsi="宋体" w:cs="宋体"/>
          <w:color w:val="auto"/>
          <w:sz w:val="24"/>
          <w:szCs w:val="21"/>
          <w:highlight w:val="none"/>
          <w:lang w:val="en-US" w:eastAsia="zh-CN"/>
        </w:rPr>
        <w:t>及社保缴费证明</w:t>
      </w:r>
      <w:r>
        <w:rPr>
          <w:rFonts w:hint="eastAsia" w:cs="宋体" w:asciiTheme="minorEastAsia" w:hAnsiTheme="minorEastAsia" w:eastAsiaTheme="minorEastAsia"/>
          <w:color w:val="auto"/>
          <w:sz w:val="24"/>
          <w:highlight w:val="none"/>
        </w:rPr>
        <w:t>；</w:t>
      </w:r>
    </w:p>
    <w:p w14:paraId="57B6D236">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.其它需要提交的资格审查材料。</w:t>
      </w:r>
    </w:p>
    <w:p w14:paraId="0244F575">
      <w:pPr>
        <w:snapToGrid w:val="0"/>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二、商务技术文件</w:t>
      </w:r>
    </w:p>
    <w:p w14:paraId="635B1FB7">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为方便评委评审，请供应商按评审办法中所涉及的事项顺序进行编制，可以补充相关材料。（以下均须提供扫描件（或复印件）并加盖公章。）</w:t>
      </w:r>
    </w:p>
    <w:p w14:paraId="741C990B">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1.竞争性磋商响应函；</w:t>
      </w:r>
    </w:p>
    <w:p w14:paraId="2990DDFE">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2.评标办法中所涉及的事项需提供的所有资料；</w:t>
      </w:r>
    </w:p>
    <w:p w14:paraId="77378D4A">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3.评标办法中未涉及的事项，供应商认为需要提交的其他资料；</w:t>
      </w:r>
    </w:p>
    <w:p w14:paraId="5F6435C7">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4.竞争性磋商文件中要求提供的其他材料。</w:t>
      </w:r>
    </w:p>
    <w:p w14:paraId="7424CC77">
      <w:pPr>
        <w:snapToGrid w:val="0"/>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三、价格响应文件</w:t>
      </w:r>
    </w:p>
    <w:p w14:paraId="06BDD6CF">
      <w:pPr>
        <w:pStyle w:val="30"/>
        <w:spacing w:line="440" w:lineRule="exact"/>
        <w:ind w:firstLine="494"/>
        <w:rPr>
          <w:rFonts w:hint="eastAsia"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szCs w:val="24"/>
          <w:highlight w:val="none"/>
          <w:lang w:val="en-US" w:eastAsia="zh-CN"/>
        </w:rPr>
        <w:t>开标一览表</w:t>
      </w:r>
      <w:r>
        <w:rPr>
          <w:rFonts w:hint="eastAsia" w:ascii="宋体" w:eastAsia="宋体" w:cs="宋体"/>
          <w:color w:val="auto"/>
          <w:sz w:val="24"/>
          <w:szCs w:val="24"/>
          <w:highlight w:val="none"/>
        </w:rPr>
        <w:t>；</w:t>
      </w:r>
    </w:p>
    <w:p w14:paraId="30489A31">
      <w:pPr>
        <w:pStyle w:val="30"/>
        <w:spacing w:line="440" w:lineRule="exact"/>
        <w:ind w:firstLine="494"/>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val="en-US" w:eastAsia="zh-CN"/>
        </w:rPr>
        <w:t>3</w:t>
      </w:r>
      <w:r>
        <w:rPr>
          <w:rFonts w:hint="eastAsia" w:ascii="宋体" w:eastAsia="宋体" w:cs="宋体"/>
          <w:color w:val="auto"/>
          <w:sz w:val="24"/>
          <w:szCs w:val="24"/>
          <w:highlight w:val="none"/>
        </w:rPr>
        <w:t>.《中小企业声明函》等原件（如有）</w:t>
      </w:r>
      <w:r>
        <w:rPr>
          <w:rFonts w:hint="eastAsia" w:ascii="宋体" w:eastAsia="宋体" w:cs="宋体"/>
          <w:color w:val="auto"/>
          <w:sz w:val="24"/>
          <w:szCs w:val="24"/>
          <w:highlight w:val="none"/>
          <w:lang w:eastAsia="zh-CN"/>
        </w:rPr>
        <w:t>。</w:t>
      </w:r>
    </w:p>
    <w:p w14:paraId="27FC1E89">
      <w:pPr>
        <w:pStyle w:val="30"/>
        <w:adjustRightInd w:val="0"/>
        <w:snapToGrid w:val="0"/>
        <w:spacing w:line="360" w:lineRule="auto"/>
        <w:ind w:firstLine="480" w:firstLineChars="200"/>
        <w:rPr>
          <w:rFonts w:hint="eastAsia" w:ascii="宋体" w:eastAsia="宋体" w:cs="宋体"/>
          <w:color w:val="auto"/>
          <w:sz w:val="24"/>
          <w:szCs w:val="24"/>
          <w:highlight w:val="none"/>
          <w:lang w:eastAsia="zh-CN"/>
        </w:rPr>
      </w:pPr>
    </w:p>
    <w:p w14:paraId="571EBF24">
      <w:pPr>
        <w:adjustRightInd w:val="0"/>
        <w:snapToGrid w:val="0"/>
        <w:spacing w:line="360" w:lineRule="auto"/>
        <w:ind w:firstLine="482"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注：本表各分项报价合计应当与磋商报价总表报价合计相等。请各供应商务必按照以上要求填报，否则作为无效投标处理。</w:t>
      </w:r>
    </w:p>
    <w:p w14:paraId="45E5AB7D">
      <w:pPr>
        <w:tabs>
          <w:tab w:val="left" w:pos="3375"/>
        </w:tabs>
        <w:adjustRightInd w:val="0"/>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lang w:val="zh-CN"/>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7D790D8A">
      <w:pPr>
        <w:tabs>
          <w:tab w:val="left" w:pos="3375"/>
        </w:tabs>
        <w:autoSpaceDE w:val="0"/>
        <w:autoSpaceDN w:val="0"/>
        <w:adjustRightInd w:val="0"/>
        <w:snapToGrid w:val="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四、电子版响应文件</w:t>
      </w:r>
    </w:p>
    <w:p w14:paraId="2F05060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电子版响应文件（</w:t>
      </w:r>
      <w:r>
        <w:rPr>
          <w:rFonts w:hint="eastAsia" w:ascii="宋体" w:hAnsi="宋体" w:cs="宋体"/>
          <w:b/>
          <w:bCs/>
          <w:color w:val="auto"/>
          <w:sz w:val="24"/>
          <w:highlight w:val="none"/>
        </w:rPr>
        <w:t>按“第二部分 磋商须知”中电子版响应文件要求</w:t>
      </w:r>
      <w:r>
        <w:rPr>
          <w:rFonts w:hint="eastAsia" w:ascii="宋体" w:hAnsi="宋体" w:cs="宋体"/>
          <w:b/>
          <w:bCs/>
          <w:color w:val="auto"/>
          <w:sz w:val="24"/>
          <w:highlight w:val="none"/>
          <w:lang w:val="zh-CN"/>
        </w:rPr>
        <w:t>提供</w:t>
      </w:r>
      <w:r>
        <w:rPr>
          <w:rFonts w:hint="eastAsia" w:ascii="宋体" w:hAnsi="宋体" w:cs="宋体"/>
          <w:b/>
          <w:color w:val="auto"/>
          <w:sz w:val="24"/>
          <w:highlight w:val="none"/>
        </w:rPr>
        <w:t>）</w:t>
      </w:r>
      <w:r>
        <w:rPr>
          <w:rFonts w:hint="eastAsia" w:ascii="宋体" w:hAnsi="宋体" w:cs="宋体"/>
          <w:color w:val="auto"/>
          <w:sz w:val="24"/>
          <w:highlight w:val="none"/>
        </w:rPr>
        <w:t>。</w:t>
      </w:r>
    </w:p>
    <w:p w14:paraId="4CEFA744">
      <w:pPr>
        <w:tabs>
          <w:tab w:val="left" w:pos="3375"/>
        </w:tabs>
        <w:autoSpaceDE w:val="0"/>
        <w:autoSpaceDN w:val="0"/>
        <w:adjustRightInd w:val="0"/>
        <w:snapToGrid w:val="0"/>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电子版响应文件不得设置密码并保证无病毒。</w:t>
      </w:r>
    </w:p>
    <w:p w14:paraId="7419E6B7">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4"/>
          <w:highlight w:val="none"/>
        </w:rPr>
        <w:br w:type="page"/>
      </w:r>
      <w:r>
        <w:rPr>
          <w:rFonts w:hint="eastAsia" w:ascii="宋体" w:hAnsi="宋体" w:cs="宋体"/>
          <w:color w:val="auto"/>
          <w:sz w:val="28"/>
          <w:szCs w:val="28"/>
          <w:highlight w:val="none"/>
        </w:rPr>
        <w:t>第一部分格式：</w:t>
      </w:r>
    </w:p>
    <w:p w14:paraId="65F9C77C">
      <w:pPr>
        <w:tabs>
          <w:tab w:val="left" w:pos="159"/>
        </w:tabs>
        <w:rPr>
          <w:rFonts w:ascii="宋体" w:hAnsi="宋体" w:cs="宋体"/>
          <w:color w:val="auto"/>
          <w:sz w:val="28"/>
          <w:szCs w:val="28"/>
          <w:highlight w:val="none"/>
        </w:rPr>
      </w:pPr>
    </w:p>
    <w:p w14:paraId="08C8551D">
      <w:pPr>
        <w:snapToGrid w:val="0"/>
        <w:spacing w:line="300" w:lineRule="auto"/>
        <w:ind w:firstLine="906" w:firstLineChars="206"/>
        <w:contextualSpacing/>
        <w:rPr>
          <w:rFonts w:ascii="宋体" w:hAnsi="宋体" w:cs="宋体"/>
          <w:color w:val="auto"/>
          <w:sz w:val="44"/>
          <w:szCs w:val="44"/>
          <w:highlight w:val="none"/>
        </w:rPr>
      </w:pPr>
    </w:p>
    <w:p w14:paraId="44DB7AAB">
      <w:pPr>
        <w:autoSpaceDE w:val="0"/>
        <w:autoSpaceDN w:val="0"/>
        <w:adjustRightInd w:val="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2026-2028年南通市公路事业发展中心法律服务项目</w:t>
      </w:r>
    </w:p>
    <w:p w14:paraId="6345EF61">
      <w:pPr>
        <w:tabs>
          <w:tab w:val="left" w:pos="6300"/>
        </w:tabs>
        <w:snapToGrid w:val="0"/>
        <w:spacing w:line="300" w:lineRule="auto"/>
        <w:jc w:val="center"/>
        <w:rPr>
          <w:rFonts w:hint="eastAsia" w:ascii="宋体" w:hAnsi="宋体" w:cs="宋体"/>
          <w:b/>
          <w:color w:val="auto"/>
          <w:w w:val="80"/>
          <w:sz w:val="32"/>
          <w:szCs w:val="32"/>
          <w:highlight w:val="none"/>
        </w:rPr>
      </w:pPr>
    </w:p>
    <w:p w14:paraId="726CC66B">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rPr>
        <w:t>项目编号：</w:t>
      </w:r>
      <w:r>
        <w:rPr>
          <w:rFonts w:hint="eastAsia" w:ascii="宋体" w:hAnsi="宋体" w:cs="宋体"/>
          <w:b/>
          <w:color w:val="auto"/>
          <w:w w:val="80"/>
          <w:sz w:val="32"/>
          <w:szCs w:val="32"/>
          <w:highlight w:val="none"/>
          <w:lang w:val="en-US" w:eastAsia="zh-CN"/>
        </w:rPr>
        <w:t>2026-2028Flfw</w:t>
      </w:r>
    </w:p>
    <w:p w14:paraId="6F0A63C8">
      <w:pPr>
        <w:tabs>
          <w:tab w:val="left" w:pos="6300"/>
        </w:tabs>
        <w:snapToGrid w:val="0"/>
        <w:spacing w:line="300" w:lineRule="auto"/>
        <w:ind w:firstLine="3087" w:firstLineChars="1200"/>
        <w:jc w:val="both"/>
        <w:rPr>
          <w:rFonts w:hint="default"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rPr>
        <w:t>档案编号：</w:t>
      </w:r>
      <w:r>
        <w:rPr>
          <w:rFonts w:hint="eastAsia" w:ascii="宋体" w:hAnsi="宋体" w:cs="宋体"/>
          <w:b/>
          <w:color w:val="auto"/>
          <w:w w:val="80"/>
          <w:sz w:val="32"/>
          <w:szCs w:val="32"/>
          <w:highlight w:val="none"/>
          <w:lang w:val="en-US" w:eastAsia="zh-CN"/>
        </w:rPr>
        <w:t>20251123</w:t>
      </w:r>
    </w:p>
    <w:p w14:paraId="426730EF">
      <w:pPr>
        <w:tabs>
          <w:tab w:val="left" w:pos="6300"/>
        </w:tabs>
        <w:snapToGrid w:val="0"/>
        <w:spacing w:line="300" w:lineRule="auto"/>
        <w:jc w:val="center"/>
        <w:rPr>
          <w:rFonts w:ascii="宋体" w:hAnsi="宋体" w:cs="宋体"/>
          <w:b/>
          <w:color w:val="auto"/>
          <w:w w:val="80"/>
          <w:sz w:val="32"/>
          <w:szCs w:val="32"/>
          <w:highlight w:val="none"/>
        </w:rPr>
      </w:pPr>
    </w:p>
    <w:p w14:paraId="58D714E8">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424EBD9B">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（资格审查文件）</w:t>
      </w:r>
    </w:p>
    <w:p w14:paraId="73DB14C4">
      <w:pPr>
        <w:spacing w:after="60"/>
        <w:jc w:val="center"/>
        <w:rPr>
          <w:rFonts w:ascii="宋体" w:hAnsi="宋体" w:cs="宋体"/>
          <w:b/>
          <w:bCs/>
          <w:color w:val="auto"/>
          <w:sz w:val="72"/>
          <w:szCs w:val="72"/>
          <w:highlight w:val="none"/>
        </w:rPr>
      </w:pPr>
    </w:p>
    <w:p w14:paraId="20D79FC4">
      <w:pPr>
        <w:spacing w:after="60"/>
        <w:jc w:val="center"/>
        <w:rPr>
          <w:rFonts w:ascii="宋体" w:hAnsi="宋体" w:cs="宋体"/>
          <w:b/>
          <w:bCs/>
          <w:color w:val="auto"/>
          <w:sz w:val="72"/>
          <w:szCs w:val="72"/>
          <w:highlight w:val="none"/>
        </w:rPr>
      </w:pPr>
    </w:p>
    <w:p w14:paraId="6A3CB1C7">
      <w:pPr>
        <w:spacing w:after="60"/>
        <w:jc w:val="center"/>
        <w:rPr>
          <w:rFonts w:ascii="宋体" w:hAnsi="宋体" w:cs="宋体"/>
          <w:b/>
          <w:bCs/>
          <w:color w:val="auto"/>
          <w:sz w:val="72"/>
          <w:szCs w:val="72"/>
          <w:highlight w:val="none"/>
        </w:rPr>
      </w:pPr>
    </w:p>
    <w:p w14:paraId="2DF8F8DD">
      <w:pPr>
        <w:spacing w:after="60"/>
        <w:jc w:val="center"/>
        <w:rPr>
          <w:rFonts w:ascii="宋体" w:hAnsi="宋体" w:cs="宋体"/>
          <w:b/>
          <w:bCs/>
          <w:color w:val="auto"/>
          <w:sz w:val="72"/>
          <w:szCs w:val="72"/>
          <w:highlight w:val="none"/>
        </w:rPr>
      </w:pPr>
    </w:p>
    <w:p w14:paraId="0E91FAFD">
      <w:pPr>
        <w:pStyle w:val="2"/>
        <w:ind w:left="0" w:leftChars="0" w:firstLine="0" w:firstLineChars="0"/>
        <w:rPr>
          <w:rFonts w:ascii="宋体" w:hAnsi="宋体" w:cs="宋体"/>
          <w:b/>
          <w:bCs/>
          <w:color w:val="auto"/>
          <w:sz w:val="72"/>
          <w:szCs w:val="72"/>
          <w:highlight w:val="none"/>
        </w:rPr>
      </w:pPr>
    </w:p>
    <w:p w14:paraId="01CFA4BE">
      <w:pPr>
        <w:spacing w:after="60"/>
        <w:jc w:val="center"/>
        <w:rPr>
          <w:rFonts w:ascii="宋体" w:hAnsi="宋体" w:cs="宋体"/>
          <w:b/>
          <w:bCs/>
          <w:color w:val="auto"/>
          <w:sz w:val="72"/>
          <w:szCs w:val="72"/>
          <w:highlight w:val="none"/>
        </w:rPr>
      </w:pPr>
    </w:p>
    <w:p w14:paraId="7093FD5A">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r>
        <w:rPr>
          <w:rFonts w:hint="eastAsia" w:ascii="宋体" w:hAnsi="宋体" w:cs="宋体"/>
          <w:b/>
          <w:color w:val="auto"/>
          <w:sz w:val="24"/>
          <w:highlight w:val="none"/>
          <w:u w:val="single"/>
        </w:rPr>
        <w:t xml:space="preserve">                            </w:t>
      </w:r>
    </w:p>
    <w:p w14:paraId="622156F9">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02847B11">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1768455F">
      <w:pPr>
        <w:snapToGrid w:val="0"/>
        <w:spacing w:line="360" w:lineRule="auto"/>
        <w:contextualSpacing/>
        <w:jc w:val="left"/>
        <w:rPr>
          <w:rFonts w:ascii="宋体" w:hAnsi="宋体" w:cs="宋体"/>
          <w:color w:val="auto"/>
          <w:sz w:val="24"/>
          <w:highlight w:val="none"/>
        </w:rPr>
      </w:pPr>
      <w:r>
        <w:rPr>
          <w:rFonts w:hint="eastAsia" w:ascii="宋体" w:hAnsi="宋体" w:cs="宋体"/>
          <w:color w:val="auto"/>
          <w:sz w:val="28"/>
          <w:szCs w:val="28"/>
          <w:highlight w:val="none"/>
        </w:rPr>
        <w:t>（一）资格审查文件</w:t>
      </w:r>
    </w:p>
    <w:p w14:paraId="540C570A">
      <w:pPr>
        <w:snapToGrid w:val="0"/>
        <w:spacing w:line="360" w:lineRule="auto"/>
        <w:contextualSpacing/>
        <w:jc w:val="left"/>
        <w:rPr>
          <w:rFonts w:ascii="宋体" w:hAnsi="宋体" w:cs="宋体"/>
          <w:color w:val="auto"/>
          <w:sz w:val="28"/>
          <w:szCs w:val="28"/>
          <w:highlight w:val="none"/>
        </w:rPr>
      </w:pPr>
      <w:r>
        <w:rPr>
          <w:rFonts w:hint="eastAsia" w:ascii="宋体" w:hAnsi="宋体" w:cs="宋体"/>
          <w:color w:val="auto"/>
          <w:sz w:val="28"/>
          <w:szCs w:val="28"/>
          <w:highlight w:val="none"/>
        </w:rPr>
        <w:t>附件1：</w:t>
      </w:r>
    </w:p>
    <w:p w14:paraId="51498120">
      <w:pPr>
        <w:snapToGrid w:val="0"/>
        <w:spacing w:line="30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4EAB5712">
      <w:pPr>
        <w:spacing w:line="360" w:lineRule="auto"/>
        <w:jc w:val="center"/>
        <w:rPr>
          <w:rFonts w:ascii="宋体" w:hAnsi="宋体" w:cs="宋体"/>
          <w:b/>
          <w:color w:val="auto"/>
          <w:sz w:val="24"/>
          <w:highlight w:val="none"/>
        </w:rPr>
      </w:pPr>
    </w:p>
    <w:p w14:paraId="7EF2F00A">
      <w:pPr>
        <w:snapToGrid w:val="0"/>
        <w:spacing w:line="300" w:lineRule="auto"/>
        <w:contextualSpacing/>
        <w:rPr>
          <w:rFonts w:ascii="宋体" w:hAnsi="宋体" w:cs="宋体"/>
          <w:b/>
          <w:color w:val="auto"/>
          <w:sz w:val="24"/>
          <w:highlight w:val="none"/>
        </w:rPr>
      </w:pPr>
      <w:r>
        <w:rPr>
          <w:rFonts w:hint="eastAsia" w:ascii="宋体" w:hAnsi="宋体" w:cs="宋体"/>
          <w:b/>
          <w:color w:val="auto"/>
          <w:sz w:val="24"/>
          <w:highlight w:val="none"/>
          <w:u w:val="single"/>
        </w:rPr>
        <w:t>南通市公路事业发展中心</w:t>
      </w:r>
      <w:r>
        <w:rPr>
          <w:rFonts w:hint="eastAsia" w:ascii="宋体" w:hAnsi="宋体" w:cs="宋体"/>
          <w:b/>
          <w:color w:val="auto"/>
          <w:sz w:val="24"/>
          <w:highlight w:val="none"/>
        </w:rPr>
        <w:t>：</w:t>
      </w:r>
    </w:p>
    <w:p w14:paraId="29F6B4DA">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w:t>
      </w:r>
      <w:r>
        <w:rPr>
          <w:rFonts w:hint="eastAsia" w:ascii="宋体" w:hAnsi="宋体" w:cs="宋体"/>
          <w:color w:val="auto"/>
          <w:sz w:val="24"/>
          <w:highlight w:val="none"/>
          <w:u w:val="single"/>
        </w:rPr>
        <w:t xml:space="preserve">                              </w:t>
      </w:r>
      <w:r>
        <w:rPr>
          <w:rFonts w:hint="eastAsia" w:ascii="宋体" w:hAnsi="宋体" w:cs="宋体"/>
          <w:color w:val="auto"/>
          <w:spacing w:val="-5"/>
          <w:sz w:val="24"/>
          <w:highlight w:val="none"/>
        </w:rPr>
        <w:t>（单位名称）</w:t>
      </w:r>
      <w:r>
        <w:rPr>
          <w:rFonts w:hint="eastAsia" w:ascii="宋体" w:hAnsi="宋体" w:cs="宋体"/>
          <w:color w:val="auto"/>
          <w:sz w:val="24"/>
          <w:highlight w:val="none"/>
        </w:rPr>
        <w:t>认真对照</w:t>
      </w:r>
      <w:r>
        <w:rPr>
          <w:rFonts w:hint="eastAsia" w:ascii="宋体" w:hAnsi="宋体" w:cs="宋体"/>
          <w:color w:val="auto"/>
          <w:sz w:val="24"/>
          <w:highlight w:val="none"/>
          <w:u w:val="single"/>
        </w:rPr>
        <w:t xml:space="preserve">     （项目名称）                   项目</w:t>
      </w:r>
      <w:r>
        <w:rPr>
          <w:rFonts w:hint="eastAsia" w:ascii="宋体" w:hAnsi="宋体" w:cs="宋体"/>
          <w:color w:val="auto"/>
          <w:sz w:val="24"/>
          <w:highlight w:val="none"/>
        </w:rPr>
        <w:t>磋商文件（含所有澄清、修改文件），符合贵方提出的资格要求，自愿报名参加响应，并郑重声明：</w:t>
      </w:r>
    </w:p>
    <w:p w14:paraId="436B1E97">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我单位具有独立承担民事责任的能力；</w:t>
      </w:r>
    </w:p>
    <w:p w14:paraId="3BB65C71">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我单位具有良好的商业信誉和健全的财务会计制度；</w:t>
      </w:r>
    </w:p>
    <w:p w14:paraId="32E774FE">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我单位具有履行合同所必需的设备和专业技术能力；</w:t>
      </w:r>
    </w:p>
    <w:p w14:paraId="306A5A60">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我单位有依法缴纳税收和社会保障资金的良好记录；</w:t>
      </w:r>
    </w:p>
    <w:p w14:paraId="2BFF232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我单位参加政府采购活动前3年内在经营活动中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在下划线上如实填写：有或没有）重大违法记录（说明：政府采购法第二十二条第一款第五项所称重大违法记录，是指供应商因违法经营受到刑事处罚或者责令停产停业、吊销许可证或者执照、较大数额罚款等行政处罚。）</w:t>
      </w:r>
    </w:p>
    <w:p w14:paraId="1FA9E7B5">
      <w:pPr>
        <w:snapToGrid w:val="0"/>
        <w:spacing w:line="300" w:lineRule="auto"/>
        <w:ind w:firstLine="420"/>
        <w:contextualSpacing/>
        <w:rPr>
          <w:rFonts w:ascii="宋体" w:hAnsi="宋体" w:cs="宋体"/>
          <w:color w:val="auto"/>
          <w:sz w:val="28"/>
          <w:szCs w:val="28"/>
          <w:highlight w:val="none"/>
        </w:rPr>
      </w:pPr>
    </w:p>
    <w:p w14:paraId="062FFC60">
      <w:pPr>
        <w:snapToGrid w:val="0"/>
        <w:spacing w:line="360" w:lineRule="auto"/>
        <w:ind w:firstLine="4440" w:firstLineChars="1850"/>
        <w:contextualSpacing/>
        <w:rPr>
          <w:rFonts w:ascii="宋体" w:hAnsi="宋体" w:cs="宋体"/>
          <w:color w:val="auto"/>
          <w:sz w:val="24"/>
          <w:highlight w:val="none"/>
        </w:rPr>
      </w:pPr>
    </w:p>
    <w:p w14:paraId="3BA0D7D5">
      <w:pPr>
        <w:snapToGrid w:val="0"/>
        <w:spacing w:line="360" w:lineRule="auto"/>
        <w:ind w:firstLine="4440" w:firstLineChars="1850"/>
        <w:contextualSpacing/>
        <w:rPr>
          <w:rFonts w:ascii="宋体" w:hAnsi="宋体" w:cs="宋体"/>
          <w:color w:val="auto"/>
          <w:sz w:val="24"/>
          <w:highlight w:val="none"/>
        </w:rPr>
      </w:pPr>
    </w:p>
    <w:p w14:paraId="70CFEBA5">
      <w:pPr>
        <w:snapToGrid w:val="0"/>
        <w:spacing w:line="360" w:lineRule="auto"/>
        <w:ind w:firstLine="4440" w:firstLineChars="1850"/>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70D23496">
      <w:pPr>
        <w:snapToGrid w:val="0"/>
        <w:spacing w:line="360" w:lineRule="auto"/>
        <w:contextualSpacing/>
        <w:rPr>
          <w:rFonts w:ascii="宋体" w:hAnsi="宋体" w:cs="宋体"/>
          <w:color w:val="auto"/>
          <w:sz w:val="24"/>
          <w:highlight w:val="none"/>
        </w:rPr>
      </w:pPr>
    </w:p>
    <w:p w14:paraId="5A117E3C">
      <w:pPr>
        <w:snapToGrid w:val="0"/>
        <w:spacing w:line="360" w:lineRule="auto"/>
        <w:ind w:firstLine="4440" w:firstLineChars="1850"/>
        <w:contextualSpacing/>
        <w:rPr>
          <w:rFonts w:ascii="宋体" w:hAnsi="宋体" w:cs="宋体"/>
          <w:bCs/>
          <w:color w:val="auto"/>
          <w:sz w:val="24"/>
          <w:highlight w:val="none"/>
        </w:rPr>
      </w:pPr>
      <w:r>
        <w:rPr>
          <w:rFonts w:hint="eastAsia" w:ascii="宋体" w:hAnsi="宋体" w:cs="宋体"/>
          <w:bCs/>
          <w:color w:val="auto"/>
          <w:sz w:val="24"/>
          <w:highlight w:val="none"/>
        </w:rPr>
        <w:t>年    月    日</w:t>
      </w:r>
    </w:p>
    <w:p w14:paraId="0DE399C1">
      <w:pPr>
        <w:spacing w:line="600" w:lineRule="exact"/>
        <w:ind w:firstLine="576" w:firstLineChars="206"/>
        <w:rPr>
          <w:rFonts w:ascii="宋体" w:hAnsi="宋体" w:cs="宋体"/>
          <w:color w:val="auto"/>
          <w:sz w:val="28"/>
          <w:szCs w:val="28"/>
          <w:highlight w:val="none"/>
        </w:rPr>
      </w:pPr>
    </w:p>
    <w:p w14:paraId="7F266861">
      <w:pPr>
        <w:spacing w:line="600" w:lineRule="exact"/>
        <w:ind w:firstLine="576" w:firstLineChars="206"/>
        <w:rPr>
          <w:rFonts w:ascii="宋体" w:hAnsi="宋体" w:cs="宋体"/>
          <w:color w:val="auto"/>
          <w:sz w:val="28"/>
          <w:szCs w:val="28"/>
          <w:highlight w:val="none"/>
        </w:rPr>
      </w:pPr>
    </w:p>
    <w:p w14:paraId="558B3F4A">
      <w:pPr>
        <w:spacing w:line="600" w:lineRule="exact"/>
        <w:ind w:firstLine="576" w:firstLineChars="206"/>
        <w:rPr>
          <w:rFonts w:ascii="宋体" w:hAnsi="宋体" w:cs="宋体"/>
          <w:color w:val="auto"/>
          <w:sz w:val="28"/>
          <w:szCs w:val="28"/>
          <w:highlight w:val="none"/>
        </w:rPr>
      </w:pPr>
    </w:p>
    <w:p w14:paraId="126B5AAF">
      <w:pPr>
        <w:spacing w:line="600" w:lineRule="exact"/>
        <w:ind w:firstLine="576" w:firstLineChars="206"/>
        <w:rPr>
          <w:rFonts w:ascii="宋体" w:hAnsi="宋体" w:cs="宋体"/>
          <w:color w:val="auto"/>
          <w:sz w:val="28"/>
          <w:szCs w:val="28"/>
          <w:highlight w:val="none"/>
        </w:rPr>
      </w:pPr>
    </w:p>
    <w:p w14:paraId="5C4927C7">
      <w:pPr>
        <w:snapToGrid w:val="0"/>
        <w:spacing w:line="300" w:lineRule="auto"/>
        <w:contextualSpacing/>
        <w:rPr>
          <w:rFonts w:ascii="宋体" w:hAnsi="宋体" w:cs="宋体"/>
          <w:color w:val="auto"/>
          <w:sz w:val="28"/>
          <w:szCs w:val="28"/>
          <w:highlight w:val="none"/>
        </w:rPr>
      </w:pPr>
      <w:r>
        <w:rPr>
          <w:rFonts w:hint="eastAsia" w:ascii="宋体" w:hAnsi="宋体" w:cs="宋体"/>
          <w:b/>
          <w:bCs/>
          <w:color w:val="auto"/>
          <w:sz w:val="72"/>
          <w:szCs w:val="72"/>
          <w:highlight w:val="none"/>
        </w:rPr>
        <w:br w:type="page"/>
      </w:r>
      <w:r>
        <w:rPr>
          <w:rFonts w:hint="eastAsia" w:ascii="宋体" w:hAnsi="宋体" w:cs="宋体"/>
          <w:color w:val="auto"/>
          <w:sz w:val="28"/>
          <w:szCs w:val="28"/>
          <w:highlight w:val="none"/>
        </w:rPr>
        <w:t>附件2：</w:t>
      </w:r>
    </w:p>
    <w:p w14:paraId="73465D66">
      <w:pPr>
        <w:spacing w:before="120" w:beforeLines="50" w:after="120" w:afterLines="50"/>
        <w:jc w:val="center"/>
        <w:rPr>
          <w:rFonts w:ascii="宋体" w:hAnsi="宋体" w:cs="宋体"/>
          <w:color w:val="auto"/>
          <w:sz w:val="28"/>
          <w:szCs w:val="28"/>
          <w:highlight w:val="none"/>
        </w:rPr>
      </w:pPr>
      <w:r>
        <w:rPr>
          <w:rFonts w:hint="eastAsia" w:ascii="宋体" w:hAnsi="宋体" w:cs="宋体"/>
          <w:color w:val="auto"/>
          <w:sz w:val="28"/>
          <w:szCs w:val="28"/>
          <w:highlight w:val="none"/>
        </w:rPr>
        <w:t>授权委托书或法定代表人身份证明</w:t>
      </w:r>
    </w:p>
    <w:p w14:paraId="500C9ADB">
      <w:pPr>
        <w:topLinePunct/>
        <w:spacing w:before="120" w:beforeLines="50" w:after="120" w:afterLines="50"/>
        <w:jc w:val="center"/>
        <w:rPr>
          <w:rFonts w:ascii="宋体" w:hAnsi="宋体" w:cs="宋体"/>
          <w:b/>
          <w:color w:val="auto"/>
          <w:sz w:val="28"/>
          <w:szCs w:val="28"/>
          <w:highlight w:val="none"/>
        </w:rPr>
      </w:pPr>
      <w:r>
        <w:rPr>
          <w:rFonts w:hint="eastAsia" w:ascii="宋体" w:hAnsi="宋体" w:cs="宋体"/>
          <w:b/>
          <w:color w:val="auto"/>
          <w:sz w:val="28"/>
          <w:szCs w:val="28"/>
          <w:highlight w:val="none"/>
        </w:rPr>
        <w:t>（一）授权委托书</w:t>
      </w:r>
    </w:p>
    <w:p w14:paraId="2051E2BD">
      <w:pPr>
        <w:topLinePunct/>
        <w:spacing w:before="120" w:beforeLines="50" w:line="400" w:lineRule="exact"/>
        <w:ind w:firstLine="561"/>
        <w:rPr>
          <w:rFonts w:ascii="宋体" w:hAnsi="宋体" w:cs="宋体"/>
          <w:color w:val="auto"/>
          <w:sz w:val="24"/>
          <w:highlight w:val="none"/>
          <w:u w:val="singl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的法定代表人，现委托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为我方代理人。代理人根据授权，以我方名义签署、澄清、说明、补正、递交、撤回、修改</w:t>
      </w:r>
      <w:r>
        <w:rPr>
          <w:rFonts w:hint="eastAsia" w:ascii="宋体" w:hAnsi="宋体" w:cs="宋体"/>
          <w:color w:val="auto"/>
          <w:sz w:val="24"/>
          <w:highlight w:val="none"/>
          <w:u w:val="single"/>
        </w:rPr>
        <w:t xml:space="preserve">                   项目</w:t>
      </w:r>
      <w:r>
        <w:rPr>
          <w:rFonts w:hint="eastAsia" w:ascii="宋体" w:hAnsi="宋体" w:cs="宋体"/>
          <w:color w:val="auto"/>
          <w:sz w:val="24"/>
          <w:highlight w:val="none"/>
        </w:rPr>
        <w:t>响应文件、签订合同和处理有关事宜，其法律后果由我方承担。</w:t>
      </w:r>
    </w:p>
    <w:p w14:paraId="3FE83F64">
      <w:pPr>
        <w:topLinePunct/>
        <w:spacing w:line="400" w:lineRule="exact"/>
        <w:rPr>
          <w:rFonts w:ascii="宋体" w:hAnsi="宋体" w:cs="宋体"/>
          <w:color w:val="auto"/>
          <w:sz w:val="24"/>
          <w:highlight w:val="none"/>
        </w:rPr>
      </w:pPr>
    </w:p>
    <w:p w14:paraId="6AF11E1E">
      <w:pPr>
        <w:topLinePunct/>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委托期限：自本委托书签署之日起至投标有效期期满。</w:t>
      </w:r>
    </w:p>
    <w:p w14:paraId="0AAB4B21">
      <w:pPr>
        <w:topLinePunct/>
        <w:spacing w:line="400" w:lineRule="exact"/>
        <w:rPr>
          <w:rFonts w:ascii="宋体" w:hAnsi="宋体" w:cs="宋体"/>
          <w:color w:val="auto"/>
          <w:sz w:val="24"/>
          <w:highlight w:val="none"/>
        </w:rPr>
      </w:pPr>
    </w:p>
    <w:p w14:paraId="55E27778">
      <w:pPr>
        <w:topLinePunct/>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代理人无转委托权。</w:t>
      </w:r>
    </w:p>
    <w:p w14:paraId="2977EC87">
      <w:pPr>
        <w:topLinePunct/>
        <w:spacing w:line="400" w:lineRule="exact"/>
        <w:rPr>
          <w:rFonts w:ascii="宋体" w:hAnsi="宋体" w:cs="宋体"/>
          <w:color w:val="auto"/>
          <w:sz w:val="24"/>
          <w:highlight w:val="none"/>
        </w:rPr>
      </w:pPr>
    </w:p>
    <w:p w14:paraId="3F1614A4">
      <w:pPr>
        <w:topLinePunct/>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附：法定代表人身份证明及委托代理人身份证复印件。</w:t>
      </w:r>
    </w:p>
    <w:p w14:paraId="53C88416">
      <w:pPr>
        <w:topLinePunct/>
        <w:ind w:firstLine="480" w:firstLineChars="200"/>
        <w:rPr>
          <w:rFonts w:ascii="宋体" w:hAnsi="宋体" w:cs="宋体"/>
          <w:color w:val="auto"/>
          <w:sz w:val="24"/>
          <w:highlight w:val="none"/>
        </w:rPr>
      </w:pPr>
    </w:p>
    <w:p w14:paraId="15D954D9">
      <w:pPr>
        <w:topLinePunct/>
        <w:rPr>
          <w:rFonts w:ascii="宋体" w:hAnsi="宋体" w:cs="宋体"/>
          <w:color w:val="auto"/>
          <w:sz w:val="24"/>
          <w:highlight w:val="none"/>
        </w:rPr>
      </w:pPr>
    </w:p>
    <w:p w14:paraId="4403F0DD">
      <w:pPr>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69686AF9">
      <w:pPr>
        <w:topLinePunct/>
        <w:rPr>
          <w:rFonts w:ascii="宋体" w:hAnsi="宋体" w:cs="宋体"/>
          <w:color w:val="auto"/>
          <w:sz w:val="24"/>
          <w:highlight w:val="none"/>
        </w:rPr>
      </w:pPr>
    </w:p>
    <w:p w14:paraId="62D9AF9B">
      <w:pPr>
        <w:wordWrap w:val="0"/>
        <w:topLinePunct/>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(签字或盖章)</w:t>
      </w:r>
      <w:r>
        <w:rPr>
          <w:rFonts w:hint="eastAsia" w:ascii="宋体" w:hAnsi="宋体" w:cs="宋体"/>
          <w:color w:val="auto"/>
          <w:sz w:val="24"/>
          <w:highlight w:val="none"/>
        </w:rPr>
        <w:t>：</w:t>
      </w:r>
    </w:p>
    <w:p w14:paraId="13F9E344">
      <w:pPr>
        <w:topLinePunct/>
        <w:rPr>
          <w:rFonts w:ascii="宋体" w:hAnsi="宋体" w:cs="宋体"/>
          <w:color w:val="auto"/>
          <w:sz w:val="24"/>
          <w:highlight w:val="none"/>
        </w:rPr>
      </w:pPr>
    </w:p>
    <w:p w14:paraId="29B71D83">
      <w:pPr>
        <w:wordWrap w:val="0"/>
        <w:topLinePunct/>
        <w:rPr>
          <w:rFonts w:ascii="宋体" w:hAnsi="宋体" w:cs="宋体"/>
          <w:color w:val="auto"/>
          <w:sz w:val="24"/>
          <w:highlight w:val="none"/>
          <w:u w:val="single"/>
        </w:rPr>
      </w:pPr>
      <w:r>
        <w:rPr>
          <w:rFonts w:hint="eastAsia" w:ascii="宋体" w:hAnsi="宋体" w:cs="宋体"/>
          <w:color w:val="auto"/>
          <w:sz w:val="24"/>
          <w:highlight w:val="none"/>
        </w:rPr>
        <w:t>身份证号码：</w:t>
      </w:r>
    </w:p>
    <w:p w14:paraId="283FC2D2">
      <w:pPr>
        <w:topLinePunct/>
        <w:rPr>
          <w:rFonts w:ascii="宋体" w:hAnsi="宋体" w:cs="宋体"/>
          <w:color w:val="auto"/>
          <w:sz w:val="24"/>
          <w:highlight w:val="none"/>
        </w:rPr>
      </w:pPr>
    </w:p>
    <w:p w14:paraId="44B77A7D">
      <w:pPr>
        <w:topLinePunct/>
        <w:jc w:val="left"/>
        <w:rPr>
          <w:rFonts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(签字或盖章)</w:t>
      </w:r>
      <w:r>
        <w:rPr>
          <w:rFonts w:hint="eastAsia" w:ascii="宋体" w:hAnsi="宋体" w:cs="宋体"/>
          <w:color w:val="auto"/>
          <w:sz w:val="24"/>
          <w:highlight w:val="none"/>
        </w:rPr>
        <w:t>：</w:t>
      </w:r>
    </w:p>
    <w:p w14:paraId="69F7789A">
      <w:pPr>
        <w:topLinePunct/>
        <w:rPr>
          <w:rFonts w:ascii="宋体" w:hAnsi="宋体" w:cs="宋体"/>
          <w:color w:val="auto"/>
          <w:sz w:val="24"/>
          <w:highlight w:val="none"/>
        </w:rPr>
      </w:pPr>
    </w:p>
    <w:p w14:paraId="17A99D31">
      <w:pPr>
        <w:wordWrap w:val="0"/>
        <w:topLinePunct/>
        <w:rPr>
          <w:rFonts w:ascii="宋体" w:hAnsi="宋体" w:cs="宋体"/>
          <w:color w:val="auto"/>
          <w:sz w:val="24"/>
          <w:highlight w:val="none"/>
        </w:rPr>
      </w:pPr>
      <w:r>
        <w:rPr>
          <w:rFonts w:hint="eastAsia" w:ascii="宋体" w:hAnsi="宋体" w:cs="宋体"/>
          <w:color w:val="auto"/>
          <w:sz w:val="24"/>
          <w:highlight w:val="none"/>
        </w:rPr>
        <w:t>身份证号码：</w:t>
      </w:r>
    </w:p>
    <w:p w14:paraId="200E2EA4">
      <w:pPr>
        <w:topLinePunct/>
        <w:spacing w:before="120" w:beforeLines="50" w:after="120" w:afterLines="50"/>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4E4400ED">
      <w:pPr>
        <w:topLinePunct/>
        <w:spacing w:before="120" w:beforeLines="50" w:after="120" w:afterLines="50"/>
        <w:jc w:val="center"/>
        <w:rPr>
          <w:rFonts w:ascii="宋体" w:hAnsi="宋体" w:cs="宋体"/>
          <w:color w:val="auto"/>
          <w:sz w:val="36"/>
          <w:szCs w:val="36"/>
          <w:highlight w:val="none"/>
        </w:rPr>
      </w:pPr>
    </w:p>
    <w:p w14:paraId="69119EE6">
      <w:pPr>
        <w:topLinePunct/>
        <w:spacing w:line="400" w:lineRule="exact"/>
        <w:ind w:firstLine="560" w:firstLineChars="200"/>
        <w:rPr>
          <w:rFonts w:ascii="宋体" w:hAnsi="宋体" w:cs="宋体"/>
          <w:color w:val="auto"/>
          <w:sz w:val="28"/>
          <w:szCs w:val="28"/>
          <w:highlight w:val="none"/>
        </w:rPr>
      </w:pPr>
    </w:p>
    <w:p w14:paraId="0FC872FB">
      <w:pPr>
        <w:topLinePunct/>
        <w:spacing w:line="400" w:lineRule="exact"/>
        <w:ind w:firstLine="560" w:firstLineChars="200"/>
        <w:rPr>
          <w:rFonts w:ascii="宋体" w:hAnsi="宋体" w:cs="宋体"/>
          <w:color w:val="auto"/>
          <w:sz w:val="28"/>
          <w:szCs w:val="28"/>
          <w:highlight w:val="none"/>
        </w:rPr>
      </w:pPr>
    </w:p>
    <w:p w14:paraId="730E6B39">
      <w:pPr>
        <w:topLinePunct/>
        <w:spacing w:line="400" w:lineRule="exact"/>
        <w:ind w:firstLine="560" w:firstLineChars="200"/>
        <w:rPr>
          <w:rFonts w:ascii="宋体" w:hAnsi="宋体" w:cs="宋体"/>
          <w:color w:val="auto"/>
          <w:sz w:val="28"/>
          <w:szCs w:val="28"/>
          <w:highlight w:val="none"/>
        </w:rPr>
      </w:pPr>
    </w:p>
    <w:p w14:paraId="4AF4C5D8">
      <w:pPr>
        <w:topLinePunct/>
        <w:spacing w:line="400" w:lineRule="exact"/>
        <w:ind w:firstLine="560" w:firstLineChars="200"/>
        <w:rPr>
          <w:rFonts w:ascii="宋体" w:hAnsi="宋体" w:cs="宋体"/>
          <w:color w:val="auto"/>
          <w:sz w:val="28"/>
          <w:szCs w:val="28"/>
          <w:highlight w:val="none"/>
        </w:rPr>
      </w:pPr>
    </w:p>
    <w:p w14:paraId="4445ED3C">
      <w:pPr>
        <w:topLinePunct/>
        <w:spacing w:line="400" w:lineRule="exact"/>
        <w:ind w:firstLine="560" w:firstLineChars="200"/>
        <w:rPr>
          <w:rFonts w:ascii="宋体" w:hAnsi="宋体" w:cs="宋体"/>
          <w:color w:val="auto"/>
          <w:sz w:val="28"/>
          <w:szCs w:val="28"/>
          <w:highlight w:val="none"/>
        </w:rPr>
      </w:pPr>
    </w:p>
    <w:p w14:paraId="39DD2CEB">
      <w:pPr>
        <w:spacing w:before="120" w:beforeLines="50" w:after="120" w:afterLines="50"/>
        <w:jc w:val="left"/>
        <w:rPr>
          <w:rFonts w:ascii="宋体" w:hAnsi="宋体" w:cs="宋体"/>
          <w:b/>
          <w:bCs/>
          <w:color w:val="auto"/>
          <w:highlight w:val="none"/>
        </w:rPr>
      </w:pPr>
      <w:r>
        <w:rPr>
          <w:rFonts w:hint="eastAsia" w:ascii="宋体" w:hAnsi="宋体" w:cs="宋体"/>
          <w:b/>
          <w:bCs/>
          <w:color w:val="auto"/>
          <w:highlight w:val="none"/>
        </w:rPr>
        <w:t>注：如果由供应商的法定代表人签署投标响应文件，则无须提交授权委托书。</w:t>
      </w:r>
    </w:p>
    <w:p w14:paraId="732CE1E2">
      <w:pPr>
        <w:pStyle w:val="34"/>
        <w:topLinePunct/>
        <w:spacing w:line="400" w:lineRule="exact"/>
        <w:ind w:left="560" w:firstLine="0" w:firstLineChars="0"/>
        <w:rPr>
          <w:rFonts w:ascii="宋体" w:hAnsi="宋体" w:cs="宋体"/>
          <w:color w:val="auto"/>
          <w:sz w:val="28"/>
          <w:szCs w:val="28"/>
          <w:highlight w:val="none"/>
        </w:rPr>
      </w:pPr>
      <w:r>
        <w:rPr>
          <w:rFonts w:hint="eastAsia" w:ascii="宋体" w:hAnsi="宋体" w:cs="宋体"/>
          <w:color w:val="auto"/>
          <w:sz w:val="27"/>
          <w:szCs w:val="27"/>
          <w:highlight w:val="none"/>
        </w:rPr>
        <w:br w:type="page"/>
      </w:r>
    </w:p>
    <w:p w14:paraId="74D15E5E">
      <w:pPr>
        <w:topLinePunct/>
        <w:spacing w:before="120" w:beforeLines="50" w:after="120" w:afterLines="50"/>
        <w:jc w:val="center"/>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r>
        <w:rPr>
          <w:rFonts w:hint="eastAsia" w:ascii="宋体" w:hAnsi="宋体" w:cs="宋体"/>
          <w:b/>
          <w:color w:val="auto"/>
          <w:sz w:val="28"/>
          <w:szCs w:val="28"/>
          <w:highlight w:val="none"/>
          <w:lang w:eastAsia="zh-CN"/>
        </w:rPr>
        <w:t>（二）</w:t>
      </w:r>
      <w:r>
        <w:rPr>
          <w:rFonts w:hint="eastAsia" w:ascii="宋体" w:hAnsi="宋体" w:cs="宋体"/>
          <w:b/>
          <w:color w:val="auto"/>
          <w:sz w:val="28"/>
          <w:szCs w:val="28"/>
          <w:highlight w:val="none"/>
        </w:rPr>
        <w:t>法定代表人身份证明</w:t>
      </w:r>
    </w:p>
    <w:p w14:paraId="349AAEAA">
      <w:pPr>
        <w:topLinePunct/>
        <w:rPr>
          <w:rFonts w:ascii="宋体" w:hAnsi="宋体" w:cs="宋体"/>
          <w:color w:val="auto"/>
          <w:sz w:val="28"/>
          <w:szCs w:val="28"/>
          <w:highlight w:val="none"/>
        </w:rPr>
      </w:pPr>
    </w:p>
    <w:p w14:paraId="78B9AFB4">
      <w:pPr>
        <w:topLinePunct/>
        <w:rPr>
          <w:rFonts w:ascii="宋体" w:hAnsi="宋体" w:cs="宋体"/>
          <w:color w:val="auto"/>
          <w:sz w:val="28"/>
          <w:szCs w:val="28"/>
          <w:highlight w:val="none"/>
        </w:rPr>
      </w:pPr>
    </w:p>
    <w:p w14:paraId="463CF6E4">
      <w:pPr>
        <w:topLinePun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565F71BA">
      <w:pPr>
        <w:topLinePunct/>
        <w:rPr>
          <w:rFonts w:ascii="宋体" w:hAnsi="宋体" w:cs="宋体"/>
          <w:color w:val="auto"/>
          <w:sz w:val="24"/>
          <w:highlight w:val="none"/>
        </w:rPr>
      </w:pPr>
    </w:p>
    <w:p w14:paraId="751029A7">
      <w:pPr>
        <w:topLinePunct/>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14:paraId="2FFE5FAC">
      <w:pPr>
        <w:topLinePunct/>
        <w:rPr>
          <w:rFonts w:ascii="宋体" w:hAnsi="宋体" w:cs="宋体"/>
          <w:color w:val="auto"/>
          <w:sz w:val="24"/>
          <w:highlight w:val="none"/>
        </w:rPr>
      </w:pPr>
    </w:p>
    <w:p w14:paraId="63C4CE57">
      <w:pPr>
        <w:topLinePunct/>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(供应商名称)           </w:t>
      </w:r>
      <w:r>
        <w:rPr>
          <w:rFonts w:hint="eastAsia" w:ascii="宋体" w:hAnsi="宋体" w:cs="宋体"/>
          <w:color w:val="auto"/>
          <w:sz w:val="24"/>
          <w:highlight w:val="none"/>
        </w:rPr>
        <w:t>的法定代表人。</w:t>
      </w:r>
    </w:p>
    <w:p w14:paraId="6C61C0B9">
      <w:pPr>
        <w:topLinePunct/>
        <w:rPr>
          <w:rFonts w:ascii="宋体" w:hAnsi="宋体" w:cs="宋体"/>
          <w:color w:val="auto"/>
          <w:sz w:val="24"/>
          <w:highlight w:val="none"/>
        </w:rPr>
      </w:pPr>
    </w:p>
    <w:p w14:paraId="47FEB164">
      <w:pPr>
        <w:topLinePunct/>
        <w:rPr>
          <w:rFonts w:ascii="宋体" w:hAnsi="宋体" w:cs="宋体"/>
          <w:color w:val="auto"/>
          <w:sz w:val="24"/>
          <w:highlight w:val="none"/>
        </w:rPr>
      </w:pPr>
      <w:r>
        <w:rPr>
          <w:rFonts w:hint="eastAsia" w:ascii="宋体" w:hAnsi="宋体" w:cs="宋体"/>
          <w:color w:val="auto"/>
          <w:sz w:val="24"/>
          <w:highlight w:val="none"/>
        </w:rPr>
        <w:t>特此证明。</w:t>
      </w:r>
    </w:p>
    <w:p w14:paraId="44CEFAD1">
      <w:pPr>
        <w:topLinePunct/>
        <w:rPr>
          <w:rFonts w:ascii="宋体" w:hAnsi="宋体" w:cs="宋体"/>
          <w:color w:val="auto"/>
          <w:sz w:val="24"/>
          <w:highlight w:val="none"/>
        </w:rPr>
      </w:pPr>
    </w:p>
    <w:p w14:paraId="71192E46">
      <w:pPr>
        <w:topLinePunct/>
        <w:rPr>
          <w:rFonts w:ascii="宋体" w:hAnsi="宋体" w:cs="宋体"/>
          <w:color w:val="auto"/>
          <w:sz w:val="24"/>
          <w:highlight w:val="none"/>
        </w:rPr>
      </w:pPr>
      <w:r>
        <w:rPr>
          <w:rFonts w:hint="eastAsia" w:ascii="宋体" w:hAnsi="宋体" w:cs="宋体"/>
          <w:color w:val="auto"/>
          <w:sz w:val="24"/>
          <w:highlight w:val="none"/>
        </w:rPr>
        <w:t>附：法定代表人身份证复印件。</w:t>
      </w:r>
    </w:p>
    <w:p w14:paraId="3DF098D4">
      <w:pPr>
        <w:topLinePunct/>
        <w:rPr>
          <w:rFonts w:ascii="宋体" w:hAnsi="宋体" w:cs="宋体"/>
          <w:color w:val="auto"/>
          <w:sz w:val="24"/>
          <w:highlight w:val="none"/>
        </w:rPr>
      </w:pPr>
    </w:p>
    <w:p w14:paraId="69A88E8F">
      <w:pPr>
        <w:topLinePunct/>
        <w:rPr>
          <w:rFonts w:ascii="宋体" w:hAnsi="宋体" w:cs="宋体"/>
          <w:color w:val="auto"/>
          <w:sz w:val="24"/>
          <w:highlight w:val="none"/>
        </w:rPr>
      </w:pPr>
    </w:p>
    <w:p w14:paraId="1728441B">
      <w:pPr>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46898CF1">
      <w:pPr>
        <w:spacing w:line="360" w:lineRule="auto"/>
        <w:rPr>
          <w:rFonts w:ascii="宋体" w:hAnsi="宋体" w:cs="宋体"/>
          <w:color w:val="auto"/>
          <w:sz w:val="24"/>
          <w:highlight w:val="none"/>
        </w:rPr>
      </w:pPr>
      <w:r>
        <w:rPr>
          <w:rFonts w:hint="eastAsia" w:ascii="宋体" w:hAnsi="宋体" w:cs="宋体"/>
          <w:color w:val="auto"/>
          <w:sz w:val="24"/>
          <w:highlight w:val="none"/>
        </w:rPr>
        <w:t>日期：   年   月   日</w:t>
      </w:r>
    </w:p>
    <w:p w14:paraId="4B6851AB">
      <w:pPr>
        <w:topLinePunct/>
        <w:rPr>
          <w:rFonts w:ascii="宋体" w:hAnsi="宋体" w:cs="宋体"/>
          <w:color w:val="auto"/>
          <w:sz w:val="28"/>
          <w:szCs w:val="28"/>
          <w:highlight w:val="none"/>
        </w:rPr>
      </w:pPr>
    </w:p>
    <w:p w14:paraId="0FC59CFC">
      <w:pPr>
        <w:topLinePunct/>
        <w:rPr>
          <w:rFonts w:ascii="宋体" w:hAnsi="宋体" w:cs="宋体"/>
          <w:color w:val="auto"/>
          <w:sz w:val="28"/>
          <w:szCs w:val="28"/>
          <w:highlight w:val="none"/>
        </w:rPr>
      </w:pPr>
    </w:p>
    <w:p w14:paraId="74EBD28A">
      <w:pPr>
        <w:topLinePunct/>
        <w:rPr>
          <w:rFonts w:ascii="宋体" w:hAnsi="宋体" w:cs="宋体"/>
          <w:color w:val="auto"/>
          <w:sz w:val="28"/>
          <w:szCs w:val="28"/>
          <w:highlight w:val="none"/>
        </w:rPr>
      </w:pPr>
    </w:p>
    <w:p w14:paraId="20BC9C1C">
      <w:pPr>
        <w:rPr>
          <w:rFonts w:ascii="宋体" w:hAnsi="宋体" w:cs="宋体"/>
          <w:b/>
          <w:bCs/>
          <w:color w:val="auto"/>
          <w:highlight w:val="none"/>
        </w:rPr>
      </w:pPr>
    </w:p>
    <w:p w14:paraId="3BE799B5">
      <w:pPr>
        <w:spacing w:before="120" w:beforeLines="50" w:after="120" w:afterLines="50"/>
        <w:jc w:val="center"/>
        <w:rPr>
          <w:rFonts w:ascii="宋体" w:hAnsi="宋体" w:cs="宋体"/>
          <w:b/>
          <w:bCs/>
          <w:color w:val="auto"/>
          <w:highlight w:val="none"/>
        </w:rPr>
      </w:pPr>
    </w:p>
    <w:p w14:paraId="14D3EFCB">
      <w:pPr>
        <w:spacing w:before="120" w:beforeLines="50" w:after="120" w:afterLines="50"/>
        <w:jc w:val="center"/>
        <w:rPr>
          <w:rFonts w:ascii="宋体" w:hAnsi="宋体" w:cs="宋体"/>
          <w:b/>
          <w:bCs/>
          <w:color w:val="auto"/>
          <w:highlight w:val="none"/>
        </w:rPr>
      </w:pPr>
    </w:p>
    <w:p w14:paraId="15BA7C91">
      <w:pPr>
        <w:spacing w:before="120" w:beforeLines="50" w:after="120" w:afterLines="50"/>
        <w:jc w:val="center"/>
        <w:rPr>
          <w:rFonts w:ascii="宋体" w:hAnsi="宋体" w:cs="宋体"/>
          <w:b/>
          <w:bCs/>
          <w:color w:val="auto"/>
          <w:highlight w:val="none"/>
        </w:rPr>
      </w:pPr>
    </w:p>
    <w:p w14:paraId="2C487367">
      <w:pPr>
        <w:spacing w:before="120" w:beforeLines="50" w:after="120" w:afterLines="50"/>
        <w:jc w:val="center"/>
        <w:rPr>
          <w:rFonts w:ascii="宋体" w:hAnsi="宋体" w:cs="宋体"/>
          <w:b/>
          <w:bCs/>
          <w:color w:val="auto"/>
          <w:highlight w:val="none"/>
        </w:rPr>
      </w:pPr>
    </w:p>
    <w:p w14:paraId="73F3B0EE">
      <w:pPr>
        <w:spacing w:before="120" w:beforeLines="50" w:after="120" w:afterLines="50"/>
        <w:jc w:val="center"/>
        <w:rPr>
          <w:rFonts w:ascii="宋体" w:hAnsi="宋体" w:cs="宋体"/>
          <w:b/>
          <w:bCs/>
          <w:color w:val="auto"/>
          <w:highlight w:val="none"/>
        </w:rPr>
      </w:pPr>
    </w:p>
    <w:p w14:paraId="6653063B">
      <w:pPr>
        <w:snapToGrid w:val="0"/>
        <w:spacing w:line="300" w:lineRule="auto"/>
        <w:ind w:firstLine="420"/>
        <w:contextualSpacing/>
        <w:rPr>
          <w:rFonts w:ascii="宋体" w:hAnsi="宋体" w:cs="宋体"/>
          <w:b/>
          <w:color w:val="auto"/>
          <w:sz w:val="28"/>
          <w:szCs w:val="28"/>
          <w:highlight w:val="none"/>
        </w:rPr>
      </w:pPr>
    </w:p>
    <w:p w14:paraId="5EAE621D">
      <w:pPr>
        <w:spacing w:before="120" w:beforeLines="50" w:after="120" w:afterLines="50"/>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p>
    <w:p w14:paraId="21DA273C">
      <w:pPr>
        <w:pStyle w:val="2"/>
        <w:rPr>
          <w:rFonts w:ascii="宋体" w:hAnsi="宋体" w:cs="宋体"/>
          <w:color w:val="auto"/>
          <w:highlight w:val="none"/>
        </w:rPr>
      </w:pPr>
    </w:p>
    <w:p w14:paraId="20777AA5">
      <w:pPr>
        <w:pStyle w:val="2"/>
        <w:rPr>
          <w:rFonts w:ascii="宋体" w:hAnsi="宋体" w:cs="宋体"/>
          <w:color w:val="auto"/>
          <w:highlight w:val="none"/>
        </w:rPr>
      </w:pPr>
    </w:p>
    <w:p w14:paraId="2573E62B">
      <w:pPr>
        <w:pStyle w:val="2"/>
        <w:rPr>
          <w:rFonts w:ascii="宋体" w:hAnsi="宋体" w:cs="宋体"/>
          <w:color w:val="auto"/>
          <w:highlight w:val="none"/>
        </w:rPr>
      </w:pPr>
    </w:p>
    <w:p w14:paraId="3ACCFFDA">
      <w:pPr>
        <w:pStyle w:val="2"/>
        <w:rPr>
          <w:rFonts w:ascii="宋体" w:hAnsi="宋体" w:cs="宋体"/>
          <w:color w:val="auto"/>
          <w:highlight w:val="none"/>
        </w:rPr>
      </w:pPr>
    </w:p>
    <w:p w14:paraId="515F1EB4">
      <w:pPr>
        <w:pStyle w:val="2"/>
        <w:rPr>
          <w:rFonts w:ascii="宋体" w:hAnsi="宋体" w:cs="宋体"/>
          <w:color w:val="auto"/>
          <w:highlight w:val="none"/>
        </w:rPr>
      </w:pPr>
    </w:p>
    <w:p w14:paraId="26F6ED67">
      <w:pPr>
        <w:pStyle w:val="2"/>
        <w:rPr>
          <w:rFonts w:ascii="宋体" w:hAnsi="宋体" w:cs="宋体"/>
          <w:color w:val="auto"/>
          <w:highlight w:val="none"/>
        </w:rPr>
      </w:pPr>
    </w:p>
    <w:p w14:paraId="35E233A1">
      <w:pPr>
        <w:pStyle w:val="2"/>
        <w:rPr>
          <w:rFonts w:ascii="宋体" w:hAnsi="宋体" w:cs="宋体"/>
          <w:color w:val="auto"/>
          <w:highlight w:val="none"/>
        </w:rPr>
      </w:pPr>
    </w:p>
    <w:p w14:paraId="3200E786">
      <w:pPr>
        <w:pStyle w:val="2"/>
        <w:rPr>
          <w:rFonts w:ascii="宋体" w:hAnsi="宋体" w:cs="宋体"/>
          <w:color w:val="auto"/>
          <w:highlight w:val="none"/>
        </w:rPr>
      </w:pPr>
    </w:p>
    <w:p w14:paraId="3ABCC569">
      <w:pPr>
        <w:pStyle w:val="31"/>
        <w:spacing w:before="120" w:beforeLines="50" w:after="120" w:afterLines="50" w:line="360" w:lineRule="auto"/>
        <w:jc w:val="left"/>
        <w:rPr>
          <w:rFonts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 xml:space="preserve">附件3：                </w:t>
      </w:r>
    </w:p>
    <w:p w14:paraId="39870565">
      <w:pPr>
        <w:pStyle w:val="31"/>
        <w:spacing w:before="120" w:beforeLines="50" w:after="120" w:afterLines="5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供应商信用承诺书</w:t>
      </w:r>
    </w:p>
    <w:p w14:paraId="522BB162">
      <w:pPr>
        <w:spacing w:line="560" w:lineRule="exact"/>
        <w:rPr>
          <w:rFonts w:ascii="宋体" w:hAnsi="宋体" w:cs="宋体"/>
          <w:color w:val="auto"/>
          <w:spacing w:val="-5"/>
          <w:sz w:val="24"/>
          <w:highlight w:val="none"/>
        </w:rPr>
      </w:pPr>
      <w:r>
        <w:rPr>
          <w:rFonts w:hint="eastAsia" w:ascii="宋体" w:hAnsi="宋体" w:cs="宋体"/>
          <w:color w:val="auto"/>
          <w:spacing w:val="-5"/>
          <w:sz w:val="24"/>
          <w:highlight w:val="none"/>
        </w:rPr>
        <w:t>致：</w:t>
      </w:r>
      <w:r>
        <w:rPr>
          <w:rFonts w:hint="eastAsia" w:ascii="宋体" w:hAnsi="宋体" w:cs="宋体"/>
          <w:color w:val="auto"/>
          <w:sz w:val="24"/>
          <w:highlight w:val="none"/>
          <w:u w:val="single"/>
        </w:rPr>
        <w:t>南通市公路事业发展中心</w:t>
      </w:r>
    </w:p>
    <w:p w14:paraId="3A0CC22C">
      <w:pPr>
        <w:spacing w:line="560" w:lineRule="exact"/>
        <w:ind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 xml:space="preserve">我单位 </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（单位名称）自愿参加</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 xml:space="preserve"> </w:t>
      </w:r>
    </w:p>
    <w:p w14:paraId="1EFF762C">
      <w:pPr>
        <w:spacing w:line="560" w:lineRule="exact"/>
        <w:rPr>
          <w:rFonts w:ascii="宋体" w:hAnsi="宋体" w:cs="宋体"/>
          <w:color w:val="auto"/>
          <w:spacing w:val="-5"/>
          <w:sz w:val="24"/>
          <w:highlight w:val="none"/>
        </w:rPr>
      </w:pP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项目投标活动，并郑重承诺：</w:t>
      </w:r>
    </w:p>
    <w:p w14:paraId="28D1D983">
      <w:pPr>
        <w:numPr>
          <w:ilvl w:val="0"/>
          <w:numId w:val="3"/>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在本项目的投标活动中遵守国家法律法规和有关规定，遵循公开、公平、公正和诚信原则。</w:t>
      </w:r>
    </w:p>
    <w:p w14:paraId="495A5362">
      <w:pPr>
        <w:numPr>
          <w:ilvl w:val="0"/>
          <w:numId w:val="3"/>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响应文件中所有内容均为我单位真实意愿表达，相关信息真实有效。</w:t>
      </w:r>
    </w:p>
    <w:p w14:paraId="4487092C">
      <w:pPr>
        <w:numPr>
          <w:ilvl w:val="0"/>
          <w:numId w:val="3"/>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无弄虚作假，无围标串标行为。</w:t>
      </w:r>
    </w:p>
    <w:p w14:paraId="315FCF4B">
      <w:pPr>
        <w:numPr>
          <w:ilvl w:val="0"/>
          <w:numId w:val="3"/>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若我方成交，在合同履行过程中严格执行有关</w:t>
      </w:r>
      <w:r>
        <w:rPr>
          <w:rFonts w:hint="eastAsia" w:ascii="宋体" w:hAnsi="宋体" w:cs="宋体"/>
          <w:color w:val="auto"/>
          <w:spacing w:val="-5"/>
          <w:sz w:val="24"/>
          <w:highlight w:val="none"/>
          <w:lang w:eastAsia="zh-CN"/>
        </w:rPr>
        <w:t>法律法规</w:t>
      </w:r>
      <w:r>
        <w:rPr>
          <w:rFonts w:hint="eastAsia" w:ascii="宋体" w:hAnsi="宋体" w:cs="宋体"/>
          <w:color w:val="auto"/>
          <w:spacing w:val="-5"/>
          <w:sz w:val="24"/>
          <w:highlight w:val="none"/>
        </w:rPr>
        <w:t>、规章和规范性文件的规定，不转包和违法分包。</w:t>
      </w:r>
    </w:p>
    <w:p w14:paraId="5273F39D">
      <w:pPr>
        <w:numPr>
          <w:ilvl w:val="0"/>
          <w:numId w:val="3"/>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我方如有违背承诺，愿意接受国家和相关主管部门依法进行的处罚，并记入相关责任主体和责任人信用档案，同时在相关网站上公开。</w:t>
      </w:r>
    </w:p>
    <w:p w14:paraId="7B19E490">
      <w:pPr>
        <w:spacing w:line="560" w:lineRule="exact"/>
        <w:ind w:firstLine="4370" w:firstLineChars="1900"/>
        <w:rPr>
          <w:rFonts w:ascii="宋体" w:hAnsi="宋体" w:cs="宋体"/>
          <w:color w:val="auto"/>
          <w:spacing w:val="-5"/>
          <w:sz w:val="24"/>
          <w:highlight w:val="none"/>
        </w:rPr>
      </w:pPr>
    </w:p>
    <w:p w14:paraId="1D5178FE">
      <w:pPr>
        <w:spacing w:line="360" w:lineRule="auto"/>
        <w:rPr>
          <w:rFonts w:ascii="宋体" w:hAnsi="宋体" w:cs="宋体"/>
          <w:color w:val="auto"/>
          <w:sz w:val="24"/>
          <w:highlight w:val="none"/>
        </w:rPr>
      </w:pPr>
      <w:r>
        <w:rPr>
          <w:rFonts w:hint="eastAsia" w:ascii="宋体" w:hAnsi="宋体" w:cs="宋体"/>
          <w:color w:val="auto"/>
          <w:sz w:val="24"/>
          <w:highlight w:val="none"/>
        </w:rPr>
        <w:t>响应供应商：</w:t>
      </w:r>
      <w:r>
        <w:rPr>
          <w:rFonts w:hint="eastAsia" w:ascii="宋体" w:hAnsi="宋体" w:cs="宋体"/>
          <w:b/>
          <w:color w:val="auto"/>
          <w:spacing w:val="-2"/>
          <w:sz w:val="24"/>
          <w:highlight w:val="none"/>
          <w:u w:val="single"/>
        </w:rPr>
        <w:t>（盖单位章）</w:t>
      </w:r>
    </w:p>
    <w:p w14:paraId="218A6E04">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5DDD23D5">
      <w:pPr>
        <w:spacing w:line="360" w:lineRule="auto"/>
        <w:ind w:firstLine="3675"/>
        <w:rPr>
          <w:rFonts w:ascii="宋体" w:hAnsi="宋体" w:cs="宋体"/>
          <w:color w:val="auto"/>
          <w:sz w:val="24"/>
          <w:highlight w:val="none"/>
        </w:rPr>
      </w:pPr>
      <w:r>
        <w:rPr>
          <w:rFonts w:hint="eastAsia" w:ascii="宋体" w:hAnsi="宋体" w:cs="宋体"/>
          <w:color w:val="auto"/>
          <w:sz w:val="24"/>
          <w:highlight w:val="none"/>
        </w:rPr>
        <w:t>日期：   年   月   日</w:t>
      </w:r>
    </w:p>
    <w:p w14:paraId="3F3C5ED1">
      <w:pPr>
        <w:rPr>
          <w:rFonts w:ascii="宋体" w:hAnsi="宋体" w:cs="宋体"/>
          <w:color w:val="auto"/>
          <w:sz w:val="28"/>
          <w:szCs w:val="28"/>
          <w:highlight w:val="none"/>
        </w:rPr>
      </w:pPr>
      <w:r>
        <w:rPr>
          <w:rFonts w:hint="eastAsia" w:ascii="宋体" w:hAnsi="宋体" w:cs="宋体"/>
          <w:color w:val="auto"/>
          <w:sz w:val="24"/>
          <w:highlight w:val="none"/>
        </w:rPr>
        <w:br w:type="page"/>
      </w:r>
    </w:p>
    <w:p w14:paraId="1735AFA5">
      <w:pPr>
        <w:rPr>
          <w:rFonts w:ascii="宋体" w:hAnsi="宋体" w:cs="宋体"/>
          <w:color w:val="auto"/>
          <w:sz w:val="28"/>
          <w:szCs w:val="28"/>
          <w:highlight w:val="none"/>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w:t>
      </w:r>
    </w:p>
    <w:p w14:paraId="63B21D57">
      <w:pPr>
        <w:snapToGrid w:val="0"/>
        <w:spacing w:line="520" w:lineRule="exact"/>
        <w:jc w:val="center"/>
        <w:outlineLvl w:val="2"/>
        <w:rPr>
          <w:rFonts w:ascii="宋体" w:hAnsi="宋体" w:cs="宋体"/>
          <w:color w:val="auto"/>
          <w:highlight w:val="none"/>
        </w:rPr>
      </w:pPr>
      <w:r>
        <w:rPr>
          <w:rFonts w:hint="eastAsia" w:ascii="宋体" w:hAnsi="宋体" w:cs="宋体"/>
          <w:b/>
          <w:bCs/>
          <w:color w:val="auto"/>
          <w:sz w:val="28"/>
          <w:szCs w:val="28"/>
          <w:highlight w:val="none"/>
        </w:rPr>
        <w:t>供应商基本情况表</w:t>
      </w:r>
    </w:p>
    <w:tbl>
      <w:tblPr>
        <w:tblStyle w:val="1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3036"/>
        <w:gridCol w:w="1536"/>
        <w:gridCol w:w="2287"/>
      </w:tblGrid>
      <w:tr w14:paraId="0F07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7" w:hRule="atLeast"/>
          <w:jc w:val="center"/>
        </w:trPr>
        <w:tc>
          <w:tcPr>
            <w:tcW w:w="2708" w:type="dxa"/>
            <w:vAlign w:val="center"/>
          </w:tcPr>
          <w:p w14:paraId="727113C1">
            <w:pPr>
              <w:jc w:val="center"/>
              <w:rPr>
                <w:rFonts w:ascii="宋体" w:hAnsi="宋体" w:cs="宋体"/>
                <w:color w:val="auto"/>
                <w:sz w:val="24"/>
                <w:highlight w:val="none"/>
              </w:rPr>
            </w:pPr>
            <w:r>
              <w:rPr>
                <w:rFonts w:hint="eastAsia" w:ascii="宋体" w:hAnsi="宋体" w:cs="宋体"/>
                <w:color w:val="auto"/>
                <w:sz w:val="24"/>
                <w:highlight w:val="none"/>
              </w:rPr>
              <w:t>供应商全称</w:t>
            </w:r>
          </w:p>
        </w:tc>
        <w:tc>
          <w:tcPr>
            <w:tcW w:w="6859" w:type="dxa"/>
            <w:gridSpan w:val="3"/>
            <w:vAlign w:val="center"/>
          </w:tcPr>
          <w:p w14:paraId="692AEDC9">
            <w:pPr>
              <w:jc w:val="center"/>
              <w:rPr>
                <w:rFonts w:ascii="宋体" w:hAnsi="宋体" w:cs="宋体"/>
                <w:b/>
                <w:color w:val="auto"/>
                <w:sz w:val="24"/>
                <w:highlight w:val="none"/>
              </w:rPr>
            </w:pPr>
          </w:p>
        </w:tc>
      </w:tr>
      <w:tr w14:paraId="632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708" w:type="dxa"/>
            <w:vAlign w:val="center"/>
          </w:tcPr>
          <w:p w14:paraId="1FBF690E">
            <w:pPr>
              <w:jc w:val="center"/>
              <w:rPr>
                <w:rFonts w:ascii="宋体" w:hAnsi="宋体" w:cs="宋体"/>
                <w:color w:val="auto"/>
                <w:sz w:val="24"/>
                <w:highlight w:val="none"/>
              </w:rPr>
            </w:pPr>
            <w:r>
              <w:rPr>
                <w:rFonts w:hint="eastAsia" w:ascii="宋体" w:hAnsi="宋体" w:cs="宋体"/>
                <w:color w:val="auto"/>
                <w:sz w:val="24"/>
                <w:highlight w:val="none"/>
              </w:rPr>
              <w:t>主要业务范围</w:t>
            </w:r>
          </w:p>
        </w:tc>
        <w:tc>
          <w:tcPr>
            <w:tcW w:w="6859" w:type="dxa"/>
            <w:gridSpan w:val="3"/>
            <w:vAlign w:val="center"/>
          </w:tcPr>
          <w:p w14:paraId="6AD96CE9">
            <w:pPr>
              <w:jc w:val="center"/>
              <w:rPr>
                <w:rFonts w:ascii="宋体" w:hAnsi="宋体" w:cs="宋体"/>
                <w:b/>
                <w:color w:val="auto"/>
                <w:sz w:val="24"/>
                <w:highlight w:val="none"/>
              </w:rPr>
            </w:pPr>
          </w:p>
        </w:tc>
      </w:tr>
      <w:tr w14:paraId="46C8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49AC1775">
            <w:pPr>
              <w:jc w:val="center"/>
              <w:rPr>
                <w:rFonts w:ascii="宋体" w:hAnsi="宋体" w:cs="宋体"/>
                <w:color w:val="auto"/>
                <w:sz w:val="24"/>
                <w:highlight w:val="none"/>
              </w:rPr>
            </w:pPr>
            <w:r>
              <w:rPr>
                <w:rFonts w:hint="eastAsia" w:ascii="宋体" w:hAnsi="宋体" w:cs="宋体"/>
                <w:color w:val="auto"/>
                <w:sz w:val="24"/>
                <w:highlight w:val="none"/>
              </w:rPr>
              <w:t>法定代表人姓名</w:t>
            </w:r>
          </w:p>
        </w:tc>
        <w:tc>
          <w:tcPr>
            <w:tcW w:w="3036" w:type="dxa"/>
            <w:vAlign w:val="center"/>
          </w:tcPr>
          <w:p w14:paraId="6561FAF6">
            <w:pPr>
              <w:jc w:val="center"/>
              <w:rPr>
                <w:rFonts w:ascii="宋体" w:hAnsi="宋体" w:cs="宋体"/>
                <w:b/>
                <w:color w:val="auto"/>
                <w:sz w:val="24"/>
                <w:highlight w:val="none"/>
              </w:rPr>
            </w:pPr>
          </w:p>
        </w:tc>
        <w:tc>
          <w:tcPr>
            <w:tcW w:w="1536" w:type="dxa"/>
            <w:vAlign w:val="center"/>
          </w:tcPr>
          <w:p w14:paraId="43DBDDE1">
            <w:pPr>
              <w:jc w:val="center"/>
              <w:rPr>
                <w:rFonts w:ascii="宋体" w:hAnsi="宋体" w:cs="宋体"/>
                <w:color w:val="auto"/>
                <w:sz w:val="24"/>
                <w:highlight w:val="none"/>
              </w:rPr>
            </w:pPr>
            <w:r>
              <w:rPr>
                <w:rFonts w:hint="eastAsia" w:ascii="宋体" w:hAnsi="宋体" w:cs="宋体"/>
                <w:color w:val="auto"/>
                <w:sz w:val="24"/>
                <w:highlight w:val="none"/>
              </w:rPr>
              <w:t>职    务</w:t>
            </w:r>
          </w:p>
        </w:tc>
        <w:tc>
          <w:tcPr>
            <w:tcW w:w="2287" w:type="dxa"/>
          </w:tcPr>
          <w:p w14:paraId="3A9BBA5F">
            <w:pPr>
              <w:rPr>
                <w:rFonts w:ascii="宋体" w:hAnsi="宋体" w:cs="宋体"/>
                <w:b/>
                <w:color w:val="auto"/>
                <w:sz w:val="24"/>
                <w:highlight w:val="none"/>
              </w:rPr>
            </w:pPr>
          </w:p>
        </w:tc>
      </w:tr>
      <w:tr w14:paraId="5E25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jc w:val="center"/>
        </w:trPr>
        <w:tc>
          <w:tcPr>
            <w:tcW w:w="2708" w:type="dxa"/>
            <w:vAlign w:val="center"/>
          </w:tcPr>
          <w:p w14:paraId="4483C4B3">
            <w:pPr>
              <w:jc w:val="center"/>
              <w:rPr>
                <w:rFonts w:ascii="宋体" w:hAnsi="宋体" w:cs="宋体"/>
                <w:color w:val="auto"/>
                <w:sz w:val="24"/>
                <w:highlight w:val="none"/>
              </w:rPr>
            </w:pPr>
            <w:r>
              <w:rPr>
                <w:rFonts w:hint="eastAsia" w:ascii="宋体" w:hAnsi="宋体" w:cs="宋体"/>
                <w:color w:val="auto"/>
                <w:sz w:val="24"/>
                <w:highlight w:val="none"/>
              </w:rPr>
              <w:t>供应商地址</w:t>
            </w:r>
          </w:p>
        </w:tc>
        <w:tc>
          <w:tcPr>
            <w:tcW w:w="3036" w:type="dxa"/>
            <w:vAlign w:val="center"/>
          </w:tcPr>
          <w:p w14:paraId="1C173A93">
            <w:pPr>
              <w:jc w:val="center"/>
              <w:rPr>
                <w:rFonts w:ascii="宋体" w:hAnsi="宋体" w:cs="宋体"/>
                <w:b/>
                <w:color w:val="auto"/>
                <w:sz w:val="24"/>
                <w:highlight w:val="none"/>
              </w:rPr>
            </w:pPr>
          </w:p>
        </w:tc>
        <w:tc>
          <w:tcPr>
            <w:tcW w:w="1536" w:type="dxa"/>
            <w:vAlign w:val="center"/>
          </w:tcPr>
          <w:p w14:paraId="18665DEB">
            <w:pPr>
              <w:jc w:val="center"/>
              <w:rPr>
                <w:rFonts w:ascii="宋体" w:hAnsi="宋体" w:cs="宋体"/>
                <w:color w:val="auto"/>
                <w:sz w:val="24"/>
                <w:highlight w:val="none"/>
              </w:rPr>
            </w:pPr>
            <w:r>
              <w:rPr>
                <w:rFonts w:hint="eastAsia" w:ascii="宋体" w:hAnsi="宋体" w:cs="宋体"/>
                <w:color w:val="auto"/>
                <w:sz w:val="24"/>
                <w:highlight w:val="none"/>
              </w:rPr>
              <w:t>邮政编码</w:t>
            </w:r>
          </w:p>
        </w:tc>
        <w:tc>
          <w:tcPr>
            <w:tcW w:w="2287" w:type="dxa"/>
          </w:tcPr>
          <w:p w14:paraId="68FF2FB4">
            <w:pPr>
              <w:rPr>
                <w:rFonts w:ascii="宋体" w:hAnsi="宋体" w:cs="宋体"/>
                <w:b/>
                <w:color w:val="auto"/>
                <w:sz w:val="24"/>
                <w:highlight w:val="none"/>
              </w:rPr>
            </w:pPr>
          </w:p>
        </w:tc>
      </w:tr>
      <w:tr w14:paraId="3FF1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708" w:type="dxa"/>
            <w:vAlign w:val="center"/>
          </w:tcPr>
          <w:p w14:paraId="18E07BAB">
            <w:pPr>
              <w:jc w:val="center"/>
              <w:rPr>
                <w:rFonts w:ascii="宋体" w:hAnsi="宋体" w:cs="宋体"/>
                <w:color w:val="auto"/>
                <w:sz w:val="24"/>
                <w:highlight w:val="none"/>
              </w:rPr>
            </w:pPr>
            <w:r>
              <w:rPr>
                <w:rFonts w:hint="eastAsia" w:ascii="宋体" w:hAnsi="宋体" w:cs="宋体"/>
                <w:color w:val="auto"/>
                <w:sz w:val="24"/>
                <w:highlight w:val="none"/>
              </w:rPr>
              <w:t>电       话</w:t>
            </w:r>
          </w:p>
        </w:tc>
        <w:tc>
          <w:tcPr>
            <w:tcW w:w="3036" w:type="dxa"/>
            <w:vAlign w:val="center"/>
          </w:tcPr>
          <w:p w14:paraId="389EC93A">
            <w:pPr>
              <w:jc w:val="center"/>
              <w:rPr>
                <w:rFonts w:ascii="宋体" w:hAnsi="宋体" w:cs="宋体"/>
                <w:b/>
                <w:color w:val="auto"/>
                <w:sz w:val="24"/>
                <w:highlight w:val="none"/>
              </w:rPr>
            </w:pPr>
          </w:p>
        </w:tc>
        <w:tc>
          <w:tcPr>
            <w:tcW w:w="1536" w:type="dxa"/>
            <w:vAlign w:val="center"/>
          </w:tcPr>
          <w:p w14:paraId="7D3DC02B">
            <w:pPr>
              <w:jc w:val="center"/>
              <w:rPr>
                <w:rFonts w:ascii="宋体" w:hAnsi="宋体" w:cs="宋体"/>
                <w:color w:val="auto"/>
                <w:sz w:val="24"/>
                <w:highlight w:val="none"/>
              </w:rPr>
            </w:pPr>
            <w:r>
              <w:rPr>
                <w:rFonts w:hint="eastAsia" w:ascii="宋体" w:hAnsi="宋体" w:cs="宋体"/>
                <w:color w:val="auto"/>
                <w:sz w:val="24"/>
                <w:highlight w:val="none"/>
              </w:rPr>
              <w:t>传   真</w:t>
            </w:r>
          </w:p>
        </w:tc>
        <w:tc>
          <w:tcPr>
            <w:tcW w:w="2287" w:type="dxa"/>
          </w:tcPr>
          <w:p w14:paraId="4FBAC2F5">
            <w:pPr>
              <w:rPr>
                <w:rFonts w:ascii="宋体" w:hAnsi="宋体" w:cs="宋体"/>
                <w:b/>
                <w:color w:val="auto"/>
                <w:sz w:val="24"/>
                <w:highlight w:val="none"/>
              </w:rPr>
            </w:pPr>
          </w:p>
        </w:tc>
      </w:tr>
      <w:tr w14:paraId="7AE0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08" w:type="dxa"/>
            <w:vAlign w:val="center"/>
          </w:tcPr>
          <w:p w14:paraId="40A84DCA">
            <w:pPr>
              <w:jc w:val="center"/>
              <w:rPr>
                <w:rFonts w:ascii="宋体" w:hAnsi="宋体" w:cs="宋体"/>
                <w:color w:val="auto"/>
                <w:sz w:val="24"/>
                <w:highlight w:val="none"/>
              </w:rPr>
            </w:pPr>
            <w:r>
              <w:rPr>
                <w:rFonts w:hint="eastAsia" w:ascii="宋体" w:hAnsi="宋体" w:cs="宋体"/>
                <w:color w:val="auto"/>
                <w:sz w:val="24"/>
                <w:highlight w:val="none"/>
              </w:rPr>
              <w:t>成立日期</w:t>
            </w:r>
          </w:p>
        </w:tc>
        <w:tc>
          <w:tcPr>
            <w:tcW w:w="3036" w:type="dxa"/>
            <w:vAlign w:val="center"/>
          </w:tcPr>
          <w:p w14:paraId="06ECFDFF">
            <w:pPr>
              <w:jc w:val="center"/>
              <w:rPr>
                <w:rFonts w:ascii="宋体" w:hAnsi="宋体" w:cs="宋体"/>
                <w:b/>
                <w:color w:val="auto"/>
                <w:sz w:val="24"/>
                <w:highlight w:val="none"/>
              </w:rPr>
            </w:pPr>
          </w:p>
        </w:tc>
        <w:tc>
          <w:tcPr>
            <w:tcW w:w="1536" w:type="dxa"/>
            <w:vAlign w:val="center"/>
          </w:tcPr>
          <w:p w14:paraId="387EE434">
            <w:pPr>
              <w:jc w:val="center"/>
              <w:rPr>
                <w:rFonts w:ascii="宋体" w:hAnsi="宋体" w:cs="宋体"/>
                <w:color w:val="auto"/>
                <w:sz w:val="24"/>
                <w:highlight w:val="none"/>
              </w:rPr>
            </w:pPr>
            <w:r>
              <w:rPr>
                <w:rFonts w:hint="eastAsia" w:ascii="宋体" w:hAnsi="宋体" w:cs="宋体"/>
                <w:color w:val="auto"/>
                <w:sz w:val="24"/>
                <w:highlight w:val="none"/>
              </w:rPr>
              <w:t>现 有 职</w:t>
            </w:r>
          </w:p>
          <w:p w14:paraId="1887DD88">
            <w:pPr>
              <w:jc w:val="center"/>
              <w:rPr>
                <w:rFonts w:ascii="宋体" w:hAnsi="宋体" w:cs="宋体"/>
                <w:color w:val="auto"/>
                <w:sz w:val="24"/>
                <w:highlight w:val="none"/>
              </w:rPr>
            </w:pPr>
            <w:r>
              <w:rPr>
                <w:rFonts w:hint="eastAsia" w:ascii="宋体" w:hAnsi="宋体" w:cs="宋体"/>
                <w:color w:val="auto"/>
                <w:sz w:val="24"/>
                <w:highlight w:val="none"/>
              </w:rPr>
              <w:t>工 人 数</w:t>
            </w:r>
          </w:p>
        </w:tc>
        <w:tc>
          <w:tcPr>
            <w:tcW w:w="2287" w:type="dxa"/>
          </w:tcPr>
          <w:p w14:paraId="0377C597">
            <w:pPr>
              <w:rPr>
                <w:rFonts w:ascii="宋体" w:hAnsi="宋体" w:cs="宋体"/>
                <w:b/>
                <w:color w:val="auto"/>
                <w:sz w:val="24"/>
                <w:highlight w:val="none"/>
              </w:rPr>
            </w:pPr>
          </w:p>
        </w:tc>
      </w:tr>
      <w:tr w14:paraId="429B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708" w:type="dxa"/>
            <w:vAlign w:val="center"/>
          </w:tcPr>
          <w:p w14:paraId="50B7EE21">
            <w:pPr>
              <w:pStyle w:val="13"/>
              <w:jc w:val="center"/>
              <w:rPr>
                <w:rFonts w:ascii="宋体" w:hAnsi="宋体" w:cs="宋体"/>
                <w:color w:val="auto"/>
                <w:sz w:val="24"/>
                <w:szCs w:val="24"/>
                <w:highlight w:val="none"/>
              </w:rPr>
            </w:pPr>
            <w:r>
              <w:rPr>
                <w:rFonts w:hint="eastAsia" w:ascii="宋体" w:hAnsi="宋体" w:cs="宋体"/>
                <w:color w:val="auto"/>
                <w:sz w:val="24"/>
                <w:szCs w:val="24"/>
                <w:highlight w:val="none"/>
              </w:rPr>
              <w:t>资质等级证书（如有）</w:t>
            </w:r>
          </w:p>
        </w:tc>
        <w:tc>
          <w:tcPr>
            <w:tcW w:w="6859" w:type="dxa"/>
            <w:gridSpan w:val="3"/>
          </w:tcPr>
          <w:p w14:paraId="3ED1FACF">
            <w:pPr>
              <w:rPr>
                <w:rFonts w:ascii="宋体" w:hAnsi="宋体" w:cs="宋体"/>
                <w:b/>
                <w:color w:val="auto"/>
                <w:sz w:val="24"/>
                <w:highlight w:val="none"/>
              </w:rPr>
            </w:pPr>
          </w:p>
          <w:p w14:paraId="79B95B26">
            <w:pPr>
              <w:rPr>
                <w:rFonts w:ascii="宋体" w:hAnsi="宋体" w:cs="宋体"/>
                <w:color w:val="auto"/>
                <w:sz w:val="24"/>
                <w:highlight w:val="none"/>
              </w:rPr>
            </w:pPr>
            <w:r>
              <w:rPr>
                <w:rFonts w:hint="eastAsia" w:ascii="宋体" w:hAnsi="宋体" w:cs="宋体"/>
                <w:color w:val="auto"/>
                <w:sz w:val="24"/>
                <w:highlight w:val="none"/>
              </w:rPr>
              <w:t>等 级：                   证书号：</w:t>
            </w:r>
          </w:p>
        </w:tc>
      </w:tr>
      <w:tr w14:paraId="0E97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567" w:type="dxa"/>
            <w:gridSpan w:val="4"/>
            <w:tcBorders>
              <w:bottom w:val="single" w:color="auto" w:sz="4" w:space="0"/>
            </w:tcBorders>
          </w:tcPr>
          <w:p w14:paraId="6BCE8B8E">
            <w:pPr>
              <w:rPr>
                <w:rFonts w:ascii="宋体" w:hAnsi="宋体" w:cs="宋体"/>
                <w:color w:val="auto"/>
                <w:sz w:val="24"/>
                <w:highlight w:val="none"/>
              </w:rPr>
            </w:pPr>
            <w:r>
              <w:rPr>
                <w:rFonts w:hint="eastAsia" w:ascii="宋体" w:hAnsi="宋体" w:cs="宋体"/>
                <w:color w:val="auto"/>
                <w:sz w:val="24"/>
                <w:highlight w:val="none"/>
              </w:rPr>
              <w:t>单位简介：</w:t>
            </w:r>
          </w:p>
          <w:p w14:paraId="0F101F82">
            <w:pPr>
              <w:rPr>
                <w:rFonts w:ascii="宋体" w:hAnsi="宋体" w:cs="宋体"/>
                <w:color w:val="auto"/>
                <w:sz w:val="24"/>
                <w:highlight w:val="none"/>
              </w:rPr>
            </w:pPr>
            <w:r>
              <w:rPr>
                <w:rFonts w:hint="eastAsia" w:ascii="宋体" w:hAnsi="宋体" w:cs="宋体"/>
                <w:color w:val="auto"/>
                <w:sz w:val="24"/>
                <w:highlight w:val="none"/>
              </w:rPr>
              <w:t xml:space="preserve">技术人员总数：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w:t>
            </w:r>
          </w:p>
        </w:tc>
      </w:tr>
    </w:tbl>
    <w:p w14:paraId="061BF2A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供应商（盖单位公章）：</w:t>
      </w:r>
      <w:r>
        <w:rPr>
          <w:rFonts w:hint="eastAsia" w:ascii="宋体" w:hAnsi="宋体" w:cs="宋体"/>
          <w:color w:val="auto"/>
          <w:sz w:val="24"/>
          <w:highlight w:val="none"/>
          <w:u w:val="single"/>
        </w:rPr>
        <w:t xml:space="preserve">                    </w:t>
      </w:r>
    </w:p>
    <w:p w14:paraId="1F642AA6">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208F9A7B">
      <w:pPr>
        <w:snapToGrid w:val="0"/>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年    月    日</w:t>
      </w:r>
    </w:p>
    <w:p w14:paraId="48677746">
      <w:pPr>
        <w:widowControl/>
        <w:jc w:val="left"/>
        <w:rPr>
          <w:rFonts w:ascii="宋体" w:hAnsi="宋体" w:cs="宋体"/>
          <w:color w:val="auto"/>
          <w:sz w:val="24"/>
          <w:highlight w:val="none"/>
        </w:rPr>
      </w:pPr>
      <w:r>
        <w:rPr>
          <w:rFonts w:hint="eastAsia" w:ascii="宋体" w:hAnsi="宋体" w:cs="宋体"/>
          <w:color w:val="auto"/>
          <w:sz w:val="24"/>
          <w:highlight w:val="none"/>
        </w:rPr>
        <w:br w:type="page"/>
      </w:r>
    </w:p>
    <w:p w14:paraId="5D5EDDB5">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注：本表后附竞争性磋商公告资格要求提供相应的佐证材料（以下材料均须提供复印件（或扫描件）并加盖公章）；</w:t>
      </w:r>
    </w:p>
    <w:p w14:paraId="66BF702B">
      <w:pPr>
        <w:tabs>
          <w:tab w:val="left" w:pos="3375"/>
        </w:tabs>
        <w:autoSpaceDE w:val="0"/>
        <w:autoSpaceDN w:val="0"/>
        <w:adjustRightInd w:val="0"/>
        <w:snapToGrid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提供供应商的</w:t>
      </w:r>
      <w:r>
        <w:rPr>
          <w:rFonts w:hint="eastAsia" w:ascii="宋体" w:hAnsi="宋体" w:cs="宋体"/>
          <w:color w:val="auto"/>
          <w:sz w:val="24"/>
          <w:highlight w:val="none"/>
        </w:rPr>
        <w:t>《律师事务所执业许可证》或《律师事务所分所执业许可证》</w:t>
      </w:r>
      <w:r>
        <w:rPr>
          <w:rFonts w:hint="eastAsia" w:cs="宋体" w:asciiTheme="minorEastAsia" w:hAnsiTheme="minorEastAsia" w:eastAsiaTheme="minorEastAsia"/>
          <w:color w:val="auto"/>
          <w:sz w:val="24"/>
          <w:highlight w:val="none"/>
        </w:rPr>
        <w:t>；</w:t>
      </w:r>
    </w:p>
    <w:p w14:paraId="23BF6B1E">
      <w:pPr>
        <w:tabs>
          <w:tab w:val="left" w:pos="3375"/>
        </w:tabs>
        <w:autoSpaceDE w:val="0"/>
        <w:autoSpaceDN w:val="0"/>
        <w:adjustRightInd w:val="0"/>
        <w:snapToGrid w:val="0"/>
        <w:spacing w:line="440" w:lineRule="exact"/>
        <w:ind w:firstLine="480" w:firstLineChars="200"/>
        <w:rPr>
          <w:rFonts w:hint="eastAsia" w:ascii="宋体" w:hAnsi="宋体" w:cs="宋体"/>
          <w:color w:val="auto"/>
          <w:sz w:val="24"/>
          <w:highlight w:val="none"/>
          <w:lang w:val="en-US" w:eastAsia="zh-CN"/>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lang w:eastAsia="zh-CN"/>
        </w:rPr>
        <w:t>）</w:t>
      </w:r>
      <w:r>
        <w:rPr>
          <w:rFonts w:hint="eastAsia" w:ascii="宋体" w:hAnsi="宋体" w:eastAsia="宋体" w:cs="宋体"/>
          <w:color w:val="auto"/>
          <w:sz w:val="24"/>
          <w:szCs w:val="21"/>
          <w:highlight w:val="none"/>
          <w:lang w:val="en-US" w:eastAsia="zh-CN"/>
        </w:rPr>
        <w:t>提供供应商主办律师及</w:t>
      </w:r>
      <w:r>
        <w:rPr>
          <w:rFonts w:hint="eastAsia" w:ascii="宋体" w:hAnsi="宋体" w:cs="宋体"/>
          <w:color w:val="auto"/>
          <w:sz w:val="24"/>
          <w:szCs w:val="21"/>
          <w:highlight w:val="none"/>
          <w:lang w:val="en-US" w:eastAsia="zh-CN"/>
        </w:rPr>
        <w:t>其他</w:t>
      </w:r>
      <w:r>
        <w:rPr>
          <w:rFonts w:hint="eastAsia" w:ascii="宋体" w:hAnsi="宋体" w:eastAsia="宋体" w:cs="宋体"/>
          <w:color w:val="auto"/>
          <w:sz w:val="24"/>
          <w:szCs w:val="21"/>
          <w:highlight w:val="none"/>
          <w:lang w:val="en-US" w:eastAsia="zh-CN"/>
        </w:rPr>
        <w:t>成员的律师执业资格证书</w:t>
      </w:r>
      <w:r>
        <w:rPr>
          <w:rFonts w:hint="eastAsia" w:ascii="宋体" w:hAnsi="宋体" w:cs="宋体"/>
          <w:color w:val="auto"/>
          <w:sz w:val="24"/>
          <w:szCs w:val="21"/>
          <w:highlight w:val="none"/>
          <w:lang w:val="en-US" w:eastAsia="zh-CN"/>
        </w:rPr>
        <w:t>及社保缴费证明</w:t>
      </w:r>
      <w:r>
        <w:rPr>
          <w:rFonts w:hint="eastAsia" w:cs="宋体" w:asciiTheme="minorEastAsia" w:hAnsiTheme="minorEastAsia" w:eastAsiaTheme="minorEastAsia"/>
          <w:color w:val="auto"/>
          <w:sz w:val="24"/>
          <w:highlight w:val="none"/>
        </w:rPr>
        <w:t>；</w:t>
      </w:r>
    </w:p>
    <w:p w14:paraId="7300E628">
      <w:pPr>
        <w:tabs>
          <w:tab w:val="left" w:pos="3375"/>
        </w:tabs>
        <w:autoSpaceDE w:val="0"/>
        <w:autoSpaceDN w:val="0"/>
        <w:adjustRightInd w:val="0"/>
        <w:snapToGrid w:val="0"/>
        <w:spacing w:line="440" w:lineRule="exact"/>
        <w:ind w:firstLine="480" w:firstLineChars="200"/>
        <w:rPr>
          <w:rFonts w:cs="宋体" w:asciiTheme="minorEastAsia" w:hAnsiTheme="minorEastAsia" w:eastAsiaTheme="minorEastAsia"/>
          <w:color w:val="auto"/>
          <w:sz w:val="24"/>
          <w:highlight w:val="none"/>
        </w:rPr>
      </w:pPr>
    </w:p>
    <w:p w14:paraId="53B027D9">
      <w:pPr>
        <w:tabs>
          <w:tab w:val="left" w:pos="3375"/>
        </w:tabs>
        <w:autoSpaceDE w:val="0"/>
        <w:autoSpaceDN w:val="0"/>
        <w:adjustRightInd w:val="0"/>
        <w:snapToGrid w:val="0"/>
        <w:spacing w:line="440" w:lineRule="exact"/>
        <w:ind w:firstLine="480" w:firstLineChars="200"/>
        <w:rPr>
          <w:rFonts w:hint="default" w:ascii="宋体" w:hAnsi="宋体" w:cs="宋体"/>
          <w:color w:val="auto"/>
          <w:sz w:val="24"/>
          <w:highlight w:val="none"/>
          <w:lang w:val="en-US" w:eastAsia="zh-CN"/>
        </w:rPr>
      </w:pPr>
    </w:p>
    <w:p w14:paraId="56B7F498">
      <w:pPr>
        <w:spacing w:line="300" w:lineRule="auto"/>
        <w:jc w:val="center"/>
        <w:rPr>
          <w:rFonts w:hint="eastAsia" w:ascii="宋体" w:hAnsi="宋体"/>
          <w:bCs/>
          <w:color w:val="auto"/>
          <w:sz w:val="32"/>
          <w:szCs w:val="32"/>
          <w:highlight w:val="none"/>
        </w:rPr>
      </w:pPr>
    </w:p>
    <w:p w14:paraId="23781883">
      <w:pPr>
        <w:spacing w:line="300" w:lineRule="auto"/>
        <w:jc w:val="center"/>
        <w:rPr>
          <w:rFonts w:hint="eastAsia" w:ascii="宋体" w:hAnsi="宋体"/>
          <w:bCs/>
          <w:color w:val="auto"/>
          <w:sz w:val="32"/>
          <w:szCs w:val="32"/>
          <w:highlight w:val="none"/>
        </w:rPr>
      </w:pPr>
    </w:p>
    <w:p w14:paraId="0E8DE7AA">
      <w:pPr>
        <w:spacing w:line="300" w:lineRule="auto"/>
        <w:jc w:val="center"/>
        <w:rPr>
          <w:rFonts w:hint="eastAsia" w:ascii="宋体" w:hAnsi="宋体"/>
          <w:bCs/>
          <w:color w:val="auto"/>
          <w:sz w:val="32"/>
          <w:szCs w:val="32"/>
          <w:highlight w:val="none"/>
        </w:rPr>
      </w:pPr>
    </w:p>
    <w:p w14:paraId="77D0F714">
      <w:pPr>
        <w:spacing w:line="300" w:lineRule="auto"/>
        <w:jc w:val="center"/>
        <w:rPr>
          <w:rFonts w:hint="eastAsia" w:ascii="宋体" w:hAnsi="宋体"/>
          <w:bCs/>
          <w:color w:val="auto"/>
          <w:sz w:val="32"/>
          <w:szCs w:val="32"/>
          <w:highlight w:val="none"/>
        </w:rPr>
      </w:pPr>
    </w:p>
    <w:p w14:paraId="6BF69A5A">
      <w:pPr>
        <w:spacing w:line="300" w:lineRule="auto"/>
        <w:jc w:val="center"/>
        <w:rPr>
          <w:rFonts w:hint="eastAsia" w:ascii="宋体" w:hAnsi="宋体"/>
          <w:bCs/>
          <w:color w:val="auto"/>
          <w:sz w:val="32"/>
          <w:szCs w:val="32"/>
          <w:highlight w:val="none"/>
        </w:rPr>
      </w:pPr>
    </w:p>
    <w:p w14:paraId="04B2930E">
      <w:pPr>
        <w:rPr>
          <w:rFonts w:hint="eastAsia" w:ascii="宋体" w:hAnsi="宋体"/>
          <w:bCs/>
          <w:color w:val="auto"/>
          <w:sz w:val="32"/>
          <w:szCs w:val="32"/>
          <w:highlight w:val="none"/>
        </w:rPr>
      </w:pPr>
      <w:r>
        <w:rPr>
          <w:rFonts w:hint="eastAsia" w:ascii="宋体" w:hAnsi="宋体"/>
          <w:bCs/>
          <w:color w:val="auto"/>
          <w:sz w:val="32"/>
          <w:szCs w:val="32"/>
          <w:highlight w:val="none"/>
        </w:rPr>
        <w:br w:type="page"/>
      </w:r>
    </w:p>
    <w:p w14:paraId="5C1413AC">
      <w:pPr>
        <w:spacing w:line="300" w:lineRule="auto"/>
        <w:jc w:val="both"/>
        <w:rPr>
          <w:rFonts w:hint="eastAsia" w:ascii="宋体" w:hAnsi="宋体"/>
          <w:bCs/>
          <w:color w:val="auto"/>
          <w:sz w:val="32"/>
          <w:szCs w:val="32"/>
          <w:highlight w:val="none"/>
          <w:lang w:val="en-US" w:eastAsia="zh-CN"/>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w:t>
      </w:r>
    </w:p>
    <w:p w14:paraId="5B10E6AC">
      <w:pPr>
        <w:spacing w:line="300" w:lineRule="auto"/>
        <w:jc w:val="center"/>
        <w:rPr>
          <w:rFonts w:ascii="宋体" w:hAnsi="宋体"/>
          <w:bCs/>
          <w:color w:val="auto"/>
          <w:sz w:val="32"/>
          <w:szCs w:val="32"/>
          <w:highlight w:val="none"/>
        </w:rPr>
      </w:pPr>
      <w:r>
        <w:rPr>
          <w:rFonts w:hint="eastAsia" w:ascii="宋体" w:hAnsi="宋体"/>
          <w:bCs/>
          <w:color w:val="auto"/>
          <w:sz w:val="32"/>
          <w:szCs w:val="32"/>
          <w:highlight w:val="none"/>
          <w:lang w:val="en-US" w:eastAsia="zh-CN"/>
        </w:rPr>
        <w:t>拟</w:t>
      </w:r>
      <w:r>
        <w:rPr>
          <w:rFonts w:hint="eastAsia" w:ascii="宋体" w:hAnsi="宋体"/>
          <w:bCs/>
          <w:color w:val="auto"/>
          <w:sz w:val="32"/>
          <w:szCs w:val="32"/>
          <w:highlight w:val="none"/>
        </w:rPr>
        <w:t>投入本项目主要人员情况汇总表</w:t>
      </w:r>
    </w:p>
    <w:tbl>
      <w:tblPr>
        <w:tblStyle w:val="1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024"/>
        <w:gridCol w:w="900"/>
        <w:gridCol w:w="540"/>
        <w:gridCol w:w="900"/>
        <w:gridCol w:w="720"/>
        <w:gridCol w:w="900"/>
        <w:gridCol w:w="1260"/>
        <w:gridCol w:w="1800"/>
        <w:gridCol w:w="720"/>
        <w:gridCol w:w="720"/>
      </w:tblGrid>
      <w:tr w14:paraId="6B03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16" w:type="dxa"/>
            <w:vMerge w:val="restart"/>
            <w:noWrap/>
            <w:vAlign w:val="center"/>
          </w:tcPr>
          <w:p w14:paraId="500D8CFB">
            <w:pPr>
              <w:widowControl/>
              <w:jc w:val="center"/>
              <w:textAlignment w:val="bottom"/>
              <w:rPr>
                <w:rFonts w:ascii="Arial" w:hAnsi="Arial" w:cs="Arial"/>
                <w:color w:val="auto"/>
                <w:sz w:val="20"/>
                <w:highlight w:val="none"/>
              </w:rPr>
            </w:pPr>
            <w:r>
              <w:rPr>
                <w:rFonts w:ascii="Arial" w:hAnsi="Arial" w:cs="Arial"/>
                <w:color w:val="auto"/>
                <w:kern w:val="0"/>
                <w:sz w:val="20"/>
                <w:highlight w:val="none"/>
              </w:rPr>
              <w:t>序号</w:t>
            </w:r>
          </w:p>
        </w:tc>
        <w:tc>
          <w:tcPr>
            <w:tcW w:w="1024" w:type="dxa"/>
            <w:vMerge w:val="restart"/>
            <w:noWrap/>
            <w:vAlign w:val="center"/>
          </w:tcPr>
          <w:p w14:paraId="4265BD3B">
            <w:pPr>
              <w:widowControl/>
              <w:jc w:val="center"/>
              <w:textAlignment w:val="bottom"/>
              <w:rPr>
                <w:rFonts w:ascii="Arial" w:hAnsi="Arial" w:cs="Arial"/>
                <w:color w:val="auto"/>
                <w:sz w:val="20"/>
                <w:highlight w:val="none"/>
              </w:rPr>
            </w:pPr>
            <w:r>
              <w:rPr>
                <w:rFonts w:ascii="Arial" w:hAnsi="Arial" w:cs="Arial"/>
                <w:color w:val="auto"/>
                <w:kern w:val="0"/>
                <w:sz w:val="20"/>
                <w:highlight w:val="none"/>
              </w:rPr>
              <w:t>在本</w:t>
            </w:r>
            <w:r>
              <w:rPr>
                <w:rFonts w:hint="eastAsia" w:ascii="Arial" w:hAnsi="Arial" w:cs="Arial"/>
                <w:color w:val="auto"/>
                <w:kern w:val="0"/>
                <w:sz w:val="20"/>
                <w:highlight w:val="none"/>
              </w:rPr>
              <w:t>项目</w:t>
            </w:r>
            <w:r>
              <w:rPr>
                <w:rFonts w:ascii="Arial" w:hAnsi="Arial" w:cs="Arial"/>
                <w:color w:val="auto"/>
                <w:kern w:val="0"/>
                <w:sz w:val="20"/>
                <w:highlight w:val="none"/>
              </w:rPr>
              <w:t>任职</w:t>
            </w:r>
          </w:p>
        </w:tc>
        <w:tc>
          <w:tcPr>
            <w:tcW w:w="900" w:type="dxa"/>
            <w:vMerge w:val="restart"/>
            <w:noWrap/>
            <w:vAlign w:val="center"/>
          </w:tcPr>
          <w:p w14:paraId="0B63C599">
            <w:pPr>
              <w:widowControl/>
              <w:jc w:val="center"/>
              <w:textAlignment w:val="bottom"/>
              <w:rPr>
                <w:rFonts w:ascii="Arial" w:hAnsi="Arial" w:cs="Arial"/>
                <w:color w:val="auto"/>
                <w:sz w:val="20"/>
                <w:highlight w:val="none"/>
              </w:rPr>
            </w:pPr>
            <w:r>
              <w:rPr>
                <w:rFonts w:ascii="Arial" w:hAnsi="Arial" w:cs="Arial"/>
                <w:color w:val="auto"/>
                <w:kern w:val="0"/>
                <w:sz w:val="20"/>
                <w:highlight w:val="none"/>
              </w:rPr>
              <w:t>姓名</w:t>
            </w:r>
          </w:p>
        </w:tc>
        <w:tc>
          <w:tcPr>
            <w:tcW w:w="540" w:type="dxa"/>
            <w:vMerge w:val="restart"/>
            <w:noWrap/>
            <w:vAlign w:val="center"/>
          </w:tcPr>
          <w:p w14:paraId="54DA3CBB">
            <w:pPr>
              <w:widowControl/>
              <w:jc w:val="center"/>
              <w:textAlignment w:val="bottom"/>
              <w:rPr>
                <w:rFonts w:ascii="Arial" w:hAnsi="Arial" w:cs="Arial"/>
                <w:color w:val="auto"/>
                <w:sz w:val="20"/>
                <w:highlight w:val="none"/>
              </w:rPr>
            </w:pPr>
            <w:r>
              <w:rPr>
                <w:rFonts w:ascii="Arial" w:hAnsi="Arial" w:cs="Arial"/>
                <w:color w:val="auto"/>
                <w:kern w:val="0"/>
                <w:sz w:val="20"/>
                <w:highlight w:val="none"/>
              </w:rPr>
              <w:t>学历</w:t>
            </w:r>
          </w:p>
        </w:tc>
        <w:tc>
          <w:tcPr>
            <w:tcW w:w="900" w:type="dxa"/>
            <w:vMerge w:val="restart"/>
            <w:noWrap/>
            <w:vAlign w:val="center"/>
          </w:tcPr>
          <w:p w14:paraId="65A3A4C8">
            <w:pPr>
              <w:widowControl/>
              <w:jc w:val="center"/>
              <w:textAlignment w:val="bottom"/>
              <w:rPr>
                <w:rFonts w:ascii="Arial" w:hAnsi="Arial" w:cs="Arial"/>
                <w:color w:val="auto"/>
                <w:kern w:val="0"/>
                <w:sz w:val="20"/>
                <w:highlight w:val="none"/>
              </w:rPr>
            </w:pPr>
            <w:r>
              <w:rPr>
                <w:rFonts w:ascii="Arial" w:hAnsi="Arial" w:cs="Arial"/>
                <w:color w:val="auto"/>
                <w:kern w:val="0"/>
                <w:sz w:val="20"/>
                <w:highlight w:val="none"/>
              </w:rPr>
              <w:t>技术</w:t>
            </w:r>
          </w:p>
          <w:p w14:paraId="0079ABCC">
            <w:pPr>
              <w:widowControl/>
              <w:jc w:val="center"/>
              <w:textAlignment w:val="bottom"/>
              <w:rPr>
                <w:rFonts w:ascii="Arial" w:hAnsi="Arial" w:cs="Arial"/>
                <w:color w:val="auto"/>
                <w:sz w:val="20"/>
                <w:highlight w:val="none"/>
              </w:rPr>
            </w:pPr>
            <w:r>
              <w:rPr>
                <w:rFonts w:ascii="Arial" w:hAnsi="Arial" w:cs="Arial"/>
                <w:color w:val="auto"/>
                <w:kern w:val="0"/>
                <w:sz w:val="20"/>
                <w:highlight w:val="none"/>
              </w:rPr>
              <w:t>职称</w:t>
            </w:r>
          </w:p>
        </w:tc>
        <w:tc>
          <w:tcPr>
            <w:tcW w:w="720" w:type="dxa"/>
            <w:vMerge w:val="restart"/>
            <w:noWrap/>
            <w:vAlign w:val="center"/>
          </w:tcPr>
          <w:p w14:paraId="42EA20BC">
            <w:pPr>
              <w:widowControl/>
              <w:jc w:val="center"/>
              <w:textAlignment w:val="bottom"/>
              <w:rPr>
                <w:rFonts w:ascii="Arial" w:hAnsi="Arial" w:cs="Arial"/>
                <w:color w:val="auto"/>
                <w:sz w:val="20"/>
                <w:highlight w:val="none"/>
              </w:rPr>
            </w:pPr>
            <w:r>
              <w:rPr>
                <w:rFonts w:ascii="Arial" w:hAnsi="Arial" w:cs="Arial"/>
                <w:color w:val="auto"/>
                <w:kern w:val="0"/>
                <w:sz w:val="20"/>
                <w:highlight w:val="none"/>
              </w:rPr>
              <w:t>专业</w:t>
            </w:r>
          </w:p>
        </w:tc>
        <w:tc>
          <w:tcPr>
            <w:tcW w:w="2160" w:type="dxa"/>
            <w:gridSpan w:val="2"/>
            <w:noWrap/>
            <w:vAlign w:val="center"/>
          </w:tcPr>
          <w:p w14:paraId="3135305E">
            <w:pPr>
              <w:widowControl/>
              <w:jc w:val="center"/>
              <w:textAlignment w:val="bottom"/>
              <w:rPr>
                <w:rFonts w:ascii="Arial" w:hAnsi="Arial" w:cs="Arial"/>
                <w:color w:val="auto"/>
                <w:kern w:val="0"/>
                <w:sz w:val="20"/>
                <w:highlight w:val="none"/>
              </w:rPr>
            </w:pPr>
            <w:r>
              <w:rPr>
                <w:rFonts w:hint="eastAsia" w:ascii="Arial" w:hAnsi="Arial" w:cs="Arial"/>
                <w:color w:val="auto"/>
                <w:kern w:val="0"/>
                <w:sz w:val="20"/>
                <w:highlight w:val="none"/>
              </w:rPr>
              <w:t>执业或职业资格证明</w:t>
            </w:r>
          </w:p>
        </w:tc>
        <w:tc>
          <w:tcPr>
            <w:tcW w:w="1800" w:type="dxa"/>
            <w:vMerge w:val="restart"/>
            <w:noWrap/>
            <w:vAlign w:val="center"/>
          </w:tcPr>
          <w:p w14:paraId="3DF7C9C4">
            <w:pPr>
              <w:widowControl/>
              <w:jc w:val="center"/>
              <w:textAlignment w:val="bottom"/>
              <w:rPr>
                <w:rFonts w:ascii="Arial" w:hAnsi="Arial" w:cs="Arial"/>
                <w:color w:val="auto"/>
                <w:sz w:val="20"/>
                <w:highlight w:val="none"/>
              </w:rPr>
            </w:pPr>
            <w:r>
              <w:rPr>
                <w:rFonts w:hint="eastAsia" w:ascii="Arial" w:hAnsi="Arial" w:cs="Arial"/>
                <w:color w:val="auto"/>
                <w:kern w:val="0"/>
                <w:sz w:val="20"/>
                <w:highlight w:val="none"/>
              </w:rPr>
              <w:t>身份证号</w:t>
            </w:r>
          </w:p>
        </w:tc>
        <w:tc>
          <w:tcPr>
            <w:tcW w:w="720" w:type="dxa"/>
            <w:vMerge w:val="restart"/>
            <w:noWrap/>
            <w:vAlign w:val="center"/>
          </w:tcPr>
          <w:p w14:paraId="291A8C94">
            <w:pPr>
              <w:widowControl/>
              <w:jc w:val="center"/>
              <w:textAlignment w:val="bottom"/>
              <w:rPr>
                <w:rFonts w:ascii="Arial" w:hAnsi="Arial" w:cs="Arial"/>
                <w:color w:val="auto"/>
                <w:sz w:val="20"/>
                <w:highlight w:val="none"/>
              </w:rPr>
            </w:pPr>
            <w:r>
              <w:rPr>
                <w:rFonts w:hint="eastAsia" w:ascii="Arial" w:hAnsi="Arial" w:cs="Arial"/>
                <w:color w:val="auto"/>
                <w:sz w:val="20"/>
                <w:highlight w:val="none"/>
              </w:rPr>
              <w:t>社保</w:t>
            </w:r>
          </w:p>
          <w:p w14:paraId="03BEBD65">
            <w:pPr>
              <w:widowControl/>
              <w:jc w:val="center"/>
              <w:textAlignment w:val="bottom"/>
              <w:rPr>
                <w:rFonts w:ascii="Arial" w:hAnsi="Arial" w:cs="Arial"/>
                <w:color w:val="auto"/>
                <w:sz w:val="20"/>
                <w:highlight w:val="none"/>
              </w:rPr>
            </w:pPr>
            <w:r>
              <w:rPr>
                <w:rFonts w:hint="eastAsia" w:ascii="Arial" w:hAnsi="Arial" w:cs="Arial"/>
                <w:color w:val="auto"/>
                <w:sz w:val="20"/>
                <w:highlight w:val="none"/>
              </w:rPr>
              <w:t>缴费单位</w:t>
            </w:r>
          </w:p>
        </w:tc>
        <w:tc>
          <w:tcPr>
            <w:tcW w:w="720" w:type="dxa"/>
            <w:vMerge w:val="restart"/>
            <w:noWrap/>
            <w:vAlign w:val="center"/>
          </w:tcPr>
          <w:p w14:paraId="774E25A2">
            <w:pPr>
              <w:widowControl/>
              <w:jc w:val="center"/>
              <w:textAlignment w:val="bottom"/>
              <w:rPr>
                <w:rFonts w:ascii="Arial" w:hAnsi="Arial" w:cs="Arial"/>
                <w:color w:val="auto"/>
                <w:sz w:val="20"/>
                <w:highlight w:val="none"/>
              </w:rPr>
            </w:pPr>
            <w:r>
              <w:rPr>
                <w:rFonts w:hint="eastAsia" w:ascii="Arial" w:hAnsi="Arial" w:cs="Arial"/>
                <w:color w:val="auto"/>
                <w:sz w:val="20"/>
                <w:highlight w:val="none"/>
              </w:rPr>
              <w:t>备注</w:t>
            </w:r>
          </w:p>
        </w:tc>
      </w:tr>
      <w:tr w14:paraId="2698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16" w:type="dxa"/>
            <w:vMerge w:val="continue"/>
            <w:noWrap/>
            <w:vAlign w:val="center"/>
          </w:tcPr>
          <w:p w14:paraId="3238135E">
            <w:pPr>
              <w:spacing w:line="300" w:lineRule="auto"/>
              <w:jc w:val="center"/>
              <w:rPr>
                <w:rFonts w:ascii="黑体" w:eastAsia="黑体"/>
                <w:b/>
                <w:color w:val="auto"/>
                <w:sz w:val="24"/>
                <w:highlight w:val="none"/>
              </w:rPr>
            </w:pPr>
          </w:p>
        </w:tc>
        <w:tc>
          <w:tcPr>
            <w:tcW w:w="1024" w:type="dxa"/>
            <w:vMerge w:val="continue"/>
            <w:noWrap/>
            <w:vAlign w:val="center"/>
          </w:tcPr>
          <w:p w14:paraId="3321AF20">
            <w:pPr>
              <w:spacing w:line="300" w:lineRule="auto"/>
              <w:jc w:val="center"/>
              <w:rPr>
                <w:rFonts w:ascii="黑体" w:eastAsia="黑体"/>
                <w:b/>
                <w:color w:val="auto"/>
                <w:sz w:val="24"/>
                <w:highlight w:val="none"/>
              </w:rPr>
            </w:pPr>
          </w:p>
        </w:tc>
        <w:tc>
          <w:tcPr>
            <w:tcW w:w="900" w:type="dxa"/>
            <w:vMerge w:val="continue"/>
            <w:noWrap/>
            <w:vAlign w:val="center"/>
          </w:tcPr>
          <w:p w14:paraId="53E7D86D">
            <w:pPr>
              <w:spacing w:line="300" w:lineRule="auto"/>
              <w:jc w:val="center"/>
              <w:rPr>
                <w:rFonts w:ascii="黑体" w:eastAsia="黑体"/>
                <w:b/>
                <w:color w:val="auto"/>
                <w:sz w:val="24"/>
                <w:highlight w:val="none"/>
              </w:rPr>
            </w:pPr>
          </w:p>
        </w:tc>
        <w:tc>
          <w:tcPr>
            <w:tcW w:w="540" w:type="dxa"/>
            <w:vMerge w:val="continue"/>
            <w:noWrap/>
            <w:vAlign w:val="center"/>
          </w:tcPr>
          <w:p w14:paraId="7BBD5326">
            <w:pPr>
              <w:spacing w:line="300" w:lineRule="auto"/>
              <w:jc w:val="center"/>
              <w:rPr>
                <w:rFonts w:ascii="黑体" w:eastAsia="黑体"/>
                <w:b/>
                <w:color w:val="auto"/>
                <w:sz w:val="24"/>
                <w:highlight w:val="none"/>
              </w:rPr>
            </w:pPr>
          </w:p>
        </w:tc>
        <w:tc>
          <w:tcPr>
            <w:tcW w:w="900" w:type="dxa"/>
            <w:vMerge w:val="continue"/>
            <w:noWrap/>
            <w:vAlign w:val="center"/>
          </w:tcPr>
          <w:p w14:paraId="117100F2">
            <w:pPr>
              <w:spacing w:line="300" w:lineRule="auto"/>
              <w:jc w:val="center"/>
              <w:rPr>
                <w:rFonts w:ascii="黑体" w:eastAsia="黑体"/>
                <w:b/>
                <w:color w:val="auto"/>
                <w:sz w:val="24"/>
                <w:highlight w:val="none"/>
              </w:rPr>
            </w:pPr>
          </w:p>
        </w:tc>
        <w:tc>
          <w:tcPr>
            <w:tcW w:w="720" w:type="dxa"/>
            <w:vMerge w:val="continue"/>
            <w:noWrap/>
            <w:vAlign w:val="center"/>
          </w:tcPr>
          <w:p w14:paraId="75B5C4B5">
            <w:pPr>
              <w:spacing w:line="300" w:lineRule="auto"/>
              <w:jc w:val="center"/>
              <w:rPr>
                <w:rFonts w:ascii="黑体" w:eastAsia="黑体"/>
                <w:b/>
                <w:color w:val="auto"/>
                <w:sz w:val="24"/>
                <w:highlight w:val="none"/>
              </w:rPr>
            </w:pPr>
          </w:p>
        </w:tc>
        <w:tc>
          <w:tcPr>
            <w:tcW w:w="900" w:type="dxa"/>
            <w:noWrap/>
            <w:vAlign w:val="center"/>
          </w:tcPr>
          <w:p w14:paraId="3DF7815D">
            <w:pPr>
              <w:jc w:val="center"/>
              <w:rPr>
                <w:rFonts w:ascii="Arial" w:hAnsi="Arial" w:cs="Arial"/>
                <w:color w:val="auto"/>
                <w:kern w:val="0"/>
                <w:sz w:val="20"/>
                <w:highlight w:val="none"/>
              </w:rPr>
            </w:pPr>
            <w:r>
              <w:rPr>
                <w:rFonts w:hint="eastAsia" w:ascii="Arial" w:hAnsi="Arial" w:cs="Arial"/>
                <w:color w:val="auto"/>
                <w:kern w:val="0"/>
                <w:sz w:val="20"/>
                <w:highlight w:val="none"/>
              </w:rPr>
              <w:t>证书</w:t>
            </w:r>
          </w:p>
          <w:p w14:paraId="5F89F83A">
            <w:pPr>
              <w:jc w:val="center"/>
              <w:rPr>
                <w:rFonts w:ascii="Arial" w:hAnsi="Arial" w:cs="Arial"/>
                <w:color w:val="auto"/>
                <w:kern w:val="0"/>
                <w:sz w:val="20"/>
                <w:highlight w:val="none"/>
              </w:rPr>
            </w:pPr>
            <w:r>
              <w:rPr>
                <w:rFonts w:hint="eastAsia" w:ascii="Arial" w:hAnsi="Arial" w:cs="Arial"/>
                <w:color w:val="auto"/>
                <w:kern w:val="0"/>
                <w:sz w:val="20"/>
                <w:highlight w:val="none"/>
              </w:rPr>
              <w:t>名称</w:t>
            </w:r>
          </w:p>
        </w:tc>
        <w:tc>
          <w:tcPr>
            <w:tcW w:w="1260" w:type="dxa"/>
            <w:noWrap/>
            <w:vAlign w:val="center"/>
          </w:tcPr>
          <w:p w14:paraId="62123698">
            <w:pPr>
              <w:spacing w:line="300" w:lineRule="auto"/>
              <w:jc w:val="center"/>
              <w:rPr>
                <w:rFonts w:ascii="Arial" w:hAnsi="Arial" w:cs="Arial"/>
                <w:color w:val="auto"/>
                <w:kern w:val="0"/>
                <w:sz w:val="20"/>
                <w:highlight w:val="none"/>
              </w:rPr>
            </w:pPr>
            <w:r>
              <w:rPr>
                <w:rFonts w:hint="eastAsia" w:ascii="Arial" w:hAnsi="Arial" w:cs="Arial"/>
                <w:color w:val="auto"/>
                <w:kern w:val="0"/>
                <w:sz w:val="20"/>
                <w:highlight w:val="none"/>
              </w:rPr>
              <w:t>证 号</w:t>
            </w:r>
          </w:p>
        </w:tc>
        <w:tc>
          <w:tcPr>
            <w:tcW w:w="1800" w:type="dxa"/>
            <w:vMerge w:val="continue"/>
            <w:noWrap/>
            <w:vAlign w:val="center"/>
          </w:tcPr>
          <w:p w14:paraId="35FCD164">
            <w:pPr>
              <w:spacing w:line="300" w:lineRule="auto"/>
              <w:jc w:val="center"/>
              <w:rPr>
                <w:rFonts w:ascii="黑体" w:eastAsia="黑体"/>
                <w:b/>
                <w:color w:val="auto"/>
                <w:sz w:val="24"/>
                <w:highlight w:val="none"/>
              </w:rPr>
            </w:pPr>
          </w:p>
        </w:tc>
        <w:tc>
          <w:tcPr>
            <w:tcW w:w="720" w:type="dxa"/>
            <w:vMerge w:val="continue"/>
            <w:noWrap/>
            <w:vAlign w:val="center"/>
          </w:tcPr>
          <w:p w14:paraId="2CA8626F">
            <w:pPr>
              <w:widowControl/>
              <w:jc w:val="center"/>
              <w:textAlignment w:val="bottom"/>
              <w:rPr>
                <w:rFonts w:ascii="黑体" w:eastAsia="黑体"/>
                <w:b/>
                <w:color w:val="auto"/>
                <w:sz w:val="24"/>
                <w:highlight w:val="none"/>
              </w:rPr>
            </w:pPr>
          </w:p>
        </w:tc>
        <w:tc>
          <w:tcPr>
            <w:tcW w:w="720" w:type="dxa"/>
            <w:vMerge w:val="continue"/>
            <w:noWrap/>
            <w:vAlign w:val="center"/>
          </w:tcPr>
          <w:p w14:paraId="7B23E9D9">
            <w:pPr>
              <w:spacing w:line="300" w:lineRule="auto"/>
              <w:jc w:val="center"/>
              <w:rPr>
                <w:rFonts w:ascii="黑体" w:eastAsia="黑体"/>
                <w:b/>
                <w:color w:val="auto"/>
                <w:sz w:val="24"/>
                <w:highlight w:val="none"/>
              </w:rPr>
            </w:pPr>
          </w:p>
        </w:tc>
      </w:tr>
      <w:tr w14:paraId="1E16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7093FAA3">
            <w:pPr>
              <w:spacing w:line="300" w:lineRule="auto"/>
              <w:jc w:val="center"/>
              <w:rPr>
                <w:rFonts w:ascii="黑体" w:eastAsia="黑体"/>
                <w:b/>
                <w:color w:val="auto"/>
                <w:sz w:val="24"/>
                <w:highlight w:val="none"/>
              </w:rPr>
            </w:pPr>
          </w:p>
        </w:tc>
        <w:tc>
          <w:tcPr>
            <w:tcW w:w="1024" w:type="dxa"/>
            <w:noWrap/>
            <w:vAlign w:val="center"/>
          </w:tcPr>
          <w:p w14:paraId="4FAC3844">
            <w:pPr>
              <w:spacing w:line="300" w:lineRule="auto"/>
              <w:jc w:val="center"/>
              <w:rPr>
                <w:rFonts w:ascii="黑体" w:eastAsia="黑体"/>
                <w:b/>
                <w:color w:val="auto"/>
                <w:sz w:val="24"/>
                <w:highlight w:val="none"/>
              </w:rPr>
            </w:pPr>
          </w:p>
        </w:tc>
        <w:tc>
          <w:tcPr>
            <w:tcW w:w="900" w:type="dxa"/>
            <w:noWrap/>
            <w:vAlign w:val="center"/>
          </w:tcPr>
          <w:p w14:paraId="2BBC85BC">
            <w:pPr>
              <w:spacing w:line="300" w:lineRule="auto"/>
              <w:jc w:val="center"/>
              <w:rPr>
                <w:rFonts w:ascii="黑体" w:eastAsia="黑体"/>
                <w:b/>
                <w:color w:val="auto"/>
                <w:sz w:val="24"/>
                <w:highlight w:val="none"/>
              </w:rPr>
            </w:pPr>
          </w:p>
        </w:tc>
        <w:tc>
          <w:tcPr>
            <w:tcW w:w="540" w:type="dxa"/>
            <w:noWrap/>
            <w:vAlign w:val="center"/>
          </w:tcPr>
          <w:p w14:paraId="478CF7F1">
            <w:pPr>
              <w:spacing w:line="300" w:lineRule="auto"/>
              <w:jc w:val="center"/>
              <w:rPr>
                <w:rFonts w:ascii="黑体" w:eastAsia="黑体"/>
                <w:b/>
                <w:color w:val="auto"/>
                <w:sz w:val="24"/>
                <w:highlight w:val="none"/>
              </w:rPr>
            </w:pPr>
          </w:p>
        </w:tc>
        <w:tc>
          <w:tcPr>
            <w:tcW w:w="900" w:type="dxa"/>
            <w:noWrap/>
            <w:vAlign w:val="center"/>
          </w:tcPr>
          <w:p w14:paraId="66ECFBDC">
            <w:pPr>
              <w:spacing w:line="300" w:lineRule="auto"/>
              <w:jc w:val="center"/>
              <w:rPr>
                <w:rFonts w:ascii="黑体" w:eastAsia="黑体"/>
                <w:b/>
                <w:color w:val="auto"/>
                <w:sz w:val="24"/>
                <w:highlight w:val="none"/>
              </w:rPr>
            </w:pPr>
          </w:p>
        </w:tc>
        <w:tc>
          <w:tcPr>
            <w:tcW w:w="720" w:type="dxa"/>
            <w:noWrap/>
            <w:vAlign w:val="center"/>
          </w:tcPr>
          <w:p w14:paraId="21A713A3">
            <w:pPr>
              <w:spacing w:line="300" w:lineRule="auto"/>
              <w:jc w:val="center"/>
              <w:rPr>
                <w:rFonts w:ascii="黑体" w:eastAsia="黑体"/>
                <w:b/>
                <w:color w:val="auto"/>
                <w:sz w:val="24"/>
                <w:highlight w:val="none"/>
              </w:rPr>
            </w:pPr>
          </w:p>
        </w:tc>
        <w:tc>
          <w:tcPr>
            <w:tcW w:w="900" w:type="dxa"/>
            <w:noWrap/>
            <w:vAlign w:val="center"/>
          </w:tcPr>
          <w:p w14:paraId="4FCB6EBD">
            <w:pPr>
              <w:spacing w:line="300" w:lineRule="auto"/>
              <w:jc w:val="center"/>
              <w:rPr>
                <w:rFonts w:ascii="黑体" w:eastAsia="黑体"/>
                <w:b/>
                <w:color w:val="auto"/>
                <w:sz w:val="24"/>
                <w:highlight w:val="none"/>
              </w:rPr>
            </w:pPr>
          </w:p>
        </w:tc>
        <w:tc>
          <w:tcPr>
            <w:tcW w:w="1260" w:type="dxa"/>
            <w:noWrap/>
            <w:vAlign w:val="center"/>
          </w:tcPr>
          <w:p w14:paraId="31F3B955">
            <w:pPr>
              <w:spacing w:line="300" w:lineRule="auto"/>
              <w:jc w:val="center"/>
              <w:rPr>
                <w:rFonts w:ascii="黑体" w:eastAsia="黑体"/>
                <w:b/>
                <w:color w:val="auto"/>
                <w:sz w:val="24"/>
                <w:highlight w:val="none"/>
              </w:rPr>
            </w:pPr>
          </w:p>
        </w:tc>
        <w:tc>
          <w:tcPr>
            <w:tcW w:w="1800" w:type="dxa"/>
            <w:noWrap/>
            <w:vAlign w:val="center"/>
          </w:tcPr>
          <w:p w14:paraId="0410F828">
            <w:pPr>
              <w:spacing w:line="300" w:lineRule="auto"/>
              <w:jc w:val="center"/>
              <w:rPr>
                <w:rFonts w:ascii="黑体" w:eastAsia="黑体"/>
                <w:b/>
                <w:color w:val="auto"/>
                <w:sz w:val="24"/>
                <w:highlight w:val="none"/>
              </w:rPr>
            </w:pPr>
          </w:p>
        </w:tc>
        <w:tc>
          <w:tcPr>
            <w:tcW w:w="720" w:type="dxa"/>
            <w:noWrap/>
            <w:vAlign w:val="center"/>
          </w:tcPr>
          <w:p w14:paraId="0CD2F3D9">
            <w:pPr>
              <w:spacing w:line="300" w:lineRule="auto"/>
              <w:jc w:val="center"/>
              <w:rPr>
                <w:rFonts w:ascii="黑体" w:eastAsia="黑体"/>
                <w:b/>
                <w:color w:val="auto"/>
                <w:sz w:val="24"/>
                <w:highlight w:val="none"/>
              </w:rPr>
            </w:pPr>
          </w:p>
        </w:tc>
        <w:tc>
          <w:tcPr>
            <w:tcW w:w="720" w:type="dxa"/>
            <w:noWrap/>
            <w:vAlign w:val="center"/>
          </w:tcPr>
          <w:p w14:paraId="3055DAF5">
            <w:pPr>
              <w:spacing w:line="300" w:lineRule="auto"/>
              <w:jc w:val="center"/>
              <w:rPr>
                <w:rFonts w:ascii="黑体" w:eastAsia="黑体"/>
                <w:b/>
                <w:color w:val="auto"/>
                <w:sz w:val="24"/>
                <w:highlight w:val="none"/>
              </w:rPr>
            </w:pPr>
          </w:p>
        </w:tc>
      </w:tr>
      <w:tr w14:paraId="6931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74E07A8D">
            <w:pPr>
              <w:spacing w:line="300" w:lineRule="auto"/>
              <w:jc w:val="center"/>
              <w:rPr>
                <w:rFonts w:ascii="黑体" w:eastAsia="黑体"/>
                <w:b/>
                <w:color w:val="auto"/>
                <w:sz w:val="24"/>
                <w:highlight w:val="none"/>
              </w:rPr>
            </w:pPr>
          </w:p>
        </w:tc>
        <w:tc>
          <w:tcPr>
            <w:tcW w:w="1024" w:type="dxa"/>
            <w:noWrap/>
            <w:vAlign w:val="center"/>
          </w:tcPr>
          <w:p w14:paraId="1DF0086B">
            <w:pPr>
              <w:spacing w:line="300" w:lineRule="auto"/>
              <w:jc w:val="center"/>
              <w:rPr>
                <w:rFonts w:ascii="黑体" w:eastAsia="黑体"/>
                <w:b/>
                <w:color w:val="auto"/>
                <w:sz w:val="24"/>
                <w:highlight w:val="none"/>
              </w:rPr>
            </w:pPr>
          </w:p>
        </w:tc>
        <w:tc>
          <w:tcPr>
            <w:tcW w:w="900" w:type="dxa"/>
            <w:noWrap/>
            <w:vAlign w:val="center"/>
          </w:tcPr>
          <w:p w14:paraId="07EC2568">
            <w:pPr>
              <w:spacing w:line="300" w:lineRule="auto"/>
              <w:jc w:val="center"/>
              <w:rPr>
                <w:rFonts w:ascii="黑体" w:eastAsia="黑体"/>
                <w:b/>
                <w:color w:val="auto"/>
                <w:sz w:val="24"/>
                <w:highlight w:val="none"/>
              </w:rPr>
            </w:pPr>
          </w:p>
        </w:tc>
        <w:tc>
          <w:tcPr>
            <w:tcW w:w="540" w:type="dxa"/>
            <w:noWrap/>
            <w:vAlign w:val="center"/>
          </w:tcPr>
          <w:p w14:paraId="268D7C0A">
            <w:pPr>
              <w:spacing w:line="300" w:lineRule="auto"/>
              <w:jc w:val="center"/>
              <w:rPr>
                <w:rFonts w:ascii="黑体" w:eastAsia="黑体"/>
                <w:b/>
                <w:color w:val="auto"/>
                <w:sz w:val="24"/>
                <w:highlight w:val="none"/>
              </w:rPr>
            </w:pPr>
          </w:p>
        </w:tc>
        <w:tc>
          <w:tcPr>
            <w:tcW w:w="900" w:type="dxa"/>
            <w:noWrap/>
            <w:vAlign w:val="center"/>
          </w:tcPr>
          <w:p w14:paraId="3BF7549B">
            <w:pPr>
              <w:spacing w:line="300" w:lineRule="auto"/>
              <w:jc w:val="center"/>
              <w:rPr>
                <w:rFonts w:ascii="黑体" w:eastAsia="黑体"/>
                <w:b/>
                <w:color w:val="auto"/>
                <w:sz w:val="24"/>
                <w:highlight w:val="none"/>
              </w:rPr>
            </w:pPr>
          </w:p>
        </w:tc>
        <w:tc>
          <w:tcPr>
            <w:tcW w:w="720" w:type="dxa"/>
            <w:noWrap/>
            <w:vAlign w:val="center"/>
          </w:tcPr>
          <w:p w14:paraId="3A5F3921">
            <w:pPr>
              <w:spacing w:line="300" w:lineRule="auto"/>
              <w:jc w:val="center"/>
              <w:rPr>
                <w:rFonts w:ascii="黑体" w:eastAsia="黑体"/>
                <w:b/>
                <w:color w:val="auto"/>
                <w:sz w:val="24"/>
                <w:highlight w:val="none"/>
              </w:rPr>
            </w:pPr>
          </w:p>
        </w:tc>
        <w:tc>
          <w:tcPr>
            <w:tcW w:w="900" w:type="dxa"/>
            <w:noWrap/>
            <w:vAlign w:val="center"/>
          </w:tcPr>
          <w:p w14:paraId="399D9079">
            <w:pPr>
              <w:spacing w:line="300" w:lineRule="auto"/>
              <w:jc w:val="center"/>
              <w:rPr>
                <w:rFonts w:ascii="黑体" w:eastAsia="黑体"/>
                <w:b/>
                <w:color w:val="auto"/>
                <w:sz w:val="24"/>
                <w:highlight w:val="none"/>
              </w:rPr>
            </w:pPr>
          </w:p>
        </w:tc>
        <w:tc>
          <w:tcPr>
            <w:tcW w:w="1260" w:type="dxa"/>
            <w:noWrap/>
            <w:vAlign w:val="center"/>
          </w:tcPr>
          <w:p w14:paraId="06AB0FD4">
            <w:pPr>
              <w:spacing w:line="300" w:lineRule="auto"/>
              <w:jc w:val="center"/>
              <w:rPr>
                <w:rFonts w:ascii="黑体" w:eastAsia="黑体"/>
                <w:b/>
                <w:color w:val="auto"/>
                <w:sz w:val="24"/>
                <w:highlight w:val="none"/>
              </w:rPr>
            </w:pPr>
          </w:p>
        </w:tc>
        <w:tc>
          <w:tcPr>
            <w:tcW w:w="1800" w:type="dxa"/>
            <w:noWrap/>
            <w:vAlign w:val="center"/>
          </w:tcPr>
          <w:p w14:paraId="018AAD7D">
            <w:pPr>
              <w:spacing w:line="300" w:lineRule="auto"/>
              <w:jc w:val="center"/>
              <w:rPr>
                <w:rFonts w:ascii="黑体" w:eastAsia="黑体"/>
                <w:b/>
                <w:color w:val="auto"/>
                <w:sz w:val="24"/>
                <w:highlight w:val="none"/>
              </w:rPr>
            </w:pPr>
          </w:p>
        </w:tc>
        <w:tc>
          <w:tcPr>
            <w:tcW w:w="720" w:type="dxa"/>
            <w:noWrap/>
            <w:vAlign w:val="center"/>
          </w:tcPr>
          <w:p w14:paraId="006F11BC">
            <w:pPr>
              <w:spacing w:line="300" w:lineRule="auto"/>
              <w:jc w:val="center"/>
              <w:rPr>
                <w:rFonts w:ascii="黑体" w:eastAsia="黑体"/>
                <w:b/>
                <w:color w:val="auto"/>
                <w:sz w:val="24"/>
                <w:highlight w:val="none"/>
              </w:rPr>
            </w:pPr>
          </w:p>
        </w:tc>
        <w:tc>
          <w:tcPr>
            <w:tcW w:w="720" w:type="dxa"/>
            <w:noWrap/>
            <w:vAlign w:val="center"/>
          </w:tcPr>
          <w:p w14:paraId="062DACDB">
            <w:pPr>
              <w:spacing w:line="300" w:lineRule="auto"/>
              <w:jc w:val="center"/>
              <w:rPr>
                <w:rFonts w:ascii="黑体" w:eastAsia="黑体"/>
                <w:b/>
                <w:color w:val="auto"/>
                <w:sz w:val="24"/>
                <w:highlight w:val="none"/>
              </w:rPr>
            </w:pPr>
          </w:p>
        </w:tc>
      </w:tr>
      <w:tr w14:paraId="75DE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55961B7F">
            <w:pPr>
              <w:spacing w:line="300" w:lineRule="auto"/>
              <w:jc w:val="center"/>
              <w:rPr>
                <w:rFonts w:ascii="黑体" w:eastAsia="黑体"/>
                <w:b/>
                <w:color w:val="auto"/>
                <w:sz w:val="24"/>
                <w:highlight w:val="none"/>
              </w:rPr>
            </w:pPr>
          </w:p>
        </w:tc>
        <w:tc>
          <w:tcPr>
            <w:tcW w:w="1024" w:type="dxa"/>
            <w:noWrap/>
            <w:vAlign w:val="center"/>
          </w:tcPr>
          <w:p w14:paraId="7348E2C0">
            <w:pPr>
              <w:spacing w:line="300" w:lineRule="auto"/>
              <w:jc w:val="center"/>
              <w:rPr>
                <w:rFonts w:ascii="黑体" w:eastAsia="黑体"/>
                <w:b/>
                <w:color w:val="auto"/>
                <w:sz w:val="24"/>
                <w:highlight w:val="none"/>
              </w:rPr>
            </w:pPr>
          </w:p>
        </w:tc>
        <w:tc>
          <w:tcPr>
            <w:tcW w:w="900" w:type="dxa"/>
            <w:noWrap/>
            <w:vAlign w:val="center"/>
          </w:tcPr>
          <w:p w14:paraId="200F5493">
            <w:pPr>
              <w:spacing w:line="300" w:lineRule="auto"/>
              <w:jc w:val="center"/>
              <w:rPr>
                <w:rFonts w:ascii="黑体" w:eastAsia="黑体"/>
                <w:b/>
                <w:color w:val="auto"/>
                <w:sz w:val="24"/>
                <w:highlight w:val="none"/>
              </w:rPr>
            </w:pPr>
          </w:p>
        </w:tc>
        <w:tc>
          <w:tcPr>
            <w:tcW w:w="540" w:type="dxa"/>
            <w:noWrap/>
            <w:vAlign w:val="center"/>
          </w:tcPr>
          <w:p w14:paraId="784269D5">
            <w:pPr>
              <w:spacing w:line="300" w:lineRule="auto"/>
              <w:jc w:val="center"/>
              <w:rPr>
                <w:rFonts w:ascii="黑体" w:eastAsia="黑体"/>
                <w:b/>
                <w:color w:val="auto"/>
                <w:sz w:val="24"/>
                <w:highlight w:val="none"/>
              </w:rPr>
            </w:pPr>
          </w:p>
        </w:tc>
        <w:tc>
          <w:tcPr>
            <w:tcW w:w="900" w:type="dxa"/>
            <w:noWrap/>
            <w:vAlign w:val="center"/>
          </w:tcPr>
          <w:p w14:paraId="0609DF74">
            <w:pPr>
              <w:spacing w:line="300" w:lineRule="auto"/>
              <w:jc w:val="center"/>
              <w:rPr>
                <w:rFonts w:ascii="黑体" w:eastAsia="黑体"/>
                <w:b/>
                <w:color w:val="auto"/>
                <w:sz w:val="24"/>
                <w:highlight w:val="none"/>
              </w:rPr>
            </w:pPr>
          </w:p>
        </w:tc>
        <w:tc>
          <w:tcPr>
            <w:tcW w:w="720" w:type="dxa"/>
            <w:noWrap/>
            <w:vAlign w:val="center"/>
          </w:tcPr>
          <w:p w14:paraId="1F213D59">
            <w:pPr>
              <w:spacing w:line="300" w:lineRule="auto"/>
              <w:jc w:val="center"/>
              <w:rPr>
                <w:rFonts w:ascii="黑体" w:eastAsia="黑体"/>
                <w:b/>
                <w:color w:val="auto"/>
                <w:sz w:val="24"/>
                <w:highlight w:val="none"/>
              </w:rPr>
            </w:pPr>
          </w:p>
        </w:tc>
        <w:tc>
          <w:tcPr>
            <w:tcW w:w="900" w:type="dxa"/>
            <w:noWrap/>
            <w:vAlign w:val="center"/>
          </w:tcPr>
          <w:p w14:paraId="6EC56CEA">
            <w:pPr>
              <w:spacing w:line="300" w:lineRule="auto"/>
              <w:jc w:val="center"/>
              <w:rPr>
                <w:rFonts w:ascii="黑体" w:eastAsia="黑体"/>
                <w:b/>
                <w:color w:val="auto"/>
                <w:sz w:val="24"/>
                <w:highlight w:val="none"/>
              </w:rPr>
            </w:pPr>
          </w:p>
        </w:tc>
        <w:tc>
          <w:tcPr>
            <w:tcW w:w="1260" w:type="dxa"/>
            <w:noWrap/>
            <w:vAlign w:val="center"/>
          </w:tcPr>
          <w:p w14:paraId="67A5C36F">
            <w:pPr>
              <w:spacing w:line="300" w:lineRule="auto"/>
              <w:jc w:val="center"/>
              <w:rPr>
                <w:rFonts w:ascii="黑体" w:eastAsia="黑体"/>
                <w:b/>
                <w:color w:val="auto"/>
                <w:sz w:val="24"/>
                <w:highlight w:val="none"/>
              </w:rPr>
            </w:pPr>
          </w:p>
        </w:tc>
        <w:tc>
          <w:tcPr>
            <w:tcW w:w="1800" w:type="dxa"/>
            <w:noWrap/>
            <w:vAlign w:val="center"/>
          </w:tcPr>
          <w:p w14:paraId="074EB598">
            <w:pPr>
              <w:spacing w:line="300" w:lineRule="auto"/>
              <w:jc w:val="center"/>
              <w:rPr>
                <w:rFonts w:ascii="黑体" w:eastAsia="黑体"/>
                <w:b/>
                <w:color w:val="auto"/>
                <w:sz w:val="24"/>
                <w:highlight w:val="none"/>
              </w:rPr>
            </w:pPr>
          </w:p>
        </w:tc>
        <w:tc>
          <w:tcPr>
            <w:tcW w:w="720" w:type="dxa"/>
            <w:noWrap/>
            <w:vAlign w:val="center"/>
          </w:tcPr>
          <w:p w14:paraId="37E95D10">
            <w:pPr>
              <w:spacing w:line="300" w:lineRule="auto"/>
              <w:jc w:val="center"/>
              <w:rPr>
                <w:rFonts w:ascii="黑体" w:eastAsia="黑体"/>
                <w:b/>
                <w:color w:val="auto"/>
                <w:sz w:val="24"/>
                <w:highlight w:val="none"/>
              </w:rPr>
            </w:pPr>
          </w:p>
        </w:tc>
        <w:tc>
          <w:tcPr>
            <w:tcW w:w="720" w:type="dxa"/>
            <w:noWrap/>
            <w:vAlign w:val="center"/>
          </w:tcPr>
          <w:p w14:paraId="4A2B7580">
            <w:pPr>
              <w:spacing w:line="300" w:lineRule="auto"/>
              <w:jc w:val="center"/>
              <w:rPr>
                <w:rFonts w:ascii="黑体" w:eastAsia="黑体"/>
                <w:b/>
                <w:color w:val="auto"/>
                <w:sz w:val="24"/>
                <w:highlight w:val="none"/>
              </w:rPr>
            </w:pPr>
          </w:p>
        </w:tc>
      </w:tr>
      <w:tr w14:paraId="274A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10069C21">
            <w:pPr>
              <w:spacing w:line="300" w:lineRule="auto"/>
              <w:jc w:val="center"/>
              <w:rPr>
                <w:rFonts w:ascii="黑体" w:eastAsia="黑体"/>
                <w:b/>
                <w:color w:val="auto"/>
                <w:sz w:val="24"/>
                <w:highlight w:val="none"/>
              </w:rPr>
            </w:pPr>
          </w:p>
        </w:tc>
        <w:tc>
          <w:tcPr>
            <w:tcW w:w="1024" w:type="dxa"/>
            <w:noWrap/>
            <w:vAlign w:val="center"/>
          </w:tcPr>
          <w:p w14:paraId="3D0764D1">
            <w:pPr>
              <w:spacing w:line="300" w:lineRule="auto"/>
              <w:jc w:val="center"/>
              <w:rPr>
                <w:rFonts w:ascii="黑体" w:eastAsia="黑体"/>
                <w:b/>
                <w:color w:val="auto"/>
                <w:sz w:val="24"/>
                <w:highlight w:val="none"/>
              </w:rPr>
            </w:pPr>
          </w:p>
        </w:tc>
        <w:tc>
          <w:tcPr>
            <w:tcW w:w="900" w:type="dxa"/>
            <w:noWrap/>
            <w:vAlign w:val="center"/>
          </w:tcPr>
          <w:p w14:paraId="048EF2AB">
            <w:pPr>
              <w:spacing w:line="300" w:lineRule="auto"/>
              <w:jc w:val="center"/>
              <w:rPr>
                <w:rFonts w:ascii="黑体" w:eastAsia="黑体"/>
                <w:b/>
                <w:color w:val="auto"/>
                <w:sz w:val="24"/>
                <w:highlight w:val="none"/>
              </w:rPr>
            </w:pPr>
          </w:p>
        </w:tc>
        <w:tc>
          <w:tcPr>
            <w:tcW w:w="540" w:type="dxa"/>
            <w:noWrap/>
            <w:vAlign w:val="center"/>
          </w:tcPr>
          <w:p w14:paraId="0A22AFD5">
            <w:pPr>
              <w:spacing w:line="300" w:lineRule="auto"/>
              <w:jc w:val="center"/>
              <w:rPr>
                <w:rFonts w:ascii="黑体" w:eastAsia="黑体"/>
                <w:b/>
                <w:color w:val="auto"/>
                <w:sz w:val="24"/>
                <w:highlight w:val="none"/>
              </w:rPr>
            </w:pPr>
          </w:p>
        </w:tc>
        <w:tc>
          <w:tcPr>
            <w:tcW w:w="900" w:type="dxa"/>
            <w:noWrap/>
            <w:vAlign w:val="center"/>
          </w:tcPr>
          <w:p w14:paraId="238D1FFF">
            <w:pPr>
              <w:spacing w:line="300" w:lineRule="auto"/>
              <w:jc w:val="center"/>
              <w:rPr>
                <w:rFonts w:ascii="黑体" w:eastAsia="黑体"/>
                <w:b/>
                <w:color w:val="auto"/>
                <w:sz w:val="24"/>
                <w:highlight w:val="none"/>
              </w:rPr>
            </w:pPr>
          </w:p>
        </w:tc>
        <w:tc>
          <w:tcPr>
            <w:tcW w:w="720" w:type="dxa"/>
            <w:noWrap/>
            <w:vAlign w:val="center"/>
          </w:tcPr>
          <w:p w14:paraId="0EEA50A4">
            <w:pPr>
              <w:spacing w:line="300" w:lineRule="auto"/>
              <w:jc w:val="center"/>
              <w:rPr>
                <w:rFonts w:ascii="黑体" w:eastAsia="黑体"/>
                <w:b/>
                <w:color w:val="auto"/>
                <w:sz w:val="24"/>
                <w:highlight w:val="none"/>
              </w:rPr>
            </w:pPr>
          </w:p>
        </w:tc>
        <w:tc>
          <w:tcPr>
            <w:tcW w:w="900" w:type="dxa"/>
            <w:noWrap/>
            <w:vAlign w:val="center"/>
          </w:tcPr>
          <w:p w14:paraId="20719159">
            <w:pPr>
              <w:spacing w:line="300" w:lineRule="auto"/>
              <w:jc w:val="center"/>
              <w:rPr>
                <w:rFonts w:ascii="黑体" w:eastAsia="黑体"/>
                <w:b/>
                <w:color w:val="auto"/>
                <w:sz w:val="24"/>
                <w:highlight w:val="none"/>
              </w:rPr>
            </w:pPr>
          </w:p>
        </w:tc>
        <w:tc>
          <w:tcPr>
            <w:tcW w:w="1260" w:type="dxa"/>
            <w:noWrap/>
            <w:vAlign w:val="center"/>
          </w:tcPr>
          <w:p w14:paraId="63A9B23B">
            <w:pPr>
              <w:spacing w:line="300" w:lineRule="auto"/>
              <w:jc w:val="center"/>
              <w:rPr>
                <w:rFonts w:ascii="黑体" w:eastAsia="黑体"/>
                <w:b/>
                <w:color w:val="auto"/>
                <w:sz w:val="24"/>
                <w:highlight w:val="none"/>
              </w:rPr>
            </w:pPr>
          </w:p>
        </w:tc>
        <w:tc>
          <w:tcPr>
            <w:tcW w:w="1800" w:type="dxa"/>
            <w:noWrap/>
            <w:vAlign w:val="center"/>
          </w:tcPr>
          <w:p w14:paraId="1E32A850">
            <w:pPr>
              <w:spacing w:line="300" w:lineRule="auto"/>
              <w:jc w:val="center"/>
              <w:rPr>
                <w:rFonts w:ascii="黑体" w:eastAsia="黑体"/>
                <w:b/>
                <w:color w:val="auto"/>
                <w:sz w:val="24"/>
                <w:highlight w:val="none"/>
              </w:rPr>
            </w:pPr>
          </w:p>
        </w:tc>
        <w:tc>
          <w:tcPr>
            <w:tcW w:w="720" w:type="dxa"/>
            <w:noWrap/>
            <w:vAlign w:val="center"/>
          </w:tcPr>
          <w:p w14:paraId="1D88E26A">
            <w:pPr>
              <w:spacing w:line="300" w:lineRule="auto"/>
              <w:jc w:val="center"/>
              <w:rPr>
                <w:rFonts w:ascii="黑体" w:eastAsia="黑体"/>
                <w:b/>
                <w:color w:val="auto"/>
                <w:sz w:val="24"/>
                <w:highlight w:val="none"/>
              </w:rPr>
            </w:pPr>
          </w:p>
        </w:tc>
        <w:tc>
          <w:tcPr>
            <w:tcW w:w="720" w:type="dxa"/>
            <w:noWrap/>
            <w:vAlign w:val="center"/>
          </w:tcPr>
          <w:p w14:paraId="40B676C1">
            <w:pPr>
              <w:spacing w:line="300" w:lineRule="auto"/>
              <w:jc w:val="center"/>
              <w:rPr>
                <w:rFonts w:ascii="黑体" w:eastAsia="黑体"/>
                <w:b/>
                <w:color w:val="auto"/>
                <w:sz w:val="24"/>
                <w:highlight w:val="none"/>
              </w:rPr>
            </w:pPr>
          </w:p>
        </w:tc>
      </w:tr>
      <w:tr w14:paraId="2881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5261C2BB">
            <w:pPr>
              <w:spacing w:line="300" w:lineRule="auto"/>
              <w:jc w:val="center"/>
              <w:rPr>
                <w:rFonts w:ascii="黑体" w:eastAsia="黑体"/>
                <w:b/>
                <w:color w:val="auto"/>
                <w:sz w:val="24"/>
                <w:highlight w:val="none"/>
              </w:rPr>
            </w:pPr>
          </w:p>
        </w:tc>
        <w:tc>
          <w:tcPr>
            <w:tcW w:w="1024" w:type="dxa"/>
            <w:noWrap/>
            <w:vAlign w:val="center"/>
          </w:tcPr>
          <w:p w14:paraId="23FCA464">
            <w:pPr>
              <w:spacing w:line="300" w:lineRule="auto"/>
              <w:jc w:val="center"/>
              <w:rPr>
                <w:rFonts w:ascii="黑体" w:eastAsia="黑体"/>
                <w:b/>
                <w:color w:val="auto"/>
                <w:sz w:val="24"/>
                <w:highlight w:val="none"/>
              </w:rPr>
            </w:pPr>
          </w:p>
        </w:tc>
        <w:tc>
          <w:tcPr>
            <w:tcW w:w="900" w:type="dxa"/>
            <w:noWrap/>
            <w:vAlign w:val="center"/>
          </w:tcPr>
          <w:p w14:paraId="76F6014F">
            <w:pPr>
              <w:spacing w:line="300" w:lineRule="auto"/>
              <w:jc w:val="center"/>
              <w:rPr>
                <w:rFonts w:ascii="黑体" w:eastAsia="黑体"/>
                <w:b/>
                <w:color w:val="auto"/>
                <w:sz w:val="24"/>
                <w:highlight w:val="none"/>
              </w:rPr>
            </w:pPr>
          </w:p>
        </w:tc>
        <w:tc>
          <w:tcPr>
            <w:tcW w:w="540" w:type="dxa"/>
            <w:noWrap/>
            <w:vAlign w:val="center"/>
          </w:tcPr>
          <w:p w14:paraId="44B46F24">
            <w:pPr>
              <w:spacing w:line="300" w:lineRule="auto"/>
              <w:jc w:val="center"/>
              <w:rPr>
                <w:rFonts w:ascii="黑体" w:eastAsia="黑体"/>
                <w:b/>
                <w:color w:val="auto"/>
                <w:sz w:val="24"/>
                <w:highlight w:val="none"/>
              </w:rPr>
            </w:pPr>
          </w:p>
        </w:tc>
        <w:tc>
          <w:tcPr>
            <w:tcW w:w="900" w:type="dxa"/>
            <w:noWrap/>
            <w:vAlign w:val="center"/>
          </w:tcPr>
          <w:p w14:paraId="241AF084">
            <w:pPr>
              <w:spacing w:line="300" w:lineRule="auto"/>
              <w:jc w:val="center"/>
              <w:rPr>
                <w:rFonts w:ascii="黑体" w:eastAsia="黑体"/>
                <w:b/>
                <w:color w:val="auto"/>
                <w:sz w:val="24"/>
                <w:highlight w:val="none"/>
              </w:rPr>
            </w:pPr>
          </w:p>
        </w:tc>
        <w:tc>
          <w:tcPr>
            <w:tcW w:w="720" w:type="dxa"/>
            <w:noWrap/>
            <w:vAlign w:val="center"/>
          </w:tcPr>
          <w:p w14:paraId="4DF83716">
            <w:pPr>
              <w:spacing w:line="300" w:lineRule="auto"/>
              <w:jc w:val="center"/>
              <w:rPr>
                <w:rFonts w:ascii="黑体" w:eastAsia="黑体"/>
                <w:b/>
                <w:color w:val="auto"/>
                <w:sz w:val="24"/>
                <w:highlight w:val="none"/>
              </w:rPr>
            </w:pPr>
          </w:p>
        </w:tc>
        <w:tc>
          <w:tcPr>
            <w:tcW w:w="900" w:type="dxa"/>
            <w:noWrap/>
            <w:vAlign w:val="center"/>
          </w:tcPr>
          <w:p w14:paraId="24B52243">
            <w:pPr>
              <w:spacing w:line="300" w:lineRule="auto"/>
              <w:jc w:val="center"/>
              <w:rPr>
                <w:rFonts w:ascii="黑体" w:eastAsia="黑体"/>
                <w:b/>
                <w:color w:val="auto"/>
                <w:sz w:val="24"/>
                <w:highlight w:val="none"/>
              </w:rPr>
            </w:pPr>
          </w:p>
        </w:tc>
        <w:tc>
          <w:tcPr>
            <w:tcW w:w="1260" w:type="dxa"/>
            <w:noWrap/>
            <w:vAlign w:val="center"/>
          </w:tcPr>
          <w:p w14:paraId="106C358F">
            <w:pPr>
              <w:spacing w:line="300" w:lineRule="auto"/>
              <w:jc w:val="center"/>
              <w:rPr>
                <w:rFonts w:ascii="黑体" w:eastAsia="黑体"/>
                <w:b/>
                <w:color w:val="auto"/>
                <w:sz w:val="24"/>
                <w:highlight w:val="none"/>
              </w:rPr>
            </w:pPr>
          </w:p>
        </w:tc>
        <w:tc>
          <w:tcPr>
            <w:tcW w:w="1800" w:type="dxa"/>
            <w:noWrap/>
            <w:vAlign w:val="center"/>
          </w:tcPr>
          <w:p w14:paraId="704CEB08">
            <w:pPr>
              <w:spacing w:line="300" w:lineRule="auto"/>
              <w:jc w:val="center"/>
              <w:rPr>
                <w:rFonts w:ascii="黑体" w:eastAsia="黑体"/>
                <w:b/>
                <w:color w:val="auto"/>
                <w:sz w:val="24"/>
                <w:highlight w:val="none"/>
              </w:rPr>
            </w:pPr>
          </w:p>
        </w:tc>
        <w:tc>
          <w:tcPr>
            <w:tcW w:w="720" w:type="dxa"/>
            <w:noWrap/>
            <w:vAlign w:val="center"/>
          </w:tcPr>
          <w:p w14:paraId="5016A9B5">
            <w:pPr>
              <w:spacing w:line="300" w:lineRule="auto"/>
              <w:jc w:val="center"/>
              <w:rPr>
                <w:rFonts w:ascii="黑体" w:eastAsia="黑体"/>
                <w:b/>
                <w:color w:val="auto"/>
                <w:sz w:val="24"/>
                <w:highlight w:val="none"/>
              </w:rPr>
            </w:pPr>
          </w:p>
        </w:tc>
        <w:tc>
          <w:tcPr>
            <w:tcW w:w="720" w:type="dxa"/>
            <w:noWrap/>
            <w:vAlign w:val="center"/>
          </w:tcPr>
          <w:p w14:paraId="15E069BF">
            <w:pPr>
              <w:spacing w:line="300" w:lineRule="auto"/>
              <w:jc w:val="center"/>
              <w:rPr>
                <w:rFonts w:ascii="黑体" w:eastAsia="黑体"/>
                <w:b/>
                <w:color w:val="auto"/>
                <w:sz w:val="24"/>
                <w:highlight w:val="none"/>
              </w:rPr>
            </w:pPr>
          </w:p>
        </w:tc>
      </w:tr>
      <w:tr w14:paraId="583D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FAE2169">
            <w:pPr>
              <w:spacing w:line="300" w:lineRule="auto"/>
              <w:jc w:val="center"/>
              <w:rPr>
                <w:rFonts w:ascii="黑体" w:eastAsia="黑体"/>
                <w:b/>
                <w:color w:val="auto"/>
                <w:sz w:val="24"/>
                <w:highlight w:val="none"/>
              </w:rPr>
            </w:pPr>
          </w:p>
        </w:tc>
        <w:tc>
          <w:tcPr>
            <w:tcW w:w="1024" w:type="dxa"/>
            <w:noWrap/>
            <w:vAlign w:val="center"/>
          </w:tcPr>
          <w:p w14:paraId="088E02B2">
            <w:pPr>
              <w:spacing w:line="300" w:lineRule="auto"/>
              <w:jc w:val="center"/>
              <w:rPr>
                <w:rFonts w:ascii="黑体" w:eastAsia="黑体"/>
                <w:b/>
                <w:color w:val="auto"/>
                <w:sz w:val="24"/>
                <w:highlight w:val="none"/>
              </w:rPr>
            </w:pPr>
          </w:p>
        </w:tc>
        <w:tc>
          <w:tcPr>
            <w:tcW w:w="900" w:type="dxa"/>
            <w:noWrap/>
            <w:vAlign w:val="center"/>
          </w:tcPr>
          <w:p w14:paraId="7E124643">
            <w:pPr>
              <w:spacing w:line="300" w:lineRule="auto"/>
              <w:jc w:val="center"/>
              <w:rPr>
                <w:rFonts w:ascii="黑体" w:eastAsia="黑体"/>
                <w:b/>
                <w:color w:val="auto"/>
                <w:sz w:val="24"/>
                <w:highlight w:val="none"/>
              </w:rPr>
            </w:pPr>
          </w:p>
        </w:tc>
        <w:tc>
          <w:tcPr>
            <w:tcW w:w="540" w:type="dxa"/>
            <w:noWrap/>
            <w:vAlign w:val="center"/>
          </w:tcPr>
          <w:p w14:paraId="13D35721">
            <w:pPr>
              <w:spacing w:line="300" w:lineRule="auto"/>
              <w:jc w:val="center"/>
              <w:rPr>
                <w:rFonts w:ascii="黑体" w:eastAsia="黑体"/>
                <w:b/>
                <w:color w:val="auto"/>
                <w:sz w:val="24"/>
                <w:highlight w:val="none"/>
              </w:rPr>
            </w:pPr>
          </w:p>
        </w:tc>
        <w:tc>
          <w:tcPr>
            <w:tcW w:w="900" w:type="dxa"/>
            <w:noWrap/>
            <w:vAlign w:val="center"/>
          </w:tcPr>
          <w:p w14:paraId="061D41A7">
            <w:pPr>
              <w:spacing w:line="300" w:lineRule="auto"/>
              <w:jc w:val="center"/>
              <w:rPr>
                <w:rFonts w:ascii="黑体" w:eastAsia="黑体"/>
                <w:b/>
                <w:color w:val="auto"/>
                <w:sz w:val="24"/>
                <w:highlight w:val="none"/>
              </w:rPr>
            </w:pPr>
          </w:p>
        </w:tc>
        <w:tc>
          <w:tcPr>
            <w:tcW w:w="720" w:type="dxa"/>
            <w:noWrap/>
            <w:vAlign w:val="center"/>
          </w:tcPr>
          <w:p w14:paraId="47CF11FE">
            <w:pPr>
              <w:spacing w:line="300" w:lineRule="auto"/>
              <w:jc w:val="center"/>
              <w:rPr>
                <w:rFonts w:ascii="黑体" w:eastAsia="黑体"/>
                <w:b/>
                <w:color w:val="auto"/>
                <w:sz w:val="24"/>
                <w:highlight w:val="none"/>
              </w:rPr>
            </w:pPr>
          </w:p>
        </w:tc>
        <w:tc>
          <w:tcPr>
            <w:tcW w:w="900" w:type="dxa"/>
            <w:noWrap/>
            <w:vAlign w:val="center"/>
          </w:tcPr>
          <w:p w14:paraId="1D23030E">
            <w:pPr>
              <w:spacing w:line="300" w:lineRule="auto"/>
              <w:jc w:val="center"/>
              <w:rPr>
                <w:rFonts w:ascii="黑体" w:eastAsia="黑体"/>
                <w:b/>
                <w:color w:val="auto"/>
                <w:sz w:val="24"/>
                <w:highlight w:val="none"/>
              </w:rPr>
            </w:pPr>
          </w:p>
        </w:tc>
        <w:tc>
          <w:tcPr>
            <w:tcW w:w="1260" w:type="dxa"/>
            <w:noWrap/>
            <w:vAlign w:val="center"/>
          </w:tcPr>
          <w:p w14:paraId="5BCFEFB1">
            <w:pPr>
              <w:spacing w:line="300" w:lineRule="auto"/>
              <w:jc w:val="center"/>
              <w:rPr>
                <w:rFonts w:ascii="黑体" w:eastAsia="黑体"/>
                <w:b/>
                <w:color w:val="auto"/>
                <w:sz w:val="24"/>
                <w:highlight w:val="none"/>
              </w:rPr>
            </w:pPr>
          </w:p>
        </w:tc>
        <w:tc>
          <w:tcPr>
            <w:tcW w:w="1800" w:type="dxa"/>
            <w:noWrap/>
            <w:vAlign w:val="center"/>
          </w:tcPr>
          <w:p w14:paraId="2E34E610">
            <w:pPr>
              <w:spacing w:line="300" w:lineRule="auto"/>
              <w:jc w:val="center"/>
              <w:rPr>
                <w:rFonts w:ascii="黑体" w:eastAsia="黑体"/>
                <w:b/>
                <w:color w:val="auto"/>
                <w:sz w:val="24"/>
                <w:highlight w:val="none"/>
              </w:rPr>
            </w:pPr>
          </w:p>
        </w:tc>
        <w:tc>
          <w:tcPr>
            <w:tcW w:w="720" w:type="dxa"/>
            <w:noWrap/>
            <w:vAlign w:val="center"/>
          </w:tcPr>
          <w:p w14:paraId="2B604667">
            <w:pPr>
              <w:spacing w:line="300" w:lineRule="auto"/>
              <w:jc w:val="center"/>
              <w:rPr>
                <w:rFonts w:ascii="黑体" w:eastAsia="黑体"/>
                <w:b/>
                <w:color w:val="auto"/>
                <w:sz w:val="24"/>
                <w:highlight w:val="none"/>
              </w:rPr>
            </w:pPr>
          </w:p>
        </w:tc>
        <w:tc>
          <w:tcPr>
            <w:tcW w:w="720" w:type="dxa"/>
            <w:noWrap/>
            <w:vAlign w:val="center"/>
          </w:tcPr>
          <w:p w14:paraId="7A08A523">
            <w:pPr>
              <w:spacing w:line="300" w:lineRule="auto"/>
              <w:jc w:val="center"/>
              <w:rPr>
                <w:rFonts w:ascii="黑体" w:eastAsia="黑体"/>
                <w:b/>
                <w:color w:val="auto"/>
                <w:sz w:val="24"/>
                <w:highlight w:val="none"/>
              </w:rPr>
            </w:pPr>
          </w:p>
        </w:tc>
      </w:tr>
      <w:tr w14:paraId="0F2E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4C9771E8">
            <w:pPr>
              <w:spacing w:line="300" w:lineRule="auto"/>
              <w:jc w:val="center"/>
              <w:rPr>
                <w:rFonts w:ascii="黑体" w:eastAsia="黑体"/>
                <w:b/>
                <w:color w:val="auto"/>
                <w:sz w:val="24"/>
                <w:highlight w:val="none"/>
              </w:rPr>
            </w:pPr>
          </w:p>
        </w:tc>
        <w:tc>
          <w:tcPr>
            <w:tcW w:w="1024" w:type="dxa"/>
            <w:noWrap/>
            <w:vAlign w:val="center"/>
          </w:tcPr>
          <w:p w14:paraId="27082DF1">
            <w:pPr>
              <w:spacing w:line="300" w:lineRule="auto"/>
              <w:jc w:val="center"/>
              <w:rPr>
                <w:rFonts w:ascii="黑体" w:eastAsia="黑体"/>
                <w:b/>
                <w:color w:val="auto"/>
                <w:sz w:val="24"/>
                <w:highlight w:val="none"/>
              </w:rPr>
            </w:pPr>
          </w:p>
        </w:tc>
        <w:tc>
          <w:tcPr>
            <w:tcW w:w="900" w:type="dxa"/>
            <w:noWrap/>
            <w:vAlign w:val="center"/>
          </w:tcPr>
          <w:p w14:paraId="5E53E16C">
            <w:pPr>
              <w:spacing w:line="300" w:lineRule="auto"/>
              <w:jc w:val="center"/>
              <w:rPr>
                <w:rFonts w:ascii="黑体" w:eastAsia="黑体"/>
                <w:b/>
                <w:color w:val="auto"/>
                <w:sz w:val="24"/>
                <w:highlight w:val="none"/>
              </w:rPr>
            </w:pPr>
          </w:p>
        </w:tc>
        <w:tc>
          <w:tcPr>
            <w:tcW w:w="540" w:type="dxa"/>
            <w:noWrap/>
            <w:vAlign w:val="center"/>
          </w:tcPr>
          <w:p w14:paraId="0D1EF853">
            <w:pPr>
              <w:spacing w:line="300" w:lineRule="auto"/>
              <w:jc w:val="center"/>
              <w:rPr>
                <w:rFonts w:ascii="黑体" w:eastAsia="黑体"/>
                <w:b/>
                <w:color w:val="auto"/>
                <w:sz w:val="24"/>
                <w:highlight w:val="none"/>
              </w:rPr>
            </w:pPr>
          </w:p>
        </w:tc>
        <w:tc>
          <w:tcPr>
            <w:tcW w:w="900" w:type="dxa"/>
            <w:noWrap/>
            <w:vAlign w:val="center"/>
          </w:tcPr>
          <w:p w14:paraId="75ACEEC0">
            <w:pPr>
              <w:spacing w:line="300" w:lineRule="auto"/>
              <w:jc w:val="center"/>
              <w:rPr>
                <w:rFonts w:ascii="黑体" w:eastAsia="黑体"/>
                <w:b/>
                <w:color w:val="auto"/>
                <w:sz w:val="24"/>
                <w:highlight w:val="none"/>
              </w:rPr>
            </w:pPr>
          </w:p>
        </w:tc>
        <w:tc>
          <w:tcPr>
            <w:tcW w:w="720" w:type="dxa"/>
            <w:noWrap/>
            <w:vAlign w:val="center"/>
          </w:tcPr>
          <w:p w14:paraId="580D86EB">
            <w:pPr>
              <w:spacing w:line="300" w:lineRule="auto"/>
              <w:jc w:val="center"/>
              <w:rPr>
                <w:rFonts w:ascii="黑体" w:eastAsia="黑体"/>
                <w:b/>
                <w:color w:val="auto"/>
                <w:sz w:val="24"/>
                <w:highlight w:val="none"/>
              </w:rPr>
            </w:pPr>
          </w:p>
        </w:tc>
        <w:tc>
          <w:tcPr>
            <w:tcW w:w="900" w:type="dxa"/>
            <w:noWrap/>
            <w:vAlign w:val="center"/>
          </w:tcPr>
          <w:p w14:paraId="4C140D65">
            <w:pPr>
              <w:spacing w:line="300" w:lineRule="auto"/>
              <w:jc w:val="center"/>
              <w:rPr>
                <w:rFonts w:ascii="黑体" w:eastAsia="黑体"/>
                <w:b/>
                <w:color w:val="auto"/>
                <w:sz w:val="24"/>
                <w:highlight w:val="none"/>
              </w:rPr>
            </w:pPr>
          </w:p>
        </w:tc>
        <w:tc>
          <w:tcPr>
            <w:tcW w:w="1260" w:type="dxa"/>
            <w:noWrap/>
            <w:vAlign w:val="center"/>
          </w:tcPr>
          <w:p w14:paraId="70450755">
            <w:pPr>
              <w:spacing w:line="300" w:lineRule="auto"/>
              <w:jc w:val="center"/>
              <w:rPr>
                <w:rFonts w:ascii="黑体" w:eastAsia="黑体"/>
                <w:b/>
                <w:color w:val="auto"/>
                <w:sz w:val="24"/>
                <w:highlight w:val="none"/>
              </w:rPr>
            </w:pPr>
          </w:p>
        </w:tc>
        <w:tc>
          <w:tcPr>
            <w:tcW w:w="1800" w:type="dxa"/>
            <w:noWrap/>
            <w:vAlign w:val="center"/>
          </w:tcPr>
          <w:p w14:paraId="531A7005">
            <w:pPr>
              <w:spacing w:line="300" w:lineRule="auto"/>
              <w:jc w:val="center"/>
              <w:rPr>
                <w:rFonts w:ascii="黑体" w:eastAsia="黑体"/>
                <w:b/>
                <w:color w:val="auto"/>
                <w:sz w:val="24"/>
                <w:highlight w:val="none"/>
              </w:rPr>
            </w:pPr>
          </w:p>
        </w:tc>
        <w:tc>
          <w:tcPr>
            <w:tcW w:w="720" w:type="dxa"/>
            <w:noWrap/>
            <w:vAlign w:val="center"/>
          </w:tcPr>
          <w:p w14:paraId="37A16678">
            <w:pPr>
              <w:spacing w:line="300" w:lineRule="auto"/>
              <w:jc w:val="center"/>
              <w:rPr>
                <w:rFonts w:ascii="黑体" w:eastAsia="黑体"/>
                <w:b/>
                <w:color w:val="auto"/>
                <w:sz w:val="24"/>
                <w:highlight w:val="none"/>
              </w:rPr>
            </w:pPr>
          </w:p>
        </w:tc>
        <w:tc>
          <w:tcPr>
            <w:tcW w:w="720" w:type="dxa"/>
            <w:noWrap/>
            <w:vAlign w:val="center"/>
          </w:tcPr>
          <w:p w14:paraId="6BD4CBA0">
            <w:pPr>
              <w:spacing w:line="300" w:lineRule="auto"/>
              <w:jc w:val="center"/>
              <w:rPr>
                <w:rFonts w:ascii="黑体" w:eastAsia="黑体"/>
                <w:b/>
                <w:color w:val="auto"/>
                <w:sz w:val="24"/>
                <w:highlight w:val="none"/>
              </w:rPr>
            </w:pPr>
          </w:p>
        </w:tc>
      </w:tr>
      <w:tr w14:paraId="5BAC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E8B543F">
            <w:pPr>
              <w:spacing w:line="300" w:lineRule="auto"/>
              <w:jc w:val="center"/>
              <w:rPr>
                <w:rFonts w:ascii="黑体" w:eastAsia="黑体"/>
                <w:b/>
                <w:color w:val="auto"/>
                <w:sz w:val="24"/>
                <w:highlight w:val="none"/>
              </w:rPr>
            </w:pPr>
          </w:p>
        </w:tc>
        <w:tc>
          <w:tcPr>
            <w:tcW w:w="1024" w:type="dxa"/>
            <w:noWrap/>
            <w:vAlign w:val="center"/>
          </w:tcPr>
          <w:p w14:paraId="4DD9892E">
            <w:pPr>
              <w:spacing w:line="300" w:lineRule="auto"/>
              <w:jc w:val="center"/>
              <w:rPr>
                <w:rFonts w:ascii="黑体" w:eastAsia="黑体"/>
                <w:b/>
                <w:color w:val="auto"/>
                <w:sz w:val="24"/>
                <w:highlight w:val="none"/>
              </w:rPr>
            </w:pPr>
          </w:p>
        </w:tc>
        <w:tc>
          <w:tcPr>
            <w:tcW w:w="900" w:type="dxa"/>
            <w:noWrap/>
            <w:vAlign w:val="center"/>
          </w:tcPr>
          <w:p w14:paraId="341B07D1">
            <w:pPr>
              <w:spacing w:line="300" w:lineRule="auto"/>
              <w:jc w:val="center"/>
              <w:rPr>
                <w:rFonts w:ascii="黑体" w:eastAsia="黑体"/>
                <w:b/>
                <w:color w:val="auto"/>
                <w:sz w:val="24"/>
                <w:highlight w:val="none"/>
              </w:rPr>
            </w:pPr>
          </w:p>
        </w:tc>
        <w:tc>
          <w:tcPr>
            <w:tcW w:w="540" w:type="dxa"/>
            <w:noWrap/>
            <w:vAlign w:val="center"/>
          </w:tcPr>
          <w:p w14:paraId="4445C319">
            <w:pPr>
              <w:spacing w:line="300" w:lineRule="auto"/>
              <w:jc w:val="center"/>
              <w:rPr>
                <w:rFonts w:ascii="黑体" w:eastAsia="黑体"/>
                <w:b/>
                <w:color w:val="auto"/>
                <w:sz w:val="24"/>
                <w:highlight w:val="none"/>
              </w:rPr>
            </w:pPr>
          </w:p>
        </w:tc>
        <w:tc>
          <w:tcPr>
            <w:tcW w:w="900" w:type="dxa"/>
            <w:noWrap/>
            <w:vAlign w:val="center"/>
          </w:tcPr>
          <w:p w14:paraId="672C9922">
            <w:pPr>
              <w:spacing w:line="300" w:lineRule="auto"/>
              <w:jc w:val="center"/>
              <w:rPr>
                <w:rFonts w:ascii="黑体" w:eastAsia="黑体"/>
                <w:b/>
                <w:color w:val="auto"/>
                <w:sz w:val="24"/>
                <w:highlight w:val="none"/>
              </w:rPr>
            </w:pPr>
          </w:p>
        </w:tc>
        <w:tc>
          <w:tcPr>
            <w:tcW w:w="720" w:type="dxa"/>
            <w:noWrap/>
            <w:vAlign w:val="center"/>
          </w:tcPr>
          <w:p w14:paraId="10C45D31">
            <w:pPr>
              <w:spacing w:line="300" w:lineRule="auto"/>
              <w:jc w:val="center"/>
              <w:rPr>
                <w:rFonts w:ascii="黑体" w:eastAsia="黑体"/>
                <w:b/>
                <w:color w:val="auto"/>
                <w:sz w:val="24"/>
                <w:highlight w:val="none"/>
              </w:rPr>
            </w:pPr>
          </w:p>
        </w:tc>
        <w:tc>
          <w:tcPr>
            <w:tcW w:w="900" w:type="dxa"/>
            <w:noWrap/>
            <w:vAlign w:val="center"/>
          </w:tcPr>
          <w:p w14:paraId="22438D36">
            <w:pPr>
              <w:spacing w:line="300" w:lineRule="auto"/>
              <w:jc w:val="center"/>
              <w:rPr>
                <w:rFonts w:ascii="黑体" w:eastAsia="黑体"/>
                <w:b/>
                <w:color w:val="auto"/>
                <w:sz w:val="24"/>
                <w:highlight w:val="none"/>
              </w:rPr>
            </w:pPr>
          </w:p>
        </w:tc>
        <w:tc>
          <w:tcPr>
            <w:tcW w:w="1260" w:type="dxa"/>
            <w:noWrap/>
            <w:vAlign w:val="center"/>
          </w:tcPr>
          <w:p w14:paraId="77B51718">
            <w:pPr>
              <w:spacing w:line="300" w:lineRule="auto"/>
              <w:jc w:val="center"/>
              <w:rPr>
                <w:rFonts w:ascii="黑体" w:eastAsia="黑体"/>
                <w:b/>
                <w:color w:val="auto"/>
                <w:sz w:val="24"/>
                <w:highlight w:val="none"/>
              </w:rPr>
            </w:pPr>
          </w:p>
        </w:tc>
        <w:tc>
          <w:tcPr>
            <w:tcW w:w="1800" w:type="dxa"/>
            <w:noWrap/>
            <w:vAlign w:val="center"/>
          </w:tcPr>
          <w:p w14:paraId="275F8FEE">
            <w:pPr>
              <w:spacing w:line="300" w:lineRule="auto"/>
              <w:jc w:val="center"/>
              <w:rPr>
                <w:rFonts w:ascii="黑体" w:eastAsia="黑体"/>
                <w:b/>
                <w:color w:val="auto"/>
                <w:sz w:val="24"/>
                <w:highlight w:val="none"/>
              </w:rPr>
            </w:pPr>
          </w:p>
        </w:tc>
        <w:tc>
          <w:tcPr>
            <w:tcW w:w="720" w:type="dxa"/>
            <w:noWrap/>
            <w:vAlign w:val="center"/>
          </w:tcPr>
          <w:p w14:paraId="17C557CE">
            <w:pPr>
              <w:spacing w:line="300" w:lineRule="auto"/>
              <w:jc w:val="center"/>
              <w:rPr>
                <w:rFonts w:ascii="黑体" w:eastAsia="黑体"/>
                <w:b/>
                <w:color w:val="auto"/>
                <w:sz w:val="24"/>
                <w:highlight w:val="none"/>
              </w:rPr>
            </w:pPr>
          </w:p>
        </w:tc>
        <w:tc>
          <w:tcPr>
            <w:tcW w:w="720" w:type="dxa"/>
            <w:noWrap/>
            <w:vAlign w:val="center"/>
          </w:tcPr>
          <w:p w14:paraId="6A1F9098">
            <w:pPr>
              <w:spacing w:line="300" w:lineRule="auto"/>
              <w:jc w:val="center"/>
              <w:rPr>
                <w:rFonts w:ascii="黑体" w:eastAsia="黑体"/>
                <w:b/>
                <w:color w:val="auto"/>
                <w:sz w:val="24"/>
                <w:highlight w:val="none"/>
              </w:rPr>
            </w:pPr>
          </w:p>
        </w:tc>
      </w:tr>
    </w:tbl>
    <w:p w14:paraId="792BA0E1">
      <w:pPr>
        <w:pStyle w:val="2"/>
        <w:rPr>
          <w:rFonts w:ascii="宋体" w:hAnsi="宋体" w:cs="宋体"/>
          <w:color w:val="auto"/>
          <w:highlight w:val="none"/>
        </w:rPr>
      </w:pPr>
    </w:p>
    <w:p w14:paraId="794E0974">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1C7065BA">
      <w:pPr>
        <w:tabs>
          <w:tab w:val="left" w:pos="3375"/>
        </w:tabs>
        <w:spacing w:line="360" w:lineRule="auto"/>
        <w:rPr>
          <w:rFonts w:ascii="宋体" w:hAnsi="宋体" w:cs="宋体"/>
          <w:color w:val="auto"/>
          <w:sz w:val="24"/>
          <w:highlight w:val="none"/>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w:t>
      </w:r>
      <w:r>
        <w:rPr>
          <w:rFonts w:hint="eastAsia" w:ascii="宋体" w:hAnsi="宋体" w:cs="宋体"/>
          <w:color w:val="auto"/>
          <w:sz w:val="24"/>
          <w:highlight w:val="none"/>
        </w:rPr>
        <w:t xml:space="preserve">                  其它需要提交的资格审查材料</w:t>
      </w:r>
    </w:p>
    <w:p w14:paraId="2C37D411">
      <w:pPr>
        <w:spacing w:after="120" w:line="360" w:lineRule="auto"/>
        <w:ind w:left="420" w:leftChars="200" w:firstLine="400" w:firstLineChars="200"/>
        <w:rPr>
          <w:rFonts w:ascii="宋体" w:hAnsi="宋体" w:cs="宋体"/>
          <w:color w:val="auto"/>
          <w:kern w:val="0"/>
          <w:sz w:val="20"/>
          <w:highlight w:val="none"/>
        </w:rPr>
      </w:pPr>
    </w:p>
    <w:p w14:paraId="0AE11C8B">
      <w:pPr>
        <w:tabs>
          <w:tab w:val="left" w:pos="3375"/>
        </w:tabs>
        <w:autoSpaceDE w:val="0"/>
        <w:autoSpaceDN w:val="0"/>
        <w:adjustRightInd w:val="0"/>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①其他</w:t>
      </w:r>
    </w:p>
    <w:p w14:paraId="67E900A3">
      <w:pPr>
        <w:pStyle w:val="2"/>
        <w:ind w:firstLine="480"/>
        <w:rPr>
          <w:rFonts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highlight w:val="none"/>
        </w:rPr>
        <w:br w:type="page"/>
      </w:r>
    </w:p>
    <w:p w14:paraId="463F5113">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8"/>
          <w:szCs w:val="28"/>
          <w:highlight w:val="none"/>
        </w:rPr>
        <w:t>第二部分格式：</w:t>
      </w:r>
    </w:p>
    <w:p w14:paraId="00D13311">
      <w:pPr>
        <w:snapToGrid w:val="0"/>
        <w:spacing w:line="300" w:lineRule="auto"/>
        <w:contextualSpacing/>
        <w:rPr>
          <w:rFonts w:ascii="宋体" w:hAnsi="宋体" w:cs="宋体"/>
          <w:color w:val="auto"/>
          <w:sz w:val="32"/>
          <w:szCs w:val="32"/>
          <w:highlight w:val="none"/>
        </w:rPr>
      </w:pPr>
    </w:p>
    <w:p w14:paraId="55F87B2C">
      <w:pPr>
        <w:autoSpaceDE w:val="0"/>
        <w:autoSpaceDN w:val="0"/>
        <w:adjustRightInd w:val="0"/>
        <w:jc w:val="center"/>
        <w:rPr>
          <w:rFonts w:ascii="宋体" w:hAnsi="宋体" w:cs="宋体"/>
          <w:b/>
          <w:color w:val="auto"/>
          <w:sz w:val="32"/>
          <w:szCs w:val="32"/>
          <w:highlight w:val="none"/>
        </w:rPr>
      </w:pPr>
    </w:p>
    <w:p w14:paraId="686303D0">
      <w:pPr>
        <w:autoSpaceDE w:val="0"/>
        <w:autoSpaceDN w:val="0"/>
        <w:adjustRightInd w:val="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2026-2028年南通市公路事业发展中心法律服务项目</w:t>
      </w:r>
    </w:p>
    <w:p w14:paraId="432CEB63">
      <w:pPr>
        <w:pStyle w:val="2"/>
        <w:rPr>
          <w:rFonts w:ascii="宋体" w:hAnsi="宋体" w:cs="宋体"/>
          <w:color w:val="auto"/>
          <w:highlight w:val="none"/>
        </w:rPr>
      </w:pPr>
    </w:p>
    <w:p w14:paraId="6F0E1CD3">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rPr>
        <w:t>项目编号：</w:t>
      </w:r>
      <w:r>
        <w:rPr>
          <w:rFonts w:hint="eastAsia" w:ascii="宋体" w:hAnsi="宋体" w:cs="宋体"/>
          <w:b/>
          <w:color w:val="auto"/>
          <w:w w:val="80"/>
          <w:sz w:val="32"/>
          <w:szCs w:val="32"/>
          <w:highlight w:val="none"/>
          <w:lang w:val="en-US" w:eastAsia="zh-CN"/>
        </w:rPr>
        <w:t>2026-2028Flfw</w:t>
      </w:r>
    </w:p>
    <w:p w14:paraId="368FFF67">
      <w:pPr>
        <w:tabs>
          <w:tab w:val="left" w:pos="6300"/>
        </w:tabs>
        <w:snapToGrid w:val="0"/>
        <w:spacing w:line="300" w:lineRule="auto"/>
        <w:ind w:firstLine="3087" w:firstLineChars="1200"/>
        <w:jc w:val="both"/>
        <w:rPr>
          <w:rFonts w:hint="default" w:ascii="宋体" w:hAnsi="宋体" w:cs="宋体"/>
          <w:b/>
          <w:color w:val="auto"/>
          <w:w w:val="80"/>
          <w:sz w:val="32"/>
          <w:szCs w:val="32"/>
          <w:highlight w:val="none"/>
          <w:lang w:val="en-US"/>
        </w:rPr>
      </w:pPr>
      <w:r>
        <w:rPr>
          <w:rFonts w:hint="eastAsia" w:ascii="宋体" w:hAnsi="宋体" w:cs="宋体"/>
          <w:b/>
          <w:color w:val="auto"/>
          <w:w w:val="80"/>
          <w:sz w:val="32"/>
          <w:szCs w:val="32"/>
          <w:highlight w:val="none"/>
        </w:rPr>
        <w:t>档案编号：</w:t>
      </w:r>
      <w:r>
        <w:rPr>
          <w:rFonts w:hint="eastAsia" w:ascii="宋体" w:hAnsi="宋体" w:cs="宋体"/>
          <w:b/>
          <w:color w:val="auto"/>
          <w:w w:val="80"/>
          <w:sz w:val="32"/>
          <w:szCs w:val="32"/>
          <w:highlight w:val="none"/>
          <w:lang w:val="en-US" w:eastAsia="zh-CN"/>
        </w:rPr>
        <w:t>20251123</w:t>
      </w:r>
    </w:p>
    <w:p w14:paraId="5AE94D09">
      <w:pPr>
        <w:tabs>
          <w:tab w:val="left" w:pos="6300"/>
        </w:tabs>
        <w:snapToGrid w:val="0"/>
        <w:spacing w:line="300" w:lineRule="auto"/>
        <w:jc w:val="center"/>
        <w:rPr>
          <w:rFonts w:ascii="宋体" w:hAnsi="宋体" w:cs="宋体"/>
          <w:b/>
          <w:color w:val="auto"/>
          <w:w w:val="80"/>
          <w:sz w:val="32"/>
          <w:szCs w:val="32"/>
          <w:highlight w:val="none"/>
        </w:rPr>
      </w:pPr>
    </w:p>
    <w:p w14:paraId="50E0002A">
      <w:pPr>
        <w:tabs>
          <w:tab w:val="left" w:pos="6300"/>
        </w:tabs>
        <w:snapToGrid w:val="0"/>
        <w:spacing w:line="300" w:lineRule="auto"/>
        <w:jc w:val="center"/>
        <w:rPr>
          <w:rFonts w:ascii="宋体" w:hAnsi="宋体" w:cs="宋体"/>
          <w:b/>
          <w:color w:val="auto"/>
          <w:w w:val="80"/>
          <w:sz w:val="32"/>
          <w:szCs w:val="32"/>
          <w:highlight w:val="none"/>
        </w:rPr>
      </w:pPr>
    </w:p>
    <w:p w14:paraId="4D56E3C1">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5040DFFC">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（商务技术响应文件）</w:t>
      </w:r>
    </w:p>
    <w:p w14:paraId="26368725">
      <w:pPr>
        <w:spacing w:after="60"/>
        <w:jc w:val="center"/>
        <w:rPr>
          <w:rFonts w:ascii="宋体" w:hAnsi="宋体" w:cs="宋体"/>
          <w:b/>
          <w:bCs/>
          <w:color w:val="auto"/>
          <w:sz w:val="72"/>
          <w:szCs w:val="72"/>
          <w:highlight w:val="none"/>
        </w:rPr>
      </w:pPr>
    </w:p>
    <w:p w14:paraId="75F168A4">
      <w:pPr>
        <w:spacing w:after="60"/>
        <w:jc w:val="center"/>
        <w:rPr>
          <w:rFonts w:ascii="宋体" w:hAnsi="宋体" w:cs="宋体"/>
          <w:b/>
          <w:bCs/>
          <w:color w:val="auto"/>
          <w:sz w:val="72"/>
          <w:szCs w:val="72"/>
          <w:highlight w:val="none"/>
        </w:rPr>
      </w:pPr>
    </w:p>
    <w:p w14:paraId="0993526D">
      <w:pPr>
        <w:spacing w:after="60"/>
        <w:jc w:val="center"/>
        <w:rPr>
          <w:rFonts w:ascii="宋体" w:hAnsi="宋体" w:cs="宋体"/>
          <w:b/>
          <w:bCs/>
          <w:color w:val="auto"/>
          <w:sz w:val="72"/>
          <w:szCs w:val="72"/>
          <w:highlight w:val="none"/>
        </w:rPr>
      </w:pPr>
    </w:p>
    <w:p w14:paraId="6A2D5C90">
      <w:pPr>
        <w:spacing w:after="60"/>
        <w:jc w:val="center"/>
        <w:rPr>
          <w:rFonts w:ascii="宋体" w:hAnsi="宋体" w:cs="宋体"/>
          <w:b/>
          <w:bCs/>
          <w:color w:val="auto"/>
          <w:sz w:val="72"/>
          <w:szCs w:val="72"/>
          <w:highlight w:val="none"/>
        </w:rPr>
      </w:pPr>
    </w:p>
    <w:p w14:paraId="7BBB8BBE">
      <w:pPr>
        <w:pStyle w:val="2"/>
        <w:ind w:left="0" w:leftChars="0" w:firstLine="0" w:firstLineChars="0"/>
        <w:rPr>
          <w:rFonts w:ascii="宋体" w:hAnsi="宋体" w:cs="宋体"/>
          <w:b/>
          <w:bCs/>
          <w:color w:val="auto"/>
          <w:sz w:val="72"/>
          <w:szCs w:val="72"/>
          <w:highlight w:val="none"/>
        </w:rPr>
      </w:pPr>
    </w:p>
    <w:p w14:paraId="53BD3E34">
      <w:pPr>
        <w:spacing w:after="60"/>
        <w:jc w:val="center"/>
        <w:rPr>
          <w:rFonts w:ascii="宋体" w:hAnsi="宋体" w:cs="宋体"/>
          <w:b/>
          <w:bCs/>
          <w:color w:val="auto"/>
          <w:sz w:val="72"/>
          <w:szCs w:val="72"/>
          <w:highlight w:val="none"/>
        </w:rPr>
      </w:pPr>
    </w:p>
    <w:p w14:paraId="212346BD">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r>
        <w:rPr>
          <w:rFonts w:hint="eastAsia" w:ascii="宋体" w:hAnsi="宋体" w:cs="宋体"/>
          <w:b/>
          <w:color w:val="auto"/>
          <w:sz w:val="24"/>
          <w:highlight w:val="none"/>
          <w:u w:val="single"/>
        </w:rPr>
        <w:t xml:space="preserve">                            </w:t>
      </w:r>
    </w:p>
    <w:p w14:paraId="292CC5B0">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25806FF5">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3FEE9100">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为方便评委评审，请供应商按评审办法中所涉及的事项顺序进行编制，可以补充相关材料。（以下均须提供扫描件（或复印件）并加盖公章。）</w:t>
      </w:r>
    </w:p>
    <w:p w14:paraId="7EF09D7D">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1.竞争性磋商响应函；</w:t>
      </w:r>
    </w:p>
    <w:p w14:paraId="6AF4708F">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2.评标办法中所涉及的事项需提供的所有资料；</w:t>
      </w:r>
    </w:p>
    <w:p w14:paraId="3709AF7B">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3.评标办法中未涉及的事项，供应商认为需要提交的其他资料；</w:t>
      </w:r>
    </w:p>
    <w:p w14:paraId="554462DB">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4.竞争性磋商文件中要求提供的其他材料。</w:t>
      </w:r>
    </w:p>
    <w:p w14:paraId="54B0CECD">
      <w:pPr>
        <w:snapToGrid w:val="0"/>
        <w:spacing w:line="300" w:lineRule="auto"/>
        <w:contextualSpacing/>
        <w:rPr>
          <w:rFonts w:ascii="宋体" w:hAnsi="宋体" w:cs="宋体"/>
          <w:color w:val="auto"/>
          <w:sz w:val="32"/>
          <w:szCs w:val="32"/>
          <w:highlight w:val="none"/>
        </w:rPr>
      </w:pPr>
    </w:p>
    <w:p w14:paraId="349141CC">
      <w:pPr>
        <w:pStyle w:val="2"/>
        <w:rPr>
          <w:rFonts w:ascii="宋体" w:hAnsi="宋体" w:cs="宋体"/>
          <w:color w:val="auto"/>
          <w:highlight w:val="none"/>
        </w:rPr>
      </w:pPr>
    </w:p>
    <w:p w14:paraId="774E3306">
      <w:pPr>
        <w:pStyle w:val="2"/>
        <w:rPr>
          <w:rFonts w:ascii="宋体" w:hAnsi="宋体" w:cs="宋体"/>
          <w:color w:val="auto"/>
          <w:highlight w:val="none"/>
        </w:rPr>
      </w:pPr>
    </w:p>
    <w:p w14:paraId="16C7A245">
      <w:pPr>
        <w:pStyle w:val="2"/>
        <w:rPr>
          <w:rFonts w:ascii="宋体" w:hAnsi="宋体" w:cs="宋体"/>
          <w:color w:val="auto"/>
          <w:highlight w:val="none"/>
        </w:rPr>
      </w:pPr>
    </w:p>
    <w:p w14:paraId="3E466012">
      <w:pPr>
        <w:pStyle w:val="2"/>
        <w:rPr>
          <w:rFonts w:ascii="宋体" w:hAnsi="宋体" w:cs="宋体"/>
          <w:color w:val="auto"/>
          <w:highlight w:val="none"/>
        </w:rPr>
      </w:pPr>
    </w:p>
    <w:p w14:paraId="62AD001F">
      <w:pPr>
        <w:pStyle w:val="2"/>
        <w:rPr>
          <w:rFonts w:ascii="宋体" w:hAnsi="宋体" w:cs="宋体"/>
          <w:color w:val="auto"/>
          <w:highlight w:val="none"/>
        </w:rPr>
      </w:pPr>
    </w:p>
    <w:p w14:paraId="49A38269">
      <w:pPr>
        <w:pStyle w:val="2"/>
        <w:rPr>
          <w:rFonts w:ascii="宋体" w:hAnsi="宋体" w:cs="宋体"/>
          <w:color w:val="auto"/>
          <w:highlight w:val="none"/>
        </w:rPr>
      </w:pPr>
    </w:p>
    <w:p w14:paraId="43574BE9">
      <w:pPr>
        <w:pStyle w:val="2"/>
        <w:rPr>
          <w:rFonts w:ascii="宋体" w:hAnsi="宋体" w:cs="宋体"/>
          <w:color w:val="auto"/>
          <w:highlight w:val="none"/>
        </w:rPr>
      </w:pPr>
    </w:p>
    <w:p w14:paraId="6B6B478E">
      <w:pPr>
        <w:pStyle w:val="2"/>
        <w:rPr>
          <w:rFonts w:ascii="宋体" w:hAnsi="宋体" w:cs="宋体"/>
          <w:color w:val="auto"/>
          <w:highlight w:val="none"/>
        </w:rPr>
      </w:pPr>
    </w:p>
    <w:p w14:paraId="6265097C">
      <w:pPr>
        <w:pStyle w:val="2"/>
        <w:rPr>
          <w:rFonts w:ascii="宋体" w:hAnsi="宋体" w:cs="宋体"/>
          <w:color w:val="auto"/>
          <w:highlight w:val="none"/>
        </w:rPr>
      </w:pPr>
    </w:p>
    <w:p w14:paraId="344A71CF">
      <w:pPr>
        <w:pStyle w:val="2"/>
        <w:rPr>
          <w:rFonts w:ascii="宋体" w:hAnsi="宋体" w:cs="宋体"/>
          <w:color w:val="auto"/>
          <w:highlight w:val="none"/>
        </w:rPr>
      </w:pPr>
    </w:p>
    <w:p w14:paraId="5F428BC6">
      <w:pPr>
        <w:pStyle w:val="2"/>
        <w:rPr>
          <w:rFonts w:ascii="宋体" w:hAnsi="宋体" w:cs="宋体"/>
          <w:color w:val="auto"/>
          <w:highlight w:val="none"/>
        </w:rPr>
      </w:pPr>
    </w:p>
    <w:p w14:paraId="1B635154">
      <w:pPr>
        <w:pStyle w:val="2"/>
        <w:rPr>
          <w:rFonts w:ascii="宋体" w:hAnsi="宋体" w:cs="宋体"/>
          <w:color w:val="auto"/>
          <w:highlight w:val="none"/>
        </w:rPr>
      </w:pPr>
    </w:p>
    <w:p w14:paraId="35EF952F">
      <w:pPr>
        <w:pStyle w:val="2"/>
        <w:rPr>
          <w:rFonts w:ascii="宋体" w:hAnsi="宋体" w:cs="宋体"/>
          <w:color w:val="auto"/>
          <w:highlight w:val="none"/>
        </w:rPr>
      </w:pPr>
    </w:p>
    <w:p w14:paraId="1F6B212F">
      <w:pPr>
        <w:pStyle w:val="2"/>
        <w:rPr>
          <w:rFonts w:ascii="宋体" w:hAnsi="宋体" w:cs="宋体"/>
          <w:color w:val="auto"/>
          <w:highlight w:val="none"/>
        </w:rPr>
      </w:pPr>
    </w:p>
    <w:p w14:paraId="5B25AA4D">
      <w:pPr>
        <w:pStyle w:val="2"/>
        <w:rPr>
          <w:rFonts w:ascii="宋体" w:hAnsi="宋体" w:cs="宋体"/>
          <w:color w:val="auto"/>
          <w:highlight w:val="none"/>
        </w:rPr>
      </w:pPr>
    </w:p>
    <w:p w14:paraId="7A03BD38">
      <w:pPr>
        <w:pStyle w:val="2"/>
        <w:rPr>
          <w:rFonts w:ascii="宋体" w:hAnsi="宋体" w:cs="宋体"/>
          <w:color w:val="auto"/>
          <w:highlight w:val="none"/>
        </w:rPr>
      </w:pPr>
    </w:p>
    <w:p w14:paraId="1BCF1DC6">
      <w:pPr>
        <w:pStyle w:val="2"/>
        <w:rPr>
          <w:rFonts w:ascii="宋体" w:hAnsi="宋体" w:cs="宋体"/>
          <w:color w:val="auto"/>
          <w:highlight w:val="none"/>
        </w:rPr>
      </w:pPr>
    </w:p>
    <w:p w14:paraId="75F5DBB2">
      <w:pPr>
        <w:pStyle w:val="2"/>
        <w:rPr>
          <w:rFonts w:ascii="宋体" w:hAnsi="宋体" w:cs="宋体"/>
          <w:color w:val="auto"/>
          <w:highlight w:val="none"/>
        </w:rPr>
      </w:pPr>
    </w:p>
    <w:p w14:paraId="7DD77D8B">
      <w:pPr>
        <w:pStyle w:val="2"/>
        <w:rPr>
          <w:rFonts w:ascii="宋体" w:hAnsi="宋体" w:cs="宋体"/>
          <w:color w:val="auto"/>
          <w:highlight w:val="none"/>
        </w:rPr>
      </w:pPr>
    </w:p>
    <w:p w14:paraId="371C4640">
      <w:pPr>
        <w:pStyle w:val="2"/>
        <w:rPr>
          <w:rFonts w:ascii="宋体" w:hAnsi="宋体" w:cs="宋体"/>
          <w:color w:val="auto"/>
          <w:highlight w:val="none"/>
        </w:rPr>
      </w:pPr>
    </w:p>
    <w:p w14:paraId="6FEDB210">
      <w:pPr>
        <w:pStyle w:val="2"/>
        <w:rPr>
          <w:rFonts w:ascii="宋体" w:hAnsi="宋体" w:cs="宋体"/>
          <w:color w:val="auto"/>
          <w:highlight w:val="none"/>
        </w:rPr>
      </w:pPr>
    </w:p>
    <w:p w14:paraId="13FD169A">
      <w:pPr>
        <w:pStyle w:val="2"/>
        <w:rPr>
          <w:rFonts w:ascii="宋体" w:hAnsi="宋体" w:cs="宋体"/>
          <w:color w:val="auto"/>
          <w:highlight w:val="none"/>
        </w:rPr>
      </w:pPr>
    </w:p>
    <w:p w14:paraId="5B1BE06B">
      <w:pPr>
        <w:pStyle w:val="2"/>
        <w:rPr>
          <w:rFonts w:ascii="宋体" w:hAnsi="宋体" w:cs="宋体"/>
          <w:color w:val="auto"/>
          <w:highlight w:val="none"/>
        </w:rPr>
      </w:pPr>
    </w:p>
    <w:p w14:paraId="2FA39E3E">
      <w:pPr>
        <w:pStyle w:val="2"/>
        <w:rPr>
          <w:rFonts w:ascii="宋体" w:hAnsi="宋体" w:cs="宋体"/>
          <w:color w:val="auto"/>
          <w:highlight w:val="none"/>
        </w:rPr>
      </w:pPr>
    </w:p>
    <w:p w14:paraId="161D1E15">
      <w:pPr>
        <w:pStyle w:val="2"/>
        <w:rPr>
          <w:rFonts w:ascii="宋体" w:hAnsi="宋体" w:cs="宋体"/>
          <w:color w:val="auto"/>
          <w:highlight w:val="none"/>
        </w:rPr>
      </w:pPr>
    </w:p>
    <w:p w14:paraId="1BBE5FC8">
      <w:pPr>
        <w:pStyle w:val="2"/>
        <w:rPr>
          <w:rFonts w:ascii="宋体" w:hAnsi="宋体" w:cs="宋体"/>
          <w:color w:val="auto"/>
          <w:highlight w:val="none"/>
        </w:rPr>
      </w:pPr>
    </w:p>
    <w:p w14:paraId="325BAA22">
      <w:pPr>
        <w:pStyle w:val="2"/>
        <w:rPr>
          <w:rFonts w:ascii="宋体" w:hAnsi="宋体" w:cs="宋体"/>
          <w:color w:val="auto"/>
          <w:highlight w:val="none"/>
        </w:rPr>
      </w:pPr>
    </w:p>
    <w:p w14:paraId="60791313">
      <w:pPr>
        <w:snapToGrid w:val="0"/>
        <w:spacing w:line="360" w:lineRule="auto"/>
        <w:jc w:val="center"/>
        <w:outlineLvl w:val="3"/>
        <w:rPr>
          <w:rFonts w:ascii="宋体" w:hAnsi="宋体" w:cs="宋体"/>
          <w:bCs/>
          <w:color w:val="auto"/>
          <w:sz w:val="28"/>
          <w:szCs w:val="28"/>
          <w:highlight w:val="none"/>
        </w:rPr>
      </w:pPr>
      <w:r>
        <w:rPr>
          <w:rFonts w:hint="eastAsia" w:ascii="宋体" w:hAnsi="宋体" w:cs="宋体"/>
          <w:bCs/>
          <w:color w:val="auto"/>
          <w:sz w:val="28"/>
          <w:szCs w:val="28"/>
          <w:highlight w:val="none"/>
        </w:rPr>
        <w:t>竞争性磋商响应函</w:t>
      </w:r>
    </w:p>
    <w:p w14:paraId="1141DF4F">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single"/>
        </w:rPr>
        <w:t xml:space="preserve">       （采购人）       </w:t>
      </w:r>
      <w:r>
        <w:rPr>
          <w:rFonts w:hint="eastAsia" w:ascii="宋体" w:hAnsi="宋体" w:cs="宋体"/>
          <w:color w:val="auto"/>
          <w:sz w:val="24"/>
          <w:highlight w:val="none"/>
        </w:rPr>
        <w:t>：</w:t>
      </w:r>
    </w:p>
    <w:p w14:paraId="76A944C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依据贵单位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（项目名称)项目竞争性磋商的邀请，我方授权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（职务）为全权代表参加该项目的磋商响应工作，全权处理本次磋商的有关事宜。同时，我公司声明如下：</w:t>
      </w:r>
    </w:p>
    <w:p w14:paraId="3033AAC9">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（1）我方愿意按照磋商文件的一切要求，提供完成该项目的全部内容</w:t>
      </w:r>
      <w:r>
        <w:rPr>
          <w:rFonts w:hint="eastAsia" w:ascii="宋体" w:hAnsi="宋体" w:cs="宋体"/>
          <w:color w:val="auto"/>
          <w:sz w:val="24"/>
          <w:highlight w:val="none"/>
          <w:lang w:val="zh-CN"/>
        </w:rPr>
        <w:t>。</w:t>
      </w:r>
    </w:p>
    <w:p w14:paraId="4165CBD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（2）我方已经详细审查了全部磋商文件，我方已完全清晰理解磋商文件的要求，不存在任何含糊不清和误解之处，同意放弃对这些文件所提出的异议和质疑的权利。</w:t>
      </w:r>
    </w:p>
    <w:p w14:paraId="2C32415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（3）我方承诺提供的磋商响应文件的有效期，从磋商响应文件接收截止之日算起，45个“日历天”内保持有效。</w:t>
      </w:r>
    </w:p>
    <w:p w14:paraId="5C80E54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（4）我方愿意提供采购人在磋商文件中要求的所有资料。</w:t>
      </w:r>
    </w:p>
    <w:p w14:paraId="1881023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（5）我方承诺在本次磋商响应中提供的一切文件，无论是原件还是复印件均真实有效，绝无任何虚假、伪造和夸大的成份。否则，愿承担相应的后果和法律责任。</w:t>
      </w:r>
    </w:p>
    <w:p w14:paraId="6E9904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（6）我方尊重评审小组所作评定结果，同时也清楚理解到磋商报价最低并非意味着必定获得中标或成交资格。</w:t>
      </w:r>
    </w:p>
    <w:p w14:paraId="4C09888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（7）一旦我方成交，我方将根据磋商文件的规定，严格履行磋商文件中规定的每一项要求，按期、按质、按量履行合同的义务。</w:t>
      </w:r>
    </w:p>
    <w:p w14:paraId="10963A0D">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磋商响应供应商：（盖</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公章）</w:t>
      </w:r>
    </w:p>
    <w:p w14:paraId="5CD45BDB">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法定代表人或委托代理人：</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签字或盖章</w:t>
      </w:r>
      <w:r>
        <w:rPr>
          <w:rFonts w:hint="eastAsia" w:ascii="宋体" w:hAnsi="宋体" w:cs="宋体"/>
          <w:bCs/>
          <w:color w:val="auto"/>
          <w:sz w:val="24"/>
          <w:highlight w:val="none"/>
        </w:rPr>
        <w:t>）</w:t>
      </w:r>
    </w:p>
    <w:p w14:paraId="09F4E31F">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74EE0DEA">
      <w:pPr>
        <w:pStyle w:val="2"/>
        <w:rPr>
          <w:rFonts w:ascii="宋体" w:hAnsi="宋体" w:cs="宋体"/>
          <w:color w:val="auto"/>
          <w:highlight w:val="none"/>
        </w:rPr>
      </w:pPr>
    </w:p>
    <w:p w14:paraId="27846D6D">
      <w:pPr>
        <w:widowControl/>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3D78CE5A">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8"/>
          <w:szCs w:val="28"/>
          <w:highlight w:val="none"/>
        </w:rPr>
        <w:t>第三部分格式：</w:t>
      </w:r>
    </w:p>
    <w:p w14:paraId="71B52CC3">
      <w:pPr>
        <w:snapToGrid w:val="0"/>
        <w:spacing w:line="300" w:lineRule="auto"/>
        <w:contextualSpacing/>
        <w:rPr>
          <w:rFonts w:ascii="宋体" w:hAnsi="宋体" w:cs="宋体"/>
          <w:color w:val="auto"/>
          <w:sz w:val="32"/>
          <w:szCs w:val="32"/>
          <w:highlight w:val="none"/>
        </w:rPr>
      </w:pPr>
    </w:p>
    <w:p w14:paraId="61C545AD">
      <w:pPr>
        <w:autoSpaceDE w:val="0"/>
        <w:autoSpaceDN w:val="0"/>
        <w:adjustRightInd w:val="0"/>
        <w:jc w:val="center"/>
        <w:rPr>
          <w:rFonts w:ascii="宋体" w:hAnsi="宋体" w:cs="宋体"/>
          <w:b/>
          <w:color w:val="auto"/>
          <w:sz w:val="32"/>
          <w:szCs w:val="32"/>
          <w:highlight w:val="none"/>
        </w:rPr>
      </w:pPr>
    </w:p>
    <w:p w14:paraId="5E354D33">
      <w:pPr>
        <w:autoSpaceDE w:val="0"/>
        <w:autoSpaceDN w:val="0"/>
        <w:adjustRightInd w:val="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2026-2028年南通市公路事业发展中心法律服务项目</w:t>
      </w:r>
    </w:p>
    <w:p w14:paraId="3FD3934F">
      <w:pPr>
        <w:pStyle w:val="2"/>
        <w:rPr>
          <w:rFonts w:ascii="宋体" w:hAnsi="宋体" w:cs="宋体"/>
          <w:color w:val="auto"/>
          <w:highlight w:val="none"/>
        </w:rPr>
      </w:pPr>
    </w:p>
    <w:p w14:paraId="0FE7457D">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rPr>
        <w:t>项目编号：</w:t>
      </w:r>
      <w:r>
        <w:rPr>
          <w:rFonts w:hint="eastAsia" w:ascii="宋体" w:hAnsi="宋体" w:cs="宋体"/>
          <w:b/>
          <w:color w:val="auto"/>
          <w:w w:val="80"/>
          <w:sz w:val="32"/>
          <w:szCs w:val="32"/>
          <w:highlight w:val="none"/>
          <w:lang w:val="en-US" w:eastAsia="zh-CN"/>
        </w:rPr>
        <w:t>2026-2028Flfw</w:t>
      </w:r>
    </w:p>
    <w:p w14:paraId="7D850102">
      <w:pPr>
        <w:tabs>
          <w:tab w:val="left" w:pos="6300"/>
        </w:tabs>
        <w:snapToGrid w:val="0"/>
        <w:spacing w:line="300" w:lineRule="auto"/>
        <w:ind w:firstLine="3087" w:firstLineChars="1200"/>
        <w:jc w:val="both"/>
        <w:rPr>
          <w:rFonts w:hint="default" w:ascii="宋体" w:hAnsi="宋体" w:cs="宋体"/>
          <w:b/>
          <w:color w:val="auto"/>
          <w:w w:val="80"/>
          <w:sz w:val="32"/>
          <w:szCs w:val="32"/>
          <w:highlight w:val="none"/>
          <w:lang w:val="en-US"/>
        </w:rPr>
      </w:pPr>
      <w:r>
        <w:rPr>
          <w:rFonts w:hint="eastAsia" w:ascii="宋体" w:hAnsi="宋体" w:cs="宋体"/>
          <w:b/>
          <w:color w:val="auto"/>
          <w:w w:val="80"/>
          <w:sz w:val="32"/>
          <w:szCs w:val="32"/>
          <w:highlight w:val="none"/>
        </w:rPr>
        <w:t>档案编号：</w:t>
      </w:r>
      <w:r>
        <w:rPr>
          <w:rFonts w:hint="eastAsia" w:ascii="宋体" w:hAnsi="宋体" w:cs="宋体"/>
          <w:b/>
          <w:color w:val="auto"/>
          <w:w w:val="80"/>
          <w:sz w:val="32"/>
          <w:szCs w:val="32"/>
          <w:highlight w:val="none"/>
          <w:lang w:val="en-US" w:eastAsia="zh-CN"/>
        </w:rPr>
        <w:t>20251123</w:t>
      </w:r>
    </w:p>
    <w:p w14:paraId="1D230B55">
      <w:pPr>
        <w:tabs>
          <w:tab w:val="left" w:pos="6300"/>
        </w:tabs>
        <w:snapToGrid w:val="0"/>
        <w:spacing w:line="300" w:lineRule="auto"/>
        <w:jc w:val="center"/>
        <w:rPr>
          <w:rFonts w:ascii="宋体" w:hAnsi="宋体" w:cs="宋体"/>
          <w:b/>
          <w:color w:val="auto"/>
          <w:w w:val="80"/>
          <w:sz w:val="32"/>
          <w:szCs w:val="32"/>
          <w:highlight w:val="none"/>
        </w:rPr>
      </w:pPr>
    </w:p>
    <w:p w14:paraId="095C33E7">
      <w:pPr>
        <w:tabs>
          <w:tab w:val="left" w:pos="6300"/>
        </w:tabs>
        <w:snapToGrid w:val="0"/>
        <w:spacing w:line="300" w:lineRule="auto"/>
        <w:jc w:val="center"/>
        <w:rPr>
          <w:rFonts w:ascii="宋体" w:hAnsi="宋体" w:cs="宋体"/>
          <w:b/>
          <w:color w:val="auto"/>
          <w:w w:val="80"/>
          <w:sz w:val="32"/>
          <w:szCs w:val="32"/>
          <w:highlight w:val="none"/>
        </w:rPr>
      </w:pPr>
    </w:p>
    <w:p w14:paraId="4660CE92">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1A90E388">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（价格响应文件）</w:t>
      </w:r>
    </w:p>
    <w:p w14:paraId="4215A6B4">
      <w:pPr>
        <w:spacing w:after="60"/>
        <w:jc w:val="center"/>
        <w:rPr>
          <w:rFonts w:ascii="宋体" w:hAnsi="宋体" w:cs="宋体"/>
          <w:b/>
          <w:bCs/>
          <w:color w:val="auto"/>
          <w:sz w:val="72"/>
          <w:szCs w:val="72"/>
          <w:highlight w:val="none"/>
        </w:rPr>
      </w:pPr>
    </w:p>
    <w:p w14:paraId="1E181A60">
      <w:pPr>
        <w:spacing w:after="60"/>
        <w:jc w:val="center"/>
        <w:rPr>
          <w:rFonts w:ascii="宋体" w:hAnsi="宋体" w:cs="宋体"/>
          <w:b/>
          <w:bCs/>
          <w:color w:val="auto"/>
          <w:sz w:val="72"/>
          <w:szCs w:val="72"/>
          <w:highlight w:val="none"/>
        </w:rPr>
      </w:pPr>
    </w:p>
    <w:p w14:paraId="140985A3">
      <w:pPr>
        <w:spacing w:after="60"/>
        <w:jc w:val="center"/>
        <w:rPr>
          <w:rFonts w:ascii="宋体" w:hAnsi="宋体" w:cs="宋体"/>
          <w:b/>
          <w:bCs/>
          <w:color w:val="auto"/>
          <w:sz w:val="72"/>
          <w:szCs w:val="72"/>
          <w:highlight w:val="none"/>
        </w:rPr>
      </w:pPr>
    </w:p>
    <w:p w14:paraId="05A0DCE0">
      <w:pPr>
        <w:spacing w:after="60"/>
        <w:jc w:val="center"/>
        <w:rPr>
          <w:rFonts w:ascii="宋体" w:hAnsi="宋体" w:cs="宋体"/>
          <w:b/>
          <w:bCs/>
          <w:color w:val="auto"/>
          <w:sz w:val="72"/>
          <w:szCs w:val="72"/>
          <w:highlight w:val="none"/>
        </w:rPr>
      </w:pPr>
    </w:p>
    <w:p w14:paraId="2E1BEAFE">
      <w:pPr>
        <w:pStyle w:val="2"/>
        <w:ind w:left="0" w:leftChars="0" w:firstLine="0" w:firstLineChars="0"/>
        <w:rPr>
          <w:rFonts w:ascii="宋体" w:hAnsi="宋体" w:cs="宋体"/>
          <w:b/>
          <w:bCs/>
          <w:color w:val="auto"/>
          <w:sz w:val="72"/>
          <w:szCs w:val="72"/>
          <w:highlight w:val="none"/>
        </w:rPr>
      </w:pPr>
    </w:p>
    <w:p w14:paraId="481FEC02">
      <w:pPr>
        <w:spacing w:after="60"/>
        <w:jc w:val="center"/>
        <w:rPr>
          <w:rFonts w:ascii="宋体" w:hAnsi="宋体" w:cs="宋体"/>
          <w:b/>
          <w:bCs/>
          <w:color w:val="auto"/>
          <w:sz w:val="72"/>
          <w:szCs w:val="72"/>
          <w:highlight w:val="none"/>
        </w:rPr>
      </w:pPr>
    </w:p>
    <w:p w14:paraId="6286CFE5">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r>
        <w:rPr>
          <w:rFonts w:hint="eastAsia" w:ascii="宋体" w:hAnsi="宋体" w:cs="宋体"/>
          <w:b/>
          <w:color w:val="auto"/>
          <w:sz w:val="24"/>
          <w:highlight w:val="none"/>
          <w:u w:val="single"/>
        </w:rPr>
        <w:t xml:space="preserve">                            </w:t>
      </w:r>
    </w:p>
    <w:p w14:paraId="0239B32A">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14235010">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50B60366">
      <w:pPr>
        <w:widowControl/>
        <w:jc w:val="left"/>
        <w:rPr>
          <w:rFonts w:ascii="宋体" w:hAnsi="宋体" w:cs="宋体"/>
          <w:color w:val="auto"/>
          <w:sz w:val="32"/>
          <w:szCs w:val="32"/>
          <w:highlight w:val="none"/>
        </w:rPr>
      </w:pPr>
    </w:p>
    <w:p w14:paraId="2F28F77B">
      <w:pPr>
        <w:snapToGrid w:val="0"/>
        <w:spacing w:line="300" w:lineRule="auto"/>
        <w:contextualSpacing/>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61C888BD">
      <w:pPr>
        <w:snapToGrid w:val="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val="en-US" w:eastAsia="zh-CN"/>
        </w:rPr>
        <w:t>开标一览</w:t>
      </w:r>
      <w:r>
        <w:rPr>
          <w:rFonts w:hint="eastAsia" w:ascii="宋体" w:hAnsi="宋体" w:cs="宋体"/>
          <w:b/>
          <w:color w:val="auto"/>
          <w:sz w:val="36"/>
          <w:szCs w:val="36"/>
          <w:highlight w:val="none"/>
        </w:rPr>
        <w:t>表</w:t>
      </w:r>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5"/>
        <w:gridCol w:w="2490"/>
        <w:gridCol w:w="2870"/>
      </w:tblGrid>
      <w:tr w14:paraId="08BD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5" w:type="dxa"/>
            <w:noWrap w:val="0"/>
            <w:vAlign w:val="center"/>
          </w:tcPr>
          <w:p w14:paraId="17BB107F">
            <w:pPr>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项目名称</w:t>
            </w:r>
          </w:p>
        </w:tc>
        <w:tc>
          <w:tcPr>
            <w:tcW w:w="5360" w:type="dxa"/>
            <w:gridSpan w:val="2"/>
            <w:noWrap w:val="0"/>
            <w:vAlign w:val="center"/>
          </w:tcPr>
          <w:p w14:paraId="07778416">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投标总报价（含税价）</w:t>
            </w:r>
          </w:p>
        </w:tc>
      </w:tr>
      <w:tr w14:paraId="0F5F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3395" w:type="dxa"/>
            <w:noWrap w:val="0"/>
            <w:vAlign w:val="center"/>
          </w:tcPr>
          <w:p w14:paraId="56217CD9">
            <w:pPr>
              <w:jc w:val="center"/>
              <w:rPr>
                <w:rFonts w:hint="eastAsia" w:ascii="宋体" w:hAnsi="宋体" w:eastAsia="宋体" w:cs="宋体"/>
                <w:color w:val="auto"/>
                <w:kern w:val="0"/>
                <w:sz w:val="24"/>
                <w:szCs w:val="24"/>
                <w:highlight w:val="none"/>
              </w:rPr>
            </w:pPr>
            <w:r>
              <w:rPr>
                <w:rFonts w:hint="eastAsia" w:ascii="宋体" w:hAnsi="宋体" w:cs="宋体"/>
                <w:color w:val="auto"/>
                <w:sz w:val="24"/>
                <w:highlight w:val="none"/>
                <w:lang w:eastAsia="zh-CN"/>
              </w:rPr>
              <w:t>2026-2028年南通市公路事业发展中心法律服务项目</w:t>
            </w:r>
          </w:p>
        </w:tc>
        <w:tc>
          <w:tcPr>
            <w:tcW w:w="2490" w:type="dxa"/>
            <w:noWrap w:val="0"/>
            <w:vAlign w:val="center"/>
          </w:tcPr>
          <w:p w14:paraId="580DC17F">
            <w:pPr>
              <w:jc w:val="both"/>
              <w:rPr>
                <w:rFonts w:hint="eastAsia" w:ascii="宋体" w:hAnsi="宋体" w:eastAsia="宋体" w:cs="宋体"/>
                <w:color w:val="auto"/>
                <w:szCs w:val="24"/>
                <w:highlight w:val="none"/>
              </w:rPr>
            </w:pPr>
            <w:r>
              <w:rPr>
                <w:rFonts w:hint="eastAsia" w:ascii="宋体" w:hAnsi="宋体" w:eastAsia="宋体" w:cs="宋体"/>
                <w:color w:val="auto"/>
                <w:kern w:val="0"/>
                <w:sz w:val="24"/>
                <w:szCs w:val="24"/>
                <w:highlight w:val="none"/>
              </w:rPr>
              <w:t>大写：</w:t>
            </w:r>
            <w:r>
              <w:rPr>
                <w:rFonts w:hint="eastAsia" w:ascii="宋体" w:hAnsi="宋体" w:cs="宋体"/>
                <w:color w:val="auto"/>
                <w:sz w:val="24"/>
                <w:highlight w:val="none"/>
              </w:rPr>
              <w:t>人民币</w:t>
            </w:r>
            <w:r>
              <w:rPr>
                <w:rFonts w:hint="eastAsia" w:ascii="宋体" w:hAnsi="宋体" w:cs="宋体"/>
                <w:color w:val="auto"/>
                <w:sz w:val="24"/>
                <w:highlight w:val="none"/>
                <w:lang w:val="en-US" w:eastAsia="zh-CN"/>
              </w:rPr>
              <w:t>壹拾伍万元/年</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小写：</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sz w:val="24"/>
                <w:highlight w:val="none"/>
                <w:lang w:val="en-US" w:eastAsia="zh-CN"/>
              </w:rPr>
              <w:t>150000元/年</w:t>
            </w:r>
          </w:p>
        </w:tc>
        <w:tc>
          <w:tcPr>
            <w:tcW w:w="2870" w:type="dxa"/>
            <w:noWrap w:val="0"/>
            <w:vAlign w:val="center"/>
          </w:tcPr>
          <w:p w14:paraId="094FC408">
            <w:pPr>
              <w:jc w:val="both"/>
              <w:rPr>
                <w:rFonts w:hint="eastAsia" w:ascii="宋体" w:hAnsi="宋体" w:eastAsia="宋体" w:cs="宋体"/>
                <w:color w:val="auto"/>
                <w:kern w:val="0"/>
                <w:sz w:val="24"/>
                <w:szCs w:val="24"/>
                <w:highlight w:val="none"/>
              </w:rPr>
            </w:pPr>
            <w:r>
              <w:rPr>
                <w:rFonts w:hint="eastAsia" w:ascii="宋体" w:hAnsi="宋体" w:cs="宋体"/>
                <w:color w:val="auto"/>
                <w:sz w:val="24"/>
                <w:highlight w:val="none"/>
                <w:lang w:val="en-US" w:eastAsia="zh-CN"/>
              </w:rPr>
              <w:t>因服务需要并经采购人同意确需离开南通市范围的，异地办案差旅费按采购人工作人员因公出差规定执行。</w:t>
            </w:r>
          </w:p>
        </w:tc>
      </w:tr>
    </w:tbl>
    <w:p w14:paraId="282E3F27">
      <w:pPr>
        <w:pStyle w:val="2"/>
        <w:rPr>
          <w:color w:val="auto"/>
          <w:highlight w:val="none"/>
        </w:rPr>
      </w:pPr>
    </w:p>
    <w:p w14:paraId="36349554">
      <w:pPr>
        <w:snapToGrid w:val="0"/>
        <w:spacing w:line="360" w:lineRule="auto"/>
        <w:ind w:firstLine="480" w:firstLineChars="200"/>
        <w:contextualSpacing/>
        <w:jc w:val="left"/>
        <w:rPr>
          <w:rFonts w:ascii="宋体" w:hAnsi="宋体" w:cs="宋体"/>
          <w:color w:val="auto"/>
          <w:sz w:val="24"/>
          <w:highlight w:val="none"/>
        </w:rPr>
      </w:pPr>
    </w:p>
    <w:p w14:paraId="135446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供应商（盖单位公章）：</w:t>
      </w:r>
      <w:r>
        <w:rPr>
          <w:rFonts w:hint="eastAsia" w:ascii="宋体" w:hAnsi="宋体" w:cs="宋体"/>
          <w:color w:val="auto"/>
          <w:sz w:val="24"/>
          <w:highlight w:val="none"/>
          <w:u w:val="single"/>
        </w:rPr>
        <w:t xml:space="preserve">                    </w:t>
      </w:r>
    </w:p>
    <w:p w14:paraId="4E058263">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0B9B1AE8">
      <w:pPr>
        <w:snapToGrid w:val="0"/>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年    月    日</w:t>
      </w:r>
    </w:p>
    <w:p w14:paraId="25C16B2D">
      <w:pPr>
        <w:snapToGrid w:val="0"/>
        <w:spacing w:line="360" w:lineRule="auto"/>
        <w:ind w:firstLine="480" w:firstLineChars="200"/>
        <w:contextualSpacing/>
        <w:jc w:val="left"/>
        <w:rPr>
          <w:rFonts w:ascii="宋体" w:hAnsi="宋体" w:cs="宋体"/>
          <w:color w:val="auto"/>
          <w:sz w:val="24"/>
          <w:highlight w:val="none"/>
        </w:rPr>
      </w:pPr>
    </w:p>
    <w:p w14:paraId="6FBA55E6">
      <w:pPr>
        <w:pStyle w:val="2"/>
        <w:rPr>
          <w:rFonts w:ascii="宋体" w:hAnsi="宋体" w:cs="宋体"/>
          <w:color w:val="auto"/>
          <w:highlight w:val="none"/>
        </w:rPr>
      </w:pPr>
    </w:p>
    <w:p w14:paraId="3D43B531">
      <w:pPr>
        <w:pStyle w:val="2"/>
        <w:rPr>
          <w:rFonts w:ascii="宋体" w:hAnsi="宋体" w:cs="宋体"/>
          <w:color w:val="auto"/>
          <w:highlight w:val="none"/>
        </w:rPr>
      </w:pPr>
    </w:p>
    <w:p w14:paraId="39653581">
      <w:pPr>
        <w:pStyle w:val="2"/>
        <w:rPr>
          <w:rFonts w:ascii="宋体" w:hAnsi="宋体" w:cs="宋体"/>
          <w:color w:val="auto"/>
          <w:highlight w:val="none"/>
        </w:rPr>
      </w:pPr>
    </w:p>
    <w:p w14:paraId="7E8B7B14">
      <w:pPr>
        <w:pStyle w:val="2"/>
        <w:rPr>
          <w:rFonts w:ascii="宋体" w:hAnsi="宋体" w:cs="宋体"/>
          <w:color w:val="auto"/>
          <w:highlight w:val="none"/>
        </w:rPr>
      </w:pPr>
    </w:p>
    <w:p w14:paraId="62D3187D">
      <w:pPr>
        <w:numPr>
          <w:ilvl w:val="0"/>
          <w:numId w:val="0"/>
        </w:numPr>
        <w:rPr>
          <w:rFonts w:hint="eastAsia" w:ascii="宋体" w:hAnsi="宋体" w:cs="宋体"/>
          <w:b/>
          <w:color w:val="auto"/>
          <w:sz w:val="24"/>
          <w:highlight w:val="none"/>
        </w:rPr>
      </w:pPr>
      <w:r>
        <w:rPr>
          <w:rFonts w:hint="eastAsia" w:ascii="宋体" w:hAnsi="宋体" w:cs="宋体"/>
          <w:b/>
          <w:color w:val="auto"/>
          <w:sz w:val="24"/>
          <w:highlight w:val="none"/>
        </w:rPr>
        <w:t>注：</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开标一览表必须加盖投标</w:t>
      </w:r>
      <w:r>
        <w:rPr>
          <w:rFonts w:hint="eastAsia" w:ascii="宋体" w:hAnsi="宋体" w:cs="宋体"/>
          <w:b/>
          <w:color w:val="auto"/>
          <w:sz w:val="24"/>
          <w:highlight w:val="none"/>
          <w:lang w:val="en-US" w:eastAsia="zh-CN"/>
        </w:rPr>
        <w:t>供应商</w:t>
      </w:r>
      <w:r>
        <w:rPr>
          <w:rFonts w:hint="eastAsia" w:ascii="宋体" w:hAnsi="宋体" w:cs="宋体"/>
          <w:b/>
          <w:color w:val="auto"/>
          <w:sz w:val="24"/>
          <w:highlight w:val="none"/>
        </w:rPr>
        <w:t>公章（复印件无效）。</w:t>
      </w:r>
    </w:p>
    <w:p w14:paraId="08AE0226">
      <w:pPr>
        <w:numPr>
          <w:ilvl w:val="0"/>
          <w:numId w:val="0"/>
        </w:numPr>
        <w:ind w:firstLine="482" w:firstLineChars="200"/>
        <w:rPr>
          <w:rFonts w:hint="eastAsia" w:ascii="宋体" w:hAnsi="宋体" w:cs="宋体"/>
          <w:b/>
          <w:color w:val="auto"/>
          <w:sz w:val="24"/>
          <w:highlight w:val="none"/>
        </w:rPr>
      </w:pPr>
      <w:r>
        <w:rPr>
          <w:rFonts w:hint="eastAsia" w:ascii="宋体" w:hAnsi="宋体" w:cs="宋体"/>
          <w:b/>
          <w:color w:val="auto"/>
          <w:sz w:val="24"/>
          <w:highlight w:val="none"/>
          <w:lang w:val="en-US" w:eastAsia="zh-CN"/>
        </w:rPr>
        <w:t>2.本项目为固定价格报价，供应商不得调整报价。</w:t>
      </w:r>
    </w:p>
    <w:p w14:paraId="131111BD">
      <w:pPr>
        <w:widowControl/>
        <w:jc w:val="left"/>
        <w:rPr>
          <w:rFonts w:ascii="宋体" w:hAnsi="宋体" w:cs="宋体"/>
          <w:color w:val="auto"/>
          <w:highlight w:val="none"/>
        </w:rPr>
      </w:pPr>
    </w:p>
    <w:p w14:paraId="3578BFB8">
      <w:pPr>
        <w:pStyle w:val="2"/>
        <w:rPr>
          <w:rFonts w:ascii="宋体" w:hAnsi="宋体" w:cs="宋体"/>
          <w:color w:val="auto"/>
          <w:highlight w:val="none"/>
        </w:rPr>
        <w:sectPr>
          <w:footerReference r:id="rId5" w:type="default"/>
          <w:pgSz w:w="11905" w:h="16838"/>
          <w:pgMar w:top="1429" w:right="1429" w:bottom="1429" w:left="1429" w:header="850" w:footer="992" w:gutter="0"/>
          <w:cols w:space="0" w:num="1"/>
          <w:rtlGutter w:val="0"/>
          <w:docGrid w:linePitch="286" w:charSpace="0"/>
        </w:sectPr>
      </w:pPr>
      <w:r>
        <w:rPr>
          <w:rFonts w:hint="eastAsia" w:ascii="宋体" w:hAnsi="宋体" w:cs="宋体"/>
          <w:color w:val="auto"/>
          <w:highlight w:val="none"/>
        </w:rPr>
        <w:br w:type="page"/>
      </w:r>
    </w:p>
    <w:p w14:paraId="1201EC02">
      <w:pPr>
        <w:snapToGrid w:val="0"/>
        <w:spacing w:line="300" w:lineRule="auto"/>
        <w:contextualSpacing/>
        <w:rPr>
          <w:rFonts w:ascii="宋体" w:hAnsi="宋体" w:cs="宋体"/>
          <w:color w:val="auto"/>
          <w:sz w:val="32"/>
          <w:szCs w:val="32"/>
          <w:highlight w:val="none"/>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2</w:t>
      </w:r>
      <w:r>
        <w:rPr>
          <w:rFonts w:hint="eastAsia" w:ascii="宋体" w:hAnsi="宋体" w:cs="宋体"/>
          <w:color w:val="auto"/>
          <w:sz w:val="32"/>
          <w:szCs w:val="32"/>
          <w:highlight w:val="none"/>
        </w:rPr>
        <w:t>：</w:t>
      </w:r>
    </w:p>
    <w:p w14:paraId="63BF6907">
      <w:pPr>
        <w:snapToGrid w:val="0"/>
        <w:spacing w:line="300" w:lineRule="auto"/>
        <w:outlineLvl w:val="0"/>
        <w:rPr>
          <w:rFonts w:ascii="宋体" w:hAnsi="宋体" w:cs="宋体"/>
          <w:color w:val="auto"/>
          <w:sz w:val="28"/>
          <w:szCs w:val="28"/>
          <w:highlight w:val="none"/>
        </w:rPr>
      </w:pPr>
    </w:p>
    <w:p w14:paraId="2A5432CA">
      <w:pPr>
        <w:spacing w:before="120" w:beforeLines="50" w:after="120" w:afterLines="50" w:line="300" w:lineRule="auto"/>
        <w:jc w:val="center"/>
        <w:outlineLvl w:val="0"/>
        <w:rPr>
          <w:rFonts w:ascii="宋体" w:hAnsi="宋体" w:cs="宋体"/>
          <w:b/>
          <w:bCs/>
          <w:color w:val="auto"/>
          <w:sz w:val="28"/>
          <w:szCs w:val="28"/>
          <w:highlight w:val="none"/>
          <w:lang w:bidi="zh-CN"/>
        </w:rPr>
      </w:pPr>
      <w:r>
        <w:rPr>
          <w:rFonts w:hint="eastAsia" w:ascii="宋体" w:hAnsi="宋体" w:cs="宋体"/>
          <w:b/>
          <w:bCs/>
          <w:color w:val="auto"/>
          <w:sz w:val="28"/>
          <w:szCs w:val="28"/>
          <w:highlight w:val="none"/>
          <w:lang w:bidi="zh-CN"/>
        </w:rPr>
        <w:t>中小企业声明函（工程、服务）</w:t>
      </w:r>
    </w:p>
    <w:p w14:paraId="1C107CEE">
      <w:pPr>
        <w:adjustRightInd w:val="0"/>
        <w:snapToGrid w:val="0"/>
        <w:spacing w:line="360" w:lineRule="auto"/>
        <w:ind w:firstLine="480" w:firstLineChars="200"/>
        <w:outlineLvl w:val="0"/>
        <w:rPr>
          <w:rFonts w:ascii="宋体" w:hAnsi="宋体" w:cs="宋体"/>
          <w:color w:val="auto"/>
          <w:sz w:val="24"/>
          <w:highlight w:val="none"/>
          <w:lang w:bidi="zh-CN"/>
        </w:rPr>
      </w:pPr>
      <w:r>
        <w:rPr>
          <w:rFonts w:hint="eastAsia" w:ascii="宋体" w:hAnsi="宋体" w:cs="宋体"/>
          <w:color w:val="auto"/>
          <w:sz w:val="24"/>
          <w:highlight w:val="none"/>
          <w:lang w:bidi="zh-CN"/>
        </w:rPr>
        <w:t>本公司（联合体）郑重声明，根据《政府采购促进中小企业发展管理办法》（财库﹝2020﹞46 号）的规定，本公司（联合体）参加</w:t>
      </w:r>
      <w:r>
        <w:rPr>
          <w:rFonts w:hint="eastAsia" w:ascii="宋体" w:hAnsi="宋体" w:cs="宋体"/>
          <w:color w:val="auto"/>
          <w:sz w:val="24"/>
          <w:highlight w:val="none"/>
          <w:u w:val="single"/>
          <w:lang w:bidi="zh-CN"/>
        </w:rPr>
        <w:t>（单位名称）</w:t>
      </w:r>
      <w:r>
        <w:rPr>
          <w:rFonts w:hint="eastAsia" w:ascii="宋体" w:hAnsi="宋体" w:cs="宋体"/>
          <w:color w:val="auto"/>
          <w:sz w:val="24"/>
          <w:highlight w:val="none"/>
          <w:lang w:bidi="zh-CN"/>
        </w:rPr>
        <w:t>的</w:t>
      </w:r>
      <w:r>
        <w:rPr>
          <w:rFonts w:hint="eastAsia" w:ascii="宋体" w:hAnsi="宋体" w:cs="宋体"/>
          <w:color w:val="auto"/>
          <w:sz w:val="24"/>
          <w:highlight w:val="none"/>
          <w:u w:val="single"/>
          <w:lang w:bidi="zh-CN"/>
        </w:rPr>
        <w:t>（项目名称）</w:t>
      </w:r>
      <w:r>
        <w:rPr>
          <w:rFonts w:hint="eastAsia" w:ascii="宋体" w:hAnsi="宋体" w:cs="宋体"/>
          <w:color w:val="auto"/>
          <w:sz w:val="24"/>
          <w:highlight w:val="none"/>
          <w:lang w:bidi="zh-CN"/>
        </w:rPr>
        <w:t>采购活动，工程的施工单位全部为符合政策要求的中小企业（或者：服务全部由符合政策要求的中小企业承接）。相关企业（含联合体中的中小企业、签订分包意向协议的中小企业）的具体情况如下：</w:t>
      </w:r>
    </w:p>
    <w:p w14:paraId="277D9451">
      <w:pPr>
        <w:adjustRightInd w:val="0"/>
        <w:snapToGrid w:val="0"/>
        <w:spacing w:line="360" w:lineRule="auto"/>
        <w:outlineLvl w:val="0"/>
        <w:rPr>
          <w:rFonts w:ascii="宋体" w:hAnsi="宋体" w:cs="宋体"/>
          <w:color w:val="auto"/>
          <w:sz w:val="24"/>
          <w:highlight w:val="none"/>
          <w:lang w:bidi="zh-CN"/>
        </w:rPr>
      </w:pPr>
      <w:r>
        <w:rPr>
          <w:rFonts w:hint="eastAsia" w:ascii="宋体" w:hAnsi="宋体" w:cs="宋体"/>
          <w:color w:val="auto"/>
          <w:sz w:val="24"/>
          <w:highlight w:val="none"/>
          <w:lang w:bidi="zh-CN"/>
        </w:rPr>
        <w:t>1.</w:t>
      </w:r>
      <w:r>
        <w:rPr>
          <w:rFonts w:hint="eastAsia" w:ascii="宋体" w:hAnsi="宋体" w:cs="宋体"/>
          <w:color w:val="auto"/>
          <w:sz w:val="24"/>
          <w:highlight w:val="none"/>
          <w:u w:val="single"/>
          <w:lang w:bidi="zh-CN"/>
        </w:rPr>
        <w:t>（标的名称）</w:t>
      </w:r>
      <w:r>
        <w:rPr>
          <w:rFonts w:hint="eastAsia" w:ascii="宋体" w:hAnsi="宋体" w:cs="宋体"/>
          <w:color w:val="auto"/>
          <w:sz w:val="24"/>
          <w:highlight w:val="none"/>
          <w:lang w:bidi="zh-CN"/>
        </w:rPr>
        <w:t>，属于（</w:t>
      </w:r>
      <w:r>
        <w:rPr>
          <w:rFonts w:hint="eastAsia" w:ascii="宋体" w:hAnsi="宋体" w:cs="宋体"/>
          <w:color w:val="auto"/>
          <w:sz w:val="24"/>
          <w:highlight w:val="none"/>
          <w:u w:val="single"/>
          <w:lang w:bidi="zh-CN"/>
        </w:rPr>
        <w:t>所属行业）</w:t>
      </w:r>
      <w:r>
        <w:rPr>
          <w:rFonts w:hint="eastAsia" w:ascii="宋体" w:hAnsi="宋体" w:cs="宋体"/>
          <w:color w:val="auto"/>
          <w:sz w:val="24"/>
          <w:highlight w:val="none"/>
          <w:lang w:bidi="zh-CN"/>
        </w:rPr>
        <w:t>；承建（承接）企业为</w:t>
      </w:r>
      <w:r>
        <w:rPr>
          <w:rFonts w:hint="eastAsia" w:ascii="宋体" w:hAnsi="宋体" w:cs="宋体"/>
          <w:color w:val="auto"/>
          <w:sz w:val="24"/>
          <w:highlight w:val="none"/>
          <w:u w:val="single"/>
          <w:lang w:bidi="zh-CN"/>
        </w:rPr>
        <w:t>（企业名称）</w:t>
      </w:r>
      <w:r>
        <w:rPr>
          <w:rFonts w:hint="eastAsia" w:ascii="宋体" w:hAnsi="宋体" w:cs="宋体"/>
          <w:color w:val="auto"/>
          <w:sz w:val="24"/>
          <w:highlight w:val="none"/>
          <w:lang w:bidi="zh-CN"/>
        </w:rPr>
        <w:t>，从业人员</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人，营业收入为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万元，资产总额为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万元，属于</w:t>
      </w:r>
      <w:r>
        <w:rPr>
          <w:rFonts w:hint="eastAsia" w:ascii="宋体" w:hAnsi="宋体" w:cs="宋体"/>
          <w:color w:val="auto"/>
          <w:sz w:val="24"/>
          <w:highlight w:val="none"/>
          <w:u w:val="single"/>
          <w:lang w:bidi="zh-CN"/>
        </w:rPr>
        <w:t>（中型企业、小型企业、微型企业）</w:t>
      </w:r>
      <w:r>
        <w:rPr>
          <w:rFonts w:hint="eastAsia" w:ascii="宋体" w:hAnsi="宋体" w:cs="宋体"/>
          <w:color w:val="auto"/>
          <w:sz w:val="24"/>
          <w:highlight w:val="none"/>
          <w:lang w:bidi="zh-CN"/>
        </w:rPr>
        <w:t>；</w:t>
      </w:r>
    </w:p>
    <w:p w14:paraId="6CADB74F">
      <w:pPr>
        <w:adjustRightInd w:val="0"/>
        <w:snapToGrid w:val="0"/>
        <w:spacing w:line="360" w:lineRule="auto"/>
        <w:outlineLvl w:val="0"/>
        <w:rPr>
          <w:rFonts w:ascii="宋体" w:hAnsi="宋体" w:cs="宋体"/>
          <w:color w:val="auto"/>
          <w:sz w:val="24"/>
          <w:highlight w:val="none"/>
          <w:lang w:bidi="zh-CN"/>
        </w:rPr>
      </w:pPr>
      <w:r>
        <w:rPr>
          <w:rFonts w:hint="eastAsia" w:ascii="宋体" w:hAnsi="宋体" w:cs="宋体"/>
          <w:color w:val="auto"/>
          <w:sz w:val="24"/>
          <w:highlight w:val="none"/>
          <w:lang w:bidi="zh-CN"/>
        </w:rPr>
        <w:t>2.</w:t>
      </w:r>
      <w:r>
        <w:rPr>
          <w:rFonts w:hint="eastAsia" w:ascii="宋体" w:hAnsi="宋体" w:cs="宋体"/>
          <w:color w:val="auto"/>
          <w:sz w:val="24"/>
          <w:highlight w:val="none"/>
          <w:u w:val="single"/>
          <w:lang w:bidi="zh-CN"/>
        </w:rPr>
        <w:t>（标的名称）</w:t>
      </w:r>
      <w:r>
        <w:rPr>
          <w:rFonts w:hint="eastAsia" w:ascii="宋体" w:hAnsi="宋体" w:cs="宋体"/>
          <w:color w:val="auto"/>
          <w:sz w:val="24"/>
          <w:highlight w:val="none"/>
          <w:lang w:bidi="zh-CN"/>
        </w:rPr>
        <w:t>，属于（</w:t>
      </w:r>
      <w:r>
        <w:rPr>
          <w:rFonts w:hint="eastAsia" w:ascii="宋体" w:hAnsi="宋体" w:cs="宋体"/>
          <w:color w:val="auto"/>
          <w:sz w:val="24"/>
          <w:highlight w:val="none"/>
          <w:u w:val="single"/>
          <w:lang w:bidi="zh-CN"/>
        </w:rPr>
        <w:t>所属行业）</w:t>
      </w:r>
      <w:r>
        <w:rPr>
          <w:rFonts w:hint="eastAsia" w:ascii="宋体" w:hAnsi="宋体" w:cs="宋体"/>
          <w:color w:val="auto"/>
          <w:sz w:val="24"/>
          <w:highlight w:val="none"/>
          <w:lang w:bidi="zh-CN"/>
        </w:rPr>
        <w:t>；承建（承接）企业为</w:t>
      </w:r>
      <w:r>
        <w:rPr>
          <w:rFonts w:hint="eastAsia" w:ascii="宋体" w:hAnsi="宋体" w:cs="宋体"/>
          <w:color w:val="auto"/>
          <w:sz w:val="24"/>
          <w:highlight w:val="none"/>
          <w:u w:val="single"/>
          <w:lang w:bidi="zh-CN"/>
        </w:rPr>
        <w:t>（企业名称）</w:t>
      </w:r>
      <w:r>
        <w:rPr>
          <w:rFonts w:hint="eastAsia" w:ascii="宋体" w:hAnsi="宋体" w:cs="宋体"/>
          <w:color w:val="auto"/>
          <w:sz w:val="24"/>
          <w:highlight w:val="none"/>
          <w:lang w:bidi="zh-CN"/>
        </w:rPr>
        <w:t>，从业人员</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人，营业收入为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万元，资产总额为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万元，属于</w:t>
      </w:r>
      <w:r>
        <w:rPr>
          <w:rFonts w:hint="eastAsia" w:ascii="宋体" w:hAnsi="宋体" w:cs="宋体"/>
          <w:color w:val="auto"/>
          <w:sz w:val="24"/>
          <w:highlight w:val="none"/>
          <w:u w:val="single"/>
          <w:lang w:bidi="zh-CN"/>
        </w:rPr>
        <w:t>（中型企业、小型企业、微型企业）</w:t>
      </w:r>
      <w:r>
        <w:rPr>
          <w:rFonts w:hint="eastAsia" w:ascii="宋体" w:hAnsi="宋体" w:cs="宋体"/>
          <w:color w:val="auto"/>
          <w:sz w:val="24"/>
          <w:highlight w:val="none"/>
          <w:lang w:bidi="zh-CN"/>
        </w:rPr>
        <w:t>；</w:t>
      </w:r>
    </w:p>
    <w:p w14:paraId="46F3180B">
      <w:pPr>
        <w:adjustRightInd w:val="0"/>
        <w:snapToGrid w:val="0"/>
        <w:spacing w:line="360" w:lineRule="auto"/>
        <w:outlineLvl w:val="0"/>
        <w:rPr>
          <w:rFonts w:ascii="宋体" w:hAnsi="宋体" w:cs="宋体"/>
          <w:color w:val="auto"/>
          <w:sz w:val="24"/>
          <w:highlight w:val="none"/>
          <w:lang w:bidi="zh-CN"/>
        </w:rPr>
      </w:pPr>
      <w:r>
        <w:rPr>
          <w:rFonts w:hint="eastAsia" w:ascii="宋体" w:hAnsi="宋体" w:cs="宋体"/>
          <w:color w:val="auto"/>
          <w:sz w:val="24"/>
          <w:highlight w:val="none"/>
          <w:lang w:bidi="zh-CN"/>
        </w:rPr>
        <w:t>……</w:t>
      </w:r>
    </w:p>
    <w:p w14:paraId="6DADE60E">
      <w:pPr>
        <w:adjustRightInd w:val="0"/>
        <w:snapToGrid w:val="0"/>
        <w:spacing w:line="360" w:lineRule="auto"/>
        <w:ind w:firstLine="480" w:firstLineChars="200"/>
        <w:outlineLvl w:val="0"/>
        <w:rPr>
          <w:rFonts w:ascii="宋体" w:hAnsi="宋体" w:cs="宋体"/>
          <w:color w:val="auto"/>
          <w:sz w:val="24"/>
          <w:highlight w:val="none"/>
          <w:lang w:bidi="zh-CN"/>
        </w:rPr>
      </w:pPr>
      <w:r>
        <w:rPr>
          <w:rFonts w:hint="eastAsia" w:ascii="宋体" w:hAnsi="宋体" w:cs="宋体"/>
          <w:color w:val="auto"/>
          <w:sz w:val="24"/>
          <w:highlight w:val="none"/>
          <w:lang w:bidi="zh-CN"/>
        </w:rPr>
        <w:t>以上企业，不属于大企业的分支机构，不存在控股股东为大企业的情形，也不存在与大企业的负责人为同一人的情形。</w:t>
      </w:r>
    </w:p>
    <w:p w14:paraId="2C6A5743">
      <w:pPr>
        <w:adjustRightInd w:val="0"/>
        <w:snapToGrid w:val="0"/>
        <w:spacing w:line="360" w:lineRule="auto"/>
        <w:ind w:firstLine="480" w:firstLineChars="200"/>
        <w:outlineLvl w:val="0"/>
        <w:rPr>
          <w:rFonts w:ascii="宋体" w:hAnsi="宋体" w:cs="宋体"/>
          <w:color w:val="auto"/>
          <w:sz w:val="24"/>
          <w:highlight w:val="none"/>
          <w:lang w:bidi="zh-CN"/>
        </w:rPr>
      </w:pPr>
      <w:r>
        <w:rPr>
          <w:rFonts w:hint="eastAsia" w:ascii="宋体" w:hAnsi="宋体" w:cs="宋体"/>
          <w:color w:val="auto"/>
          <w:sz w:val="24"/>
          <w:highlight w:val="none"/>
          <w:lang w:bidi="zh-CN"/>
        </w:rPr>
        <w:t>本企业对上述声明内容的真实性负责。如有虚假，将依法承担相应责任。</w:t>
      </w:r>
    </w:p>
    <w:p w14:paraId="612EF85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（备注：1、供应商如不提供此声明函，价格将不做相应扣除。</w:t>
      </w:r>
    </w:p>
    <w:p w14:paraId="3C576812">
      <w:pPr>
        <w:adjustRightInd w:val="0"/>
        <w:snapToGrid w:val="0"/>
        <w:spacing w:line="360" w:lineRule="auto"/>
        <w:ind w:firstLine="960" w:firstLineChars="400"/>
        <w:rPr>
          <w:rFonts w:ascii="宋体" w:hAnsi="宋体" w:cs="宋体"/>
          <w:color w:val="auto"/>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中标或成交供应商为小型、微型单位的，此声明函将随中标或成交结果同时公告，接受社会监督。）</w:t>
      </w:r>
    </w:p>
    <w:p w14:paraId="172C013D">
      <w:pPr>
        <w:adjustRightInd w:val="0"/>
        <w:snapToGrid w:val="0"/>
        <w:spacing w:line="360" w:lineRule="auto"/>
        <w:outlineLvl w:val="0"/>
        <w:rPr>
          <w:rFonts w:ascii="宋体" w:hAnsi="宋体" w:cs="宋体"/>
          <w:color w:val="auto"/>
          <w:sz w:val="24"/>
          <w:highlight w:val="none"/>
          <w:lang w:bidi="zh-CN"/>
        </w:rPr>
      </w:pPr>
    </w:p>
    <w:p w14:paraId="20D1643E">
      <w:pPr>
        <w:adjustRightInd w:val="0"/>
        <w:snapToGrid w:val="0"/>
        <w:spacing w:line="360" w:lineRule="auto"/>
        <w:outlineLvl w:val="0"/>
        <w:rPr>
          <w:rFonts w:ascii="宋体" w:hAnsi="宋体" w:cs="宋体"/>
          <w:color w:val="auto"/>
          <w:sz w:val="24"/>
          <w:highlight w:val="none"/>
          <w:lang w:bidi="zh-CN"/>
        </w:rPr>
      </w:pPr>
    </w:p>
    <w:p w14:paraId="3E33CC95">
      <w:pPr>
        <w:adjustRightInd w:val="0"/>
        <w:snapToGrid w:val="0"/>
        <w:spacing w:line="360" w:lineRule="auto"/>
        <w:ind w:firstLine="4200" w:firstLineChars="1750"/>
        <w:outlineLvl w:val="0"/>
        <w:rPr>
          <w:rFonts w:ascii="宋体" w:hAnsi="宋体" w:cs="宋体"/>
          <w:color w:val="auto"/>
          <w:sz w:val="24"/>
          <w:highlight w:val="none"/>
          <w:lang w:bidi="zh-CN"/>
        </w:rPr>
      </w:pPr>
      <w:r>
        <w:rPr>
          <w:rFonts w:hint="eastAsia" w:ascii="宋体" w:hAnsi="宋体" w:cs="宋体"/>
          <w:color w:val="auto"/>
          <w:sz w:val="24"/>
          <w:highlight w:val="none"/>
          <w:lang w:bidi="zh-CN"/>
        </w:rPr>
        <w:t>企业名称（盖章）：</w:t>
      </w:r>
    </w:p>
    <w:p w14:paraId="5F2D6BC5">
      <w:pPr>
        <w:spacing w:line="300" w:lineRule="auto"/>
        <w:ind w:firstLine="4200" w:firstLineChars="1750"/>
        <w:outlineLvl w:val="0"/>
        <w:rPr>
          <w:rFonts w:ascii="宋体" w:hAnsi="宋体" w:cs="宋体"/>
          <w:color w:val="auto"/>
          <w:sz w:val="24"/>
          <w:highlight w:val="none"/>
          <w:lang w:bidi="zh-CN"/>
        </w:rPr>
      </w:pPr>
      <w:r>
        <w:rPr>
          <w:rFonts w:hint="eastAsia" w:ascii="宋体" w:hAnsi="宋体" w:cs="宋体"/>
          <w:color w:val="auto"/>
          <w:sz w:val="24"/>
          <w:highlight w:val="none"/>
          <w:lang w:bidi="zh-CN"/>
        </w:rPr>
        <w:t>日期：</w:t>
      </w:r>
    </w:p>
    <w:p w14:paraId="73BEE34D">
      <w:pPr>
        <w:spacing w:line="560" w:lineRule="exact"/>
        <w:ind w:firstLine="240" w:firstLineChars="100"/>
        <w:rPr>
          <w:rFonts w:ascii="宋体" w:hAnsi="宋体" w:cs="宋体"/>
          <w:color w:val="auto"/>
          <w:sz w:val="24"/>
          <w:highlight w:val="none"/>
        </w:rPr>
      </w:pPr>
    </w:p>
    <w:p w14:paraId="59C31B37">
      <w:pPr>
        <w:spacing w:line="300" w:lineRule="auto"/>
        <w:contextualSpacing/>
        <w:rPr>
          <w:rFonts w:ascii="宋体" w:hAnsi="宋体" w:cs="宋体"/>
          <w:color w:val="auto"/>
          <w:sz w:val="24"/>
          <w:highlight w:val="none"/>
        </w:rPr>
      </w:pPr>
    </w:p>
    <w:p w14:paraId="6546B325">
      <w:pPr>
        <w:spacing w:line="6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残疾人福利性单位声明函</w:t>
      </w:r>
    </w:p>
    <w:p w14:paraId="52108F07">
      <w:pPr>
        <w:spacing w:line="588"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9F12619">
      <w:pPr>
        <w:spacing w:line="588"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E03B3F8">
      <w:pPr>
        <w:spacing w:line="588"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（备注：1、供应商如不提供此声明函，价格将不做相应扣除。</w:t>
      </w:r>
    </w:p>
    <w:p w14:paraId="41D733C3">
      <w:pPr>
        <w:spacing w:line="588" w:lineRule="exact"/>
        <w:ind w:firstLine="1440" w:firstLineChars="6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中标或成交供应商为残疾人福利单位的，此声明函将随中标或成交结果同时公告，接受社会监督）</w:t>
      </w:r>
    </w:p>
    <w:p w14:paraId="3A0DC3F5">
      <w:pPr>
        <w:spacing w:line="588" w:lineRule="exact"/>
        <w:ind w:firstLine="480" w:firstLineChars="200"/>
        <w:rPr>
          <w:rFonts w:ascii="宋体" w:hAnsi="宋体" w:cs="宋体"/>
          <w:color w:val="auto"/>
          <w:sz w:val="24"/>
          <w:highlight w:val="none"/>
        </w:rPr>
      </w:pPr>
    </w:p>
    <w:p w14:paraId="401C1E8E">
      <w:pPr>
        <w:tabs>
          <w:tab w:val="left" w:pos="4860"/>
        </w:tabs>
        <w:spacing w:line="588" w:lineRule="exact"/>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供应商全称（盖章）：</w:t>
      </w:r>
    </w:p>
    <w:p w14:paraId="404890E8">
      <w:pPr>
        <w:tabs>
          <w:tab w:val="left" w:pos="4860"/>
        </w:tabs>
        <w:spacing w:line="588" w:lineRule="exact"/>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2F907B92">
      <w:pPr>
        <w:spacing w:line="420" w:lineRule="exact"/>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监狱和戒毒企业证明材料</w:t>
      </w:r>
    </w:p>
    <w:p w14:paraId="35823D06">
      <w:pPr>
        <w:spacing w:line="420" w:lineRule="exact"/>
        <w:ind w:firstLine="495" w:firstLineChars="177"/>
        <w:rPr>
          <w:rFonts w:ascii="宋体" w:hAnsi="宋体" w:cs="宋体"/>
          <w:color w:val="auto"/>
          <w:sz w:val="28"/>
          <w:szCs w:val="28"/>
          <w:highlight w:val="none"/>
        </w:rPr>
      </w:pPr>
    </w:p>
    <w:p w14:paraId="36E28C5C">
      <w:pPr>
        <w:spacing w:line="420" w:lineRule="exact"/>
        <w:ind w:firstLine="426" w:firstLineChars="177"/>
        <w:jc w:val="center"/>
        <w:rPr>
          <w:rFonts w:ascii="宋体" w:hAnsi="宋体" w:cs="宋体"/>
          <w:b/>
          <w:color w:val="auto"/>
          <w:sz w:val="24"/>
          <w:highlight w:val="none"/>
        </w:rPr>
      </w:pPr>
      <w:r>
        <w:rPr>
          <w:rFonts w:hint="eastAsia" w:ascii="宋体" w:hAnsi="宋体" w:cs="宋体"/>
          <w:b/>
          <w:color w:val="auto"/>
          <w:sz w:val="24"/>
          <w:highlight w:val="none"/>
        </w:rPr>
        <w:t>（格式自拟）</w:t>
      </w:r>
    </w:p>
    <w:p w14:paraId="7C04F26F">
      <w:pPr>
        <w:spacing w:line="420" w:lineRule="exact"/>
        <w:ind w:firstLine="424" w:firstLineChars="177"/>
        <w:rPr>
          <w:rFonts w:ascii="宋体" w:hAnsi="宋体" w:cs="宋体"/>
          <w:color w:val="auto"/>
          <w:sz w:val="24"/>
          <w:highlight w:val="none"/>
        </w:rPr>
      </w:pPr>
    </w:p>
    <w:p w14:paraId="5F9E66F0">
      <w:pPr>
        <w:spacing w:line="420" w:lineRule="exact"/>
        <w:ind w:firstLine="566" w:firstLineChars="236"/>
        <w:rPr>
          <w:rFonts w:ascii="宋体" w:hAnsi="宋体" w:cs="宋体"/>
          <w:color w:val="auto"/>
          <w:sz w:val="24"/>
          <w:highlight w:val="none"/>
        </w:rPr>
      </w:pPr>
      <w:r>
        <w:rPr>
          <w:rFonts w:hint="eastAsia" w:ascii="宋体" w:hAnsi="宋体" w:cs="宋体"/>
          <w:color w:val="auto"/>
          <w:sz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806BAFC">
      <w:pPr>
        <w:spacing w:line="300" w:lineRule="auto"/>
        <w:contextualSpacing/>
        <w:rPr>
          <w:rFonts w:ascii="宋体" w:hAnsi="宋体" w:cs="宋体"/>
          <w:b/>
          <w:bCs/>
          <w:color w:val="auto"/>
          <w:sz w:val="24"/>
          <w:highlight w:val="none"/>
        </w:rPr>
      </w:pPr>
    </w:p>
    <w:p w14:paraId="2A2076A6">
      <w:pPr>
        <w:kinsoku w:val="0"/>
        <w:topLinePunct/>
        <w:spacing w:line="420" w:lineRule="exact"/>
        <w:jc w:val="center"/>
        <w:rPr>
          <w:rFonts w:ascii="宋体" w:hAnsi="宋体" w:cs="宋体"/>
          <w:color w:val="auto"/>
          <w:sz w:val="24"/>
          <w:highlight w:val="none"/>
        </w:rPr>
      </w:pPr>
    </w:p>
    <w:p w14:paraId="1F448FDF">
      <w:pPr>
        <w:adjustRightInd w:val="0"/>
        <w:snapToGrid w:val="0"/>
        <w:spacing w:line="360" w:lineRule="auto"/>
        <w:jc w:val="left"/>
        <w:rPr>
          <w:rFonts w:ascii="宋体" w:hAnsi="宋体" w:cs="宋体"/>
          <w:color w:val="auto"/>
          <w:sz w:val="24"/>
          <w:highlight w:val="none"/>
        </w:rPr>
      </w:pPr>
    </w:p>
    <w:p w14:paraId="56B0C308">
      <w:pPr>
        <w:rPr>
          <w:rFonts w:ascii="宋体" w:hAnsi="宋体" w:cs="宋体"/>
          <w:b/>
          <w:bCs/>
          <w:color w:val="auto"/>
          <w:sz w:val="24"/>
          <w:highlight w:val="none"/>
        </w:rPr>
      </w:pPr>
    </w:p>
    <w:sectPr>
      <w:pgSz w:w="11905" w:h="16838"/>
      <w:pgMar w:top="1429" w:right="1429" w:bottom="1429" w:left="1429" w:header="850" w:footer="992" w:gutter="0"/>
      <w:cols w:space="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0264F">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369"/>
                          </w:sdtPr>
                          <w:sdtContent>
                            <w:p w14:paraId="5DFAD13B">
                              <w:pPr>
                                <w:pStyle w:val="14"/>
                                <w:jc w:val="center"/>
                              </w:pPr>
                              <w:r>
                                <w:fldChar w:fldCharType="begin"/>
                              </w:r>
                              <w:r>
                                <w:instrText xml:space="preserve">PAGE   \* MERGEFORMAT</w:instrText>
                              </w:r>
                              <w:r>
                                <w:fldChar w:fldCharType="separate"/>
                              </w:r>
                              <w:r>
                                <w:rPr>
                                  <w:lang w:val="zh-CN"/>
                                </w:rPr>
                                <w:t>3</w:t>
                              </w:r>
                              <w:r>
                                <w:rPr>
                                  <w:lang w:val="zh-CN"/>
                                </w:rPr>
                                <w:fldChar w:fldCharType="end"/>
                              </w:r>
                            </w:p>
                          </w:sdtContent>
                        </w:sdt>
                        <w:p w14:paraId="3BAE3A11">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78369"/>
                    </w:sdtPr>
                    <w:sdtContent>
                      <w:p w14:paraId="5DFAD13B">
                        <w:pPr>
                          <w:pStyle w:val="14"/>
                          <w:jc w:val="center"/>
                        </w:pPr>
                        <w:r>
                          <w:fldChar w:fldCharType="begin"/>
                        </w:r>
                        <w:r>
                          <w:instrText xml:space="preserve">PAGE   \* MERGEFORMAT</w:instrText>
                        </w:r>
                        <w:r>
                          <w:fldChar w:fldCharType="separate"/>
                        </w:r>
                        <w:r>
                          <w:rPr>
                            <w:lang w:val="zh-CN"/>
                          </w:rPr>
                          <w:t>3</w:t>
                        </w:r>
                        <w:r>
                          <w:rPr>
                            <w:lang w:val="zh-CN"/>
                          </w:rPr>
                          <w:fldChar w:fldCharType="end"/>
                        </w:r>
                      </w:p>
                    </w:sdtContent>
                  </w:sdt>
                  <w:p w14:paraId="3BAE3A11">
                    <w:pPr>
                      <w:pStyle w:val="9"/>
                    </w:pPr>
                  </w:p>
                </w:txbxContent>
              </v:textbox>
            </v:shape>
          </w:pict>
        </mc:Fallback>
      </mc:AlternateContent>
    </w:r>
  </w:p>
  <w:p w14:paraId="0C27AA4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B1D4">
    <w:pPr>
      <w:pStyle w:val="60"/>
      <w:jc w:val="center"/>
      <w:rPr>
        <w:b/>
        <w:i/>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A846D">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BA846D">
                    <w:pPr>
                      <w:pStyle w:val="14"/>
                    </w:pPr>
                    <w:r>
                      <w:fldChar w:fldCharType="begin"/>
                    </w:r>
                    <w:r>
                      <w:instrText xml:space="preserve"> PAGE  \* MERGEFORMAT </w:instrText>
                    </w:r>
                    <w:r>
                      <w:fldChar w:fldCharType="separate"/>
                    </w:r>
                    <w:r>
                      <w:t>20</w:t>
                    </w:r>
                    <w:r>
                      <w:fldChar w:fldCharType="end"/>
                    </w:r>
                  </w:p>
                </w:txbxContent>
              </v:textbox>
            </v:shape>
          </w:pict>
        </mc:Fallback>
      </mc:AlternateContent>
    </w:r>
    <w:r>
      <w:rPr>
        <w:b/>
        <w: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903E4">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041"/>
                          </w:sdtPr>
                          <w:sdtContent>
                            <w:p w14:paraId="3FE07AA6">
                              <w:pPr>
                                <w:pStyle w:val="14"/>
                                <w:jc w:val="center"/>
                              </w:pPr>
                              <w:r>
                                <w:fldChar w:fldCharType="begin"/>
                              </w:r>
                              <w:r>
                                <w:instrText xml:space="preserve">PAGE   \* MERGEFORMAT</w:instrText>
                              </w:r>
                              <w:r>
                                <w:fldChar w:fldCharType="separate"/>
                              </w:r>
                              <w:r>
                                <w:rPr>
                                  <w:lang w:val="zh-CN"/>
                                </w:rPr>
                                <w:t>66</w:t>
                              </w:r>
                              <w:r>
                                <w:rPr>
                                  <w:lang w:val="zh-CN"/>
                                </w:rPr>
                                <w:fldChar w:fldCharType="end"/>
                              </w:r>
                            </w:p>
                          </w:sdtContent>
                        </w:sdt>
                        <w:p w14:paraId="00080F74">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76041"/>
                    </w:sdtPr>
                    <w:sdtContent>
                      <w:p w14:paraId="3FE07AA6">
                        <w:pPr>
                          <w:pStyle w:val="14"/>
                          <w:jc w:val="center"/>
                        </w:pPr>
                        <w:r>
                          <w:fldChar w:fldCharType="begin"/>
                        </w:r>
                        <w:r>
                          <w:instrText xml:space="preserve">PAGE   \* MERGEFORMAT</w:instrText>
                        </w:r>
                        <w:r>
                          <w:fldChar w:fldCharType="separate"/>
                        </w:r>
                        <w:r>
                          <w:rPr>
                            <w:lang w:val="zh-CN"/>
                          </w:rPr>
                          <w:t>66</w:t>
                        </w:r>
                        <w:r>
                          <w:rPr>
                            <w:lang w:val="zh-CN"/>
                          </w:rPr>
                          <w:fldChar w:fldCharType="end"/>
                        </w:r>
                      </w:p>
                    </w:sdtContent>
                  </w:sdt>
                  <w:p w14:paraId="00080F74">
                    <w:pPr>
                      <w:pStyle w:val="9"/>
                    </w:pPr>
                  </w:p>
                </w:txbxContent>
              </v:textbox>
            </v:shape>
          </w:pict>
        </mc:Fallback>
      </mc:AlternateContent>
    </w:r>
  </w:p>
  <w:p w14:paraId="49EC431A">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EA4D4"/>
    <w:multiLevelType w:val="singleLevel"/>
    <w:tmpl w:val="160EA4D4"/>
    <w:lvl w:ilvl="0" w:tentative="0">
      <w:start w:val="8"/>
      <w:numFmt w:val="chineseCounting"/>
      <w:suff w:val="nothing"/>
      <w:lvlText w:val="%1、"/>
      <w:lvlJc w:val="left"/>
      <w:rPr>
        <w:rFonts w:hint="eastAsia"/>
      </w:rPr>
    </w:lvl>
  </w:abstractNum>
  <w:abstractNum w:abstractNumId="1">
    <w:nsid w:val="2472CD72"/>
    <w:multiLevelType w:val="singleLevel"/>
    <w:tmpl w:val="2472CD72"/>
    <w:lvl w:ilvl="0" w:tentative="0">
      <w:start w:val="1"/>
      <w:numFmt w:val="decimal"/>
      <w:lvlText w:val="%1."/>
      <w:lvlJc w:val="left"/>
      <w:pPr>
        <w:ind w:left="851" w:hanging="425"/>
      </w:pPr>
      <w:rPr>
        <w:rFonts w:hint="default" w:cs="Times New Roman"/>
      </w:rPr>
    </w:lvl>
  </w:abstractNum>
  <w:abstractNum w:abstractNumId="2">
    <w:nsid w:val="7C30D000"/>
    <w:multiLevelType w:val="singleLevel"/>
    <w:tmpl w:val="7C30D000"/>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NTFmN2NlZTk0MGQ1OTkxM2M1ZDNhNDkyN2Q1NDcifQ=="/>
    <w:docVar w:name="KSO_WPS_MARK_KEY" w:val="b0289b24-6483-461c-b282-0aac915c9090"/>
  </w:docVars>
  <w:rsids>
    <w:rsidRoot w:val="004E6A01"/>
    <w:rsid w:val="000013E2"/>
    <w:rsid w:val="00004814"/>
    <w:rsid w:val="00004F3A"/>
    <w:rsid w:val="000059C0"/>
    <w:rsid w:val="00007897"/>
    <w:rsid w:val="0002042E"/>
    <w:rsid w:val="00021F9F"/>
    <w:rsid w:val="000251AD"/>
    <w:rsid w:val="000251B3"/>
    <w:rsid w:val="000275F4"/>
    <w:rsid w:val="00033299"/>
    <w:rsid w:val="00035CD1"/>
    <w:rsid w:val="000362E9"/>
    <w:rsid w:val="00037EF2"/>
    <w:rsid w:val="000451EC"/>
    <w:rsid w:val="000451F8"/>
    <w:rsid w:val="0004657F"/>
    <w:rsid w:val="000520D9"/>
    <w:rsid w:val="00057671"/>
    <w:rsid w:val="000713C9"/>
    <w:rsid w:val="00072281"/>
    <w:rsid w:val="00072F28"/>
    <w:rsid w:val="00072F70"/>
    <w:rsid w:val="00076F8C"/>
    <w:rsid w:val="000802EA"/>
    <w:rsid w:val="0008732D"/>
    <w:rsid w:val="00091AD9"/>
    <w:rsid w:val="00095D50"/>
    <w:rsid w:val="000A423C"/>
    <w:rsid w:val="000B3772"/>
    <w:rsid w:val="000F0B73"/>
    <w:rsid w:val="000F3FC3"/>
    <w:rsid w:val="00102152"/>
    <w:rsid w:val="00105CE8"/>
    <w:rsid w:val="001116CB"/>
    <w:rsid w:val="00115F3B"/>
    <w:rsid w:val="00122A27"/>
    <w:rsid w:val="001246E8"/>
    <w:rsid w:val="00126723"/>
    <w:rsid w:val="00126FEF"/>
    <w:rsid w:val="00130D3A"/>
    <w:rsid w:val="00131C02"/>
    <w:rsid w:val="00137126"/>
    <w:rsid w:val="001376C9"/>
    <w:rsid w:val="001414F9"/>
    <w:rsid w:val="00147540"/>
    <w:rsid w:val="00151467"/>
    <w:rsid w:val="00157B7C"/>
    <w:rsid w:val="00170721"/>
    <w:rsid w:val="00173FAB"/>
    <w:rsid w:val="00177979"/>
    <w:rsid w:val="00187179"/>
    <w:rsid w:val="00193017"/>
    <w:rsid w:val="0019491F"/>
    <w:rsid w:val="001A6574"/>
    <w:rsid w:val="001A6D4B"/>
    <w:rsid w:val="001B5DC9"/>
    <w:rsid w:val="001C13AE"/>
    <w:rsid w:val="001C1DCE"/>
    <w:rsid w:val="001C3262"/>
    <w:rsid w:val="001C51EF"/>
    <w:rsid w:val="001C77B5"/>
    <w:rsid w:val="001D64B1"/>
    <w:rsid w:val="001D741F"/>
    <w:rsid w:val="001E071B"/>
    <w:rsid w:val="001E2B68"/>
    <w:rsid w:val="001E6DD3"/>
    <w:rsid w:val="001F036F"/>
    <w:rsid w:val="001F6F5C"/>
    <w:rsid w:val="00200979"/>
    <w:rsid w:val="00201938"/>
    <w:rsid w:val="002063F7"/>
    <w:rsid w:val="00213A61"/>
    <w:rsid w:val="00221D3C"/>
    <w:rsid w:val="00226261"/>
    <w:rsid w:val="00230635"/>
    <w:rsid w:val="002401BF"/>
    <w:rsid w:val="00244B5D"/>
    <w:rsid w:val="0024628A"/>
    <w:rsid w:val="00246366"/>
    <w:rsid w:val="00246E02"/>
    <w:rsid w:val="0025515D"/>
    <w:rsid w:val="002567A9"/>
    <w:rsid w:val="00257115"/>
    <w:rsid w:val="002703F4"/>
    <w:rsid w:val="00283D52"/>
    <w:rsid w:val="00296C3A"/>
    <w:rsid w:val="00297093"/>
    <w:rsid w:val="002A1591"/>
    <w:rsid w:val="002A1AE3"/>
    <w:rsid w:val="002A2058"/>
    <w:rsid w:val="002B339B"/>
    <w:rsid w:val="002C31BD"/>
    <w:rsid w:val="002C51C5"/>
    <w:rsid w:val="002C72B9"/>
    <w:rsid w:val="002D1B82"/>
    <w:rsid w:val="002D351F"/>
    <w:rsid w:val="002D3954"/>
    <w:rsid w:val="002D7740"/>
    <w:rsid w:val="002F07A0"/>
    <w:rsid w:val="002F492E"/>
    <w:rsid w:val="002F6837"/>
    <w:rsid w:val="00313736"/>
    <w:rsid w:val="00323EA0"/>
    <w:rsid w:val="0033190C"/>
    <w:rsid w:val="0033279E"/>
    <w:rsid w:val="00333502"/>
    <w:rsid w:val="0034337F"/>
    <w:rsid w:val="003437AF"/>
    <w:rsid w:val="00343952"/>
    <w:rsid w:val="003449B5"/>
    <w:rsid w:val="00345F37"/>
    <w:rsid w:val="003552F3"/>
    <w:rsid w:val="00361633"/>
    <w:rsid w:val="00365957"/>
    <w:rsid w:val="00367C8A"/>
    <w:rsid w:val="0037423D"/>
    <w:rsid w:val="00374855"/>
    <w:rsid w:val="003779F2"/>
    <w:rsid w:val="00383624"/>
    <w:rsid w:val="00384813"/>
    <w:rsid w:val="00385790"/>
    <w:rsid w:val="003865A4"/>
    <w:rsid w:val="003869DB"/>
    <w:rsid w:val="00386E22"/>
    <w:rsid w:val="00393094"/>
    <w:rsid w:val="003947AA"/>
    <w:rsid w:val="00396B48"/>
    <w:rsid w:val="003A0035"/>
    <w:rsid w:val="003A7D38"/>
    <w:rsid w:val="003B2F06"/>
    <w:rsid w:val="003B5AA3"/>
    <w:rsid w:val="003B7FBB"/>
    <w:rsid w:val="003C2A41"/>
    <w:rsid w:val="003C6BD4"/>
    <w:rsid w:val="003D2A3D"/>
    <w:rsid w:val="003E170B"/>
    <w:rsid w:val="003E1F92"/>
    <w:rsid w:val="003E46C9"/>
    <w:rsid w:val="003E5033"/>
    <w:rsid w:val="003E5F8F"/>
    <w:rsid w:val="003E727E"/>
    <w:rsid w:val="003F41E2"/>
    <w:rsid w:val="003F4952"/>
    <w:rsid w:val="003F4EE6"/>
    <w:rsid w:val="004055DC"/>
    <w:rsid w:val="0041349D"/>
    <w:rsid w:val="004212D6"/>
    <w:rsid w:val="00421A34"/>
    <w:rsid w:val="00433757"/>
    <w:rsid w:val="00441C87"/>
    <w:rsid w:val="00443D65"/>
    <w:rsid w:val="004444F9"/>
    <w:rsid w:val="0044468D"/>
    <w:rsid w:val="00455FE9"/>
    <w:rsid w:val="004572BC"/>
    <w:rsid w:val="004633D9"/>
    <w:rsid w:val="00472C32"/>
    <w:rsid w:val="0047530F"/>
    <w:rsid w:val="004822C9"/>
    <w:rsid w:val="00490034"/>
    <w:rsid w:val="00490C60"/>
    <w:rsid w:val="00493EC7"/>
    <w:rsid w:val="00495630"/>
    <w:rsid w:val="004A2FCB"/>
    <w:rsid w:val="004A30E5"/>
    <w:rsid w:val="004A4849"/>
    <w:rsid w:val="004A640F"/>
    <w:rsid w:val="004B2F8E"/>
    <w:rsid w:val="004B64BB"/>
    <w:rsid w:val="004C082D"/>
    <w:rsid w:val="004D3837"/>
    <w:rsid w:val="004D3D61"/>
    <w:rsid w:val="004D65F2"/>
    <w:rsid w:val="004D7F0F"/>
    <w:rsid w:val="004E6A01"/>
    <w:rsid w:val="004E736C"/>
    <w:rsid w:val="004F3D25"/>
    <w:rsid w:val="004F7946"/>
    <w:rsid w:val="00505E24"/>
    <w:rsid w:val="00506000"/>
    <w:rsid w:val="00507573"/>
    <w:rsid w:val="005100C6"/>
    <w:rsid w:val="00510BE0"/>
    <w:rsid w:val="005305DD"/>
    <w:rsid w:val="00533E3C"/>
    <w:rsid w:val="00534EC7"/>
    <w:rsid w:val="00535003"/>
    <w:rsid w:val="00537C64"/>
    <w:rsid w:val="00542063"/>
    <w:rsid w:val="005515FF"/>
    <w:rsid w:val="00561692"/>
    <w:rsid w:val="005703CF"/>
    <w:rsid w:val="00572A6D"/>
    <w:rsid w:val="00577732"/>
    <w:rsid w:val="00584CEE"/>
    <w:rsid w:val="0059014C"/>
    <w:rsid w:val="0059209C"/>
    <w:rsid w:val="00594458"/>
    <w:rsid w:val="00597576"/>
    <w:rsid w:val="00597599"/>
    <w:rsid w:val="005A0369"/>
    <w:rsid w:val="005A2122"/>
    <w:rsid w:val="005A4338"/>
    <w:rsid w:val="005B5238"/>
    <w:rsid w:val="005B6827"/>
    <w:rsid w:val="005C22D9"/>
    <w:rsid w:val="005C63ED"/>
    <w:rsid w:val="005C6748"/>
    <w:rsid w:val="005D0729"/>
    <w:rsid w:val="005E33DD"/>
    <w:rsid w:val="005E3520"/>
    <w:rsid w:val="005E6254"/>
    <w:rsid w:val="005F1FB7"/>
    <w:rsid w:val="00601B2E"/>
    <w:rsid w:val="006038D8"/>
    <w:rsid w:val="00607020"/>
    <w:rsid w:val="006115C0"/>
    <w:rsid w:val="00611FAF"/>
    <w:rsid w:val="006146AC"/>
    <w:rsid w:val="00622AEA"/>
    <w:rsid w:val="00623DE8"/>
    <w:rsid w:val="006259E2"/>
    <w:rsid w:val="00625D1A"/>
    <w:rsid w:val="00630B3B"/>
    <w:rsid w:val="00635218"/>
    <w:rsid w:val="0065010D"/>
    <w:rsid w:val="00654885"/>
    <w:rsid w:val="00655BB0"/>
    <w:rsid w:val="0066177D"/>
    <w:rsid w:val="0066520D"/>
    <w:rsid w:val="006662CB"/>
    <w:rsid w:val="006671E8"/>
    <w:rsid w:val="00670A13"/>
    <w:rsid w:val="00672395"/>
    <w:rsid w:val="00673093"/>
    <w:rsid w:val="00680C17"/>
    <w:rsid w:val="00697C61"/>
    <w:rsid w:val="006B03C7"/>
    <w:rsid w:val="006B216E"/>
    <w:rsid w:val="006B2FFF"/>
    <w:rsid w:val="006B3A9D"/>
    <w:rsid w:val="006B7F8E"/>
    <w:rsid w:val="006C1F5B"/>
    <w:rsid w:val="006C63F3"/>
    <w:rsid w:val="006D3752"/>
    <w:rsid w:val="006D3B9E"/>
    <w:rsid w:val="006E66D4"/>
    <w:rsid w:val="006E6F24"/>
    <w:rsid w:val="006F027B"/>
    <w:rsid w:val="006F5025"/>
    <w:rsid w:val="006F5117"/>
    <w:rsid w:val="006F7925"/>
    <w:rsid w:val="00700303"/>
    <w:rsid w:val="00704C6C"/>
    <w:rsid w:val="00712B7E"/>
    <w:rsid w:val="00715ECD"/>
    <w:rsid w:val="00725D4E"/>
    <w:rsid w:val="00743BD7"/>
    <w:rsid w:val="00752968"/>
    <w:rsid w:val="00754A9D"/>
    <w:rsid w:val="00757F1A"/>
    <w:rsid w:val="00760578"/>
    <w:rsid w:val="00760F2B"/>
    <w:rsid w:val="00770D84"/>
    <w:rsid w:val="00774376"/>
    <w:rsid w:val="007760B2"/>
    <w:rsid w:val="00781DCA"/>
    <w:rsid w:val="007848A4"/>
    <w:rsid w:val="00785177"/>
    <w:rsid w:val="0079474B"/>
    <w:rsid w:val="0079517C"/>
    <w:rsid w:val="007978A6"/>
    <w:rsid w:val="007A5F0B"/>
    <w:rsid w:val="007B0918"/>
    <w:rsid w:val="007B4BEF"/>
    <w:rsid w:val="007B7AA0"/>
    <w:rsid w:val="007C197C"/>
    <w:rsid w:val="007D2636"/>
    <w:rsid w:val="007D47B9"/>
    <w:rsid w:val="007E51A5"/>
    <w:rsid w:val="007E557B"/>
    <w:rsid w:val="007F0A16"/>
    <w:rsid w:val="007F1EAA"/>
    <w:rsid w:val="007F406D"/>
    <w:rsid w:val="00801979"/>
    <w:rsid w:val="00803B60"/>
    <w:rsid w:val="00814D72"/>
    <w:rsid w:val="008165D1"/>
    <w:rsid w:val="00816E94"/>
    <w:rsid w:val="008228A1"/>
    <w:rsid w:val="00823A9F"/>
    <w:rsid w:val="00835C0F"/>
    <w:rsid w:val="00866367"/>
    <w:rsid w:val="00871F07"/>
    <w:rsid w:val="00874B88"/>
    <w:rsid w:val="008820E5"/>
    <w:rsid w:val="00893A16"/>
    <w:rsid w:val="00895014"/>
    <w:rsid w:val="00895895"/>
    <w:rsid w:val="008A28B4"/>
    <w:rsid w:val="008B6F6D"/>
    <w:rsid w:val="008B7057"/>
    <w:rsid w:val="008B76B7"/>
    <w:rsid w:val="008C2935"/>
    <w:rsid w:val="008C5CAE"/>
    <w:rsid w:val="008C7382"/>
    <w:rsid w:val="008D3923"/>
    <w:rsid w:val="008D6748"/>
    <w:rsid w:val="008E296E"/>
    <w:rsid w:val="008E3B4C"/>
    <w:rsid w:val="008E5500"/>
    <w:rsid w:val="00904D70"/>
    <w:rsid w:val="00904FB9"/>
    <w:rsid w:val="00906D53"/>
    <w:rsid w:val="009110EA"/>
    <w:rsid w:val="00916A6F"/>
    <w:rsid w:val="00917395"/>
    <w:rsid w:val="00925636"/>
    <w:rsid w:val="00926712"/>
    <w:rsid w:val="0093020C"/>
    <w:rsid w:val="009372F4"/>
    <w:rsid w:val="009433C5"/>
    <w:rsid w:val="00943467"/>
    <w:rsid w:val="00945306"/>
    <w:rsid w:val="00945F8C"/>
    <w:rsid w:val="00947A9E"/>
    <w:rsid w:val="00950C1D"/>
    <w:rsid w:val="009546A2"/>
    <w:rsid w:val="00954ECC"/>
    <w:rsid w:val="00971B84"/>
    <w:rsid w:val="0097200D"/>
    <w:rsid w:val="00974030"/>
    <w:rsid w:val="00977DD7"/>
    <w:rsid w:val="00977E31"/>
    <w:rsid w:val="00982B5D"/>
    <w:rsid w:val="00986643"/>
    <w:rsid w:val="009944D0"/>
    <w:rsid w:val="00994FFE"/>
    <w:rsid w:val="009A0C65"/>
    <w:rsid w:val="009A0F2C"/>
    <w:rsid w:val="009A3861"/>
    <w:rsid w:val="009A53C2"/>
    <w:rsid w:val="009A65F7"/>
    <w:rsid w:val="009B37F3"/>
    <w:rsid w:val="009B4675"/>
    <w:rsid w:val="009B786A"/>
    <w:rsid w:val="009B78C8"/>
    <w:rsid w:val="009D00D1"/>
    <w:rsid w:val="009D069A"/>
    <w:rsid w:val="009D7E74"/>
    <w:rsid w:val="009E0E99"/>
    <w:rsid w:val="009E7F55"/>
    <w:rsid w:val="009F1CF1"/>
    <w:rsid w:val="009F4864"/>
    <w:rsid w:val="009F5583"/>
    <w:rsid w:val="00A05EA2"/>
    <w:rsid w:val="00A1181B"/>
    <w:rsid w:val="00A12828"/>
    <w:rsid w:val="00A174E3"/>
    <w:rsid w:val="00A20419"/>
    <w:rsid w:val="00A34093"/>
    <w:rsid w:val="00A34D88"/>
    <w:rsid w:val="00A3744C"/>
    <w:rsid w:val="00A40B79"/>
    <w:rsid w:val="00A41E6A"/>
    <w:rsid w:val="00A4310C"/>
    <w:rsid w:val="00A445ED"/>
    <w:rsid w:val="00A51484"/>
    <w:rsid w:val="00A534AC"/>
    <w:rsid w:val="00A53576"/>
    <w:rsid w:val="00A56DDD"/>
    <w:rsid w:val="00A6282B"/>
    <w:rsid w:val="00A6484D"/>
    <w:rsid w:val="00A76287"/>
    <w:rsid w:val="00A772A9"/>
    <w:rsid w:val="00A805B7"/>
    <w:rsid w:val="00A92BAC"/>
    <w:rsid w:val="00AA13C7"/>
    <w:rsid w:val="00AA6F7C"/>
    <w:rsid w:val="00AA701F"/>
    <w:rsid w:val="00AB3DFB"/>
    <w:rsid w:val="00AB61E5"/>
    <w:rsid w:val="00AB6A73"/>
    <w:rsid w:val="00AB6BBC"/>
    <w:rsid w:val="00AB7845"/>
    <w:rsid w:val="00AD1FD6"/>
    <w:rsid w:val="00AD2B89"/>
    <w:rsid w:val="00AE0EFC"/>
    <w:rsid w:val="00AE5EA5"/>
    <w:rsid w:val="00AE775C"/>
    <w:rsid w:val="00AF48D5"/>
    <w:rsid w:val="00AF5426"/>
    <w:rsid w:val="00AF6E03"/>
    <w:rsid w:val="00B024FF"/>
    <w:rsid w:val="00B02FD2"/>
    <w:rsid w:val="00B0416E"/>
    <w:rsid w:val="00B1021A"/>
    <w:rsid w:val="00B1368A"/>
    <w:rsid w:val="00B155C1"/>
    <w:rsid w:val="00B17683"/>
    <w:rsid w:val="00B2479A"/>
    <w:rsid w:val="00B30328"/>
    <w:rsid w:val="00B31B08"/>
    <w:rsid w:val="00B41417"/>
    <w:rsid w:val="00B44E67"/>
    <w:rsid w:val="00B452BF"/>
    <w:rsid w:val="00B46525"/>
    <w:rsid w:val="00B4700B"/>
    <w:rsid w:val="00B47DB3"/>
    <w:rsid w:val="00B51278"/>
    <w:rsid w:val="00B55E84"/>
    <w:rsid w:val="00B56CC6"/>
    <w:rsid w:val="00B56F94"/>
    <w:rsid w:val="00B57DAA"/>
    <w:rsid w:val="00B62DC7"/>
    <w:rsid w:val="00B72631"/>
    <w:rsid w:val="00B746AF"/>
    <w:rsid w:val="00B747BD"/>
    <w:rsid w:val="00B758C6"/>
    <w:rsid w:val="00B80075"/>
    <w:rsid w:val="00B803B3"/>
    <w:rsid w:val="00B8078C"/>
    <w:rsid w:val="00B81E60"/>
    <w:rsid w:val="00B8659A"/>
    <w:rsid w:val="00B86772"/>
    <w:rsid w:val="00B930A1"/>
    <w:rsid w:val="00BA34DB"/>
    <w:rsid w:val="00BA3E08"/>
    <w:rsid w:val="00BB4DE2"/>
    <w:rsid w:val="00BB7038"/>
    <w:rsid w:val="00BC6105"/>
    <w:rsid w:val="00BC7737"/>
    <w:rsid w:val="00BE1002"/>
    <w:rsid w:val="00BE6DC9"/>
    <w:rsid w:val="00BF1195"/>
    <w:rsid w:val="00C05693"/>
    <w:rsid w:val="00C0573A"/>
    <w:rsid w:val="00C2034D"/>
    <w:rsid w:val="00C21D7D"/>
    <w:rsid w:val="00C228EB"/>
    <w:rsid w:val="00C22E17"/>
    <w:rsid w:val="00C2363A"/>
    <w:rsid w:val="00C2779B"/>
    <w:rsid w:val="00C312B4"/>
    <w:rsid w:val="00C34A9E"/>
    <w:rsid w:val="00C50309"/>
    <w:rsid w:val="00C514AB"/>
    <w:rsid w:val="00C56D1C"/>
    <w:rsid w:val="00C61138"/>
    <w:rsid w:val="00C625C7"/>
    <w:rsid w:val="00C63A54"/>
    <w:rsid w:val="00C726A8"/>
    <w:rsid w:val="00C758CA"/>
    <w:rsid w:val="00C77821"/>
    <w:rsid w:val="00C84927"/>
    <w:rsid w:val="00CA06E1"/>
    <w:rsid w:val="00CA22BA"/>
    <w:rsid w:val="00CA5FD7"/>
    <w:rsid w:val="00CB03A7"/>
    <w:rsid w:val="00CB5662"/>
    <w:rsid w:val="00CB6249"/>
    <w:rsid w:val="00CB70CC"/>
    <w:rsid w:val="00CD0C84"/>
    <w:rsid w:val="00CD47DF"/>
    <w:rsid w:val="00CE5FF7"/>
    <w:rsid w:val="00CE6246"/>
    <w:rsid w:val="00CE664F"/>
    <w:rsid w:val="00CE7020"/>
    <w:rsid w:val="00CF1470"/>
    <w:rsid w:val="00CF166F"/>
    <w:rsid w:val="00CF1C80"/>
    <w:rsid w:val="00CF4A51"/>
    <w:rsid w:val="00D10900"/>
    <w:rsid w:val="00D11F5E"/>
    <w:rsid w:val="00D126A1"/>
    <w:rsid w:val="00D26B1A"/>
    <w:rsid w:val="00D35ADB"/>
    <w:rsid w:val="00D3697B"/>
    <w:rsid w:val="00D369C8"/>
    <w:rsid w:val="00D37074"/>
    <w:rsid w:val="00D43BC7"/>
    <w:rsid w:val="00D539AD"/>
    <w:rsid w:val="00D5423F"/>
    <w:rsid w:val="00D5594D"/>
    <w:rsid w:val="00D70A22"/>
    <w:rsid w:val="00D80F93"/>
    <w:rsid w:val="00D84BAB"/>
    <w:rsid w:val="00D86E6B"/>
    <w:rsid w:val="00D878FD"/>
    <w:rsid w:val="00D945C9"/>
    <w:rsid w:val="00DA0D2A"/>
    <w:rsid w:val="00DA448E"/>
    <w:rsid w:val="00DA4E89"/>
    <w:rsid w:val="00DA63E5"/>
    <w:rsid w:val="00DB16A3"/>
    <w:rsid w:val="00DB3778"/>
    <w:rsid w:val="00DC1FF5"/>
    <w:rsid w:val="00DC5380"/>
    <w:rsid w:val="00DC79E7"/>
    <w:rsid w:val="00DD0022"/>
    <w:rsid w:val="00DD4C4A"/>
    <w:rsid w:val="00DE7B01"/>
    <w:rsid w:val="00DF21CE"/>
    <w:rsid w:val="00DF3859"/>
    <w:rsid w:val="00DF721F"/>
    <w:rsid w:val="00DF75B0"/>
    <w:rsid w:val="00E001B1"/>
    <w:rsid w:val="00E05703"/>
    <w:rsid w:val="00E14BCB"/>
    <w:rsid w:val="00E16E37"/>
    <w:rsid w:val="00E233DD"/>
    <w:rsid w:val="00E32AD6"/>
    <w:rsid w:val="00E4427F"/>
    <w:rsid w:val="00E53631"/>
    <w:rsid w:val="00E6001A"/>
    <w:rsid w:val="00E600E8"/>
    <w:rsid w:val="00E602D6"/>
    <w:rsid w:val="00E61716"/>
    <w:rsid w:val="00E66293"/>
    <w:rsid w:val="00E7232F"/>
    <w:rsid w:val="00E72D4F"/>
    <w:rsid w:val="00E7664F"/>
    <w:rsid w:val="00E83B2F"/>
    <w:rsid w:val="00E85FCD"/>
    <w:rsid w:val="00E86056"/>
    <w:rsid w:val="00E86BFD"/>
    <w:rsid w:val="00E86C8F"/>
    <w:rsid w:val="00E87250"/>
    <w:rsid w:val="00E90AD4"/>
    <w:rsid w:val="00E93F70"/>
    <w:rsid w:val="00E9601D"/>
    <w:rsid w:val="00EA133E"/>
    <w:rsid w:val="00EA2A79"/>
    <w:rsid w:val="00EA47F4"/>
    <w:rsid w:val="00EB3BB5"/>
    <w:rsid w:val="00EB6B2E"/>
    <w:rsid w:val="00EB79C2"/>
    <w:rsid w:val="00EC243E"/>
    <w:rsid w:val="00ED4074"/>
    <w:rsid w:val="00EF0651"/>
    <w:rsid w:val="00F00F69"/>
    <w:rsid w:val="00F149FB"/>
    <w:rsid w:val="00F2328A"/>
    <w:rsid w:val="00F24120"/>
    <w:rsid w:val="00F32D1E"/>
    <w:rsid w:val="00F347B7"/>
    <w:rsid w:val="00F34928"/>
    <w:rsid w:val="00F352C8"/>
    <w:rsid w:val="00F374A2"/>
    <w:rsid w:val="00F379DF"/>
    <w:rsid w:val="00F42FE0"/>
    <w:rsid w:val="00F46FD5"/>
    <w:rsid w:val="00F52E32"/>
    <w:rsid w:val="00F544BC"/>
    <w:rsid w:val="00F55A8F"/>
    <w:rsid w:val="00F55EEF"/>
    <w:rsid w:val="00F84B36"/>
    <w:rsid w:val="00F9200F"/>
    <w:rsid w:val="00FA2009"/>
    <w:rsid w:val="00FA4800"/>
    <w:rsid w:val="00FA491D"/>
    <w:rsid w:val="00FB3AFD"/>
    <w:rsid w:val="00FB4C1B"/>
    <w:rsid w:val="00FB54E9"/>
    <w:rsid w:val="00FB5AE8"/>
    <w:rsid w:val="00FB74C5"/>
    <w:rsid w:val="00FC019B"/>
    <w:rsid w:val="00FC67A2"/>
    <w:rsid w:val="00FD3650"/>
    <w:rsid w:val="00FD6FD3"/>
    <w:rsid w:val="00FD76A7"/>
    <w:rsid w:val="00FE1FB6"/>
    <w:rsid w:val="00FE4055"/>
    <w:rsid w:val="00FE632E"/>
    <w:rsid w:val="012E34F5"/>
    <w:rsid w:val="047C6831"/>
    <w:rsid w:val="05524952"/>
    <w:rsid w:val="056D2E15"/>
    <w:rsid w:val="06052BB4"/>
    <w:rsid w:val="06871428"/>
    <w:rsid w:val="06B52E6E"/>
    <w:rsid w:val="07193FF5"/>
    <w:rsid w:val="07A11279"/>
    <w:rsid w:val="07A16AD8"/>
    <w:rsid w:val="08362309"/>
    <w:rsid w:val="0849203C"/>
    <w:rsid w:val="08A234FA"/>
    <w:rsid w:val="08BD33F4"/>
    <w:rsid w:val="099217C1"/>
    <w:rsid w:val="0A5E0C59"/>
    <w:rsid w:val="0AAC3FD4"/>
    <w:rsid w:val="0AE53B72"/>
    <w:rsid w:val="0BA26B08"/>
    <w:rsid w:val="0C3A32A1"/>
    <w:rsid w:val="0C450D6C"/>
    <w:rsid w:val="0C9D4705"/>
    <w:rsid w:val="0C9E28EC"/>
    <w:rsid w:val="0D7313F8"/>
    <w:rsid w:val="0EE3398A"/>
    <w:rsid w:val="0F0376B4"/>
    <w:rsid w:val="0F396B61"/>
    <w:rsid w:val="0F966B3F"/>
    <w:rsid w:val="0FCB26F9"/>
    <w:rsid w:val="10030D22"/>
    <w:rsid w:val="104246CD"/>
    <w:rsid w:val="10BF4F03"/>
    <w:rsid w:val="10FB3FC4"/>
    <w:rsid w:val="120D40DA"/>
    <w:rsid w:val="1283614B"/>
    <w:rsid w:val="13400FC0"/>
    <w:rsid w:val="13A02D2C"/>
    <w:rsid w:val="146137CF"/>
    <w:rsid w:val="14AD65E3"/>
    <w:rsid w:val="152C2AC9"/>
    <w:rsid w:val="154222ED"/>
    <w:rsid w:val="15424A7C"/>
    <w:rsid w:val="15A563D8"/>
    <w:rsid w:val="15DE716E"/>
    <w:rsid w:val="15DF5D8E"/>
    <w:rsid w:val="1604435F"/>
    <w:rsid w:val="162E0984"/>
    <w:rsid w:val="17B434B7"/>
    <w:rsid w:val="17FE0021"/>
    <w:rsid w:val="188B4CDC"/>
    <w:rsid w:val="19A30C3C"/>
    <w:rsid w:val="1AB5530F"/>
    <w:rsid w:val="1B2D3DA3"/>
    <w:rsid w:val="1B5C578B"/>
    <w:rsid w:val="1BD111DE"/>
    <w:rsid w:val="1C53479C"/>
    <w:rsid w:val="1D3249F5"/>
    <w:rsid w:val="1EDF44F4"/>
    <w:rsid w:val="1EE47F71"/>
    <w:rsid w:val="1F9F2DD9"/>
    <w:rsid w:val="201872BC"/>
    <w:rsid w:val="201D7763"/>
    <w:rsid w:val="23EB6DA1"/>
    <w:rsid w:val="241E0FFA"/>
    <w:rsid w:val="2483022C"/>
    <w:rsid w:val="24B67467"/>
    <w:rsid w:val="256A70DF"/>
    <w:rsid w:val="25C40AFC"/>
    <w:rsid w:val="26F56961"/>
    <w:rsid w:val="26F93E18"/>
    <w:rsid w:val="27753FE9"/>
    <w:rsid w:val="27A97396"/>
    <w:rsid w:val="27C33364"/>
    <w:rsid w:val="27CB0F66"/>
    <w:rsid w:val="287E31E4"/>
    <w:rsid w:val="294A5C4F"/>
    <w:rsid w:val="29770441"/>
    <w:rsid w:val="2BE9306B"/>
    <w:rsid w:val="2C391C60"/>
    <w:rsid w:val="2CAE1922"/>
    <w:rsid w:val="2CD722CC"/>
    <w:rsid w:val="2D555096"/>
    <w:rsid w:val="2D5E5392"/>
    <w:rsid w:val="2F0D7070"/>
    <w:rsid w:val="3098637C"/>
    <w:rsid w:val="30CD4226"/>
    <w:rsid w:val="313244EC"/>
    <w:rsid w:val="31BF2A03"/>
    <w:rsid w:val="323341D1"/>
    <w:rsid w:val="32380C07"/>
    <w:rsid w:val="331C0D46"/>
    <w:rsid w:val="33202078"/>
    <w:rsid w:val="349124F1"/>
    <w:rsid w:val="34A75F46"/>
    <w:rsid w:val="36062A6B"/>
    <w:rsid w:val="361231BE"/>
    <w:rsid w:val="364079A0"/>
    <w:rsid w:val="36603F29"/>
    <w:rsid w:val="36B93A98"/>
    <w:rsid w:val="36C720A4"/>
    <w:rsid w:val="36EF52AD"/>
    <w:rsid w:val="36F37731"/>
    <w:rsid w:val="37D0630C"/>
    <w:rsid w:val="384462A9"/>
    <w:rsid w:val="38481C7E"/>
    <w:rsid w:val="3848736B"/>
    <w:rsid w:val="386046B4"/>
    <w:rsid w:val="38E47094"/>
    <w:rsid w:val="394F0285"/>
    <w:rsid w:val="39512A22"/>
    <w:rsid w:val="39747F9D"/>
    <w:rsid w:val="3B0A5163"/>
    <w:rsid w:val="3C3E5289"/>
    <w:rsid w:val="3CCC7501"/>
    <w:rsid w:val="3D536049"/>
    <w:rsid w:val="3D5F6467"/>
    <w:rsid w:val="3E886BC8"/>
    <w:rsid w:val="41733618"/>
    <w:rsid w:val="42576B28"/>
    <w:rsid w:val="425A2175"/>
    <w:rsid w:val="42704534"/>
    <w:rsid w:val="42756FAE"/>
    <w:rsid w:val="428261E2"/>
    <w:rsid w:val="42D24401"/>
    <w:rsid w:val="430A1C61"/>
    <w:rsid w:val="433E3844"/>
    <w:rsid w:val="434370AD"/>
    <w:rsid w:val="4391606A"/>
    <w:rsid w:val="44625310"/>
    <w:rsid w:val="44F109D5"/>
    <w:rsid w:val="4554492E"/>
    <w:rsid w:val="45647A48"/>
    <w:rsid w:val="457F1EF2"/>
    <w:rsid w:val="459B6D55"/>
    <w:rsid w:val="45CF4C28"/>
    <w:rsid w:val="46DF28B7"/>
    <w:rsid w:val="470A303D"/>
    <w:rsid w:val="470B7EE1"/>
    <w:rsid w:val="477E4B57"/>
    <w:rsid w:val="47E759F0"/>
    <w:rsid w:val="482D025C"/>
    <w:rsid w:val="4947569E"/>
    <w:rsid w:val="49757894"/>
    <w:rsid w:val="4A840191"/>
    <w:rsid w:val="4B971D44"/>
    <w:rsid w:val="4BB55C79"/>
    <w:rsid w:val="4CEE0089"/>
    <w:rsid w:val="4CFB4554"/>
    <w:rsid w:val="4E125654"/>
    <w:rsid w:val="4E3F014B"/>
    <w:rsid w:val="4E7F5118"/>
    <w:rsid w:val="4E8636E4"/>
    <w:rsid w:val="4EC15329"/>
    <w:rsid w:val="4F3B332E"/>
    <w:rsid w:val="4F457D08"/>
    <w:rsid w:val="4F7853F7"/>
    <w:rsid w:val="4FC76D8F"/>
    <w:rsid w:val="516F21A5"/>
    <w:rsid w:val="519B00B4"/>
    <w:rsid w:val="51DD6BC9"/>
    <w:rsid w:val="527B72D6"/>
    <w:rsid w:val="52BC29D7"/>
    <w:rsid w:val="53067DC6"/>
    <w:rsid w:val="53CF7776"/>
    <w:rsid w:val="53F43EF1"/>
    <w:rsid w:val="54091C4C"/>
    <w:rsid w:val="55363771"/>
    <w:rsid w:val="56AD4788"/>
    <w:rsid w:val="572834F8"/>
    <w:rsid w:val="57AA1988"/>
    <w:rsid w:val="57E80E47"/>
    <w:rsid w:val="58586CFE"/>
    <w:rsid w:val="586E6522"/>
    <w:rsid w:val="597A2F72"/>
    <w:rsid w:val="59D55610"/>
    <w:rsid w:val="5A4540E7"/>
    <w:rsid w:val="5A854500"/>
    <w:rsid w:val="5B645A2A"/>
    <w:rsid w:val="5BF62AB6"/>
    <w:rsid w:val="5D641CA2"/>
    <w:rsid w:val="5DDD4037"/>
    <w:rsid w:val="5DEC610D"/>
    <w:rsid w:val="5E0758EE"/>
    <w:rsid w:val="5E361890"/>
    <w:rsid w:val="5F082867"/>
    <w:rsid w:val="5FA212DE"/>
    <w:rsid w:val="5FC85532"/>
    <w:rsid w:val="5FD17AC2"/>
    <w:rsid w:val="60026A52"/>
    <w:rsid w:val="60D96503"/>
    <w:rsid w:val="625B20CE"/>
    <w:rsid w:val="62AE5783"/>
    <w:rsid w:val="62DE42A4"/>
    <w:rsid w:val="63337B03"/>
    <w:rsid w:val="63412E7D"/>
    <w:rsid w:val="63F0603D"/>
    <w:rsid w:val="640A23EA"/>
    <w:rsid w:val="64540CC2"/>
    <w:rsid w:val="645A795A"/>
    <w:rsid w:val="65586327"/>
    <w:rsid w:val="65A859CB"/>
    <w:rsid w:val="65F53DDF"/>
    <w:rsid w:val="6646463A"/>
    <w:rsid w:val="67C65A33"/>
    <w:rsid w:val="67F31205"/>
    <w:rsid w:val="6841330B"/>
    <w:rsid w:val="68E85E7D"/>
    <w:rsid w:val="69B64EA0"/>
    <w:rsid w:val="69EC12BA"/>
    <w:rsid w:val="6A372C18"/>
    <w:rsid w:val="6B575EFD"/>
    <w:rsid w:val="6BB34520"/>
    <w:rsid w:val="6BEF307E"/>
    <w:rsid w:val="6BF15CBC"/>
    <w:rsid w:val="6C712D2B"/>
    <w:rsid w:val="6E81013B"/>
    <w:rsid w:val="6EC00D66"/>
    <w:rsid w:val="6F06705D"/>
    <w:rsid w:val="6FBB1BF5"/>
    <w:rsid w:val="70D54F38"/>
    <w:rsid w:val="70D67B33"/>
    <w:rsid w:val="70DE203F"/>
    <w:rsid w:val="70F64FF1"/>
    <w:rsid w:val="710F25AA"/>
    <w:rsid w:val="71104394"/>
    <w:rsid w:val="71235CA4"/>
    <w:rsid w:val="71991A38"/>
    <w:rsid w:val="71BC7EA6"/>
    <w:rsid w:val="71CC633B"/>
    <w:rsid w:val="72CD4767"/>
    <w:rsid w:val="72F21378"/>
    <w:rsid w:val="74E652C6"/>
    <w:rsid w:val="750951B1"/>
    <w:rsid w:val="75362644"/>
    <w:rsid w:val="758955BC"/>
    <w:rsid w:val="75C83CC5"/>
    <w:rsid w:val="76DE56C7"/>
    <w:rsid w:val="779C40BA"/>
    <w:rsid w:val="787E7C64"/>
    <w:rsid w:val="78D945F3"/>
    <w:rsid w:val="79621333"/>
    <w:rsid w:val="799C2AEF"/>
    <w:rsid w:val="79A265CB"/>
    <w:rsid w:val="7C885555"/>
    <w:rsid w:val="7CB64B7A"/>
    <w:rsid w:val="7DF85FEB"/>
    <w:rsid w:val="7EC24B05"/>
    <w:rsid w:val="7F863357"/>
    <w:rsid w:val="7F961011"/>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4"/>
    <w:unhideWhenUsed/>
    <w:qFormat/>
    <w:uiPriority w:val="99"/>
    <w:pPr>
      <w:ind w:firstLine="420" w:firstLineChars="200"/>
    </w:pPr>
  </w:style>
  <w:style w:type="paragraph" w:styleId="3">
    <w:name w:val="Body Text Indent"/>
    <w:basedOn w:val="1"/>
    <w:next w:val="4"/>
    <w:link w:val="23"/>
    <w:unhideWhenUsed/>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6">
    <w:name w:val="Normal Indent"/>
    <w:basedOn w:val="1"/>
    <w:link w:val="26"/>
    <w:qFormat/>
    <w:uiPriority w:val="0"/>
    <w:pPr>
      <w:ind w:firstLine="420"/>
    </w:pPr>
    <w:rPr>
      <w:szCs w:val="20"/>
    </w:rPr>
  </w:style>
  <w:style w:type="paragraph" w:styleId="7">
    <w:name w:val="annotation text"/>
    <w:basedOn w:val="1"/>
    <w:link w:val="42"/>
    <w:semiHidden/>
    <w:unhideWhenUsed/>
    <w:qFormat/>
    <w:uiPriority w:val="99"/>
    <w:pPr>
      <w:jc w:val="left"/>
    </w:pPr>
  </w:style>
  <w:style w:type="paragraph" w:styleId="8">
    <w:name w:val="Body Text 3"/>
    <w:basedOn w:val="1"/>
    <w:link w:val="52"/>
    <w:semiHidden/>
    <w:unhideWhenUsed/>
    <w:qFormat/>
    <w:uiPriority w:val="99"/>
    <w:pPr>
      <w:spacing w:after="120"/>
    </w:pPr>
    <w:rPr>
      <w:sz w:val="16"/>
      <w:szCs w:val="16"/>
    </w:rPr>
  </w:style>
  <w:style w:type="paragraph" w:styleId="9">
    <w:name w:val="Body Text"/>
    <w:basedOn w:val="1"/>
    <w:next w:val="1"/>
    <w:qFormat/>
    <w:uiPriority w:val="0"/>
    <w:pPr>
      <w:spacing w:after="120"/>
    </w:pPr>
  </w:style>
  <w:style w:type="paragraph" w:styleId="10">
    <w:name w:val="index 4"/>
    <w:basedOn w:val="1"/>
    <w:next w:val="1"/>
    <w:qFormat/>
    <w:uiPriority w:val="99"/>
    <w:pPr>
      <w:ind w:left="600" w:leftChars="600"/>
    </w:pPr>
  </w:style>
  <w:style w:type="paragraph" w:styleId="11">
    <w:name w:val="toc 3"/>
    <w:basedOn w:val="1"/>
    <w:next w:val="1"/>
    <w:qFormat/>
    <w:uiPriority w:val="0"/>
    <w:pPr>
      <w:ind w:left="840" w:leftChars="400"/>
    </w:pPr>
  </w:style>
  <w:style w:type="paragraph" w:styleId="12">
    <w:name w:val="Plain Text"/>
    <w:basedOn w:val="1"/>
    <w:link w:val="50"/>
    <w:qFormat/>
    <w:uiPriority w:val="0"/>
    <w:rPr>
      <w:rFonts w:ascii="宋体" w:hAnsi="Courier New"/>
    </w:rPr>
  </w:style>
  <w:style w:type="paragraph" w:styleId="13">
    <w:name w:val="Balloon Text"/>
    <w:basedOn w:val="1"/>
    <w:link w:val="27"/>
    <w:qFormat/>
    <w:uiPriority w:val="0"/>
    <w:rPr>
      <w:sz w:val="18"/>
      <w:szCs w:val="18"/>
    </w:rPr>
  </w:style>
  <w:style w:type="paragraph" w:styleId="14">
    <w:name w:val="footer"/>
    <w:basedOn w:val="1"/>
    <w:link w:val="28"/>
    <w:qFormat/>
    <w:uiPriority w:val="99"/>
    <w:pPr>
      <w:tabs>
        <w:tab w:val="center" w:pos="4153"/>
        <w:tab w:val="right" w:pos="8306"/>
      </w:tabs>
      <w:snapToGrid w:val="0"/>
      <w:jc w:val="left"/>
    </w:pPr>
    <w:rPr>
      <w:sz w:val="18"/>
      <w:szCs w:val="18"/>
    </w:rPr>
  </w:style>
  <w:style w:type="paragraph" w:styleId="15">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annotation subject"/>
    <w:basedOn w:val="7"/>
    <w:next w:val="7"/>
    <w:link w:val="43"/>
    <w:semiHidden/>
    <w:unhideWhenUsed/>
    <w:qFormat/>
    <w:uiPriority w:val="99"/>
    <w:rPr>
      <w:b/>
      <w:bCs/>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unhideWhenUsed/>
    <w:qFormat/>
    <w:uiPriority w:val="0"/>
    <w:rPr>
      <w:sz w:val="21"/>
      <w:szCs w:val="21"/>
    </w:rPr>
  </w:style>
  <w:style w:type="paragraph" w:customStyle="1" w:styleId="22">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23">
    <w:name w:val="正文文本缩进 Char"/>
    <w:basedOn w:val="20"/>
    <w:link w:val="3"/>
    <w:semiHidden/>
    <w:qFormat/>
    <w:uiPriority w:val="99"/>
    <w:rPr>
      <w:rFonts w:ascii="Times New Roman" w:hAnsi="Times New Roman" w:eastAsia="宋体" w:cs="Times New Roman"/>
      <w:szCs w:val="24"/>
    </w:rPr>
  </w:style>
  <w:style w:type="character" w:customStyle="1" w:styleId="24">
    <w:name w:val="正文首行缩进 2 Char1"/>
    <w:basedOn w:val="23"/>
    <w:link w:val="2"/>
    <w:qFormat/>
    <w:uiPriority w:val="99"/>
    <w:rPr>
      <w:rFonts w:ascii="Times New Roman" w:hAnsi="Times New Roman" w:eastAsia="宋体" w:cs="Times New Roman"/>
      <w:szCs w:val="24"/>
    </w:rPr>
  </w:style>
  <w:style w:type="character" w:customStyle="1" w:styleId="25">
    <w:name w:val="正文文本缩进 Char1"/>
    <w:qFormat/>
    <w:uiPriority w:val="0"/>
    <w:rPr>
      <w:kern w:val="2"/>
      <w:sz w:val="21"/>
      <w:szCs w:val="24"/>
    </w:rPr>
  </w:style>
  <w:style w:type="character" w:customStyle="1" w:styleId="26">
    <w:name w:val="正文缩进 Char1"/>
    <w:link w:val="6"/>
    <w:qFormat/>
    <w:uiPriority w:val="0"/>
    <w:rPr>
      <w:rFonts w:ascii="Times New Roman" w:hAnsi="Times New Roman" w:eastAsia="宋体" w:cs="Times New Roman"/>
      <w:szCs w:val="20"/>
    </w:rPr>
  </w:style>
  <w:style w:type="character" w:customStyle="1" w:styleId="27">
    <w:name w:val="批注框文本 Char"/>
    <w:basedOn w:val="20"/>
    <w:link w:val="13"/>
    <w:qFormat/>
    <w:uiPriority w:val="0"/>
    <w:rPr>
      <w:rFonts w:ascii="Times New Roman" w:hAnsi="Times New Roman" w:eastAsia="宋体" w:cs="Times New Roman"/>
      <w:sz w:val="18"/>
      <w:szCs w:val="18"/>
    </w:rPr>
  </w:style>
  <w:style w:type="character" w:customStyle="1" w:styleId="28">
    <w:name w:val="页脚 Char"/>
    <w:basedOn w:val="20"/>
    <w:link w:val="14"/>
    <w:qFormat/>
    <w:uiPriority w:val="99"/>
    <w:rPr>
      <w:rFonts w:ascii="Times New Roman" w:hAnsi="Times New Roman" w:eastAsia="宋体" w:cs="Times New Roman"/>
      <w:sz w:val="18"/>
      <w:szCs w:val="18"/>
    </w:rPr>
  </w:style>
  <w:style w:type="character" w:customStyle="1" w:styleId="29">
    <w:name w:val="正文缩进2格 Char"/>
    <w:link w:val="30"/>
    <w:qFormat/>
    <w:locked/>
    <w:uiPriority w:val="99"/>
    <w:rPr>
      <w:rFonts w:ascii="仿宋_GB2312" w:hAnsi="宋体" w:eastAsia="仿宋_GB2312"/>
      <w:sz w:val="31"/>
      <w:szCs w:val="28"/>
    </w:rPr>
  </w:style>
  <w:style w:type="paragraph" w:customStyle="1" w:styleId="30">
    <w:name w:val="正文缩进2格"/>
    <w:basedOn w:val="1"/>
    <w:link w:val="29"/>
    <w:qFormat/>
    <w:uiPriority w:val="99"/>
    <w:pPr>
      <w:spacing w:line="600" w:lineRule="exact"/>
      <w:ind w:firstLine="639" w:firstLineChars="206"/>
    </w:pPr>
    <w:rPr>
      <w:rFonts w:ascii="仿宋_GB2312" w:hAnsi="宋体" w:eastAsia="仿宋_GB2312" w:cstheme="minorBidi"/>
      <w:sz w:val="31"/>
      <w:szCs w:val="28"/>
    </w:rPr>
  </w:style>
  <w:style w:type="paragraph" w:customStyle="1" w:styleId="31">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b/>
      <w:bCs/>
      <w:sz w:val="32"/>
      <w:szCs w:val="20"/>
    </w:rPr>
  </w:style>
  <w:style w:type="character" w:customStyle="1" w:styleId="32">
    <w:name w:val="我的正文 Char"/>
    <w:link w:val="33"/>
    <w:qFormat/>
    <w:locked/>
    <w:uiPriority w:val="0"/>
    <w:rPr>
      <w:rFonts w:ascii="宋体" w:hAnsi="宋体"/>
      <w:sz w:val="24"/>
      <w:szCs w:val="24"/>
    </w:rPr>
  </w:style>
  <w:style w:type="paragraph" w:customStyle="1" w:styleId="33">
    <w:name w:val="我的正文"/>
    <w:basedOn w:val="1"/>
    <w:link w:val="32"/>
    <w:qFormat/>
    <w:uiPriority w:val="0"/>
    <w:pPr>
      <w:snapToGrid w:val="0"/>
      <w:spacing w:line="300" w:lineRule="auto"/>
      <w:ind w:firstLine="150" w:firstLineChars="150"/>
    </w:pPr>
    <w:rPr>
      <w:rFonts w:ascii="宋体" w:hAnsi="宋体" w:eastAsiaTheme="minorEastAsia" w:cstheme="minorBidi"/>
      <w:sz w:val="24"/>
    </w:rPr>
  </w:style>
  <w:style w:type="paragraph" w:customStyle="1" w:styleId="34">
    <w:name w:val="列出段落1"/>
    <w:basedOn w:val="1"/>
    <w:qFormat/>
    <w:uiPriority w:val="34"/>
    <w:pPr>
      <w:ind w:firstLine="420" w:firstLineChars="200"/>
    </w:pPr>
  </w:style>
  <w:style w:type="character" w:customStyle="1" w:styleId="35">
    <w:name w:val="fontstyle01"/>
    <w:qFormat/>
    <w:uiPriority w:val="0"/>
    <w:rPr>
      <w:rFonts w:hint="eastAsia" w:ascii="宋体" w:hAnsi="宋体" w:eastAsia="宋体"/>
      <w:color w:val="000000"/>
      <w:sz w:val="24"/>
      <w:szCs w:val="24"/>
    </w:rPr>
  </w:style>
  <w:style w:type="paragraph" w:styleId="36">
    <w:name w:val="List Paragraph"/>
    <w:basedOn w:val="1"/>
    <w:qFormat/>
    <w:uiPriority w:val="34"/>
    <w:pPr>
      <w:ind w:firstLine="420" w:firstLineChars="200"/>
    </w:pPr>
  </w:style>
  <w:style w:type="paragraph" w:customStyle="1" w:styleId="37">
    <w:name w:val="xl36"/>
    <w:basedOn w:val="1"/>
    <w:qFormat/>
    <w:uiPriority w:val="0"/>
    <w:pPr>
      <w:widowControl/>
      <w:pBdr>
        <w:left w:val="single" w:color="auto" w:sz="8" w:space="0"/>
        <w:bottom w:val="single" w:color="auto" w:sz="4" w:space="0"/>
        <w:right w:val="single" w:color="auto" w:sz="4" w:space="0"/>
      </w:pBdr>
      <w:adjustRightInd w:val="0"/>
      <w:snapToGrid w:val="0"/>
      <w:spacing w:before="100" w:beforeAutospacing="1" w:after="100" w:afterAutospacing="1"/>
      <w:jc w:val="center"/>
    </w:pPr>
    <w:rPr>
      <w:rFonts w:hint="eastAsia" w:ascii="宋体" w:hAnsi="Tahoma" w:eastAsia="微软雅黑"/>
      <w:kern w:val="0"/>
      <w:sz w:val="24"/>
      <w:szCs w:val="20"/>
    </w:rPr>
  </w:style>
  <w:style w:type="character" w:customStyle="1" w:styleId="38">
    <w:name w:val="页眉 Char"/>
    <w:basedOn w:val="20"/>
    <w:link w:val="15"/>
    <w:qFormat/>
    <w:uiPriority w:val="99"/>
    <w:rPr>
      <w:rFonts w:ascii="Times New Roman" w:hAnsi="Times New Roman" w:eastAsia="宋体" w:cs="Times New Roman"/>
      <w:sz w:val="18"/>
      <w:szCs w:val="18"/>
    </w:rPr>
  </w:style>
  <w:style w:type="character" w:customStyle="1" w:styleId="39">
    <w:name w:val="font61"/>
    <w:basedOn w:val="20"/>
    <w:qFormat/>
    <w:uiPriority w:val="0"/>
    <w:rPr>
      <w:rFonts w:hint="eastAsia" w:ascii="宋体" w:hAnsi="宋体" w:eastAsia="宋体" w:cs="宋体"/>
      <w:color w:val="FF0000"/>
      <w:sz w:val="20"/>
      <w:szCs w:val="20"/>
      <w:u w:val="none"/>
    </w:rPr>
  </w:style>
  <w:style w:type="character" w:customStyle="1" w:styleId="40">
    <w:name w:val="font31"/>
    <w:basedOn w:val="20"/>
    <w:qFormat/>
    <w:uiPriority w:val="0"/>
    <w:rPr>
      <w:rFonts w:hint="eastAsia" w:ascii="宋体" w:hAnsi="宋体" w:eastAsia="宋体" w:cs="宋体"/>
      <w:color w:val="000000"/>
      <w:sz w:val="20"/>
      <w:szCs w:val="20"/>
      <w:u w:val="none"/>
    </w:rPr>
  </w:style>
  <w:style w:type="paragraph" w:customStyle="1" w:styleId="41">
    <w:name w:val="ces正文"/>
    <w:basedOn w:val="1"/>
    <w:qFormat/>
    <w:uiPriority w:val="0"/>
    <w:pPr>
      <w:spacing w:line="360" w:lineRule="auto"/>
      <w:ind w:firstLine="480" w:firstLineChars="200"/>
    </w:pPr>
    <w:rPr>
      <w:rFonts w:ascii="宋体" w:hAnsi="宋体"/>
      <w:sz w:val="24"/>
    </w:rPr>
  </w:style>
  <w:style w:type="character" w:customStyle="1" w:styleId="42">
    <w:name w:val="批注文字 Char"/>
    <w:basedOn w:val="20"/>
    <w:link w:val="7"/>
    <w:semiHidden/>
    <w:qFormat/>
    <w:uiPriority w:val="99"/>
    <w:rPr>
      <w:kern w:val="2"/>
      <w:sz w:val="21"/>
      <w:szCs w:val="24"/>
    </w:rPr>
  </w:style>
  <w:style w:type="character" w:customStyle="1" w:styleId="43">
    <w:name w:val="批注主题 Char"/>
    <w:basedOn w:val="42"/>
    <w:link w:val="17"/>
    <w:semiHidden/>
    <w:qFormat/>
    <w:uiPriority w:val="99"/>
    <w:rPr>
      <w:b/>
      <w:bCs/>
      <w:kern w:val="2"/>
      <w:sz w:val="21"/>
      <w:szCs w:val="24"/>
    </w:rPr>
  </w:style>
  <w:style w:type="paragraph" w:customStyle="1" w:styleId="4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5">
    <w:name w:val="正文缩进 Char"/>
    <w:qFormat/>
    <w:uiPriority w:val="0"/>
    <w:rPr>
      <w:kern w:val="2"/>
      <w:sz w:val="21"/>
    </w:rPr>
  </w:style>
  <w:style w:type="paragraph" w:customStyle="1" w:styleId="46">
    <w:name w:val="_Style 38"/>
    <w:basedOn w:val="3"/>
    <w:next w:val="2"/>
    <w:link w:val="47"/>
    <w:unhideWhenUsed/>
    <w:qFormat/>
    <w:uiPriority w:val="99"/>
    <w:pPr>
      <w:ind w:firstLine="420" w:firstLineChars="200"/>
    </w:pPr>
    <w:rPr>
      <w:kern w:val="0"/>
      <w:sz w:val="20"/>
      <w:szCs w:val="20"/>
    </w:rPr>
  </w:style>
  <w:style w:type="character" w:customStyle="1" w:styleId="47">
    <w:name w:val="正文首行缩进 2 Char"/>
    <w:link w:val="46"/>
    <w:semiHidden/>
    <w:qFormat/>
    <w:uiPriority w:val="99"/>
  </w:style>
  <w:style w:type="paragraph" w:customStyle="1" w:styleId="48">
    <w:name w:val="Default"/>
    <w:next w:val="1"/>
    <w:unhideWhenUsed/>
    <w:qFormat/>
    <w:uiPriority w:val="0"/>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table" w:customStyle="1" w:styleId="49">
    <w:name w:val="网格型1"/>
    <w:basedOn w:val="18"/>
    <w:qFormat/>
    <w:uiPriority w:val="59"/>
    <w:rPr>
      <w:rFonts w:ascii="Arial" w:hAnsi="Arial"/>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50">
    <w:name w:val="纯文本 Char"/>
    <w:basedOn w:val="20"/>
    <w:link w:val="12"/>
    <w:qFormat/>
    <w:uiPriority w:val="0"/>
    <w:rPr>
      <w:rFonts w:ascii="宋体" w:hAnsi="Courier New"/>
      <w:kern w:val="2"/>
      <w:sz w:val="21"/>
      <w:szCs w:val="24"/>
    </w:rPr>
  </w:style>
  <w:style w:type="character" w:customStyle="1" w:styleId="51">
    <w:name w:val="NormalCharacter"/>
    <w:autoRedefine/>
    <w:qFormat/>
    <w:uiPriority w:val="0"/>
  </w:style>
  <w:style w:type="character" w:customStyle="1" w:styleId="52">
    <w:name w:val="正文文本 3 Char"/>
    <w:basedOn w:val="20"/>
    <w:link w:val="8"/>
    <w:semiHidden/>
    <w:qFormat/>
    <w:uiPriority w:val="99"/>
    <w:rPr>
      <w:kern w:val="2"/>
      <w:sz w:val="16"/>
      <w:szCs w:val="16"/>
    </w:rPr>
  </w:style>
  <w:style w:type="paragraph" w:customStyle="1" w:styleId="53">
    <w:name w:val="样式1"/>
    <w:basedOn w:val="1"/>
    <w:qFormat/>
    <w:uiPriority w:val="0"/>
    <w:pPr>
      <w:spacing w:line="520" w:lineRule="exact"/>
      <w:ind w:firstLine="566" w:firstLineChars="236"/>
    </w:pPr>
    <w:rPr>
      <w:sz w:val="24"/>
    </w:rPr>
  </w:style>
  <w:style w:type="character" w:customStyle="1" w:styleId="54">
    <w:name w:val="批注引用1"/>
    <w:basedOn w:val="55"/>
    <w:qFormat/>
    <w:uiPriority w:val="0"/>
    <w:rPr>
      <w:rFonts w:ascii="Times New Roman" w:hAnsi="Times New Roman" w:eastAsia="宋体" w:cs="Times New Roman"/>
      <w:kern w:val="2"/>
      <w:sz w:val="21"/>
      <w:szCs w:val="24"/>
      <w:lang w:val="en-US" w:eastAsia="zh-CN" w:bidi="ar-SA"/>
    </w:rPr>
  </w:style>
  <w:style w:type="character" w:customStyle="1" w:styleId="55">
    <w:name w:val="默认段落字体1"/>
    <w:unhideWhenUsed/>
    <w:qFormat/>
    <w:uiPriority w:val="1"/>
  </w:style>
  <w:style w:type="paragraph" w:customStyle="1" w:styleId="56">
    <w:name w:val="正文首行缩进 21"/>
    <w:basedOn w:val="57"/>
    <w:qFormat/>
    <w:uiPriority w:val="99"/>
    <w:pPr>
      <w:spacing w:after="0" w:line="360" w:lineRule="auto"/>
      <w:ind w:left="0" w:firstLine="420"/>
    </w:pPr>
    <w:rPr>
      <w:rFonts w:ascii="宋体" w:hAnsi="宋体"/>
      <w:sz w:val="20"/>
      <w:szCs w:val="20"/>
    </w:rPr>
  </w:style>
  <w:style w:type="paragraph" w:customStyle="1" w:styleId="57">
    <w:name w:val="正文文本缩进1"/>
    <w:basedOn w:val="1"/>
    <w:unhideWhenUsed/>
    <w:qFormat/>
    <w:uiPriority w:val="99"/>
    <w:pPr>
      <w:spacing w:after="120"/>
      <w:ind w:left="420"/>
    </w:pPr>
  </w:style>
  <w:style w:type="paragraph" w:customStyle="1" w:styleId="58">
    <w:name w:val="正文2"/>
    <w:qFormat/>
    <w:uiPriority w:val="0"/>
    <w:pPr>
      <w:widowControl w:val="0"/>
      <w:spacing w:before="156" w:line="360" w:lineRule="auto"/>
      <w:ind w:firstLine="200"/>
      <w:jc w:val="both"/>
    </w:pPr>
    <w:rPr>
      <w:rFonts w:ascii="Times New Roman" w:hAnsi="Times New Roman" w:eastAsia="宋体" w:cs="Times New Roman"/>
      <w:sz w:val="24"/>
      <w:lang w:val="en-US" w:eastAsia="zh-CN" w:bidi="ar-SA"/>
    </w:rPr>
  </w:style>
  <w:style w:type="paragraph" w:customStyle="1" w:styleId="59">
    <w:name w:val="纯文本1"/>
    <w:basedOn w:val="1"/>
    <w:qFormat/>
    <w:uiPriority w:val="0"/>
    <w:rPr>
      <w:rFonts w:ascii="宋体" w:hAnsi="Courier New" w:cs="Courier New"/>
      <w:szCs w:val="21"/>
    </w:rPr>
  </w:style>
  <w:style w:type="paragraph" w:customStyle="1" w:styleId="60">
    <w:name w:val="页脚1"/>
    <w:basedOn w:val="1"/>
    <w:qFormat/>
    <w:uiPriority w:val="99"/>
    <w:pPr>
      <w:tabs>
        <w:tab w:val="center" w:pos="4153"/>
        <w:tab w:val="right" w:pos="8306"/>
      </w:tabs>
      <w:jc w:val="left"/>
    </w:pPr>
    <w:rPr>
      <w:sz w:val="18"/>
      <w:szCs w:val="18"/>
    </w:rPr>
  </w:style>
  <w:style w:type="character" w:customStyle="1" w:styleId="61">
    <w:name w:val="font21"/>
    <w:basedOn w:val="20"/>
    <w:qFormat/>
    <w:uiPriority w:val="0"/>
    <w:rPr>
      <w:rFonts w:hint="default" w:ascii="仿宋_GB2312" w:eastAsia="仿宋_GB2312" w:cs="仿宋_GB2312"/>
      <w:color w:val="000000"/>
      <w:sz w:val="24"/>
      <w:szCs w:val="24"/>
      <w:u w:val="none"/>
    </w:rPr>
  </w:style>
  <w:style w:type="character" w:customStyle="1" w:styleId="62">
    <w:name w:val="font81"/>
    <w:basedOn w:val="20"/>
    <w:qFormat/>
    <w:uiPriority w:val="0"/>
    <w:rPr>
      <w:rFonts w:hint="default" w:ascii="Times New Roman" w:hAnsi="Times New Roman" w:cs="Times New Roman"/>
      <w:color w:val="000000"/>
      <w:sz w:val="22"/>
      <w:szCs w:val="22"/>
      <w:u w:val="none"/>
    </w:rPr>
  </w:style>
  <w:style w:type="character" w:customStyle="1" w:styleId="63">
    <w:name w:val="font51"/>
    <w:basedOn w:val="20"/>
    <w:qFormat/>
    <w:uiPriority w:val="0"/>
    <w:rPr>
      <w:rFonts w:hint="eastAsia" w:ascii="宋体" w:hAnsi="宋体" w:eastAsia="宋体" w:cs="宋体"/>
      <w:color w:val="000000"/>
      <w:sz w:val="24"/>
      <w:szCs w:val="24"/>
      <w:u w:val="none"/>
    </w:rPr>
  </w:style>
  <w:style w:type="paragraph" w:styleId="64">
    <w:name w:val="No Spacing"/>
    <w:qFormat/>
    <w:uiPriority w:val="1"/>
    <w:pPr>
      <w:adjustRightInd w:val="0"/>
      <w:snapToGrid w:val="0"/>
    </w:pPr>
    <w:rPr>
      <w:rFonts w:ascii="Tahoma" w:hAnsi="Tahoma" w:eastAsia="微软雅黑" w:cs="Tahoma"/>
      <w:sz w:val="22"/>
      <w:szCs w:val="22"/>
      <w:lang w:val="en-US" w:eastAsia="zh-CN" w:bidi="ar-SA"/>
    </w:rPr>
  </w:style>
  <w:style w:type="character" w:customStyle="1" w:styleId="65">
    <w:name w:val="font101"/>
    <w:basedOn w:val="20"/>
    <w:qFormat/>
    <w:uiPriority w:val="0"/>
    <w:rPr>
      <w:rFonts w:hint="eastAsia" w:ascii="仿宋" w:hAnsi="仿宋" w:eastAsia="仿宋" w:cs="仿宋"/>
      <w:color w:val="000000"/>
      <w:sz w:val="24"/>
      <w:szCs w:val="24"/>
      <w:u w:val="none"/>
    </w:rPr>
  </w:style>
  <w:style w:type="character" w:customStyle="1" w:styleId="66">
    <w:name w:val="font91"/>
    <w:basedOn w:val="20"/>
    <w:qFormat/>
    <w:uiPriority w:val="0"/>
    <w:rPr>
      <w:rFonts w:ascii="仿宋_GB2312" w:eastAsia="仿宋_GB2312" w:cs="仿宋_GB2312"/>
      <w:color w:val="000000"/>
      <w:sz w:val="22"/>
      <w:szCs w:val="22"/>
      <w:u w:val="none"/>
    </w:rPr>
  </w:style>
  <w:style w:type="character" w:customStyle="1" w:styleId="67">
    <w:name w:val="font112"/>
    <w:basedOn w:val="20"/>
    <w:qFormat/>
    <w:uiPriority w:val="0"/>
    <w:rPr>
      <w:rFonts w:hint="eastAsia" w:ascii="宋体" w:hAnsi="宋体" w:eastAsia="宋体" w:cs="宋体"/>
      <w:color w:val="000000"/>
      <w:sz w:val="22"/>
      <w:szCs w:val="22"/>
      <w:u w:val="none"/>
    </w:rPr>
  </w:style>
  <w:style w:type="character" w:customStyle="1" w:styleId="68">
    <w:name w:val="font11"/>
    <w:basedOn w:val="2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9998</Words>
  <Characters>10398</Characters>
  <Lines>253</Lines>
  <Paragraphs>71</Paragraphs>
  <TotalTime>2</TotalTime>
  <ScaleCrop>false</ScaleCrop>
  <LinksUpToDate>false</LinksUpToDate>
  <CharactersWithSpaces>10488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2024-11-28T02:57:00Z</dcterms:created>
  <dc:creator>吉加兵</dc:creator>
  <cp:lastModifiedBy>WPS_1542117345</cp:lastModifiedBy>
  <cp:lastPrinted>2022-03-01T06:57:00Z</cp:lastPrinted>
  <dcterms:modified xsi:type="dcterms:W3CDTF">2025-12-15T06:05:53Z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6918114121B54E279306B450F3856DA2_13</vt:lpwstr>
  </property>
  <property fmtid="{D5CDD505-2E9C-101B-9397-08002B2CF9AE}" pid="4" name="KSOTemplateDocerSaveRecord">
    <vt:lpwstr>eyJoZGlkIjoiZmMxNTFmN2NlZTk0MGQ1OTkxM2M1ZDNhNDkyN2Q1NDciLCJ1c2VySWQiOiI0Mjc4NTY2NzMifQ==</vt:lpwstr>
  </property>
</Properties>
</file>